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C49B24">
      <w:pPr>
        <w:tabs>
          <w:tab w:val="left" w:pos="180"/>
        </w:tabs>
        <w:jc w:val="center"/>
        <w:rPr>
          <w:b/>
          <w:sz w:val="72"/>
          <w:szCs w:val="80"/>
        </w:rPr>
      </w:pPr>
    </w:p>
    <w:p w14:paraId="5EDF5866">
      <w:pPr>
        <w:tabs>
          <w:tab w:val="left" w:pos="180"/>
        </w:tabs>
        <w:jc w:val="center"/>
        <w:outlineLvl w:val="0"/>
        <w:rPr>
          <w:b/>
          <w:sz w:val="72"/>
          <w:szCs w:val="80"/>
        </w:rPr>
      </w:pPr>
      <w:bookmarkStart w:id="0" w:name="_Toc27873"/>
      <w:r>
        <w:rPr>
          <w:b/>
          <w:sz w:val="72"/>
          <w:szCs w:val="80"/>
        </w:rPr>
        <w:t>建设项目环境影响报告表</w:t>
      </w:r>
      <w:bookmarkEnd w:id="0"/>
    </w:p>
    <w:p w14:paraId="1C0B69DA">
      <w:pPr>
        <w:adjustRightInd w:val="0"/>
        <w:snapToGrid w:val="0"/>
        <w:spacing w:beforeLines="80"/>
        <w:jc w:val="center"/>
        <w:rPr>
          <w:rFonts w:hint="eastAsia" w:ascii="楷体_GB2312" w:eastAsia="楷体_GB2312"/>
          <w:bCs/>
          <w:sz w:val="48"/>
          <w:szCs w:val="48"/>
        </w:rPr>
      </w:pPr>
      <w:r>
        <w:rPr>
          <w:rFonts w:hint="eastAsia" w:ascii="楷体_GB2312" w:eastAsia="楷体_GB2312"/>
          <w:bCs/>
          <w:sz w:val="48"/>
          <w:szCs w:val="48"/>
        </w:rPr>
        <w:t>（</w:t>
      </w:r>
      <w:r>
        <w:rPr>
          <w:rFonts w:hint="eastAsia" w:ascii="楷体_GB2312" w:eastAsia="楷体_GB2312"/>
          <w:bCs/>
          <w:sz w:val="48"/>
          <w:szCs w:val="48"/>
          <w:lang w:eastAsia="zh-CN"/>
        </w:rPr>
        <w:t>污染影响类</w:t>
      </w:r>
      <w:r>
        <w:rPr>
          <w:rFonts w:hint="eastAsia" w:ascii="楷体_GB2312" w:eastAsia="楷体_GB2312"/>
          <w:bCs/>
          <w:sz w:val="48"/>
          <w:szCs w:val="48"/>
        </w:rPr>
        <w:t>）</w:t>
      </w:r>
    </w:p>
    <w:p w14:paraId="7ADCC100">
      <w:pPr>
        <w:rPr>
          <w:b/>
          <w:sz w:val="36"/>
          <w:szCs w:val="36"/>
        </w:rPr>
      </w:pPr>
    </w:p>
    <w:p w14:paraId="3ACD5EE7">
      <w:pPr>
        <w:rPr>
          <w:b/>
          <w:sz w:val="36"/>
          <w:szCs w:val="36"/>
        </w:rPr>
      </w:pPr>
    </w:p>
    <w:p w14:paraId="7D4CE4D6">
      <w:pPr>
        <w:tabs>
          <w:tab w:val="left" w:pos="7740"/>
          <w:tab w:val="left" w:pos="7920"/>
          <w:tab w:val="left" w:pos="8100"/>
          <w:tab w:val="left" w:pos="8280"/>
          <w:tab w:val="left" w:pos="8640"/>
        </w:tabs>
        <w:ind w:left="718" w:leftChars="342"/>
        <w:rPr>
          <w:b/>
          <w:sz w:val="36"/>
          <w:szCs w:val="36"/>
        </w:rPr>
      </w:pPr>
    </w:p>
    <w:p w14:paraId="3478EAC1">
      <w:pPr>
        <w:tabs>
          <w:tab w:val="left" w:pos="7740"/>
          <w:tab w:val="left" w:pos="7920"/>
          <w:tab w:val="left" w:pos="8100"/>
          <w:tab w:val="left" w:pos="8280"/>
          <w:tab w:val="left" w:pos="8640"/>
        </w:tabs>
        <w:ind w:left="718" w:leftChars="342"/>
        <w:rPr>
          <w:b/>
          <w:sz w:val="36"/>
          <w:szCs w:val="36"/>
        </w:rPr>
      </w:pPr>
    </w:p>
    <w:p w14:paraId="53246902">
      <w:pPr>
        <w:tabs>
          <w:tab w:val="left" w:pos="7740"/>
          <w:tab w:val="left" w:pos="7920"/>
          <w:tab w:val="left" w:pos="8100"/>
          <w:tab w:val="left" w:pos="8280"/>
          <w:tab w:val="left" w:pos="8460"/>
          <w:tab w:val="left" w:pos="8640"/>
          <w:tab w:val="left" w:pos="8820"/>
        </w:tabs>
        <w:jc w:val="left"/>
        <w:rPr>
          <w:b/>
          <w:sz w:val="36"/>
          <w:szCs w:val="36"/>
        </w:rPr>
      </w:pPr>
    </w:p>
    <w:p w14:paraId="62F10597">
      <w:pPr>
        <w:keepNext w:val="0"/>
        <w:keepLines w:val="0"/>
        <w:pageBreakBefore w:val="0"/>
        <w:widowControl w:val="0"/>
        <w:tabs>
          <w:tab w:val="left" w:pos="7740"/>
          <w:tab w:val="left" w:pos="7920"/>
          <w:tab w:val="left" w:pos="8100"/>
          <w:tab w:val="left" w:pos="8280"/>
          <w:tab w:val="left" w:pos="8460"/>
          <w:tab w:val="left" w:pos="8640"/>
          <w:tab w:val="left" w:pos="8820"/>
        </w:tabs>
        <w:kinsoku/>
        <w:wordWrap/>
        <w:overflowPunct/>
        <w:topLinePunct w:val="0"/>
        <w:autoSpaceDE/>
        <w:autoSpaceDN/>
        <w:bidi w:val="0"/>
        <w:adjustRightInd/>
        <w:snapToGrid/>
        <w:ind w:left="2877" w:leftChars="608" w:hanging="1600" w:hangingChars="500"/>
        <w:jc w:val="both"/>
        <w:textAlignment w:val="auto"/>
        <w:rPr>
          <w:rFonts w:hint="default"/>
          <w:sz w:val="32"/>
          <w:szCs w:val="36"/>
          <w:u w:val="single"/>
          <w:lang w:val="en-US" w:eastAsia="zh-CN"/>
        </w:rPr>
      </w:pPr>
      <w:r>
        <w:rPr>
          <w:sz w:val="32"/>
          <w:szCs w:val="36"/>
        </w:rPr>
        <w:t>项目名称：</w:t>
      </w:r>
      <w:r>
        <w:rPr>
          <w:rFonts w:hint="eastAsia"/>
          <w:sz w:val="32"/>
          <w:szCs w:val="36"/>
          <w:u w:val="single"/>
          <w:lang w:val="en-US" w:eastAsia="zh-CN"/>
        </w:rPr>
        <w:t xml:space="preserve">   </w:t>
      </w:r>
      <w:r>
        <w:rPr>
          <w:rFonts w:hint="eastAsia"/>
          <w:sz w:val="32"/>
          <w:szCs w:val="36"/>
          <w:u w:val="single"/>
          <w:lang w:eastAsia="zh-CN"/>
        </w:rPr>
        <w:t>年产1200吨蛋类制品、500吨淀粉制品和200吨豆制品项目</w:t>
      </w:r>
      <w:r>
        <w:rPr>
          <w:rFonts w:hint="eastAsia"/>
          <w:sz w:val="32"/>
          <w:szCs w:val="36"/>
          <w:u w:val="single"/>
          <w:lang w:val="en-US" w:eastAsia="zh-CN"/>
        </w:rPr>
        <w:t xml:space="preserve">          </w:t>
      </w:r>
    </w:p>
    <w:p w14:paraId="1F64A0F8">
      <w:pPr>
        <w:tabs>
          <w:tab w:val="left" w:pos="7740"/>
          <w:tab w:val="left" w:pos="7920"/>
          <w:tab w:val="left" w:pos="8100"/>
          <w:tab w:val="left" w:pos="8280"/>
          <w:tab w:val="left" w:pos="8460"/>
          <w:tab w:val="left" w:pos="8640"/>
          <w:tab w:val="left" w:pos="8820"/>
        </w:tabs>
        <w:ind w:firstLine="1280" w:firstLineChars="400"/>
        <w:jc w:val="both"/>
        <w:rPr>
          <w:rFonts w:hint="default"/>
          <w:sz w:val="32"/>
          <w:szCs w:val="36"/>
          <w:u w:val="single"/>
          <w:lang w:val="en-US"/>
        </w:rPr>
      </w:pPr>
      <w:r>
        <w:rPr>
          <w:sz w:val="32"/>
          <w:szCs w:val="36"/>
        </w:rPr>
        <w:t>建设单位（盖章）：</w:t>
      </w:r>
      <w:r>
        <w:rPr>
          <w:rFonts w:hint="eastAsia"/>
          <w:sz w:val="32"/>
          <w:szCs w:val="36"/>
          <w:u w:val="single"/>
          <w:lang w:val="en-US" w:eastAsia="zh-CN"/>
        </w:rPr>
        <w:t xml:space="preserve"> </w:t>
      </w:r>
      <w:r>
        <w:rPr>
          <w:rFonts w:hint="eastAsia"/>
          <w:sz w:val="32"/>
          <w:szCs w:val="36"/>
          <w:u w:val="single"/>
          <w:lang w:eastAsia="zh-CN"/>
        </w:rPr>
        <w:t>安徽美康星农业发展有限公司</w:t>
      </w:r>
      <w:r>
        <w:rPr>
          <w:rFonts w:hint="eastAsia"/>
          <w:sz w:val="32"/>
          <w:szCs w:val="36"/>
          <w:u w:val="single"/>
          <w:lang w:val="en-US" w:eastAsia="zh-CN"/>
        </w:rPr>
        <w:t xml:space="preserve">    </w:t>
      </w:r>
    </w:p>
    <w:p w14:paraId="76A5C9DE">
      <w:pPr>
        <w:ind w:firstLine="1280" w:firstLineChars="400"/>
        <w:jc w:val="both"/>
        <w:rPr>
          <w:rFonts w:hint="default" w:eastAsia="宋体"/>
          <w:sz w:val="36"/>
          <w:szCs w:val="36"/>
          <w:u w:val="single"/>
          <w:lang w:val="en-US" w:eastAsia="zh-CN"/>
        </w:rPr>
      </w:pPr>
      <w:r>
        <w:rPr>
          <w:rFonts w:hint="eastAsia"/>
          <w:sz w:val="32"/>
          <w:szCs w:val="36"/>
        </w:rPr>
        <w:t>编制日期：</w:t>
      </w:r>
      <w:r>
        <w:rPr>
          <w:rFonts w:hint="eastAsia"/>
          <w:sz w:val="32"/>
          <w:szCs w:val="36"/>
          <w:u w:val="single"/>
        </w:rPr>
        <w:t xml:space="preserve"> </w:t>
      </w:r>
      <w:r>
        <w:rPr>
          <w:sz w:val="32"/>
          <w:szCs w:val="36"/>
          <w:u w:val="single"/>
        </w:rPr>
        <w:t xml:space="preserve">          </w:t>
      </w:r>
      <w:r>
        <w:rPr>
          <w:rFonts w:hint="eastAsia"/>
          <w:sz w:val="32"/>
          <w:szCs w:val="36"/>
          <w:u w:val="single"/>
        </w:rPr>
        <w:t xml:space="preserve"> </w:t>
      </w:r>
      <w:r>
        <w:rPr>
          <w:sz w:val="32"/>
          <w:szCs w:val="36"/>
          <w:u w:val="single"/>
        </w:rPr>
        <w:t xml:space="preserve"> </w:t>
      </w:r>
      <w:r>
        <w:rPr>
          <w:rFonts w:hint="eastAsia"/>
          <w:bCs/>
          <w:snapToGrid w:val="0"/>
          <w:kern w:val="0"/>
          <w:sz w:val="32"/>
          <w:u w:val="single"/>
        </w:rPr>
        <w:t xml:space="preserve"> 202</w:t>
      </w:r>
      <w:r>
        <w:rPr>
          <w:rFonts w:hint="eastAsia"/>
          <w:bCs/>
          <w:snapToGrid w:val="0"/>
          <w:kern w:val="0"/>
          <w:sz w:val="32"/>
          <w:u w:val="single"/>
          <w:lang w:val="en-US" w:eastAsia="zh-CN"/>
        </w:rPr>
        <w:t>5</w:t>
      </w:r>
      <w:r>
        <w:rPr>
          <w:rFonts w:hint="eastAsia"/>
          <w:bCs/>
          <w:snapToGrid w:val="0"/>
          <w:kern w:val="0"/>
          <w:sz w:val="32"/>
          <w:u w:val="single"/>
        </w:rPr>
        <w:t>年</w:t>
      </w:r>
      <w:r>
        <w:rPr>
          <w:rFonts w:hint="eastAsia"/>
          <w:bCs/>
          <w:snapToGrid w:val="0"/>
          <w:kern w:val="0"/>
          <w:sz w:val="32"/>
          <w:u w:val="single"/>
          <w:lang w:val="en-US" w:eastAsia="zh-CN"/>
        </w:rPr>
        <w:t>5</w:t>
      </w:r>
      <w:r>
        <w:rPr>
          <w:rFonts w:hint="eastAsia"/>
          <w:bCs/>
          <w:snapToGrid w:val="0"/>
          <w:kern w:val="0"/>
          <w:sz w:val="32"/>
          <w:u w:val="single"/>
        </w:rPr>
        <w:t>月</w:t>
      </w:r>
      <w:r>
        <w:rPr>
          <w:rFonts w:hint="eastAsia"/>
          <w:bCs/>
          <w:snapToGrid w:val="0"/>
          <w:kern w:val="0"/>
          <w:sz w:val="32"/>
          <w:u w:val="single"/>
          <w:lang w:val="en-US" w:eastAsia="zh-CN"/>
        </w:rPr>
        <w:t xml:space="preserve">                </w:t>
      </w:r>
    </w:p>
    <w:p w14:paraId="45698058">
      <w:pPr>
        <w:rPr>
          <w:sz w:val="36"/>
          <w:szCs w:val="36"/>
        </w:rPr>
      </w:pPr>
    </w:p>
    <w:p w14:paraId="48DB0BC5">
      <w:pPr>
        <w:rPr>
          <w:sz w:val="36"/>
          <w:szCs w:val="36"/>
        </w:rPr>
      </w:pPr>
    </w:p>
    <w:p w14:paraId="55D1249B">
      <w:pPr>
        <w:rPr>
          <w:sz w:val="36"/>
          <w:szCs w:val="36"/>
        </w:rPr>
      </w:pPr>
    </w:p>
    <w:p w14:paraId="672AF679">
      <w:pPr>
        <w:rPr>
          <w:sz w:val="36"/>
          <w:szCs w:val="36"/>
        </w:rPr>
      </w:pPr>
    </w:p>
    <w:p w14:paraId="73718B00">
      <w:pPr>
        <w:rPr>
          <w:sz w:val="36"/>
          <w:szCs w:val="36"/>
        </w:rPr>
      </w:pPr>
    </w:p>
    <w:p w14:paraId="5949FBEF">
      <w:pPr>
        <w:rPr>
          <w:sz w:val="36"/>
          <w:szCs w:val="36"/>
        </w:rPr>
      </w:pPr>
    </w:p>
    <w:p w14:paraId="024B8BF0">
      <w:pPr>
        <w:jc w:val="center"/>
        <w:outlineLvl w:val="0"/>
        <w:rPr>
          <w:b/>
          <w:sz w:val="32"/>
          <w:szCs w:val="32"/>
        </w:rPr>
      </w:pPr>
      <w:bookmarkStart w:id="1" w:name="_Toc18722"/>
      <w:r>
        <w:rPr>
          <w:b/>
          <w:sz w:val="32"/>
          <w:szCs w:val="32"/>
        </w:rPr>
        <w:t>中华人民共和国生态环境部制</w:t>
      </w:r>
      <w:bookmarkEnd w:id="1"/>
    </w:p>
    <w:p w14:paraId="3D4E7FA7">
      <w:pPr>
        <w:pStyle w:val="22"/>
        <w:adjustRightInd w:val="0"/>
        <w:snapToGrid w:val="0"/>
        <w:spacing w:before="0" w:beforeAutospacing="0" w:after="0" w:afterAutospacing="0"/>
        <w:jc w:val="center"/>
        <w:rPr>
          <w:rFonts w:ascii="方正小标宋_GBK" w:hAnsi="黑体" w:eastAsia="方正小标宋_GBK"/>
          <w:bCs/>
          <w:snapToGrid w:val="0"/>
          <w:color w:val="000000"/>
          <w:kern w:val="2"/>
          <w:sz w:val="38"/>
          <w:szCs w:val="38"/>
        </w:rPr>
      </w:pPr>
    </w:p>
    <w:p w14:paraId="63431D79">
      <w:pPr>
        <w:adjustRightInd w:val="0"/>
        <w:snapToGrid w:val="0"/>
        <w:spacing w:line="355" w:lineRule="auto"/>
        <w:ind w:firstLine="420" w:firstLineChars="200"/>
        <w:rPr>
          <w:rFonts w:ascii="仿宋_GB2312"/>
          <w:szCs w:val="30"/>
        </w:rPr>
      </w:pPr>
    </w:p>
    <w:p w14:paraId="7C1141E4">
      <w:pPr>
        <w:pStyle w:val="15"/>
        <w:tabs>
          <w:tab w:val="right" w:leader="dot" w:pos="9345"/>
        </w:tabs>
        <w:jc w:val="center"/>
        <w:rPr>
          <w:rFonts w:hint="eastAsia" w:asciiTheme="majorEastAsia" w:hAnsiTheme="majorEastAsia" w:eastAsiaTheme="majorEastAsia"/>
          <w:b/>
          <w:sz w:val="44"/>
          <w:szCs w:val="44"/>
        </w:rPr>
        <w:sectPr>
          <w:footerReference r:id="rId3" w:type="default"/>
          <w:pgSz w:w="11906" w:h="16838"/>
          <w:pgMar w:top="1440" w:right="1134" w:bottom="1135"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54EF24FD">
      <w:pPr>
        <w:pStyle w:val="2"/>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ascii="宋体" w:hAnsi="宋体" w:eastAsia="宋体" w:cs="Times New Roman"/>
          <w:kern w:val="2"/>
          <w:sz w:val="21"/>
          <w:lang w:val="en-US" w:eastAsia="zh-CN" w:bidi="ar-SA"/>
        </w:rPr>
        <w:id w:val="147451066"/>
        <w15:color w:val="DBDBDB"/>
        <w:docPartObj>
          <w:docPartGallery w:val="Table of Contents"/>
          <w:docPartUnique/>
        </w:docPartObj>
      </w:sdtPr>
      <w:sdtEndPr>
        <w:rPr>
          <w:rFonts w:hint="eastAsia" w:ascii="Times New Roman" w:hAnsi="Times New Roman" w:eastAsia="宋体" w:cs="Times New Roman"/>
          <w:kern w:val="2"/>
          <w:sz w:val="24"/>
          <w:szCs w:val="22"/>
          <w:lang w:val="en-US" w:eastAsia="zh-CN" w:bidi="ar-SA"/>
        </w:rPr>
      </w:sdtEndPr>
      <w:sdtContent>
        <w:p w14:paraId="0A90E1A4">
          <w:pPr>
            <w:keepNext w:val="0"/>
            <w:keepLines w:val="0"/>
            <w:pageBreakBefore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b/>
              <w:bCs/>
              <w:sz w:val="24"/>
              <w:szCs w:val="22"/>
            </w:rPr>
          </w:pPr>
          <w:r>
            <w:rPr>
              <w:rFonts w:ascii="宋体" w:hAnsi="宋体" w:eastAsia="宋体"/>
              <w:b/>
              <w:bCs/>
              <w:sz w:val="24"/>
              <w:szCs w:val="22"/>
            </w:rPr>
            <w:t>目录</w:t>
          </w:r>
          <w:r>
            <w:rPr>
              <w:b/>
              <w:bCs/>
              <w:sz w:val="24"/>
              <w:szCs w:val="22"/>
            </w:rPr>
            <w:fldChar w:fldCharType="begin"/>
          </w:r>
          <w:r>
            <w:rPr>
              <w:b/>
              <w:bCs/>
              <w:sz w:val="24"/>
              <w:szCs w:val="22"/>
            </w:rPr>
            <w:instrText xml:space="preserve">TOC \o "1-1" \h \u </w:instrText>
          </w:r>
          <w:r>
            <w:rPr>
              <w:b/>
              <w:bCs/>
              <w:sz w:val="24"/>
              <w:szCs w:val="22"/>
            </w:rPr>
            <w:fldChar w:fldCharType="separate"/>
          </w:r>
        </w:p>
        <w:p w14:paraId="4A20D2E6">
          <w:pPr>
            <w:pStyle w:val="84"/>
            <w:keepNext w:val="0"/>
            <w:keepLines w:val="0"/>
            <w:pageBreakBefore w:val="0"/>
            <w:tabs>
              <w:tab w:val="right" w:leader="dot" w:pos="8306"/>
            </w:tabs>
            <w:kinsoku/>
            <w:wordWrap/>
            <w:overflowPunct/>
            <w:topLinePunct w:val="0"/>
            <w:autoSpaceDE/>
            <w:autoSpaceDN/>
            <w:bidi w:val="0"/>
            <w:adjustRightInd/>
            <w:snapToGrid/>
            <w:spacing w:line="240" w:lineRule="auto"/>
            <w:textAlignment w:val="auto"/>
            <w:rPr>
              <w:b/>
              <w:bCs/>
              <w:sz w:val="22"/>
              <w:szCs w:val="22"/>
            </w:rPr>
          </w:pPr>
          <w:r>
            <w:rPr>
              <w:b/>
              <w:bCs/>
              <w:sz w:val="22"/>
              <w:szCs w:val="22"/>
            </w:rPr>
            <w:fldChar w:fldCharType="begin"/>
          </w:r>
          <w:r>
            <w:rPr>
              <w:b/>
              <w:bCs/>
              <w:sz w:val="22"/>
              <w:szCs w:val="22"/>
            </w:rPr>
            <w:instrText xml:space="preserve"> HYPERLINK \l _Toc11918 </w:instrText>
          </w:r>
          <w:r>
            <w:rPr>
              <w:b/>
              <w:bCs/>
              <w:sz w:val="22"/>
              <w:szCs w:val="22"/>
            </w:rPr>
            <w:fldChar w:fldCharType="separate"/>
          </w:r>
          <w:r>
            <w:rPr>
              <w:b/>
              <w:bCs/>
              <w:sz w:val="22"/>
              <w:szCs w:val="22"/>
            </w:rPr>
            <w:t>一、建设项目基本情况</w:t>
          </w:r>
          <w:r>
            <w:rPr>
              <w:b/>
              <w:bCs/>
              <w:sz w:val="22"/>
              <w:szCs w:val="22"/>
            </w:rPr>
            <w:tab/>
          </w:r>
          <w:r>
            <w:rPr>
              <w:b/>
              <w:bCs/>
              <w:sz w:val="22"/>
              <w:szCs w:val="22"/>
            </w:rPr>
            <w:fldChar w:fldCharType="begin"/>
          </w:r>
          <w:r>
            <w:rPr>
              <w:b/>
              <w:bCs/>
              <w:sz w:val="22"/>
              <w:szCs w:val="22"/>
            </w:rPr>
            <w:instrText xml:space="preserve"> PAGEREF _Toc11918 \h </w:instrText>
          </w:r>
          <w:r>
            <w:rPr>
              <w:b/>
              <w:bCs/>
              <w:sz w:val="22"/>
              <w:szCs w:val="22"/>
            </w:rPr>
            <w:fldChar w:fldCharType="separate"/>
          </w:r>
          <w:r>
            <w:rPr>
              <w:b/>
              <w:bCs/>
              <w:sz w:val="22"/>
              <w:szCs w:val="22"/>
            </w:rPr>
            <w:t>1</w:t>
          </w:r>
          <w:r>
            <w:rPr>
              <w:b/>
              <w:bCs/>
              <w:sz w:val="22"/>
              <w:szCs w:val="22"/>
            </w:rPr>
            <w:fldChar w:fldCharType="end"/>
          </w:r>
          <w:r>
            <w:rPr>
              <w:b/>
              <w:bCs/>
              <w:sz w:val="22"/>
              <w:szCs w:val="22"/>
            </w:rPr>
            <w:fldChar w:fldCharType="end"/>
          </w:r>
        </w:p>
        <w:p w14:paraId="66898ACB">
          <w:pPr>
            <w:pStyle w:val="84"/>
            <w:keepNext w:val="0"/>
            <w:keepLines w:val="0"/>
            <w:pageBreakBefore w:val="0"/>
            <w:tabs>
              <w:tab w:val="right" w:leader="dot" w:pos="8306"/>
            </w:tabs>
            <w:kinsoku/>
            <w:wordWrap/>
            <w:overflowPunct/>
            <w:topLinePunct w:val="0"/>
            <w:autoSpaceDE/>
            <w:autoSpaceDN/>
            <w:bidi w:val="0"/>
            <w:adjustRightInd/>
            <w:snapToGrid/>
            <w:spacing w:line="240" w:lineRule="auto"/>
            <w:textAlignment w:val="auto"/>
            <w:rPr>
              <w:b/>
              <w:bCs/>
              <w:sz w:val="22"/>
              <w:szCs w:val="22"/>
            </w:rPr>
          </w:pPr>
          <w:r>
            <w:rPr>
              <w:b/>
              <w:bCs/>
              <w:sz w:val="22"/>
              <w:szCs w:val="22"/>
            </w:rPr>
            <w:fldChar w:fldCharType="begin"/>
          </w:r>
          <w:r>
            <w:rPr>
              <w:b/>
              <w:bCs/>
              <w:sz w:val="22"/>
              <w:szCs w:val="22"/>
            </w:rPr>
            <w:instrText xml:space="preserve"> HYPERLINK \l _Toc4334 </w:instrText>
          </w:r>
          <w:r>
            <w:rPr>
              <w:b/>
              <w:bCs/>
              <w:sz w:val="22"/>
              <w:szCs w:val="22"/>
            </w:rPr>
            <w:fldChar w:fldCharType="separate"/>
          </w:r>
          <w:r>
            <w:rPr>
              <w:b/>
              <w:bCs/>
              <w:snapToGrid w:val="0"/>
              <w:sz w:val="22"/>
              <w:szCs w:val="22"/>
            </w:rPr>
            <w:t>二、建设项目工程分析</w:t>
          </w:r>
          <w:r>
            <w:rPr>
              <w:b/>
              <w:bCs/>
              <w:sz w:val="22"/>
              <w:szCs w:val="22"/>
            </w:rPr>
            <w:tab/>
          </w:r>
          <w:r>
            <w:rPr>
              <w:b/>
              <w:bCs/>
              <w:sz w:val="22"/>
              <w:szCs w:val="22"/>
            </w:rPr>
            <w:fldChar w:fldCharType="begin"/>
          </w:r>
          <w:r>
            <w:rPr>
              <w:b/>
              <w:bCs/>
              <w:sz w:val="22"/>
              <w:szCs w:val="22"/>
            </w:rPr>
            <w:instrText xml:space="preserve"> PAGEREF _Toc4334 \h </w:instrText>
          </w:r>
          <w:r>
            <w:rPr>
              <w:b/>
              <w:bCs/>
              <w:sz w:val="22"/>
              <w:szCs w:val="22"/>
            </w:rPr>
            <w:fldChar w:fldCharType="separate"/>
          </w:r>
          <w:r>
            <w:rPr>
              <w:b/>
              <w:bCs/>
              <w:sz w:val="22"/>
              <w:szCs w:val="22"/>
            </w:rPr>
            <w:t>9</w:t>
          </w:r>
          <w:r>
            <w:rPr>
              <w:b/>
              <w:bCs/>
              <w:sz w:val="22"/>
              <w:szCs w:val="22"/>
            </w:rPr>
            <w:fldChar w:fldCharType="end"/>
          </w:r>
          <w:r>
            <w:rPr>
              <w:b/>
              <w:bCs/>
              <w:sz w:val="22"/>
              <w:szCs w:val="22"/>
            </w:rPr>
            <w:fldChar w:fldCharType="end"/>
          </w:r>
        </w:p>
        <w:p w14:paraId="3132107B">
          <w:pPr>
            <w:pStyle w:val="84"/>
            <w:keepNext w:val="0"/>
            <w:keepLines w:val="0"/>
            <w:pageBreakBefore w:val="0"/>
            <w:tabs>
              <w:tab w:val="right" w:leader="dot" w:pos="8306"/>
            </w:tabs>
            <w:kinsoku/>
            <w:wordWrap/>
            <w:overflowPunct/>
            <w:topLinePunct w:val="0"/>
            <w:autoSpaceDE/>
            <w:autoSpaceDN/>
            <w:bidi w:val="0"/>
            <w:adjustRightInd/>
            <w:snapToGrid/>
            <w:spacing w:line="240" w:lineRule="auto"/>
            <w:textAlignment w:val="auto"/>
            <w:rPr>
              <w:b/>
              <w:bCs/>
              <w:sz w:val="22"/>
              <w:szCs w:val="22"/>
            </w:rPr>
          </w:pPr>
          <w:r>
            <w:rPr>
              <w:b/>
              <w:bCs/>
              <w:sz w:val="22"/>
              <w:szCs w:val="22"/>
            </w:rPr>
            <w:fldChar w:fldCharType="begin"/>
          </w:r>
          <w:r>
            <w:rPr>
              <w:b/>
              <w:bCs/>
              <w:sz w:val="22"/>
              <w:szCs w:val="22"/>
            </w:rPr>
            <w:instrText xml:space="preserve"> HYPERLINK \l _Toc28242 </w:instrText>
          </w:r>
          <w:r>
            <w:rPr>
              <w:b/>
              <w:bCs/>
              <w:sz w:val="22"/>
              <w:szCs w:val="22"/>
            </w:rPr>
            <w:fldChar w:fldCharType="separate"/>
          </w:r>
          <w:r>
            <w:rPr>
              <w:b/>
              <w:bCs/>
              <w:snapToGrid w:val="0"/>
              <w:sz w:val="22"/>
              <w:szCs w:val="22"/>
            </w:rPr>
            <w:t>三、区域环境质量现状、环境保护目标及评价标准</w:t>
          </w:r>
          <w:r>
            <w:rPr>
              <w:b/>
              <w:bCs/>
              <w:sz w:val="22"/>
              <w:szCs w:val="22"/>
            </w:rPr>
            <w:tab/>
          </w:r>
          <w:r>
            <w:rPr>
              <w:b/>
              <w:bCs/>
              <w:sz w:val="22"/>
              <w:szCs w:val="22"/>
            </w:rPr>
            <w:fldChar w:fldCharType="begin"/>
          </w:r>
          <w:r>
            <w:rPr>
              <w:b/>
              <w:bCs/>
              <w:sz w:val="22"/>
              <w:szCs w:val="22"/>
            </w:rPr>
            <w:instrText xml:space="preserve"> PAGEREF _Toc28242 \h </w:instrText>
          </w:r>
          <w:r>
            <w:rPr>
              <w:b/>
              <w:bCs/>
              <w:sz w:val="22"/>
              <w:szCs w:val="22"/>
            </w:rPr>
            <w:fldChar w:fldCharType="separate"/>
          </w:r>
          <w:r>
            <w:rPr>
              <w:b/>
              <w:bCs/>
              <w:sz w:val="22"/>
              <w:szCs w:val="22"/>
            </w:rPr>
            <w:t>16</w:t>
          </w:r>
          <w:r>
            <w:rPr>
              <w:b/>
              <w:bCs/>
              <w:sz w:val="22"/>
              <w:szCs w:val="22"/>
            </w:rPr>
            <w:fldChar w:fldCharType="end"/>
          </w:r>
          <w:r>
            <w:rPr>
              <w:b/>
              <w:bCs/>
              <w:sz w:val="22"/>
              <w:szCs w:val="22"/>
            </w:rPr>
            <w:fldChar w:fldCharType="end"/>
          </w:r>
        </w:p>
        <w:p w14:paraId="436F31C5">
          <w:pPr>
            <w:pStyle w:val="84"/>
            <w:keepNext w:val="0"/>
            <w:keepLines w:val="0"/>
            <w:pageBreakBefore w:val="0"/>
            <w:tabs>
              <w:tab w:val="right" w:leader="dot" w:pos="8306"/>
            </w:tabs>
            <w:kinsoku/>
            <w:wordWrap/>
            <w:overflowPunct/>
            <w:topLinePunct w:val="0"/>
            <w:autoSpaceDE/>
            <w:autoSpaceDN/>
            <w:bidi w:val="0"/>
            <w:adjustRightInd/>
            <w:snapToGrid/>
            <w:spacing w:line="240" w:lineRule="auto"/>
            <w:textAlignment w:val="auto"/>
            <w:rPr>
              <w:b/>
              <w:bCs/>
              <w:sz w:val="22"/>
              <w:szCs w:val="22"/>
            </w:rPr>
          </w:pPr>
          <w:r>
            <w:rPr>
              <w:b/>
              <w:bCs/>
              <w:sz w:val="22"/>
              <w:szCs w:val="22"/>
            </w:rPr>
            <w:fldChar w:fldCharType="begin"/>
          </w:r>
          <w:r>
            <w:rPr>
              <w:b/>
              <w:bCs/>
              <w:sz w:val="22"/>
              <w:szCs w:val="22"/>
            </w:rPr>
            <w:instrText xml:space="preserve"> HYPERLINK \l _Toc21325 </w:instrText>
          </w:r>
          <w:r>
            <w:rPr>
              <w:b/>
              <w:bCs/>
              <w:sz w:val="22"/>
              <w:szCs w:val="22"/>
            </w:rPr>
            <w:fldChar w:fldCharType="separate"/>
          </w:r>
          <w:r>
            <w:rPr>
              <w:rFonts w:hint="eastAsia"/>
              <w:b/>
              <w:bCs/>
              <w:snapToGrid w:val="0"/>
              <w:sz w:val="22"/>
              <w:szCs w:val="22"/>
            </w:rPr>
            <w:t>四、主要环境影响和保护措施</w:t>
          </w:r>
          <w:r>
            <w:rPr>
              <w:b/>
              <w:bCs/>
              <w:sz w:val="22"/>
              <w:szCs w:val="22"/>
            </w:rPr>
            <w:tab/>
          </w:r>
          <w:r>
            <w:rPr>
              <w:b/>
              <w:bCs/>
              <w:sz w:val="22"/>
              <w:szCs w:val="22"/>
            </w:rPr>
            <w:fldChar w:fldCharType="begin"/>
          </w:r>
          <w:r>
            <w:rPr>
              <w:b/>
              <w:bCs/>
              <w:sz w:val="22"/>
              <w:szCs w:val="22"/>
            </w:rPr>
            <w:instrText xml:space="preserve"> PAGEREF _Toc21325 \h </w:instrText>
          </w:r>
          <w:r>
            <w:rPr>
              <w:b/>
              <w:bCs/>
              <w:sz w:val="22"/>
              <w:szCs w:val="22"/>
            </w:rPr>
            <w:fldChar w:fldCharType="separate"/>
          </w:r>
          <w:r>
            <w:rPr>
              <w:b/>
              <w:bCs/>
              <w:sz w:val="22"/>
              <w:szCs w:val="22"/>
            </w:rPr>
            <w:t>23</w:t>
          </w:r>
          <w:r>
            <w:rPr>
              <w:b/>
              <w:bCs/>
              <w:sz w:val="22"/>
              <w:szCs w:val="22"/>
            </w:rPr>
            <w:fldChar w:fldCharType="end"/>
          </w:r>
          <w:r>
            <w:rPr>
              <w:b/>
              <w:bCs/>
              <w:sz w:val="22"/>
              <w:szCs w:val="22"/>
            </w:rPr>
            <w:fldChar w:fldCharType="end"/>
          </w:r>
        </w:p>
        <w:p w14:paraId="6370B7E5">
          <w:pPr>
            <w:pStyle w:val="84"/>
            <w:keepNext w:val="0"/>
            <w:keepLines w:val="0"/>
            <w:pageBreakBefore w:val="0"/>
            <w:tabs>
              <w:tab w:val="right" w:leader="dot" w:pos="8306"/>
            </w:tabs>
            <w:kinsoku/>
            <w:wordWrap/>
            <w:overflowPunct/>
            <w:topLinePunct w:val="0"/>
            <w:autoSpaceDE/>
            <w:autoSpaceDN/>
            <w:bidi w:val="0"/>
            <w:adjustRightInd/>
            <w:snapToGrid/>
            <w:spacing w:line="240" w:lineRule="auto"/>
            <w:textAlignment w:val="auto"/>
            <w:rPr>
              <w:b/>
              <w:bCs/>
              <w:sz w:val="22"/>
              <w:szCs w:val="22"/>
            </w:rPr>
          </w:pPr>
          <w:r>
            <w:rPr>
              <w:b/>
              <w:bCs/>
              <w:sz w:val="22"/>
              <w:szCs w:val="22"/>
            </w:rPr>
            <w:fldChar w:fldCharType="begin"/>
          </w:r>
          <w:r>
            <w:rPr>
              <w:b/>
              <w:bCs/>
              <w:sz w:val="22"/>
              <w:szCs w:val="22"/>
            </w:rPr>
            <w:instrText xml:space="preserve"> HYPERLINK \l _Toc19672 </w:instrText>
          </w:r>
          <w:r>
            <w:rPr>
              <w:b/>
              <w:bCs/>
              <w:sz w:val="22"/>
              <w:szCs w:val="22"/>
            </w:rPr>
            <w:fldChar w:fldCharType="separate"/>
          </w:r>
          <w:r>
            <w:rPr>
              <w:rFonts w:hint="eastAsia"/>
              <w:b/>
              <w:bCs/>
              <w:snapToGrid w:val="0"/>
              <w:sz w:val="22"/>
              <w:szCs w:val="22"/>
            </w:rPr>
            <w:t>五、环境保护措施监督检查清单</w:t>
          </w:r>
          <w:r>
            <w:rPr>
              <w:b/>
              <w:bCs/>
              <w:sz w:val="22"/>
              <w:szCs w:val="22"/>
            </w:rPr>
            <w:tab/>
          </w:r>
          <w:r>
            <w:rPr>
              <w:b/>
              <w:bCs/>
              <w:sz w:val="22"/>
              <w:szCs w:val="22"/>
            </w:rPr>
            <w:fldChar w:fldCharType="begin"/>
          </w:r>
          <w:r>
            <w:rPr>
              <w:b/>
              <w:bCs/>
              <w:sz w:val="22"/>
              <w:szCs w:val="22"/>
            </w:rPr>
            <w:instrText xml:space="preserve"> PAGEREF _Toc19672 \h </w:instrText>
          </w:r>
          <w:r>
            <w:rPr>
              <w:b/>
              <w:bCs/>
              <w:sz w:val="22"/>
              <w:szCs w:val="22"/>
            </w:rPr>
            <w:fldChar w:fldCharType="separate"/>
          </w:r>
          <w:r>
            <w:rPr>
              <w:b/>
              <w:bCs/>
              <w:sz w:val="22"/>
              <w:szCs w:val="22"/>
            </w:rPr>
            <w:t>49</w:t>
          </w:r>
          <w:r>
            <w:rPr>
              <w:b/>
              <w:bCs/>
              <w:sz w:val="22"/>
              <w:szCs w:val="22"/>
            </w:rPr>
            <w:fldChar w:fldCharType="end"/>
          </w:r>
          <w:r>
            <w:rPr>
              <w:b/>
              <w:bCs/>
              <w:sz w:val="22"/>
              <w:szCs w:val="22"/>
            </w:rPr>
            <w:fldChar w:fldCharType="end"/>
          </w:r>
        </w:p>
        <w:p w14:paraId="4E729658">
          <w:pPr>
            <w:pStyle w:val="84"/>
            <w:keepNext w:val="0"/>
            <w:keepLines w:val="0"/>
            <w:pageBreakBefore w:val="0"/>
            <w:tabs>
              <w:tab w:val="right" w:leader="dot" w:pos="8306"/>
            </w:tabs>
            <w:kinsoku/>
            <w:wordWrap/>
            <w:overflowPunct/>
            <w:topLinePunct w:val="0"/>
            <w:autoSpaceDE/>
            <w:autoSpaceDN/>
            <w:bidi w:val="0"/>
            <w:adjustRightInd/>
            <w:snapToGrid/>
            <w:spacing w:line="240" w:lineRule="auto"/>
            <w:textAlignment w:val="auto"/>
            <w:rPr>
              <w:b/>
              <w:bCs/>
              <w:sz w:val="22"/>
              <w:szCs w:val="22"/>
            </w:rPr>
          </w:pPr>
          <w:r>
            <w:rPr>
              <w:b/>
              <w:bCs/>
              <w:sz w:val="22"/>
              <w:szCs w:val="22"/>
            </w:rPr>
            <w:fldChar w:fldCharType="begin"/>
          </w:r>
          <w:r>
            <w:rPr>
              <w:b/>
              <w:bCs/>
              <w:sz w:val="22"/>
              <w:szCs w:val="22"/>
            </w:rPr>
            <w:instrText xml:space="preserve"> HYPERLINK \l _Toc18167 </w:instrText>
          </w:r>
          <w:r>
            <w:rPr>
              <w:b/>
              <w:bCs/>
              <w:sz w:val="22"/>
              <w:szCs w:val="22"/>
            </w:rPr>
            <w:fldChar w:fldCharType="separate"/>
          </w:r>
          <w:r>
            <w:rPr>
              <w:rFonts w:hint="eastAsia"/>
              <w:b/>
              <w:bCs/>
              <w:snapToGrid w:val="0"/>
              <w:sz w:val="22"/>
              <w:szCs w:val="22"/>
              <w:lang w:eastAsia="zh-CN"/>
            </w:rPr>
            <w:t>六、</w:t>
          </w:r>
          <w:r>
            <w:rPr>
              <w:rFonts w:hint="eastAsia"/>
              <w:b/>
              <w:bCs/>
              <w:snapToGrid w:val="0"/>
              <w:sz w:val="22"/>
              <w:szCs w:val="22"/>
            </w:rPr>
            <w:t>结论</w:t>
          </w:r>
          <w:r>
            <w:rPr>
              <w:b/>
              <w:bCs/>
              <w:sz w:val="22"/>
              <w:szCs w:val="22"/>
            </w:rPr>
            <w:tab/>
          </w:r>
          <w:r>
            <w:rPr>
              <w:b/>
              <w:bCs/>
              <w:sz w:val="22"/>
              <w:szCs w:val="22"/>
            </w:rPr>
            <w:fldChar w:fldCharType="begin"/>
          </w:r>
          <w:r>
            <w:rPr>
              <w:b/>
              <w:bCs/>
              <w:sz w:val="22"/>
              <w:szCs w:val="22"/>
            </w:rPr>
            <w:instrText xml:space="preserve"> PAGEREF _Toc18167 \h </w:instrText>
          </w:r>
          <w:r>
            <w:rPr>
              <w:b/>
              <w:bCs/>
              <w:sz w:val="22"/>
              <w:szCs w:val="22"/>
            </w:rPr>
            <w:fldChar w:fldCharType="separate"/>
          </w:r>
          <w:r>
            <w:rPr>
              <w:b/>
              <w:bCs/>
              <w:sz w:val="22"/>
              <w:szCs w:val="22"/>
            </w:rPr>
            <w:t>51</w:t>
          </w:r>
          <w:r>
            <w:rPr>
              <w:b/>
              <w:bCs/>
              <w:sz w:val="22"/>
              <w:szCs w:val="22"/>
            </w:rPr>
            <w:fldChar w:fldCharType="end"/>
          </w:r>
          <w:r>
            <w:rPr>
              <w:b/>
              <w:bCs/>
              <w:sz w:val="22"/>
              <w:szCs w:val="22"/>
            </w:rPr>
            <w:fldChar w:fldCharType="end"/>
          </w:r>
        </w:p>
        <w:p w14:paraId="39E0BA71">
          <w:pPr>
            <w:pStyle w:val="84"/>
            <w:keepNext w:val="0"/>
            <w:keepLines w:val="0"/>
            <w:pageBreakBefore w:val="0"/>
            <w:tabs>
              <w:tab w:val="right" w:leader="dot" w:pos="8306"/>
            </w:tabs>
            <w:kinsoku/>
            <w:wordWrap/>
            <w:overflowPunct/>
            <w:topLinePunct w:val="0"/>
            <w:autoSpaceDE/>
            <w:autoSpaceDN/>
            <w:bidi w:val="0"/>
            <w:adjustRightInd/>
            <w:snapToGrid/>
            <w:spacing w:line="240" w:lineRule="auto"/>
            <w:textAlignment w:val="auto"/>
            <w:rPr>
              <w:b/>
              <w:bCs/>
              <w:sz w:val="22"/>
              <w:szCs w:val="22"/>
            </w:rPr>
          </w:pPr>
          <w:r>
            <w:rPr>
              <w:b/>
              <w:bCs/>
              <w:sz w:val="22"/>
              <w:szCs w:val="22"/>
            </w:rPr>
            <w:fldChar w:fldCharType="begin"/>
          </w:r>
          <w:r>
            <w:rPr>
              <w:b/>
              <w:bCs/>
              <w:sz w:val="22"/>
              <w:szCs w:val="22"/>
            </w:rPr>
            <w:instrText xml:space="preserve"> HYPERLINK \l _Toc17349 </w:instrText>
          </w:r>
          <w:r>
            <w:rPr>
              <w:b/>
              <w:bCs/>
              <w:sz w:val="22"/>
              <w:szCs w:val="22"/>
            </w:rPr>
            <w:fldChar w:fldCharType="separate"/>
          </w:r>
          <w:r>
            <w:rPr>
              <w:rFonts w:hint="eastAsia"/>
              <w:b/>
              <w:bCs/>
              <w:snapToGrid w:val="0"/>
              <w:sz w:val="22"/>
              <w:szCs w:val="40"/>
            </w:rPr>
            <w:t>建设项目污染物排放量汇总表</w:t>
          </w:r>
          <w:r>
            <w:rPr>
              <w:rFonts w:hint="default" w:ascii="Times New Roman" w:hAnsi="Times New Roman" w:eastAsia="宋体" w:cs="Times New Roman"/>
              <w:b/>
              <w:bCs/>
              <w:sz w:val="22"/>
              <w:szCs w:val="44"/>
              <w:lang w:val="en-US" w:eastAsia="zh-CN"/>
            </w:rPr>
            <w:t xml:space="preserve"> </w:t>
          </w:r>
          <w:r>
            <w:rPr>
              <w:b/>
              <w:bCs/>
              <w:sz w:val="22"/>
              <w:szCs w:val="22"/>
            </w:rPr>
            <w:tab/>
          </w:r>
          <w:r>
            <w:rPr>
              <w:b/>
              <w:bCs/>
              <w:sz w:val="22"/>
              <w:szCs w:val="22"/>
            </w:rPr>
            <w:fldChar w:fldCharType="begin"/>
          </w:r>
          <w:r>
            <w:rPr>
              <w:b/>
              <w:bCs/>
              <w:sz w:val="22"/>
              <w:szCs w:val="22"/>
            </w:rPr>
            <w:instrText xml:space="preserve"> PAGEREF _Toc17349 \h </w:instrText>
          </w:r>
          <w:r>
            <w:rPr>
              <w:b/>
              <w:bCs/>
              <w:sz w:val="22"/>
              <w:szCs w:val="22"/>
            </w:rPr>
            <w:fldChar w:fldCharType="separate"/>
          </w:r>
          <w:r>
            <w:rPr>
              <w:b/>
              <w:bCs/>
              <w:sz w:val="22"/>
              <w:szCs w:val="22"/>
            </w:rPr>
            <w:t>52</w:t>
          </w:r>
          <w:r>
            <w:rPr>
              <w:b/>
              <w:bCs/>
              <w:sz w:val="22"/>
              <w:szCs w:val="22"/>
            </w:rPr>
            <w:fldChar w:fldCharType="end"/>
          </w:r>
          <w:r>
            <w:rPr>
              <w:b/>
              <w:bCs/>
              <w:sz w:val="22"/>
              <w:szCs w:val="22"/>
            </w:rPr>
            <w:fldChar w:fldCharType="end"/>
          </w:r>
        </w:p>
        <w:p w14:paraId="400E86A4">
          <w:pPr>
            <w:pStyle w:val="2"/>
            <w:keepNext w:val="0"/>
            <w:keepLines w:val="0"/>
            <w:pageBreakBefore w:val="0"/>
            <w:kinsoku/>
            <w:wordWrap/>
            <w:overflowPunct/>
            <w:topLinePunct w:val="0"/>
            <w:autoSpaceDE/>
            <w:autoSpaceDN/>
            <w:bidi w:val="0"/>
            <w:adjustRightInd/>
            <w:snapToGrid/>
            <w:spacing w:line="240" w:lineRule="auto"/>
            <w:textAlignment w:val="auto"/>
            <w:rPr>
              <w:rFonts w:hint="eastAsia"/>
              <w:b/>
              <w:bCs/>
              <w:sz w:val="24"/>
              <w:szCs w:val="22"/>
              <w:lang w:val="en-US" w:eastAsia="zh-CN"/>
            </w:rPr>
          </w:pPr>
          <w:r>
            <w:rPr>
              <w:b/>
              <w:bCs/>
              <w:sz w:val="24"/>
              <w:szCs w:val="22"/>
            </w:rPr>
            <w:fldChar w:fldCharType="end"/>
          </w:r>
          <w:r>
            <w:rPr>
              <w:rFonts w:hint="eastAsia"/>
              <w:b/>
              <w:bCs/>
              <w:sz w:val="24"/>
              <w:szCs w:val="22"/>
              <w:lang w:val="en-US" w:eastAsia="zh-CN"/>
            </w:rPr>
            <w:t>附件：</w:t>
          </w:r>
        </w:p>
        <w:p w14:paraId="2CFCCDCF">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附件1  委托书</w:t>
          </w:r>
        </w:p>
        <w:p w14:paraId="048B8038">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附件2  备案表</w:t>
          </w:r>
        </w:p>
        <w:p w14:paraId="4E223366">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附件3  营业执照</w:t>
          </w:r>
        </w:p>
        <w:p w14:paraId="5E506622">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附件4  土地证</w:t>
          </w:r>
        </w:p>
        <w:p w14:paraId="3AADA878">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附件5  租赁协议</w:t>
          </w:r>
        </w:p>
        <w:p w14:paraId="55FB4856">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附件6  情况说明</w:t>
          </w:r>
        </w:p>
      </w:sdtContent>
    </w:sdt>
    <w:p w14:paraId="25A09EC2">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附件7  噪声监测报告</w:t>
      </w:r>
    </w:p>
    <w:p w14:paraId="2B5B90F6">
      <w:pPr>
        <w:pStyle w:val="2"/>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24"/>
          <w:szCs w:val="22"/>
          <w:lang w:val="en-US" w:eastAsia="zh-CN" w:bidi="ar-SA"/>
        </w:rPr>
      </w:pPr>
      <w:r>
        <w:rPr>
          <w:rFonts w:hint="eastAsia" w:cs="Times New Roman"/>
          <w:b/>
          <w:bCs/>
          <w:kern w:val="2"/>
          <w:sz w:val="24"/>
          <w:szCs w:val="22"/>
          <w:lang w:val="en-US" w:eastAsia="zh-CN" w:bidi="ar-SA"/>
        </w:rPr>
        <w:t>附图：</w:t>
      </w:r>
    </w:p>
    <w:p w14:paraId="5F78524E">
      <w:pPr>
        <w:pStyle w:val="2"/>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附图1  项目地理位置图</w:t>
      </w:r>
    </w:p>
    <w:p w14:paraId="56E929E0">
      <w:pPr>
        <w:pStyle w:val="2"/>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附图2  项目平面布置图</w:t>
      </w:r>
    </w:p>
    <w:p w14:paraId="25E27A8C">
      <w:pPr>
        <w:pStyle w:val="2"/>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 xml:space="preserve">附图3 </w:t>
      </w:r>
      <w:r>
        <w:rPr>
          <w:rFonts w:hint="eastAsia" w:cs="Times New Roman"/>
          <w:kern w:val="2"/>
          <w:sz w:val="24"/>
          <w:szCs w:val="22"/>
          <w:lang w:val="en-US" w:eastAsia="zh-CN" w:bidi="ar-SA"/>
        </w:rPr>
        <w:t xml:space="preserve"> </w:t>
      </w:r>
      <w:r>
        <w:rPr>
          <w:rFonts w:hint="eastAsia" w:ascii="Times New Roman" w:hAnsi="Times New Roman" w:eastAsia="宋体" w:cs="Times New Roman"/>
          <w:kern w:val="2"/>
          <w:sz w:val="24"/>
          <w:szCs w:val="22"/>
          <w:lang w:val="en-US" w:eastAsia="zh-CN" w:bidi="ar-SA"/>
        </w:rPr>
        <w:t>环境保护目标分布图</w:t>
      </w:r>
    </w:p>
    <w:p w14:paraId="61B8AADF">
      <w:pPr>
        <w:pStyle w:val="2"/>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附图4  项目分区防渗图</w:t>
      </w:r>
    </w:p>
    <w:p w14:paraId="505E00E9">
      <w:pPr>
        <w:pStyle w:val="2"/>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附图5  项目周边环境状况图</w:t>
      </w:r>
    </w:p>
    <w:p w14:paraId="675002D8">
      <w:pPr>
        <w:pStyle w:val="2"/>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附图6  项目位于蚌埠市生态保护红线位置图</w:t>
      </w:r>
    </w:p>
    <w:p w14:paraId="5EFBD4BA">
      <w:pPr>
        <w:pStyle w:val="2"/>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附图7  项目在安徽省“三线一单”公共服务平台查询图</w:t>
      </w:r>
    </w:p>
    <w:p w14:paraId="122B1534">
      <w:pPr>
        <w:pStyle w:val="2"/>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Times New Roman"/>
          <w:kern w:val="2"/>
          <w:sz w:val="24"/>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70C55A83">
      <w:pPr>
        <w:pStyle w:val="23"/>
        <w:rPr>
          <w:sz w:val="28"/>
          <w:szCs w:val="20"/>
        </w:rPr>
      </w:pPr>
      <w:bookmarkStart w:id="2" w:name="_Toc11918"/>
      <w:bookmarkStart w:id="3" w:name="_Toc27601"/>
      <w:r>
        <w:t>一、建设项目基本情况</w:t>
      </w:r>
      <w:bookmarkEnd w:id="2"/>
      <w:bookmarkEnd w:id="3"/>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161"/>
        <w:gridCol w:w="2024"/>
        <w:gridCol w:w="3592"/>
      </w:tblGrid>
      <w:tr w14:paraId="1B0B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Align w:val="center"/>
          </w:tcPr>
          <w:p w14:paraId="30DD623C">
            <w:pPr>
              <w:ind w:left="-14"/>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项目名称</w:t>
            </w:r>
          </w:p>
        </w:tc>
        <w:tc>
          <w:tcPr>
            <w:tcW w:w="7777" w:type="dxa"/>
            <w:gridSpan w:val="3"/>
            <w:vAlign w:val="center"/>
          </w:tcPr>
          <w:p w14:paraId="73C2163B">
            <w:pPr>
              <w:pStyle w:val="3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年产1200吨蛋类制品、500吨淀粉制品和200吨豆制品项目</w:t>
            </w:r>
          </w:p>
        </w:tc>
      </w:tr>
      <w:tr w14:paraId="785E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691" w:type="dxa"/>
            <w:vAlign w:val="center"/>
          </w:tcPr>
          <w:p w14:paraId="6002D1F0">
            <w:pPr>
              <w:ind w:left="-14"/>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777" w:type="dxa"/>
            <w:gridSpan w:val="3"/>
            <w:vAlign w:val="center"/>
          </w:tcPr>
          <w:p w14:paraId="4A71E1CF">
            <w:pPr>
              <w:pStyle w:val="3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2502-340323-04-01-132248</w:t>
            </w:r>
          </w:p>
        </w:tc>
      </w:tr>
      <w:tr w14:paraId="3AB2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Align w:val="center"/>
          </w:tcPr>
          <w:p w14:paraId="2B128CF6">
            <w:pPr>
              <w:ind w:left="-14"/>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161" w:type="dxa"/>
            <w:vAlign w:val="center"/>
          </w:tcPr>
          <w:p w14:paraId="4053BE08">
            <w:pPr>
              <w:pStyle w:val="39"/>
              <w:spacing w:before="0" w:after="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吴美华</w:t>
            </w:r>
          </w:p>
        </w:tc>
        <w:tc>
          <w:tcPr>
            <w:tcW w:w="2024" w:type="dxa"/>
            <w:vAlign w:val="center"/>
          </w:tcPr>
          <w:p w14:paraId="49B72488">
            <w:pPr>
              <w:ind w:left="-14" w:left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联系方式</w:t>
            </w:r>
          </w:p>
        </w:tc>
        <w:tc>
          <w:tcPr>
            <w:tcW w:w="3592" w:type="dxa"/>
            <w:vAlign w:val="center"/>
          </w:tcPr>
          <w:p w14:paraId="5A59F631">
            <w:pPr>
              <w:pStyle w:val="39"/>
              <w:spacing w:before="0" w:after="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13912752111</w:t>
            </w:r>
          </w:p>
        </w:tc>
      </w:tr>
      <w:tr w14:paraId="1B5F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91" w:type="dxa"/>
            <w:vAlign w:val="center"/>
          </w:tcPr>
          <w:p w14:paraId="59943414">
            <w:pPr>
              <w:ind w:left="-14"/>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777" w:type="dxa"/>
            <w:gridSpan w:val="3"/>
            <w:vAlign w:val="center"/>
          </w:tcPr>
          <w:p w14:paraId="10EC534D">
            <w:pPr>
              <w:widowControl/>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安徽省蚌埠市固镇县刘集镇珍珠沟西侧</w:t>
            </w:r>
          </w:p>
        </w:tc>
      </w:tr>
      <w:tr w14:paraId="13B3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27AA8483">
            <w:pPr>
              <w:ind w:left="-14"/>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777" w:type="dxa"/>
            <w:gridSpan w:val="3"/>
            <w:vAlign w:val="center"/>
          </w:tcPr>
          <w:p w14:paraId="267BB5E3">
            <w:pPr>
              <w:pStyle w:val="39"/>
              <w:rPr>
                <w:rFonts w:hint="default" w:ascii="Times New Roman" w:hAnsi="Times New Roman" w:eastAsia="宋体" w:cs="Times New Roman"/>
                <w:color w:val="auto"/>
                <w:kern w:val="2"/>
                <w:sz w:val="24"/>
                <w:szCs w:val="24"/>
                <w:lang w:val="en-US" w:eastAsia="zh-CN"/>
              </w:rPr>
            </w:pPr>
            <w:r>
              <w:rPr>
                <w:rFonts w:hint="eastAsia"/>
                <w:color w:val="auto"/>
              </w:rPr>
              <w:t>经度</w:t>
            </w:r>
            <w:r>
              <w:rPr>
                <w:rFonts w:hint="default" w:ascii="Times New Roman" w:hAnsi="Times New Roman" w:cs="Times New Roman"/>
                <w:color w:val="auto"/>
                <w:kern w:val="2"/>
                <w:sz w:val="24"/>
                <w:szCs w:val="24"/>
              </w:rPr>
              <w:t>117度27分58.139秒，纬度33度15分19.435秒</w:t>
            </w:r>
          </w:p>
        </w:tc>
      </w:tr>
      <w:tr w14:paraId="14A4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53D10B7B">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14:paraId="203A796B">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161" w:type="dxa"/>
            <w:vAlign w:val="center"/>
          </w:tcPr>
          <w:p w14:paraId="6EE1AE9D">
            <w:pPr>
              <w:pStyle w:val="34"/>
              <w:widowControl/>
              <w:autoSpaceDE/>
              <w:autoSpaceDN/>
              <w:snapToGrid/>
              <w:spacing w:before="0" w:line="240" w:lineRule="auto"/>
              <w:rPr>
                <w:rFonts w:hint="default" w:ascii="Times New Roman" w:hAnsi="Times New Roman" w:eastAsia="宋体" w:cs="Times New Roman"/>
                <w:color w:val="auto"/>
                <w:sz w:val="24"/>
                <w:szCs w:val="24"/>
                <w:lang w:val="en-US" w:eastAsia="zh-CN"/>
              </w:rPr>
            </w:pPr>
            <w:r>
              <w:rPr>
                <w:rFonts w:hint="eastAsia" w:ascii="Times New Roman" w:eastAsia="宋体" w:cs="Times New Roman"/>
                <w:color w:val="auto"/>
                <w:sz w:val="24"/>
                <w:szCs w:val="24"/>
                <w:lang w:val="en-US" w:eastAsia="zh-CN"/>
              </w:rPr>
              <w:t>C1391 淀粉及淀粉制品制造、C1392 豆制品制造、C1393 蛋品加工</w:t>
            </w:r>
          </w:p>
        </w:tc>
        <w:tc>
          <w:tcPr>
            <w:tcW w:w="2024" w:type="dxa"/>
            <w:vAlign w:val="center"/>
          </w:tcPr>
          <w:p w14:paraId="7BEED521">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38D0AB97">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3592" w:type="dxa"/>
            <w:vAlign w:val="center"/>
          </w:tcPr>
          <w:p w14:paraId="7B4312B7">
            <w:pPr>
              <w:pStyle w:val="34"/>
              <w:widowControl/>
              <w:numPr>
                <w:ilvl w:val="0"/>
                <w:numId w:val="0"/>
              </w:numPr>
              <w:autoSpaceDE/>
              <w:autoSpaceDN/>
              <w:snapToGrid/>
              <w:spacing w:before="0" w:line="24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十、农副食品加工业 13-20-其 他农副食品加工139*-不含发酵工艺的淀粉、淀粉糖制造；淀粉制品制造；豆制品制造 以上均不含单纯分装的</w:t>
            </w:r>
          </w:p>
        </w:tc>
      </w:tr>
      <w:tr w14:paraId="1ED1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2E37BB43">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161" w:type="dxa"/>
            <w:vAlign w:val="center"/>
          </w:tcPr>
          <w:p w14:paraId="1B0BF0DB">
            <w:pPr>
              <w:pStyle w:val="39"/>
              <w:spacing w:before="0" w:beforeAutospacing="0" w:after="0" w:afterAutospacing="0"/>
              <w:jc w:val="left"/>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☑新建（迁建）</w:t>
            </w:r>
          </w:p>
          <w:p w14:paraId="2F42348D">
            <w:pPr>
              <w:pStyle w:val="39"/>
              <w:spacing w:before="0" w:beforeAutospacing="0" w:after="0" w:afterAutospacing="0"/>
              <w:jc w:val="left"/>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□改建</w:t>
            </w:r>
          </w:p>
          <w:p w14:paraId="1996D9CC">
            <w:pPr>
              <w:pStyle w:val="39"/>
              <w:spacing w:before="0" w:beforeAutospacing="0" w:after="0" w:afterAutospacing="0"/>
              <w:jc w:val="left"/>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□扩建</w:t>
            </w:r>
          </w:p>
          <w:p w14:paraId="2A4197FC">
            <w:pPr>
              <w:pStyle w:val="39"/>
              <w:spacing w:before="0" w:beforeAutospacing="0" w:after="0" w:afterAutospacing="0"/>
              <w:jc w:val="left"/>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□技术改造</w:t>
            </w:r>
          </w:p>
        </w:tc>
        <w:tc>
          <w:tcPr>
            <w:tcW w:w="2024" w:type="dxa"/>
            <w:vAlign w:val="center"/>
          </w:tcPr>
          <w:p w14:paraId="0974C018">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0450D858">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3592" w:type="dxa"/>
            <w:vAlign w:val="center"/>
          </w:tcPr>
          <w:p w14:paraId="7319BED0">
            <w:pPr>
              <w:pStyle w:val="39"/>
              <w:spacing w:before="0" w:beforeAutospacing="0" w:after="0" w:afterAutospacing="0"/>
              <w:jc w:val="left"/>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☑首次申报项目</w:t>
            </w:r>
          </w:p>
          <w:p w14:paraId="635D175D">
            <w:pPr>
              <w:pStyle w:val="39"/>
              <w:spacing w:before="0" w:beforeAutospacing="0" w:after="0" w:afterAutospacing="0"/>
              <w:jc w:val="left"/>
              <w:rPr>
                <w:rFonts w:hint="default" w:ascii="Times New Roman" w:hAnsi="Times New Roman" w:cs="Times New Roman"/>
                <w:color w:val="auto"/>
                <w:kern w:val="2"/>
                <w:sz w:val="24"/>
                <w:szCs w:val="24"/>
              </w:rPr>
            </w:pPr>
            <w:r>
              <w:rPr>
                <w:rFonts w:hint="eastAsia" w:ascii="Times New Roman" w:hAnsi="Times New Roman" w:cs="Times New Roman"/>
                <w:color w:val="auto"/>
                <w:kern w:val="2"/>
                <w:sz w:val="24"/>
                <w:szCs w:val="24"/>
                <w:lang w:eastAsia="zh-CN"/>
              </w:rPr>
              <w:t>□</w:t>
            </w:r>
            <w:r>
              <w:rPr>
                <w:rFonts w:hint="default" w:ascii="Times New Roman" w:hAnsi="Times New Roman" w:cs="Times New Roman"/>
                <w:color w:val="auto"/>
                <w:kern w:val="2"/>
                <w:sz w:val="24"/>
                <w:szCs w:val="24"/>
              </w:rPr>
              <w:t>不予批准后再次申报项目</w:t>
            </w:r>
          </w:p>
          <w:p w14:paraId="30B11453">
            <w:pPr>
              <w:pStyle w:val="39"/>
              <w:spacing w:before="0" w:beforeAutospacing="0" w:after="0" w:afterAutospacing="0"/>
              <w:jc w:val="left"/>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□超五年重新审核项目</w:t>
            </w:r>
          </w:p>
          <w:p w14:paraId="6CE38348">
            <w:pPr>
              <w:pStyle w:val="39"/>
              <w:spacing w:before="0" w:beforeAutospacing="0" w:after="0" w:afterAutospacing="0"/>
              <w:jc w:val="left"/>
              <w:rPr>
                <w:rFonts w:hint="default" w:ascii="Times New Roman" w:hAnsi="Times New Roman" w:cs="Times New Roman"/>
                <w:color w:val="auto"/>
                <w:sz w:val="24"/>
                <w:szCs w:val="24"/>
              </w:rPr>
            </w:pPr>
            <w:r>
              <w:rPr>
                <w:rFonts w:hint="default" w:ascii="Times New Roman" w:hAnsi="Times New Roman" w:cs="Times New Roman"/>
                <w:color w:val="auto"/>
                <w:kern w:val="2"/>
                <w:sz w:val="24"/>
                <w:szCs w:val="24"/>
              </w:rPr>
              <w:t>□重大变动重新报批项目</w:t>
            </w:r>
          </w:p>
        </w:tc>
      </w:tr>
      <w:tr w14:paraId="22FB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91" w:type="dxa"/>
            <w:vAlign w:val="center"/>
          </w:tcPr>
          <w:p w14:paraId="50DD255E">
            <w:pPr>
              <w:pStyle w:val="39"/>
              <w:spacing w:before="0" w:beforeAutospacing="0" w:after="0" w:afterAutospacing="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项目审批（核准/备案）部门</w:t>
            </w:r>
          </w:p>
        </w:tc>
        <w:tc>
          <w:tcPr>
            <w:tcW w:w="2161" w:type="dxa"/>
            <w:vAlign w:val="center"/>
          </w:tcPr>
          <w:p w14:paraId="4BD9ABF6">
            <w:pPr>
              <w:pStyle w:val="39"/>
              <w:spacing w:before="0" w:beforeAutospacing="0" w:after="0" w:afterAutospacing="0"/>
              <w:rPr>
                <w:rFonts w:hint="default" w:ascii="Times New Roman" w:hAnsi="Times New Roman" w:eastAsia="宋体" w:cs="Times New Roman"/>
                <w:color w:val="auto"/>
                <w:kern w:val="2"/>
                <w:sz w:val="24"/>
                <w:szCs w:val="24"/>
                <w:lang w:val="en-US" w:eastAsia="zh-CN"/>
              </w:rPr>
            </w:pPr>
            <w:r>
              <w:rPr>
                <w:rFonts w:hint="eastAsia" w:ascii="Times New Roman" w:hAnsi="Times New Roman" w:cs="Times New Roman"/>
                <w:color w:val="auto"/>
                <w:kern w:val="2"/>
                <w:sz w:val="24"/>
                <w:szCs w:val="24"/>
                <w:lang w:val="en-US" w:eastAsia="zh-CN"/>
              </w:rPr>
              <w:t>固镇县发展改革委</w:t>
            </w:r>
          </w:p>
        </w:tc>
        <w:tc>
          <w:tcPr>
            <w:tcW w:w="2024" w:type="dxa"/>
            <w:vAlign w:val="center"/>
          </w:tcPr>
          <w:p w14:paraId="54F24AAE">
            <w:pPr>
              <w:pStyle w:val="39"/>
              <w:spacing w:before="0" w:beforeAutospacing="0" w:after="0" w:afterAutospacing="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项目审批（核准/备案）文号</w:t>
            </w:r>
          </w:p>
        </w:tc>
        <w:tc>
          <w:tcPr>
            <w:tcW w:w="3592" w:type="dxa"/>
            <w:vAlign w:val="center"/>
          </w:tcPr>
          <w:p w14:paraId="26C18069">
            <w:pPr>
              <w:pStyle w:val="39"/>
              <w:spacing w:before="0" w:beforeAutospacing="0" w:after="0" w:afterAutospacing="0"/>
              <w:rPr>
                <w:rFonts w:hint="default" w:ascii="Times New Roman" w:hAnsi="Times New Roman" w:cs="Times New Roman"/>
                <w:color w:val="auto"/>
                <w:kern w:val="2"/>
                <w:sz w:val="24"/>
                <w:szCs w:val="24"/>
                <w:lang w:val="en-US"/>
              </w:rPr>
            </w:pPr>
            <w:r>
              <w:rPr>
                <w:rFonts w:hint="default" w:ascii="Times New Roman" w:hAnsi="Times New Roman" w:cs="Times New Roman"/>
                <w:color w:val="auto"/>
                <w:kern w:val="2"/>
                <w:sz w:val="24"/>
                <w:szCs w:val="24"/>
                <w:lang w:val="en-US" w:eastAsia="zh-CN"/>
              </w:rPr>
              <w:t>/</w:t>
            </w:r>
          </w:p>
        </w:tc>
      </w:tr>
      <w:tr w14:paraId="641A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50078DF1">
            <w:pPr>
              <w:pStyle w:val="39"/>
              <w:spacing w:before="0" w:beforeAutospacing="0" w:after="0" w:afterAutospacing="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总投资（万元）</w:t>
            </w:r>
          </w:p>
        </w:tc>
        <w:tc>
          <w:tcPr>
            <w:tcW w:w="2161" w:type="dxa"/>
            <w:vAlign w:val="center"/>
          </w:tcPr>
          <w:p w14:paraId="6DE0601D">
            <w:pPr>
              <w:pStyle w:val="39"/>
              <w:spacing w:before="0" w:beforeAutospacing="0" w:after="0" w:afterAutospacing="0"/>
              <w:rPr>
                <w:rFonts w:hint="default" w:ascii="Times New Roman" w:hAnsi="Times New Roman" w:eastAsia="宋体" w:cs="Times New Roman"/>
                <w:color w:val="auto"/>
                <w:kern w:val="2"/>
                <w:sz w:val="24"/>
                <w:szCs w:val="24"/>
                <w:lang w:val="en-US" w:eastAsia="zh-CN"/>
              </w:rPr>
            </w:pPr>
            <w:r>
              <w:rPr>
                <w:rFonts w:hint="eastAsia" w:ascii="Times New Roman" w:hAnsi="Times New Roman" w:cs="Times New Roman"/>
                <w:color w:val="auto"/>
                <w:kern w:val="2"/>
                <w:sz w:val="24"/>
                <w:szCs w:val="24"/>
                <w:lang w:val="en-US" w:eastAsia="zh-CN"/>
              </w:rPr>
              <w:t>10100</w:t>
            </w:r>
          </w:p>
        </w:tc>
        <w:tc>
          <w:tcPr>
            <w:tcW w:w="2024" w:type="dxa"/>
            <w:vAlign w:val="center"/>
          </w:tcPr>
          <w:p w14:paraId="60D29FF3">
            <w:pPr>
              <w:pStyle w:val="39"/>
              <w:spacing w:before="0" w:beforeAutospacing="0" w:after="0" w:afterAutospacing="0"/>
              <w:rPr>
                <w:rFonts w:hint="default" w:ascii="Times New Roman" w:hAnsi="Times New Roman" w:cs="Times New Roman"/>
                <w:color w:val="auto"/>
                <w:kern w:val="2"/>
                <w:sz w:val="24"/>
                <w:szCs w:val="24"/>
              </w:rPr>
            </w:pPr>
            <w:r>
              <w:rPr>
                <w:rFonts w:hint="default" w:ascii="Times New Roman" w:hAnsi="Times New Roman" w:cs="Times New Roman"/>
                <w:color w:val="auto"/>
                <w:sz w:val="24"/>
                <w:szCs w:val="24"/>
              </w:rPr>
              <w:t>环保投资（万元）</w:t>
            </w:r>
          </w:p>
        </w:tc>
        <w:tc>
          <w:tcPr>
            <w:tcW w:w="3592" w:type="dxa"/>
            <w:vAlign w:val="center"/>
          </w:tcPr>
          <w:p w14:paraId="20F5959F">
            <w:pPr>
              <w:pStyle w:val="39"/>
              <w:spacing w:before="0" w:beforeAutospacing="0" w:after="0" w:afterAutospacing="0"/>
              <w:jc w:val="center"/>
              <w:rPr>
                <w:rFonts w:hint="default" w:ascii="Times New Roman" w:hAnsi="Times New Roman" w:eastAsia="宋体" w:cs="Times New Roman"/>
                <w:color w:val="auto"/>
                <w:kern w:val="2"/>
                <w:sz w:val="24"/>
                <w:szCs w:val="24"/>
                <w:lang w:val="en-US" w:eastAsia="zh-CN"/>
              </w:rPr>
            </w:pPr>
            <w:r>
              <w:rPr>
                <w:rFonts w:hint="eastAsia" w:ascii="Times New Roman" w:hAnsi="Times New Roman" w:cs="Times New Roman"/>
                <w:color w:val="auto"/>
                <w:kern w:val="2"/>
                <w:sz w:val="24"/>
                <w:szCs w:val="24"/>
                <w:lang w:val="en-US" w:eastAsia="zh-CN"/>
              </w:rPr>
              <w:t>74</w:t>
            </w:r>
          </w:p>
        </w:tc>
      </w:tr>
      <w:tr w14:paraId="0995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56259425">
            <w:pPr>
              <w:pStyle w:val="39"/>
              <w:spacing w:before="0" w:beforeAutospacing="0" w:after="0" w:afterAutospacing="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环保投资占比（%）</w:t>
            </w:r>
          </w:p>
        </w:tc>
        <w:tc>
          <w:tcPr>
            <w:tcW w:w="2161" w:type="dxa"/>
            <w:vAlign w:val="center"/>
          </w:tcPr>
          <w:p w14:paraId="69C073DF">
            <w:pPr>
              <w:pStyle w:val="39"/>
              <w:spacing w:before="0" w:beforeAutospacing="0" w:after="0" w:afterAutospacing="0"/>
              <w:rPr>
                <w:rFonts w:hint="default" w:ascii="Times New Roman" w:hAnsi="Times New Roman" w:eastAsia="宋体" w:cs="Times New Roman"/>
                <w:color w:val="auto"/>
                <w:kern w:val="2"/>
                <w:sz w:val="24"/>
                <w:szCs w:val="24"/>
                <w:lang w:val="en-US" w:eastAsia="zh-CN"/>
              </w:rPr>
            </w:pPr>
            <w:r>
              <w:rPr>
                <w:rFonts w:hint="eastAsia" w:ascii="Times New Roman" w:hAnsi="Times New Roman" w:cs="Times New Roman"/>
                <w:color w:val="auto"/>
                <w:kern w:val="2"/>
                <w:sz w:val="24"/>
                <w:szCs w:val="24"/>
                <w:lang w:val="en-US" w:eastAsia="zh-CN"/>
              </w:rPr>
              <w:t>0.73</w:t>
            </w:r>
          </w:p>
        </w:tc>
        <w:tc>
          <w:tcPr>
            <w:tcW w:w="2024" w:type="dxa"/>
            <w:vAlign w:val="center"/>
          </w:tcPr>
          <w:p w14:paraId="32520FCB">
            <w:pPr>
              <w:pStyle w:val="39"/>
              <w:spacing w:before="0" w:beforeAutospacing="0" w:after="0" w:afterAutospacing="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3592" w:type="dxa"/>
            <w:vAlign w:val="center"/>
          </w:tcPr>
          <w:p w14:paraId="3CF3D105">
            <w:pPr>
              <w:pStyle w:val="39"/>
              <w:spacing w:before="0" w:beforeAutospacing="0" w:after="0" w:afterAutospacing="0"/>
              <w:rPr>
                <w:rFonts w:hint="default" w:ascii="Times New Roman" w:hAnsi="Times New Roman" w:eastAsia="宋体" w:cs="Times New Roman"/>
                <w:color w:val="auto"/>
                <w:kern w:val="2"/>
                <w:sz w:val="24"/>
                <w:szCs w:val="24"/>
                <w:lang w:val="en-US" w:eastAsia="zh-CN"/>
              </w:rPr>
            </w:pPr>
            <w:r>
              <w:rPr>
                <w:rFonts w:hint="eastAsia" w:ascii="Times New Roman" w:hAnsi="Times New Roman" w:cs="Times New Roman"/>
                <w:color w:val="auto"/>
                <w:kern w:val="2"/>
                <w:sz w:val="24"/>
                <w:szCs w:val="24"/>
                <w:lang w:val="en-US" w:eastAsia="zh-CN"/>
              </w:rPr>
              <w:t>1个月</w:t>
            </w:r>
          </w:p>
        </w:tc>
      </w:tr>
      <w:tr w14:paraId="6621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7EDEB68C">
            <w:pPr>
              <w:pStyle w:val="39"/>
              <w:spacing w:before="0" w:beforeAutospacing="0" w:after="0" w:afterAutospacing="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是否开工建设</w:t>
            </w:r>
          </w:p>
        </w:tc>
        <w:tc>
          <w:tcPr>
            <w:tcW w:w="2161" w:type="dxa"/>
            <w:vAlign w:val="center"/>
          </w:tcPr>
          <w:p w14:paraId="3D71DDA9">
            <w:pPr>
              <w:pStyle w:val="39"/>
              <w:spacing w:before="0" w:beforeAutospacing="0" w:after="0" w:afterAutospacing="0"/>
              <w:jc w:val="left"/>
              <w:rPr>
                <w:rFonts w:hint="default" w:ascii="Times New Roman" w:hAnsi="Times New Roman" w:cs="Times New Roman"/>
                <w:color w:val="auto"/>
                <w:kern w:val="2"/>
                <w:sz w:val="24"/>
                <w:szCs w:val="24"/>
              </w:rPr>
            </w:pPr>
            <w:r>
              <w:rPr>
                <w:rFonts w:hint="default" w:ascii="Times New Roman" w:hAnsi="Times New Roman" w:eastAsia="MS Mincho" w:cs="Times New Roman"/>
                <w:color w:val="auto"/>
                <w:kern w:val="2"/>
                <w:sz w:val="24"/>
                <w:szCs w:val="24"/>
              </w:rPr>
              <w:t>☑</w:t>
            </w:r>
            <w:r>
              <w:rPr>
                <w:rFonts w:hint="default" w:ascii="Times New Roman" w:hAnsi="Times New Roman" w:cs="Times New Roman"/>
                <w:color w:val="auto"/>
                <w:kern w:val="2"/>
                <w:sz w:val="24"/>
                <w:szCs w:val="24"/>
              </w:rPr>
              <w:t>否</w:t>
            </w:r>
          </w:p>
          <w:p w14:paraId="0F47B252">
            <w:pPr>
              <w:pStyle w:val="39"/>
              <w:spacing w:before="0" w:beforeAutospacing="0" w:after="0" w:afterAutospacing="0"/>
              <w:jc w:val="left"/>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sym w:font="Wingdings 2" w:char="00A3"/>
            </w:r>
            <w:r>
              <w:rPr>
                <w:rFonts w:hint="default" w:ascii="Times New Roman" w:hAnsi="Times New Roman" w:cs="Times New Roman"/>
                <w:color w:val="auto"/>
                <w:kern w:val="2"/>
                <w:sz w:val="24"/>
                <w:szCs w:val="24"/>
              </w:rPr>
              <w:t>是：</w:t>
            </w:r>
            <w:r>
              <w:rPr>
                <w:rFonts w:hint="default" w:ascii="Times New Roman" w:hAnsi="Times New Roman" w:cs="Times New Roman"/>
                <w:color w:val="auto"/>
                <w:kern w:val="2"/>
                <w:sz w:val="24"/>
                <w:szCs w:val="24"/>
                <w:u w:val="single"/>
              </w:rPr>
              <w:t xml:space="preserve">      </w:t>
            </w:r>
          </w:p>
        </w:tc>
        <w:tc>
          <w:tcPr>
            <w:tcW w:w="2024" w:type="dxa"/>
            <w:vAlign w:val="center"/>
          </w:tcPr>
          <w:p w14:paraId="0426B37E">
            <w:pPr>
              <w:pStyle w:val="39"/>
              <w:spacing w:before="0" w:beforeAutospacing="0" w:after="0" w:afterAutospacing="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用地面积（m</w:t>
            </w:r>
            <w:r>
              <w:rPr>
                <w:rFonts w:hint="default" w:ascii="Times New Roman" w:hAnsi="Times New Roman" w:cs="Times New Roman"/>
                <w:color w:val="auto"/>
                <w:kern w:val="2"/>
                <w:sz w:val="24"/>
                <w:szCs w:val="24"/>
                <w:vertAlign w:val="superscript"/>
              </w:rPr>
              <w:t>2</w:t>
            </w:r>
            <w:r>
              <w:rPr>
                <w:rFonts w:hint="default" w:ascii="Times New Roman" w:hAnsi="Times New Roman" w:cs="Times New Roman"/>
                <w:color w:val="auto"/>
                <w:kern w:val="2"/>
                <w:sz w:val="24"/>
                <w:szCs w:val="24"/>
              </w:rPr>
              <w:t>）</w:t>
            </w:r>
          </w:p>
        </w:tc>
        <w:tc>
          <w:tcPr>
            <w:tcW w:w="3592" w:type="dxa"/>
            <w:vAlign w:val="center"/>
          </w:tcPr>
          <w:p w14:paraId="00C5592E">
            <w:pPr>
              <w:pStyle w:val="39"/>
              <w:spacing w:before="0" w:beforeAutospacing="0" w:after="0" w:afterAutospacing="0"/>
              <w:rPr>
                <w:rFonts w:hint="default" w:ascii="Times New Roman" w:hAnsi="Times New Roman" w:eastAsia="宋体" w:cs="Times New Roman"/>
                <w:color w:val="auto"/>
                <w:kern w:val="2"/>
                <w:sz w:val="24"/>
                <w:szCs w:val="24"/>
                <w:lang w:val="en-US" w:eastAsia="zh-CN"/>
              </w:rPr>
            </w:pPr>
            <w:r>
              <w:rPr>
                <w:rFonts w:hint="eastAsia" w:ascii="Times New Roman" w:hAnsi="Times New Roman" w:cs="Times New Roman"/>
                <w:color w:val="auto"/>
                <w:kern w:val="2"/>
                <w:sz w:val="24"/>
                <w:szCs w:val="24"/>
                <w:lang w:val="en-US" w:eastAsia="zh-CN"/>
              </w:rPr>
              <w:t>4752.4</w:t>
            </w:r>
          </w:p>
        </w:tc>
      </w:tr>
      <w:tr w14:paraId="6F9C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91" w:type="dxa"/>
            <w:vAlign w:val="center"/>
          </w:tcPr>
          <w:p w14:paraId="54EF051A">
            <w:pPr>
              <w:pStyle w:val="39"/>
              <w:spacing w:before="0" w:beforeAutospacing="0" w:after="0" w:afterAutospacing="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专项评价设置情况</w:t>
            </w:r>
          </w:p>
        </w:tc>
        <w:tc>
          <w:tcPr>
            <w:tcW w:w="7777" w:type="dxa"/>
            <w:gridSpan w:val="3"/>
            <w:vAlign w:val="center"/>
          </w:tcPr>
          <w:p w14:paraId="711C8FD4">
            <w:pPr>
              <w:pStyle w:val="39"/>
              <w:spacing w:before="0" w:beforeAutospacing="0" w:after="0" w:afterAutospacing="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无</w:t>
            </w:r>
          </w:p>
        </w:tc>
      </w:tr>
      <w:tr w14:paraId="7435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691" w:type="dxa"/>
            <w:vAlign w:val="center"/>
          </w:tcPr>
          <w:p w14:paraId="21FA4266">
            <w:pPr>
              <w:pStyle w:val="39"/>
              <w:spacing w:before="0" w:beforeAutospacing="0" w:after="0" w:afterAutospacing="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规划情况</w:t>
            </w:r>
          </w:p>
        </w:tc>
        <w:tc>
          <w:tcPr>
            <w:tcW w:w="7777" w:type="dxa"/>
            <w:gridSpan w:val="3"/>
            <w:vAlign w:val="center"/>
          </w:tcPr>
          <w:p w14:paraId="3AD5115F">
            <w:pPr>
              <w:pStyle w:val="39"/>
              <w:spacing w:before="0" w:beforeAutospacing="0" w:after="0" w:afterAutospacing="0"/>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val="en-US" w:eastAsia="zh-CN"/>
              </w:rPr>
              <w:t>无</w:t>
            </w:r>
          </w:p>
        </w:tc>
      </w:tr>
      <w:tr w14:paraId="30A3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1691" w:type="dxa"/>
            <w:vAlign w:val="center"/>
          </w:tcPr>
          <w:p w14:paraId="23BB0925">
            <w:pPr>
              <w:pStyle w:val="39"/>
              <w:spacing w:before="0" w:beforeAutospacing="0" w:after="0" w:afterAutospacing="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rPr>
              <w:t>规划环境影响评价情况</w:t>
            </w:r>
          </w:p>
        </w:tc>
        <w:tc>
          <w:tcPr>
            <w:tcW w:w="7777" w:type="dxa"/>
            <w:gridSpan w:val="3"/>
            <w:vAlign w:val="center"/>
          </w:tcPr>
          <w:p w14:paraId="77FB6F4B">
            <w:pPr>
              <w:pStyle w:val="39"/>
              <w:spacing w:before="0" w:beforeAutospacing="0" w:after="0" w:afterAutospacing="0"/>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无</w:t>
            </w:r>
          </w:p>
        </w:tc>
      </w:tr>
      <w:tr w14:paraId="7F91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1691" w:type="dxa"/>
            <w:vAlign w:val="center"/>
          </w:tcPr>
          <w:p w14:paraId="0CDDACEF">
            <w:pPr>
              <w:autoSpaceDE w:val="0"/>
              <w:autoSpaceDN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规划及规划环境</w:t>
            </w:r>
            <w:r>
              <w:rPr>
                <w:rFonts w:hint="default" w:ascii="Times New Roman" w:hAnsi="Times New Roman" w:cs="Times New Roman"/>
                <w:color w:val="auto"/>
                <w:kern w:val="2"/>
                <w:sz w:val="24"/>
                <w:szCs w:val="24"/>
              </w:rPr>
              <w:t>影响评价符合性分析</w:t>
            </w:r>
          </w:p>
        </w:tc>
        <w:tc>
          <w:tcPr>
            <w:tcW w:w="7777" w:type="dxa"/>
            <w:gridSpan w:val="3"/>
            <w:vAlign w:val="center"/>
          </w:tcPr>
          <w:p w14:paraId="5B9033D2">
            <w:pPr>
              <w:pStyle w:val="39"/>
              <w:spacing w:before="0" w:beforeAutospacing="0" w:after="0" w:afterAutospacing="0"/>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无</w:t>
            </w:r>
          </w:p>
        </w:tc>
      </w:tr>
      <w:tr w14:paraId="7B01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Align w:val="center"/>
          </w:tcPr>
          <w:p w14:paraId="091F45DC">
            <w:pPr>
              <w:autoSpaceDE w:val="0"/>
              <w:autoSpaceDN w:val="0"/>
              <w:adjustRightInd w:val="0"/>
              <w:snapToGrid w:val="0"/>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其他符合性分析</w:t>
            </w:r>
          </w:p>
        </w:tc>
        <w:tc>
          <w:tcPr>
            <w:tcW w:w="7777" w:type="dxa"/>
            <w:gridSpan w:val="3"/>
            <w:vAlign w:val="center"/>
          </w:tcPr>
          <w:p w14:paraId="7C68A227">
            <w:pPr>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cs="Times New Roman"/>
                <w:b/>
                <w:color w:val="auto"/>
                <w:sz w:val="24"/>
                <w:szCs w:val="24"/>
              </w:rPr>
              <w:t>1</w:t>
            </w:r>
            <w:r>
              <w:rPr>
                <w:rFonts w:hint="eastAsia" w:cs="Times New Roman"/>
                <w:b/>
                <w:color w:val="auto"/>
                <w:sz w:val="24"/>
                <w:szCs w:val="24"/>
                <w:lang w:eastAsia="zh-CN"/>
              </w:rPr>
              <w:t>、</w:t>
            </w:r>
            <w:r>
              <w:rPr>
                <w:rFonts w:hint="default" w:ascii="Times New Roman" w:hAnsi="Times New Roman" w:cs="Times New Roman"/>
                <w:b/>
                <w:color w:val="auto"/>
                <w:sz w:val="24"/>
                <w:szCs w:val="24"/>
                <w:lang w:eastAsia="zh-CN"/>
              </w:rPr>
              <w:t>产业政策符合性分析</w:t>
            </w:r>
          </w:p>
          <w:p w14:paraId="788C4C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b w:val="0"/>
                <w:bCs/>
                <w:color w:val="auto"/>
                <w:sz w:val="24"/>
                <w:szCs w:val="24"/>
                <w:lang w:eastAsia="zh-CN"/>
              </w:rPr>
              <w:t>本项目为C1391 淀粉及淀粉制品制造、C1392 豆制品制造</w:t>
            </w:r>
            <w:r>
              <w:rPr>
                <w:rFonts w:hint="eastAsia" w:cs="Times New Roman"/>
                <w:b w:val="0"/>
                <w:bCs/>
                <w:color w:val="auto"/>
                <w:sz w:val="24"/>
                <w:szCs w:val="24"/>
                <w:lang w:val="en-US" w:eastAsia="zh-CN"/>
              </w:rPr>
              <w:t>及</w:t>
            </w:r>
            <w:r>
              <w:rPr>
                <w:rFonts w:hint="default" w:ascii="Times New Roman" w:hAnsi="Times New Roman" w:cs="Times New Roman"/>
                <w:b w:val="0"/>
                <w:bCs/>
                <w:color w:val="auto"/>
                <w:sz w:val="24"/>
                <w:szCs w:val="24"/>
                <w:lang w:eastAsia="zh-CN"/>
              </w:rPr>
              <w:t>C1393 蛋品加工项目，根据《产业结构调整指导目录（2024 年本）》C1391 淀粉及淀粉制品制造、C1392 豆制品制造及C1393 蛋品加工，不属于鼓励类、限制类、淘汰类，</w:t>
            </w:r>
            <w:r>
              <w:rPr>
                <w:rFonts w:hint="eastAsia" w:cs="Times New Roman"/>
                <w:b w:val="0"/>
                <w:bCs/>
                <w:color w:val="auto"/>
                <w:sz w:val="24"/>
                <w:szCs w:val="24"/>
                <w:lang w:val="en-US" w:eastAsia="zh-CN"/>
              </w:rPr>
              <w:t>均</w:t>
            </w:r>
            <w:r>
              <w:rPr>
                <w:rFonts w:hint="default" w:ascii="Times New Roman" w:hAnsi="Times New Roman" w:cs="Times New Roman"/>
                <w:b w:val="0"/>
                <w:bCs/>
                <w:color w:val="auto"/>
                <w:sz w:val="24"/>
                <w:szCs w:val="24"/>
                <w:lang w:eastAsia="zh-CN"/>
              </w:rPr>
              <w:t>为允许类，因此本项目的建设符合国家和地方的产业政策要求。</w:t>
            </w:r>
          </w:p>
          <w:p w14:paraId="6A074763">
            <w:pPr>
              <w:numPr>
                <w:ilvl w:val="0"/>
                <w:numId w:val="1"/>
              </w:numPr>
              <w:spacing w:line="360" w:lineRule="auto"/>
              <w:ind w:firstLine="482" w:firstLineChars="200"/>
              <w:rPr>
                <w:rFonts w:hint="default" w:ascii="Times New Roman" w:hAnsi="Times New Roman" w:cs="Times New Roman"/>
                <w:b/>
                <w:bCs/>
                <w:color w:val="auto"/>
                <w:kern w:val="0"/>
                <w:sz w:val="24"/>
                <w:szCs w:val="24"/>
              </w:rPr>
            </w:pPr>
            <w:r>
              <w:rPr>
                <w:rFonts w:hint="default" w:ascii="Times New Roman" w:hAnsi="Times New Roman" w:cs="Times New Roman"/>
                <w:b/>
                <w:color w:val="auto"/>
                <w:sz w:val="24"/>
                <w:szCs w:val="24"/>
              </w:rPr>
              <w:t>“三线一单”相符性分</w:t>
            </w:r>
            <w:r>
              <w:rPr>
                <w:rFonts w:hint="default" w:ascii="Times New Roman" w:hAnsi="Times New Roman" w:cs="Times New Roman"/>
                <w:b/>
                <w:bCs/>
                <w:color w:val="auto"/>
                <w:kern w:val="0"/>
                <w:sz w:val="24"/>
                <w:szCs w:val="24"/>
              </w:rPr>
              <w:t>析</w:t>
            </w:r>
          </w:p>
          <w:p w14:paraId="7AFBDB7C">
            <w:pPr>
              <w:spacing w:beforeLines="0" w:afterLines="0" w:line="360" w:lineRule="auto"/>
              <w:ind w:firstLine="480"/>
              <w:rPr>
                <w:rFonts w:hint="eastAsia"/>
                <w:b/>
                <w:color w:val="auto"/>
                <w:sz w:val="24"/>
                <w:szCs w:val="24"/>
              </w:rPr>
            </w:pPr>
            <w:r>
              <w:rPr>
                <w:rFonts w:hint="default" w:ascii="宋体" w:eastAsia="宋体"/>
                <w:color w:val="auto"/>
                <w:kern w:val="0"/>
                <w:sz w:val="24"/>
                <w:szCs w:val="24"/>
              </w:rPr>
              <w:t>中华人民共和国环境保护部以环评[2016]150号文《关于以改善环境质量为核心加强环境影响评价管理的通知》要求：为适应以改善环境质量为核心的环境管理要求，切实加强环境影响评价（以下简称环评）管理，落实“生态保护红线、环境质量底线、资源利用上线和环境准入负面清单”（以下简称“三线一单”）约束，建立项目环评审批与规划环评、现有项目环境管理、区域环境质量联动机制（以下简称“三挂钩”机制），更好地发挥环评制度从源头防范环境污染和生态破坏的作用，加快推进改善环境质量。</w:t>
            </w:r>
          </w:p>
          <w:p w14:paraId="58F33D65">
            <w:pPr>
              <w:snapToGrid w:val="0"/>
              <w:spacing w:line="240" w:lineRule="auto"/>
              <w:ind w:firstLine="422" w:firstLineChars="20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color w:val="auto"/>
                <w:sz w:val="21"/>
                <w:szCs w:val="21"/>
                <w:lang w:bidi="en-US"/>
              </w:rPr>
              <w:t>表1-</w:t>
            </w:r>
            <w:r>
              <w:rPr>
                <w:rFonts w:hint="eastAsia" w:cs="Times New Roman"/>
                <w:b/>
                <w:color w:val="auto"/>
                <w:sz w:val="21"/>
                <w:szCs w:val="21"/>
                <w:lang w:val="en-US" w:eastAsia="zh-CN" w:bidi="en-US"/>
              </w:rPr>
              <w:t xml:space="preserve">1  </w:t>
            </w:r>
            <w:r>
              <w:rPr>
                <w:rFonts w:hint="default" w:ascii="Times New Roman" w:hAnsi="Times New Roman" w:cs="Times New Roman"/>
                <w:b/>
                <w:color w:val="auto"/>
                <w:sz w:val="21"/>
                <w:szCs w:val="21"/>
                <w:lang w:bidi="en-US"/>
              </w:rPr>
              <w:t>项目</w:t>
            </w:r>
            <w:r>
              <w:rPr>
                <w:rFonts w:hint="default" w:ascii="Times New Roman" w:hAnsi="Times New Roman" w:cs="Times New Roman"/>
                <w:b/>
                <w:color w:val="auto"/>
                <w:sz w:val="21"/>
                <w:szCs w:val="21"/>
                <w:lang w:eastAsia="zh-CN" w:bidi="en-US"/>
              </w:rPr>
              <w:t>“</w:t>
            </w:r>
            <w:r>
              <w:rPr>
                <w:rFonts w:hint="default" w:ascii="Times New Roman" w:hAnsi="Times New Roman" w:cs="Times New Roman"/>
                <w:b/>
                <w:color w:val="auto"/>
                <w:sz w:val="21"/>
                <w:szCs w:val="21"/>
                <w:lang w:bidi="en-US"/>
              </w:rPr>
              <w:t>三线一单</w:t>
            </w:r>
            <w:r>
              <w:rPr>
                <w:rFonts w:hint="default" w:ascii="Times New Roman" w:hAnsi="Times New Roman" w:cs="Times New Roman"/>
                <w:b/>
                <w:color w:val="auto"/>
                <w:sz w:val="21"/>
                <w:szCs w:val="21"/>
                <w:lang w:eastAsia="zh-CN" w:bidi="en-US"/>
              </w:rPr>
              <w:t>”符合性</w:t>
            </w:r>
            <w:r>
              <w:rPr>
                <w:rFonts w:hint="default" w:ascii="Times New Roman" w:hAnsi="Times New Roman" w:cs="Times New Roman"/>
                <w:b/>
                <w:color w:val="auto"/>
                <w:sz w:val="21"/>
                <w:szCs w:val="21"/>
                <w:lang w:bidi="en-US"/>
              </w:rPr>
              <w:t>分析表</w:t>
            </w:r>
            <w:r>
              <w:rPr>
                <w:rFonts w:hint="default" w:ascii="Times New Roman" w:hAnsi="Times New Roman" w:cs="Times New Roman"/>
                <w:b/>
                <w:color w:val="auto"/>
                <w:sz w:val="24"/>
                <w:szCs w:val="24"/>
                <w:lang w:val="en-US" w:eastAsia="zh-CN" w:bidi="en-US"/>
              </w:rPr>
              <w:t xml:space="preserve"> </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3857"/>
              <w:gridCol w:w="2324"/>
              <w:gridCol w:w="740"/>
            </w:tblGrid>
            <w:tr w14:paraId="7014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7" w:type="pct"/>
                  <w:vAlign w:val="center"/>
                </w:tcPr>
                <w:p w14:paraId="760160C1">
                  <w:pPr>
                    <w:adjustRightInd w:val="0"/>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内容</w:t>
                  </w:r>
                </w:p>
              </w:tc>
              <w:tc>
                <w:tcPr>
                  <w:tcW w:w="2553" w:type="pct"/>
                  <w:vAlign w:val="center"/>
                </w:tcPr>
                <w:p w14:paraId="566FDAA5">
                  <w:pPr>
                    <w:adjustRightInd w:val="0"/>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要求</w:t>
                  </w:r>
                </w:p>
              </w:tc>
              <w:tc>
                <w:tcPr>
                  <w:tcW w:w="1538" w:type="pct"/>
                  <w:vAlign w:val="center"/>
                </w:tcPr>
                <w:p w14:paraId="69A00262">
                  <w:pPr>
                    <w:adjustRightInd w:val="0"/>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项目情况</w:t>
                  </w:r>
                </w:p>
              </w:tc>
              <w:tc>
                <w:tcPr>
                  <w:tcW w:w="490" w:type="pct"/>
                  <w:vAlign w:val="center"/>
                </w:tcPr>
                <w:p w14:paraId="1B77CA46">
                  <w:pPr>
                    <w:adjustRightInd w:val="0"/>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符合性</w:t>
                  </w:r>
                </w:p>
              </w:tc>
            </w:tr>
            <w:tr w14:paraId="693CC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7" w:type="pct"/>
                  <w:vAlign w:val="center"/>
                </w:tcPr>
                <w:p w14:paraId="05E62FAC">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生态保护红线</w:t>
                  </w:r>
                </w:p>
              </w:tc>
              <w:tc>
                <w:tcPr>
                  <w:tcW w:w="2553" w:type="pct"/>
                  <w:vAlign w:val="center"/>
                </w:tcPr>
                <w:p w14:paraId="5CCF08B5">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val="en-US" w:eastAsia="zh-CN" w:bidi="ar-SA"/>
                    </w:rPr>
                    <w:t>依据中共中央办公厅、国务院办公厅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蚌埠市生态保护红线总面积为242.67 km</w:t>
                  </w:r>
                  <w:r>
                    <w:rPr>
                      <w:rFonts w:hint="default" w:ascii="Times New Roman" w:hAnsi="Times New Roman" w:eastAsia="宋体" w:cs="Times New Roman"/>
                      <w:color w:val="auto"/>
                      <w:sz w:val="21"/>
                      <w:szCs w:val="21"/>
                      <w:highlight w:val="none"/>
                      <w:vertAlign w:val="superscript"/>
                      <w:lang w:val="en-US" w:eastAsia="zh-CN" w:bidi="ar-SA"/>
                    </w:rPr>
                    <w:t>2</w:t>
                  </w:r>
                  <w:r>
                    <w:rPr>
                      <w:rFonts w:hint="default" w:ascii="Times New Roman" w:hAnsi="Times New Roman" w:eastAsia="宋体" w:cs="Times New Roman"/>
                      <w:color w:val="auto"/>
                      <w:sz w:val="21"/>
                      <w:szCs w:val="21"/>
                      <w:highlight w:val="none"/>
                      <w:lang w:val="en-US" w:eastAsia="zh-CN" w:bidi="ar-SA"/>
                    </w:rPr>
                    <w:t>，占蚌埠市全市总面积的4.08%。</w:t>
                  </w:r>
                </w:p>
              </w:tc>
              <w:tc>
                <w:tcPr>
                  <w:tcW w:w="1538" w:type="pct"/>
                  <w:vAlign w:val="center"/>
                </w:tcPr>
                <w:p w14:paraId="4C223F30">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kern w:val="0"/>
                      <w:sz w:val="21"/>
                      <w:szCs w:val="21"/>
                      <w:highlight w:val="none"/>
                    </w:rPr>
                    <w:t>项目位于</w:t>
                  </w:r>
                  <w:r>
                    <w:rPr>
                      <w:rFonts w:hint="default" w:ascii="Times New Roman" w:hAnsi="Times New Roman" w:cs="Times New Roman"/>
                      <w:color w:val="auto"/>
                      <w:sz w:val="21"/>
                      <w:szCs w:val="21"/>
                      <w:highlight w:val="none"/>
                      <w:lang w:val="en-US" w:eastAsia="zh-CN"/>
                    </w:rPr>
                    <w:t>安徽省蚌埠市固镇县刘集镇珍珠沟西侧，对照蚌埠市生态保护红线图，本项目不在生态红线范围内，所在地周边无自然保护区、饮用水源保护区等生态保护目标，故</w:t>
                  </w:r>
                  <w:r>
                    <w:rPr>
                      <w:rFonts w:hint="default" w:ascii="Times New Roman" w:hAnsi="Times New Roman" w:cs="Times New Roman"/>
                      <w:color w:val="auto"/>
                      <w:kern w:val="0"/>
                      <w:sz w:val="21"/>
                      <w:szCs w:val="21"/>
                      <w:highlight w:val="none"/>
                    </w:rPr>
                    <w:t>不在生态保护红线范围内</w:t>
                  </w:r>
                  <w:r>
                    <w:rPr>
                      <w:rFonts w:hint="default" w:ascii="Times New Roman" w:hAnsi="Times New Roman" w:cs="Times New Roman"/>
                      <w:color w:val="auto"/>
                      <w:kern w:val="0"/>
                      <w:sz w:val="21"/>
                      <w:szCs w:val="21"/>
                      <w:highlight w:val="none"/>
                      <w:lang w:eastAsia="zh-CN"/>
                    </w:rPr>
                    <w:t>。</w:t>
                  </w:r>
                </w:p>
              </w:tc>
              <w:tc>
                <w:tcPr>
                  <w:tcW w:w="490" w:type="pct"/>
                  <w:vAlign w:val="center"/>
                </w:tcPr>
                <w:p w14:paraId="7B22B1C7">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14:paraId="638D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7" w:type="pct"/>
                  <w:vMerge w:val="restart"/>
                  <w:vAlign w:val="center"/>
                </w:tcPr>
                <w:p w14:paraId="471F0941">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环境质量底线</w:t>
                  </w:r>
                </w:p>
              </w:tc>
              <w:tc>
                <w:tcPr>
                  <w:tcW w:w="2553" w:type="pct"/>
                  <w:vAlign w:val="center"/>
                </w:tcPr>
                <w:p w14:paraId="1470F477">
                  <w:pPr>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sz w:val="21"/>
                      <w:szCs w:val="21"/>
                      <w:highlight w:val="none"/>
                    </w:rPr>
                    <w:t>2025年地表水质量底线暂参考《重点流域水生态环境保护“十四五”规划》阶段性成果中明确的12个国考断面水质目标，最终以“十四五”规划确定的水质目标为准；2035年质量底线目标为暂定，最终以“十六五”生态环境保护规划确定的目标为准。淮河水体功能为三类，需达到《地表水环境质量标准》（GB3838-2002）Ⅲ类标准要求</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rPr>
                    <w:t>重点管控区</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依据《中华人民共和国水污染防治法》《水污染防治行动计划》《安徽省水污染防治工作方案》及各市水污染防治工作方案对重点管控区实施管控；依据《安徽省淮河流域水污染防治条例》对淮河流域实施管控；依据开发区规划、规划环评及审查意见相关要求对开发区实施管控；落实《“十四五”生态环境保护规划》《安徽省“十四五”环境保护规划》《安徽省“十四五”节能减排实施方案》等要求，新建、改建和扩建项目水污染物实施“等量替代”。</w:t>
                  </w:r>
                </w:p>
              </w:tc>
              <w:tc>
                <w:tcPr>
                  <w:tcW w:w="1538" w:type="pct"/>
                  <w:vAlign w:val="center"/>
                </w:tcPr>
                <w:p w14:paraId="12A7D0BA">
                  <w:pPr>
                    <w:jc w:val="center"/>
                    <w:rPr>
                      <w:rFonts w:hint="default" w:ascii="Times New Roman" w:hAnsi="Times New Roman"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SA"/>
                    </w:rPr>
                    <w:t>根据《长江经济带战略环境评价蚌埠市“三线一单”文本》，经与蚌埠市水环境分区管控图对照分析可知</w:t>
                  </w:r>
                  <w:r>
                    <w:rPr>
                      <w:rFonts w:hint="default" w:ascii="Times New Roman" w:hAnsi="Times New Roman" w:cs="Times New Roman"/>
                      <w:snapToGrid/>
                      <w:color w:val="auto"/>
                      <w:kern w:val="2"/>
                      <w:sz w:val="21"/>
                      <w:szCs w:val="21"/>
                      <w:lang w:val="en-US" w:eastAsia="zh-CN" w:bidi="ar-SA"/>
                    </w:rPr>
                    <w:t>，</w:t>
                  </w: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eastAsia="zh-CN"/>
                    </w:rPr>
                    <w:t>所在地为蚌埠市水环境城镇生活污染重点管控区，</w:t>
                  </w: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val="en-US" w:eastAsia="zh-CN"/>
                    </w:rPr>
                    <w:t>废水主要为生活污水、</w:t>
                  </w:r>
                  <w:r>
                    <w:rPr>
                      <w:rFonts w:hint="eastAsia"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lang w:val="en-US" w:eastAsia="zh-CN"/>
                    </w:rPr>
                    <w:t>废水，生活污水经隔油池、化粪池处理后用于农田堆肥，生产废水经自建污水处理站预处理后用于厂区绿化</w:t>
                  </w:r>
                  <w:r>
                    <w:rPr>
                      <w:rFonts w:hint="eastAsia" w:cs="Times New Roman"/>
                      <w:color w:val="auto"/>
                      <w:sz w:val="21"/>
                      <w:szCs w:val="21"/>
                      <w:highlight w:val="none"/>
                      <w:lang w:val="en-US" w:eastAsia="zh-CN"/>
                    </w:rPr>
                    <w:t>，废水不外排。</w:t>
                  </w:r>
                </w:p>
              </w:tc>
              <w:tc>
                <w:tcPr>
                  <w:tcW w:w="490" w:type="pct"/>
                  <w:vAlign w:val="center"/>
                </w:tcPr>
                <w:p w14:paraId="30DDF08C">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14:paraId="7D03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7" w:type="pct"/>
                  <w:vMerge w:val="continue"/>
                  <w:vAlign w:val="center"/>
                </w:tcPr>
                <w:p w14:paraId="07AE4528">
                  <w:pPr>
                    <w:adjustRightInd w:val="0"/>
                    <w:snapToGrid w:val="0"/>
                    <w:jc w:val="center"/>
                    <w:rPr>
                      <w:rFonts w:hint="default" w:ascii="Times New Roman" w:hAnsi="Times New Roman" w:cs="Times New Roman"/>
                      <w:bCs/>
                      <w:color w:val="auto"/>
                      <w:sz w:val="21"/>
                      <w:szCs w:val="21"/>
                    </w:rPr>
                  </w:pPr>
                </w:p>
              </w:tc>
              <w:tc>
                <w:tcPr>
                  <w:tcW w:w="2553" w:type="pct"/>
                  <w:vAlign w:val="center"/>
                </w:tcPr>
                <w:p w14:paraId="6CFCCC39">
                  <w:pPr>
                    <w:pStyle w:val="43"/>
                    <w:spacing w:line="240" w:lineRule="auto"/>
                    <w:ind w:left="-61" w:leftChars="-29" w:right="-107" w:rightChars="-51" w:firstLine="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highlight w:val="none"/>
                      <w:lang w:val="en-US" w:bidi="zh-CN"/>
                    </w:rPr>
                    <w:t>根据《蚌埠市生态环境局关于印发&lt;蚌埠市“十四五”大气污染防治规划&gt;的通知》(2022年12月12日)：2025年，环境空气质量持续改善，蚌埠市PM</w:t>
                  </w:r>
                  <w:r>
                    <w:rPr>
                      <w:rFonts w:hint="default" w:ascii="Times New Roman" w:hAnsi="Times New Roman" w:eastAsia="宋体" w:cs="Times New Roman"/>
                      <w:color w:val="auto"/>
                      <w:sz w:val="21"/>
                      <w:szCs w:val="21"/>
                      <w:highlight w:val="none"/>
                      <w:vertAlign w:val="subscript"/>
                      <w:lang w:val="en-US" w:bidi="zh-CN"/>
                    </w:rPr>
                    <w:t>2.5</w:t>
                  </w:r>
                  <w:r>
                    <w:rPr>
                      <w:rFonts w:hint="default" w:ascii="Times New Roman" w:hAnsi="Times New Roman" w:eastAsia="宋体" w:cs="Times New Roman"/>
                      <w:color w:val="auto"/>
                      <w:sz w:val="21"/>
                      <w:szCs w:val="21"/>
                      <w:highlight w:val="none"/>
                      <w:lang w:val="en-US" w:bidi="zh-CN"/>
                    </w:rPr>
                    <w:t>年均浓度控制在37微克/立方米。参考《蚌埠市大气污染防治联席会议办公室关于下达各县区2023年度空气质量改善目标的通知》（蚌大气办[2023]38号），对2025年各区县目标值进行调整，为暂定值，最终以2025年下达各区县环境空气质量目标为准。到2035年，蚌埠市PM</w:t>
                  </w:r>
                  <w:r>
                    <w:rPr>
                      <w:rFonts w:hint="default" w:ascii="Times New Roman" w:hAnsi="Times New Roman" w:eastAsia="宋体" w:cs="Times New Roman"/>
                      <w:color w:val="auto"/>
                      <w:sz w:val="21"/>
                      <w:szCs w:val="21"/>
                      <w:highlight w:val="none"/>
                      <w:vertAlign w:val="subscript"/>
                      <w:lang w:val="en-US" w:bidi="zh-CN"/>
                    </w:rPr>
                    <w:t>2.5</w:t>
                  </w:r>
                  <w:r>
                    <w:rPr>
                      <w:rFonts w:hint="default" w:ascii="Times New Roman" w:hAnsi="Times New Roman" w:eastAsia="宋体" w:cs="Times New Roman"/>
                      <w:color w:val="auto"/>
                      <w:sz w:val="21"/>
                      <w:szCs w:val="21"/>
                      <w:highlight w:val="none"/>
                      <w:lang w:val="en-US" w:bidi="zh-CN"/>
                    </w:rPr>
                    <w:t>平均浓度目标暂定为&lt;35微克/立方米。最终以“十六五”生态环境保护规划确定的目标为准。</w:t>
                  </w:r>
                  <w:r>
                    <w:rPr>
                      <w:rFonts w:hint="default" w:ascii="Times New Roman" w:hAnsi="Times New Roman" w:eastAsia="宋体" w:cs="Times New Roman"/>
                      <w:color w:val="auto"/>
                      <w:sz w:val="21"/>
                      <w:szCs w:val="21"/>
                    </w:rPr>
                    <w:t>重点管控区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落实《“十四五”生态环境保护规划》《安徽省“十四五”环境保护规划》《蚌埠市“十四五”生态环境保护规划》、中共蚌埠市委 蚌埠市人民政府关于印发《深入打好污染防治攻坚战实施方案》的通知等要求，严格落实目标，加强环境监管，促进生态环境质量好转。上年度PM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不达标城市新建、改建和扩建项目大气污染物实施“倍量替代”，执行特别排放标准的行业实施提标升级改造。</w:t>
                  </w:r>
                </w:p>
              </w:tc>
              <w:tc>
                <w:tcPr>
                  <w:tcW w:w="1538" w:type="pct"/>
                  <w:vAlign w:val="center"/>
                </w:tcPr>
                <w:p w14:paraId="24A2E760">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snapToGrid/>
                      <w:color w:val="auto"/>
                      <w:kern w:val="2"/>
                      <w:sz w:val="21"/>
                      <w:szCs w:val="21"/>
                      <w:lang w:val="en-US" w:eastAsia="zh-CN" w:bidi="ar-SA"/>
                    </w:rPr>
                    <w:t>根据《长江经济带战略环境评价蚌埠市“三线一单”文本》，经与蚌埠市大气环境分区管控图对照分析可知</w:t>
                  </w:r>
                  <w:r>
                    <w:rPr>
                      <w:rFonts w:hint="default" w:ascii="Times New Roman" w:hAnsi="Times New Roman" w:cs="Times New Roman"/>
                      <w:snapToGrid/>
                      <w:color w:val="auto"/>
                      <w:kern w:val="2"/>
                      <w:sz w:val="21"/>
                      <w:szCs w:val="21"/>
                      <w:lang w:val="en-US" w:eastAsia="zh-CN" w:bidi="ar-SA"/>
                    </w:rPr>
                    <w:t>，</w:t>
                  </w:r>
                  <w:r>
                    <w:rPr>
                      <w:rFonts w:hint="default" w:ascii="Times New Roman" w:hAnsi="Times New Roman" w:cs="Times New Roman"/>
                      <w:color w:val="auto"/>
                      <w:sz w:val="21"/>
                      <w:szCs w:val="21"/>
                      <w:highlight w:val="none"/>
                    </w:rPr>
                    <w:t>本</w:t>
                  </w:r>
                  <w:r>
                    <w:rPr>
                      <w:rFonts w:hint="default" w:ascii="Times New Roman" w:hAnsi="Times New Roman" w:cs="Times New Roman"/>
                      <w:color w:val="auto"/>
                      <w:sz w:val="21"/>
                      <w:szCs w:val="21"/>
                      <w:highlight w:val="none"/>
                      <w:lang w:eastAsia="zh-CN"/>
                    </w:rPr>
                    <w:t>项目所在地为蚌埠市大气环境受体敏感重点管控区，</w:t>
                  </w:r>
                  <w:r>
                    <w:rPr>
                      <w:rFonts w:hint="default" w:ascii="Times New Roman" w:hAnsi="Times New Roman" w:cs="Times New Roman"/>
                      <w:color w:val="auto"/>
                      <w:sz w:val="21"/>
                      <w:szCs w:val="21"/>
                      <w:highlight w:val="none"/>
                    </w:rPr>
                    <w:t>本项目所在地</w:t>
                  </w:r>
                  <w:r>
                    <w:rPr>
                      <w:rFonts w:hint="eastAsia" w:cs="Times New Roman"/>
                      <w:color w:val="auto"/>
                      <w:sz w:val="21"/>
                      <w:szCs w:val="21"/>
                      <w:highlight w:val="none"/>
                      <w:lang w:eastAsia="zh-CN"/>
                    </w:rPr>
                    <w:t>PM</w:t>
                  </w:r>
                  <w:r>
                    <w:rPr>
                      <w:rFonts w:hint="eastAsia" w:cs="Times New Roman"/>
                      <w:color w:val="auto"/>
                      <w:sz w:val="21"/>
                      <w:szCs w:val="21"/>
                      <w:highlight w:val="none"/>
                      <w:vertAlign w:val="subscript"/>
                      <w:lang w:eastAsia="zh-CN"/>
                    </w:rPr>
                    <w:t>2.5</w:t>
                  </w:r>
                  <w:r>
                    <w:rPr>
                      <w:rFonts w:hint="default" w:ascii="Times New Roman" w:hAnsi="Times New Roman" w:cs="Times New Roman"/>
                      <w:color w:val="auto"/>
                      <w:sz w:val="21"/>
                      <w:szCs w:val="21"/>
                      <w:highlight w:val="none"/>
                    </w:rPr>
                    <w:t>目前处于超标状态，本项目</w:t>
                  </w:r>
                  <w:r>
                    <w:rPr>
                      <w:rFonts w:hint="default" w:ascii="Times New Roman" w:hAnsi="Times New Roman" w:cs="Times New Roman"/>
                      <w:color w:val="auto"/>
                      <w:sz w:val="21"/>
                      <w:szCs w:val="21"/>
                    </w:rPr>
                    <w:t>运营过程中会产生一定的污染物，采取相应的污染防治措施后，各类污染物的排放对周围环境造成的影响较小，不会降低当地环境质量</w:t>
                  </w:r>
                  <w:r>
                    <w:rPr>
                      <w:rFonts w:hint="default" w:ascii="Times New Roman" w:hAnsi="Times New Roman" w:cs="Times New Roman"/>
                      <w:color w:val="auto"/>
                      <w:sz w:val="21"/>
                      <w:szCs w:val="21"/>
                      <w:highlight w:val="none"/>
                    </w:rPr>
                    <w:t>。</w:t>
                  </w:r>
                </w:p>
              </w:tc>
              <w:tc>
                <w:tcPr>
                  <w:tcW w:w="490" w:type="pct"/>
                  <w:vAlign w:val="center"/>
                </w:tcPr>
                <w:p w14:paraId="4DF13578">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符合</w:t>
                  </w:r>
                </w:p>
              </w:tc>
            </w:tr>
            <w:tr w14:paraId="11C5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7" w:type="pct"/>
                  <w:vMerge w:val="continue"/>
                  <w:vAlign w:val="center"/>
                </w:tcPr>
                <w:p w14:paraId="3162BD60">
                  <w:pPr>
                    <w:adjustRightInd w:val="0"/>
                    <w:snapToGrid w:val="0"/>
                    <w:jc w:val="center"/>
                    <w:rPr>
                      <w:rFonts w:hint="default" w:ascii="Times New Roman" w:hAnsi="Times New Roman" w:cs="Times New Roman"/>
                      <w:bCs/>
                      <w:color w:val="auto"/>
                      <w:sz w:val="21"/>
                      <w:szCs w:val="21"/>
                    </w:rPr>
                  </w:pPr>
                </w:p>
              </w:tc>
              <w:tc>
                <w:tcPr>
                  <w:tcW w:w="2553" w:type="pct"/>
                  <w:vAlign w:val="center"/>
                </w:tcPr>
                <w:p w14:paraId="67FBB5C9">
                  <w:pPr>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highlight w:val="none"/>
                      <w:lang w:eastAsia="zh-TW" w:bidi="zh-CN"/>
                    </w:rPr>
                    <w:t>根据《蚌埠市土壤污染防治规划 (2021-2025年)》，到2025年，全市土壤和地下水环境质量总体保持稳定，局部地区稳中向好，受污染耕地和污染地块安全利用水平得到巩固提升，进一步保障老百姓“吃得放心、住得安心”；农业面源污染得到初步管控，农村生态环境基础设施建设加快推进，生产生活方式绿色转型取得显著成效，农村生态环 境明显改善，打造生态宜居的美丽乡村，为老百姓留住山清水秀、鸟语花香的田园风光。根据规划指标，到2025年，受污染耕地安全利用率达到95%左右，重点建设用地安全利用率得到有效保障。</w:t>
                  </w:r>
                  <w:r>
                    <w:rPr>
                      <w:rFonts w:hint="default" w:ascii="Times New Roman" w:hAnsi="Times New Roman" w:eastAsia="宋体" w:cs="Times New Roman"/>
                      <w:color w:val="auto"/>
                      <w:sz w:val="21"/>
                      <w:szCs w:val="21"/>
                    </w:rPr>
                    <w:t>重点防控区：落实《中华人民共和国土壤污染防治法》《土壤污染防治行动计划》《农用地土壤环境管理办法（试行）》《工矿用地土壤环境管理办法（试行）》《“十四五”生态环境保护规划》《安徽省“十四五”环境保护规划》《安徽省重金属污染防控工作方案》《蚌埠市十四五生态环境保护规划》《蚌埠市土壤污染防治规划（2021-2025年）》《蚌埠市“十四五”危险废物工业固体废物污染环境防治规划》《蚌埠市医疗废物管理条例》等要求，防止土壤污染风险。</w:t>
                  </w:r>
                </w:p>
              </w:tc>
              <w:tc>
                <w:tcPr>
                  <w:tcW w:w="1538" w:type="pct"/>
                  <w:vAlign w:val="center"/>
                </w:tcPr>
                <w:p w14:paraId="171250F1">
                  <w:pPr>
                    <w:jc w:val="center"/>
                    <w:rPr>
                      <w:rFonts w:hint="default" w:ascii="Times New Roman" w:hAnsi="Times New Roman" w:cs="Times New Roman"/>
                      <w:color w:val="auto"/>
                      <w:sz w:val="21"/>
                      <w:szCs w:val="21"/>
                    </w:rPr>
                  </w:pPr>
                  <w:r>
                    <w:rPr>
                      <w:rFonts w:hint="default" w:ascii="Times New Roman" w:hAnsi="Times New Roman" w:eastAsia="宋体" w:cs="Times New Roman"/>
                      <w:snapToGrid/>
                      <w:color w:val="auto"/>
                      <w:kern w:val="2"/>
                      <w:sz w:val="21"/>
                      <w:szCs w:val="21"/>
                      <w:lang w:val="en-US" w:eastAsia="zh-CN" w:bidi="ar-SA"/>
                    </w:rPr>
                    <w:t>根据《长江经济带战略环境评价蚌埠市“三线一单”文本》，经与蚌埠市土壤污染风险分区管控图对照分析可知</w:t>
                  </w:r>
                  <w:r>
                    <w:rPr>
                      <w:rFonts w:hint="default" w:ascii="Times New Roman" w:hAnsi="Times New Roman" w:cs="Times New Roman"/>
                      <w:snapToGrid/>
                      <w:color w:val="auto"/>
                      <w:kern w:val="2"/>
                      <w:sz w:val="21"/>
                      <w:szCs w:val="21"/>
                      <w:lang w:val="en-US" w:eastAsia="zh-CN" w:bidi="ar-SA"/>
                    </w:rPr>
                    <w:t>，</w:t>
                  </w:r>
                  <w:r>
                    <w:rPr>
                      <w:rFonts w:hint="default" w:ascii="Times New Roman" w:hAnsi="Times New Roman" w:cs="Times New Roman"/>
                      <w:color w:val="auto"/>
                      <w:sz w:val="21"/>
                      <w:szCs w:val="21"/>
                      <w:highlight w:val="none"/>
                      <w:lang w:eastAsia="zh-CN"/>
                    </w:rPr>
                    <w:t>本项目所在地为蚌埠市土壤一般管控区，不属于土壤优先保护区，产生的影响在环境承载力范围内，不会降低现有环境功能</w:t>
                  </w:r>
                  <w:r>
                    <w:rPr>
                      <w:rFonts w:hint="default" w:ascii="Times New Roman" w:hAnsi="Times New Roman" w:cs="Times New Roman"/>
                      <w:color w:val="auto"/>
                      <w:sz w:val="21"/>
                      <w:szCs w:val="21"/>
                      <w:highlight w:val="none"/>
                      <w:lang w:val="en-US" w:eastAsia="zh-CN"/>
                    </w:rPr>
                    <w:t>。</w:t>
                  </w:r>
                </w:p>
              </w:tc>
              <w:tc>
                <w:tcPr>
                  <w:tcW w:w="490" w:type="pct"/>
                  <w:vAlign w:val="center"/>
                </w:tcPr>
                <w:p w14:paraId="1DFDF564">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符合</w:t>
                  </w:r>
                </w:p>
              </w:tc>
            </w:tr>
            <w:tr w14:paraId="56B0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7" w:type="pct"/>
                  <w:vAlign w:val="center"/>
                </w:tcPr>
                <w:p w14:paraId="7E12C5D5">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资源利用上限</w:t>
                  </w:r>
                </w:p>
              </w:tc>
              <w:tc>
                <w:tcPr>
                  <w:tcW w:w="2553" w:type="pct"/>
                  <w:vAlign w:val="center"/>
                </w:tcPr>
                <w:p w14:paraId="2E0B2CFE">
                  <w:pPr>
                    <w:snapToGrid w:val="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highlight w:val="none"/>
                      <w:lang w:bidi="en-US"/>
                    </w:rPr>
                    <w:t>“十四五”期间，全市能源发展坚持以满足国民经济发展为中心，进一步完善能源供应保障能力，提升能源利用效率，推进能源基础设施建设，控制单位GDP能耗和碳排放强度，着力构建清洁低碳、安全高效的能源体系。到“十四五”末，全市能源消费总量完成省下达指标。依据《安徽省人民政府办公厅关于印发安徽省实行最严格水资源管理制度考核办法的通知》（皖政办〔2013〕49号）等文件要求，至2020年蚌埠市用水总量控制在16.13亿（贯流式火电按耗水量统计，下同）；2020年万元国内生产总值用水量比2015年下降31%、万元工业增加值用水量比2015年下降23%、农田灌溉水有效利用系数达到0.575。地下水开釆重点管控区主要涉及固镇县城近郊区及连城镇，面积70.98km</w:t>
                  </w:r>
                  <w:r>
                    <w:rPr>
                      <w:rFonts w:hint="default" w:ascii="Times New Roman" w:hAnsi="Times New Roman" w:cs="Times New Roman"/>
                      <w:color w:val="auto"/>
                      <w:sz w:val="21"/>
                      <w:szCs w:val="21"/>
                      <w:highlight w:val="none"/>
                      <w:vertAlign w:val="superscript"/>
                      <w:lang w:bidi="en-US"/>
                    </w:rPr>
                    <w:t>2</w:t>
                  </w:r>
                  <w:r>
                    <w:rPr>
                      <w:rFonts w:hint="default" w:ascii="Times New Roman" w:hAnsi="Times New Roman" w:cs="Times New Roman"/>
                      <w:color w:val="auto"/>
                      <w:sz w:val="21"/>
                      <w:szCs w:val="21"/>
                      <w:highlight w:val="none"/>
                      <w:lang w:bidi="en-US"/>
                    </w:rPr>
                    <w:t>，占蚌埠市国土面积的1.19%。根据《国土资源部关于安徽省土地利用总体规划（2006-2020年）有关指标调整的函》（国土资函〔2017〕355号）、《安徽省主体功能区规划》等文件，蚌埠市无土地资源重点管控区。</w:t>
                  </w:r>
                </w:p>
              </w:tc>
              <w:tc>
                <w:tcPr>
                  <w:tcW w:w="1538" w:type="pct"/>
                  <w:vAlign w:val="center"/>
                </w:tcPr>
                <w:p w14:paraId="08717889">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项目采用的能源主要为电、</w:t>
                  </w:r>
                  <w:r>
                    <w:rPr>
                      <w:rFonts w:hint="eastAsia" w:cs="Times New Roman"/>
                      <w:color w:val="auto"/>
                      <w:sz w:val="21"/>
                      <w:szCs w:val="21"/>
                      <w:lang w:val="en-US" w:eastAsia="zh-CN"/>
                    </w:rPr>
                    <w:t>蒸汽、天然气</w:t>
                  </w:r>
                  <w:r>
                    <w:rPr>
                      <w:rFonts w:hint="default" w:ascii="Times New Roman" w:hAnsi="Times New Roman" w:cs="Times New Roman"/>
                      <w:color w:val="auto"/>
                      <w:sz w:val="21"/>
                      <w:szCs w:val="21"/>
                    </w:rPr>
                    <w:t>，不使用煤炭作为能源燃料，项目资源消耗量占区域资源利用总量较少，项目用地为工业用地，项目建成运行后通过内部管理、设备选择、原辅材料的选用和管理、污染治理等多方面的措施，可使产生的污染物得到了有效的处置，符合清洁运营的要求。项目对资源的使用较</w:t>
                  </w:r>
                  <w:r>
                    <w:rPr>
                      <w:rFonts w:hint="default" w:ascii="Times New Roman" w:hAnsi="Times New Roman" w:cs="Times New Roman"/>
                      <w:color w:val="auto"/>
                      <w:spacing w:val="-2"/>
                      <w:sz w:val="21"/>
                      <w:szCs w:val="21"/>
                    </w:rPr>
                    <w:t>少、利用率较高，不</w:t>
                  </w:r>
                  <w:r>
                    <w:rPr>
                      <w:rFonts w:hint="default" w:ascii="Times New Roman" w:hAnsi="Times New Roman" w:cs="Times New Roman"/>
                      <w:color w:val="auto"/>
                      <w:sz w:val="21"/>
                      <w:szCs w:val="21"/>
                    </w:rPr>
                    <w:t>触及资源利用上线。</w:t>
                  </w:r>
                </w:p>
              </w:tc>
              <w:tc>
                <w:tcPr>
                  <w:tcW w:w="490" w:type="pct"/>
                  <w:vAlign w:val="center"/>
                </w:tcPr>
                <w:p w14:paraId="580DC849">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14:paraId="6A98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417" w:type="pct"/>
                  <w:vAlign w:val="center"/>
                </w:tcPr>
                <w:p w14:paraId="30FD8996">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生态环境准入清单</w:t>
                  </w:r>
                </w:p>
              </w:tc>
              <w:tc>
                <w:tcPr>
                  <w:tcW w:w="2553" w:type="pct"/>
                  <w:vAlign w:val="center"/>
                </w:tcPr>
                <w:p w14:paraId="410124B9">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highlight w:val="none"/>
                      <w:lang w:bidi="zh-TW"/>
                    </w:rPr>
                    <w:t>根据安徽省三线一单成果，全省建立</w:t>
                  </w:r>
                  <w:r>
                    <w:rPr>
                      <w:rFonts w:hint="default" w:ascii="Times New Roman" w:hAnsi="Times New Roman" w:cs="Times New Roman"/>
                      <w:color w:val="auto"/>
                      <w:sz w:val="21"/>
                      <w:szCs w:val="21"/>
                      <w:highlight w:val="none"/>
                      <w:lang w:bidi="en-US"/>
                    </w:rPr>
                    <w:t>“1+5+16+N”</w:t>
                  </w:r>
                  <w:r>
                    <w:rPr>
                      <w:rFonts w:hint="default" w:ascii="Times New Roman" w:hAnsi="Times New Roman" w:cs="Times New Roman"/>
                      <w:color w:val="auto"/>
                      <w:sz w:val="21"/>
                      <w:szCs w:val="21"/>
                      <w:highlight w:val="none"/>
                      <w:lang w:bidi="zh-TW"/>
                    </w:rPr>
                    <w:t>的四级清单管控体系。省级建立并发布省级清单、区域清单；初步确定市级清单，制作管控单元清单模板，市级清单、管控单元清单在市级</w:t>
                  </w:r>
                  <w:r>
                    <w:rPr>
                      <w:rFonts w:hint="default" w:ascii="Times New Roman" w:hAnsi="Times New Roman" w:cs="Times New Roman"/>
                      <w:color w:val="auto"/>
                      <w:sz w:val="21"/>
                      <w:szCs w:val="21"/>
                      <w:highlight w:val="none"/>
                      <w:lang w:bidi="zh-CN"/>
                    </w:rPr>
                    <w:t>“三线</w:t>
                  </w:r>
                  <w:r>
                    <w:rPr>
                      <w:rFonts w:hint="default" w:ascii="Times New Roman" w:hAnsi="Times New Roman" w:cs="Times New Roman"/>
                      <w:color w:val="auto"/>
                      <w:sz w:val="21"/>
                      <w:szCs w:val="21"/>
                      <w:highlight w:val="none"/>
                      <w:lang w:bidi="zh-TW"/>
                    </w:rPr>
                    <w:t>一单”编制过程中进一步细化。蚌埠市形成了“1+1”+“1+15+132”的管控体系。“1+1”即省级和沿淮两个区域清单，“1+15+132”即1个市级清单、15个开发区清单和132个管控单元清单。</w:t>
                  </w:r>
                </w:p>
              </w:tc>
              <w:tc>
                <w:tcPr>
                  <w:tcW w:w="1538" w:type="pct"/>
                  <w:vAlign w:val="center"/>
                </w:tcPr>
                <w:p w14:paraId="60628CB4">
                  <w:pPr>
                    <w:adjustRightInd w:val="0"/>
                    <w:snapToGrid w:val="0"/>
                    <w:jc w:val="center"/>
                    <w:rPr>
                      <w:rFonts w:hint="eastAsia" w:ascii="Times New Roman" w:hAnsi="Times New Roman" w:eastAsia="宋体" w:cs="Times New Roman"/>
                      <w:bCs/>
                      <w:color w:val="auto"/>
                      <w:sz w:val="21"/>
                      <w:szCs w:val="21"/>
                      <w:lang w:eastAsia="zh-CN"/>
                    </w:rPr>
                  </w:pPr>
                  <w:r>
                    <w:rPr>
                      <w:rFonts w:hint="default" w:ascii="Times New Roman" w:hAnsi="Times New Roman" w:cs="Times New Roman"/>
                      <w:color w:val="auto"/>
                      <w:sz w:val="21"/>
                      <w:szCs w:val="21"/>
                    </w:rPr>
                    <w:t>本项目为</w:t>
                  </w:r>
                  <w:r>
                    <w:rPr>
                      <w:rFonts w:hint="default" w:ascii="Times New Roman" w:hAnsi="Times New Roman" w:eastAsia="宋体" w:cs="Times New Roman"/>
                      <w:color w:val="auto"/>
                      <w:sz w:val="21"/>
                      <w:szCs w:val="21"/>
                      <w:lang w:val="en-US" w:eastAsia="zh-CN"/>
                    </w:rPr>
                    <w:t>C1391 淀粉及淀粉制品制造、C1392 豆制品制造及C1393 蛋品加工</w:t>
                  </w:r>
                  <w:r>
                    <w:rPr>
                      <w:rFonts w:hint="eastAsia" w:cs="Times New Roman"/>
                      <w:color w:val="auto"/>
                      <w:sz w:val="21"/>
                      <w:szCs w:val="21"/>
                      <w:lang w:val="en-US" w:eastAsia="zh-CN"/>
                    </w:rPr>
                    <w:t>项目</w:t>
                  </w:r>
                  <w:r>
                    <w:rPr>
                      <w:rFonts w:hint="default" w:ascii="Times New Roman" w:hAnsi="Times New Roman" w:cs="Times New Roman"/>
                      <w:color w:val="auto"/>
                      <w:sz w:val="21"/>
                      <w:szCs w:val="21"/>
                    </w:rPr>
                    <w:t>，根据国家发改委《产业结构调整指导目录（20</w:t>
                  </w:r>
                  <w:r>
                    <w:rPr>
                      <w:rFonts w:hint="default"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rPr>
                    <w:t>年本）》，本项目符合国家产业、地方现行的产业政策和技术政策，不属于国家明令禁止、淘汰、限制的生产工艺和国家明令禁止的“十五小”和新“五小”企业</w:t>
                  </w:r>
                  <w:r>
                    <w:rPr>
                      <w:rFonts w:hint="default" w:ascii="Times New Roman" w:hAnsi="Times New Roman" w:cs="Times New Roman"/>
                      <w:color w:val="auto"/>
                      <w:sz w:val="21"/>
                      <w:szCs w:val="21"/>
                      <w:lang w:eastAsia="zh-CN"/>
                    </w:rPr>
                    <w:t>符合生态环境准入清单的要求</w:t>
                  </w:r>
                  <w:r>
                    <w:rPr>
                      <w:rFonts w:hint="eastAsia" w:cs="Times New Roman"/>
                      <w:color w:val="auto"/>
                      <w:sz w:val="21"/>
                      <w:szCs w:val="21"/>
                      <w:lang w:eastAsia="zh-CN"/>
                    </w:rPr>
                    <w:t>。</w:t>
                  </w:r>
                </w:p>
              </w:tc>
              <w:tc>
                <w:tcPr>
                  <w:tcW w:w="490" w:type="pct"/>
                  <w:vAlign w:val="center"/>
                </w:tcPr>
                <w:p w14:paraId="203379EF">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bl>
          <w:p w14:paraId="12DACFF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b/>
                <w:color w:val="auto"/>
                <w:sz w:val="24"/>
                <w:szCs w:val="24"/>
              </w:rPr>
            </w:pPr>
            <w:r>
              <w:rPr>
                <w:rFonts w:hint="default" w:ascii="宋体" w:hAnsi="Times New Roman" w:eastAsia="宋体"/>
                <w:color w:val="auto"/>
                <w:kern w:val="0"/>
                <w:sz w:val="24"/>
                <w:szCs w:val="24"/>
                <w:lang w:bidi="ar"/>
              </w:rPr>
              <w:t>经对照安徽省“三线一单”公众服务平台，本项目涉及的环境管控单元为重点管控单元，重点管控单元编码“</w:t>
            </w:r>
            <w:r>
              <w:rPr>
                <w:rFonts w:hint="default"/>
                <w:color w:val="auto"/>
                <w:sz w:val="24"/>
                <w:szCs w:val="24"/>
              </w:rPr>
              <w:t>ZH34032320005</w:t>
            </w:r>
            <w:r>
              <w:rPr>
                <w:rFonts w:hint="default"/>
                <w:color w:val="auto"/>
                <w:kern w:val="0"/>
                <w:sz w:val="24"/>
                <w:szCs w:val="24"/>
                <w:lang w:bidi="ar"/>
              </w:rPr>
              <w:t>”</w:t>
            </w:r>
            <w:r>
              <w:rPr>
                <w:rFonts w:hint="default" w:ascii="宋体" w:hAnsi="Times New Roman" w:eastAsia="宋体"/>
                <w:color w:val="auto"/>
                <w:kern w:val="0"/>
                <w:sz w:val="24"/>
                <w:szCs w:val="24"/>
                <w:lang w:bidi="ar"/>
              </w:rPr>
              <w:t>，属于大气重点/水重点管控单元，本项目环境管控单元情况及管控要求见下表。</w:t>
            </w:r>
          </w:p>
          <w:p w14:paraId="15F7990F">
            <w:pPr>
              <w:tabs>
                <w:tab w:val="left" w:leader="dot" w:pos="7371"/>
              </w:tabs>
              <w:spacing w:beforeLines="0" w:afterLines="0"/>
              <w:jc w:val="center"/>
              <w:rPr>
                <w:rFonts w:hint="default"/>
                <w:b/>
                <w:color w:val="auto"/>
                <w:sz w:val="21"/>
                <w:szCs w:val="21"/>
              </w:rPr>
            </w:pPr>
            <w:r>
              <w:rPr>
                <w:rFonts w:hint="default" w:ascii="宋体" w:hAnsi="Times New Roman" w:eastAsia="宋体"/>
                <w:b/>
                <w:color w:val="auto"/>
                <w:sz w:val="21"/>
                <w:szCs w:val="21"/>
              </w:rPr>
              <w:t>表1-</w:t>
            </w:r>
            <w:r>
              <w:rPr>
                <w:rFonts w:hint="eastAsia" w:ascii="宋体"/>
                <w:b/>
                <w:color w:val="auto"/>
                <w:sz w:val="21"/>
                <w:szCs w:val="21"/>
                <w:lang w:val="en-US" w:eastAsia="zh-CN"/>
              </w:rPr>
              <w:t>2</w:t>
            </w:r>
            <w:r>
              <w:rPr>
                <w:rFonts w:hint="default" w:ascii="宋体" w:hAnsi="Times New Roman" w:eastAsia="宋体"/>
                <w:b/>
                <w:color w:val="auto"/>
                <w:sz w:val="21"/>
                <w:szCs w:val="21"/>
              </w:rPr>
              <w:t xml:space="preserve">  本项目涉及环境管控单元情况一览表</w:t>
            </w:r>
          </w:p>
          <w:tbl>
            <w:tblPr>
              <w:tblStyle w:val="25"/>
              <w:tblW w:w="7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1575"/>
              <w:gridCol w:w="1822"/>
              <w:gridCol w:w="1822"/>
            </w:tblGrid>
            <w:tr w14:paraId="75A6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D31090">
                  <w:pPr>
                    <w:tabs>
                      <w:tab w:val="left" w:leader="dot" w:pos="7371"/>
                    </w:tabs>
                    <w:spacing w:beforeLines="0" w:afterLines="0"/>
                    <w:jc w:val="center"/>
                    <w:rPr>
                      <w:rFonts w:hint="default"/>
                      <w:b/>
                      <w:color w:val="auto"/>
                      <w:sz w:val="21"/>
                      <w:szCs w:val="24"/>
                    </w:rPr>
                  </w:pPr>
                  <w:r>
                    <w:rPr>
                      <w:rFonts w:hint="default" w:ascii="宋体" w:hAnsi="Times New Roman" w:eastAsia="宋体"/>
                      <w:b/>
                      <w:color w:val="auto"/>
                      <w:sz w:val="21"/>
                      <w:szCs w:val="24"/>
                    </w:rPr>
                    <w:t>行政区</w:t>
                  </w:r>
                </w:p>
              </w:tc>
              <w:tc>
                <w:tcPr>
                  <w:tcW w:w="15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A93A09">
                  <w:pPr>
                    <w:tabs>
                      <w:tab w:val="left" w:leader="dot" w:pos="7371"/>
                    </w:tabs>
                    <w:spacing w:beforeLines="0" w:afterLines="0"/>
                    <w:jc w:val="center"/>
                    <w:rPr>
                      <w:rFonts w:hint="default"/>
                      <w:b/>
                      <w:color w:val="auto"/>
                      <w:sz w:val="21"/>
                      <w:szCs w:val="24"/>
                    </w:rPr>
                  </w:pPr>
                  <w:r>
                    <w:rPr>
                      <w:rFonts w:hint="default" w:ascii="宋体" w:hAnsi="Times New Roman" w:eastAsia="宋体"/>
                      <w:b/>
                      <w:color w:val="auto"/>
                      <w:sz w:val="21"/>
                      <w:szCs w:val="24"/>
                    </w:rPr>
                    <w:t>管控单元</w:t>
                  </w:r>
                </w:p>
              </w:tc>
              <w:tc>
                <w:tcPr>
                  <w:tcW w:w="18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28C02C">
                  <w:pPr>
                    <w:tabs>
                      <w:tab w:val="left" w:leader="dot" w:pos="7371"/>
                    </w:tabs>
                    <w:spacing w:beforeLines="0" w:afterLines="0"/>
                    <w:jc w:val="center"/>
                    <w:rPr>
                      <w:rFonts w:hint="default"/>
                      <w:b/>
                      <w:color w:val="auto"/>
                      <w:sz w:val="21"/>
                      <w:szCs w:val="24"/>
                    </w:rPr>
                  </w:pPr>
                  <w:r>
                    <w:rPr>
                      <w:rFonts w:hint="default" w:ascii="宋体" w:hAnsi="Times New Roman" w:eastAsia="宋体"/>
                      <w:b/>
                      <w:color w:val="auto"/>
                      <w:sz w:val="21"/>
                      <w:szCs w:val="24"/>
                    </w:rPr>
                    <w:t>管控单元细类</w:t>
                  </w:r>
                </w:p>
              </w:tc>
              <w:tc>
                <w:tcPr>
                  <w:tcW w:w="18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087620">
                  <w:pPr>
                    <w:tabs>
                      <w:tab w:val="left" w:leader="dot" w:pos="7371"/>
                    </w:tabs>
                    <w:spacing w:beforeLines="0" w:afterLines="0"/>
                    <w:jc w:val="center"/>
                    <w:rPr>
                      <w:rFonts w:hint="default"/>
                      <w:b/>
                      <w:color w:val="auto"/>
                      <w:sz w:val="21"/>
                      <w:szCs w:val="24"/>
                    </w:rPr>
                  </w:pPr>
                  <w:r>
                    <w:rPr>
                      <w:rFonts w:hint="default" w:ascii="宋体" w:hAnsi="Times New Roman" w:eastAsia="宋体"/>
                      <w:b/>
                      <w:color w:val="auto"/>
                      <w:sz w:val="21"/>
                      <w:szCs w:val="24"/>
                    </w:rPr>
                    <w:t>管控单元编码</w:t>
                  </w:r>
                </w:p>
              </w:tc>
            </w:tr>
            <w:tr w14:paraId="6235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9916E3">
                  <w:pPr>
                    <w:tabs>
                      <w:tab w:val="left" w:leader="dot" w:pos="7371"/>
                    </w:tabs>
                    <w:spacing w:beforeLines="0" w:afterLines="0"/>
                    <w:jc w:val="center"/>
                    <w:rPr>
                      <w:rFonts w:hint="eastAsia" w:eastAsia="宋体"/>
                      <w:color w:val="auto"/>
                      <w:sz w:val="21"/>
                      <w:szCs w:val="24"/>
                      <w:lang w:eastAsia="zh-CN"/>
                    </w:rPr>
                  </w:pPr>
                  <w:r>
                    <w:rPr>
                      <w:rFonts w:hint="default" w:ascii="宋体" w:hAnsi="Times New Roman" w:eastAsia="宋体"/>
                      <w:color w:val="auto"/>
                      <w:sz w:val="21"/>
                      <w:szCs w:val="24"/>
                    </w:rPr>
                    <w:t>蚌埠市</w:t>
                  </w:r>
                </w:p>
              </w:tc>
              <w:tc>
                <w:tcPr>
                  <w:tcW w:w="15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B154AC">
                  <w:pPr>
                    <w:tabs>
                      <w:tab w:val="left" w:leader="dot" w:pos="7371"/>
                    </w:tabs>
                    <w:spacing w:beforeLines="0" w:afterLines="0"/>
                    <w:jc w:val="center"/>
                    <w:rPr>
                      <w:rFonts w:hint="default"/>
                      <w:color w:val="auto"/>
                      <w:sz w:val="21"/>
                      <w:szCs w:val="24"/>
                    </w:rPr>
                  </w:pPr>
                  <w:r>
                    <w:rPr>
                      <w:rFonts w:hint="default" w:ascii="宋体" w:hAnsi="Times New Roman" w:eastAsia="宋体"/>
                      <w:color w:val="auto"/>
                      <w:sz w:val="21"/>
                      <w:szCs w:val="24"/>
                    </w:rPr>
                    <w:t>重点管控单元</w:t>
                  </w:r>
                </w:p>
              </w:tc>
              <w:tc>
                <w:tcPr>
                  <w:tcW w:w="18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236A74">
                  <w:pPr>
                    <w:tabs>
                      <w:tab w:val="left" w:leader="dot" w:pos="7371"/>
                    </w:tabs>
                    <w:spacing w:beforeLines="0" w:afterLines="0"/>
                    <w:jc w:val="center"/>
                    <w:rPr>
                      <w:rFonts w:hint="default"/>
                      <w:color w:val="auto"/>
                      <w:sz w:val="21"/>
                      <w:szCs w:val="24"/>
                    </w:rPr>
                  </w:pPr>
                  <w:r>
                    <w:rPr>
                      <w:rFonts w:hint="default" w:ascii="宋体" w:hAnsi="Times New Roman" w:eastAsia="宋体"/>
                      <w:color w:val="auto"/>
                      <w:sz w:val="21"/>
                      <w:szCs w:val="24"/>
                    </w:rPr>
                    <w:t>大气重点/水重点</w:t>
                  </w:r>
                </w:p>
              </w:tc>
              <w:tc>
                <w:tcPr>
                  <w:tcW w:w="18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FE65FA">
                  <w:pPr>
                    <w:tabs>
                      <w:tab w:val="left" w:leader="dot" w:pos="7371"/>
                    </w:tabs>
                    <w:spacing w:beforeLines="0" w:afterLines="0"/>
                    <w:jc w:val="center"/>
                    <w:rPr>
                      <w:rFonts w:hint="default" w:ascii="宋体" w:hAnsi="Times New Roman" w:eastAsia="宋体"/>
                      <w:color w:val="auto"/>
                      <w:sz w:val="21"/>
                      <w:szCs w:val="24"/>
                    </w:rPr>
                  </w:pPr>
                  <w:r>
                    <w:rPr>
                      <w:rFonts w:hint="default"/>
                      <w:color w:val="auto"/>
                      <w:sz w:val="21"/>
                      <w:szCs w:val="24"/>
                    </w:rPr>
                    <w:t>ZH34032320005</w:t>
                  </w:r>
                </w:p>
              </w:tc>
            </w:tr>
          </w:tbl>
          <w:p w14:paraId="3AEEC529">
            <w:pPr>
              <w:tabs>
                <w:tab w:val="left" w:leader="dot" w:pos="7371"/>
              </w:tabs>
              <w:spacing w:beforeLines="0" w:afterLines="0"/>
              <w:jc w:val="center"/>
              <w:rPr>
                <w:rFonts w:hint="default"/>
                <w:b/>
                <w:color w:val="auto"/>
                <w:sz w:val="24"/>
                <w:szCs w:val="24"/>
              </w:rPr>
            </w:pPr>
            <w:r>
              <w:rPr>
                <w:rFonts w:hint="default" w:ascii="宋体" w:hAnsi="Times New Roman" w:eastAsia="宋体"/>
                <w:b/>
                <w:color w:val="auto"/>
                <w:sz w:val="21"/>
                <w:szCs w:val="21"/>
              </w:rPr>
              <w:t>表1-</w:t>
            </w:r>
            <w:r>
              <w:rPr>
                <w:rFonts w:hint="eastAsia" w:ascii="宋体"/>
                <w:b/>
                <w:color w:val="auto"/>
                <w:sz w:val="21"/>
                <w:szCs w:val="21"/>
                <w:lang w:val="en-US" w:eastAsia="zh-CN"/>
              </w:rPr>
              <w:t>3</w:t>
            </w:r>
            <w:r>
              <w:rPr>
                <w:rFonts w:hint="default" w:ascii="宋体" w:hAnsi="Times New Roman" w:eastAsia="宋体"/>
                <w:b/>
                <w:color w:val="auto"/>
                <w:sz w:val="21"/>
                <w:szCs w:val="21"/>
              </w:rPr>
              <w:t xml:space="preserve">  本项目环境管控单元管控要求</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034"/>
              <w:gridCol w:w="3207"/>
              <w:gridCol w:w="2581"/>
            </w:tblGrid>
            <w:tr w14:paraId="46FE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8DEACE">
                  <w:pPr>
                    <w:tabs>
                      <w:tab w:val="left" w:leader="dot" w:pos="7371"/>
                    </w:tabs>
                    <w:spacing w:beforeLines="0" w:afterLines="0"/>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单元编码</w:t>
                  </w:r>
                </w:p>
              </w:tc>
              <w:tc>
                <w:tcPr>
                  <w:tcW w:w="9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9F926B">
                  <w:pPr>
                    <w:tabs>
                      <w:tab w:val="left" w:leader="dot" w:pos="7371"/>
                    </w:tabs>
                    <w:spacing w:beforeLines="0" w:afterLines="0"/>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管控类别</w:t>
                  </w:r>
                </w:p>
              </w:tc>
              <w:tc>
                <w:tcPr>
                  <w:tcW w:w="31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E8466D">
                  <w:pPr>
                    <w:tabs>
                      <w:tab w:val="left" w:leader="dot" w:pos="7371"/>
                    </w:tabs>
                    <w:spacing w:beforeLines="0" w:afterLines="0"/>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管控要求</w:t>
                  </w:r>
                </w:p>
              </w:tc>
              <w:tc>
                <w:tcPr>
                  <w:tcW w:w="24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A579DB">
                  <w:pPr>
                    <w:tabs>
                      <w:tab w:val="left" w:leader="dot" w:pos="7371"/>
                    </w:tabs>
                    <w:spacing w:beforeLines="0" w:afterLines="0"/>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相符性分析</w:t>
                  </w:r>
                </w:p>
              </w:tc>
            </w:tr>
            <w:tr w14:paraId="03E9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0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389B01E">
                  <w:pPr>
                    <w:tabs>
                      <w:tab w:val="left" w:leader="dot" w:pos="7371"/>
                    </w:tabs>
                    <w:spacing w:beforeLines="0" w:afterLines="0"/>
                    <w:jc w:val="center"/>
                    <w:rPr>
                      <w:rFonts w:hint="default" w:ascii="Times New Roman" w:hAnsi="Times New Roman" w:eastAsia="宋体" w:cs="Times New Roman"/>
                      <w:color w:val="auto"/>
                      <w:sz w:val="21"/>
                      <w:szCs w:val="24"/>
                    </w:rPr>
                  </w:pPr>
                  <w:r>
                    <w:rPr>
                      <w:rFonts w:hint="default" w:ascii="Times New Roman" w:hAnsi="Times New Roman" w:cs="Times New Roman"/>
                      <w:color w:val="auto"/>
                      <w:sz w:val="21"/>
                      <w:szCs w:val="24"/>
                    </w:rPr>
                    <w:t>ZH34032320005</w:t>
                  </w:r>
                </w:p>
              </w:tc>
              <w:tc>
                <w:tcPr>
                  <w:tcW w:w="99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7AAA2E2">
                  <w:pPr>
                    <w:tabs>
                      <w:tab w:val="left" w:leader="dot" w:pos="7371"/>
                    </w:tabs>
                    <w:spacing w:beforeLines="0" w:afterLines="0"/>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空间布局约束</w:t>
                  </w:r>
                </w:p>
              </w:tc>
              <w:tc>
                <w:tcPr>
                  <w:tcW w:w="31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58B5D8">
                  <w:pPr>
                    <w:spacing w:beforeLines="0" w:afterLines="0"/>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在城市城区及其近郊禁止新建、扩建钢铁、有色、石化、水泥、化工等重污染企业；禁止新建燃料类煤气发生炉（园区现有企业统一建设的清洁煤制气中心除外）；严禁新增钢铁、焦化、电解铝、铸造、水泥和平板玻璃等产能；严格执行钢铁、水泥、平板玻璃等行业产能置换实施办法</w:t>
                  </w:r>
                </w:p>
              </w:tc>
              <w:tc>
                <w:tcPr>
                  <w:tcW w:w="24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6C6796">
                  <w:pPr>
                    <w:tabs>
                      <w:tab w:val="left" w:leader="dot" w:pos="7371"/>
                    </w:tabs>
                    <w:spacing w:beforeLines="0" w:afterLines="0"/>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本项目属于C1391 淀粉及淀粉制品制造、C1392 豆制品制造及C1393 蛋品加工项目，不属于《产业结构调整指导目录（2024年本）》</w:t>
                  </w:r>
                  <w:r>
                    <w:rPr>
                      <w:rFonts w:hint="default" w:ascii="Times New Roman" w:hAnsi="Times New Roman" w:eastAsia="宋体" w:cs="Times New Roman"/>
                      <w:color w:val="auto"/>
                      <w:sz w:val="21"/>
                      <w:szCs w:val="24"/>
                      <w:lang w:val="en-US" w:eastAsia="zh-CN"/>
                    </w:rPr>
                    <w:t>鼓励类、限制类、淘汰类，</w:t>
                  </w:r>
                  <w:r>
                    <w:rPr>
                      <w:rFonts w:hint="default" w:ascii="Times New Roman" w:hAnsi="Times New Roman" w:cs="Times New Roman"/>
                      <w:color w:val="auto"/>
                      <w:sz w:val="21"/>
                      <w:szCs w:val="24"/>
                      <w:lang w:val="en-US" w:eastAsia="zh-CN"/>
                    </w:rPr>
                    <w:t>属于</w:t>
                  </w:r>
                  <w:r>
                    <w:rPr>
                      <w:rFonts w:hint="default" w:ascii="Times New Roman" w:hAnsi="Times New Roman" w:eastAsia="宋体" w:cs="Times New Roman"/>
                      <w:color w:val="auto"/>
                      <w:sz w:val="21"/>
                      <w:szCs w:val="24"/>
                      <w:lang w:val="en-US" w:eastAsia="zh-CN"/>
                    </w:rPr>
                    <w:t>允许类</w:t>
                  </w:r>
                  <w:r>
                    <w:rPr>
                      <w:rFonts w:hint="default" w:ascii="Times New Roman" w:hAnsi="Times New Roman" w:eastAsia="宋体" w:cs="Times New Roman"/>
                      <w:color w:val="auto"/>
                      <w:sz w:val="21"/>
                      <w:szCs w:val="24"/>
                    </w:rPr>
                    <w:t>，本项目的建设符合国家和地方的产业政策要求。</w:t>
                  </w:r>
                </w:p>
              </w:tc>
            </w:tr>
            <w:tr w14:paraId="278C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0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107A8DE">
                  <w:pPr>
                    <w:tabs>
                      <w:tab w:val="left" w:leader="dot" w:pos="7371"/>
                    </w:tabs>
                    <w:spacing w:beforeLines="0" w:afterLines="0"/>
                    <w:jc w:val="center"/>
                    <w:rPr>
                      <w:rFonts w:hint="default" w:ascii="Times New Roman" w:hAnsi="Times New Roman" w:cs="Times New Roman"/>
                      <w:color w:val="auto"/>
                      <w:sz w:val="21"/>
                      <w:szCs w:val="24"/>
                    </w:rPr>
                  </w:pPr>
                </w:p>
              </w:tc>
              <w:tc>
                <w:tcPr>
                  <w:tcW w:w="99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8569987">
                  <w:pPr>
                    <w:tabs>
                      <w:tab w:val="left" w:leader="dot" w:pos="7371"/>
                    </w:tabs>
                    <w:spacing w:beforeLines="0" w:afterLines="0"/>
                    <w:jc w:val="center"/>
                    <w:rPr>
                      <w:rFonts w:hint="default" w:ascii="Times New Roman" w:hAnsi="Times New Roman" w:eastAsia="宋体" w:cs="Times New Roman"/>
                      <w:color w:val="auto"/>
                      <w:sz w:val="21"/>
                      <w:szCs w:val="24"/>
                    </w:rPr>
                  </w:pPr>
                </w:p>
              </w:tc>
              <w:tc>
                <w:tcPr>
                  <w:tcW w:w="31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7C4607">
                  <w:pPr>
                    <w:spacing w:beforeLines="0" w:afterLines="0"/>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 xml:space="preserve"> 严格环境准入，在水污染防治重点控制单元的区域内，限制新建耗水量大、废水排放量大的项目和单纯扩大产能的项目。严格控制缺水地区、水污染严重地区和敏感区域高耗水、高污染行业发展。</w:t>
                  </w:r>
                </w:p>
              </w:tc>
              <w:tc>
                <w:tcPr>
                  <w:tcW w:w="24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7139AE">
                  <w:pPr>
                    <w:tabs>
                      <w:tab w:val="left" w:leader="dot" w:pos="7371"/>
                    </w:tabs>
                    <w:spacing w:beforeLines="0" w:afterLines="0"/>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本项目为C1391 淀粉及淀粉制品制造、C1392 豆制品制造及C1393 蛋品加工项目，根据《产业结构调整指导目录（2024年本）》，本项目符合国家产业、地方现行的产业政策和技术政策。</w:t>
                  </w:r>
                </w:p>
              </w:tc>
            </w:tr>
          </w:tbl>
          <w:p w14:paraId="6AD7C501">
            <w:pPr>
              <w:adjustRightInd w:val="0"/>
              <w:snapToGrid w:val="0"/>
              <w:spacing w:beforeLines="0" w:afterLines="0" w:line="360" w:lineRule="auto"/>
              <w:ind w:firstLine="482" w:firstLineChars="200"/>
              <w:jc w:val="left"/>
              <w:rPr>
                <w:rFonts w:hint="eastAsia"/>
                <w:b/>
                <w:color w:val="auto"/>
                <w:sz w:val="24"/>
                <w:szCs w:val="24"/>
              </w:rPr>
            </w:pPr>
            <w:r>
              <w:rPr>
                <w:rFonts w:hint="eastAsia" w:eastAsia="宋体"/>
                <w:b/>
                <w:color w:val="auto"/>
                <w:sz w:val="24"/>
                <w:szCs w:val="24"/>
                <w:lang w:val="en-US" w:eastAsia="zh-CN"/>
              </w:rPr>
              <w:t>3、</w:t>
            </w:r>
            <w:r>
              <w:rPr>
                <w:rFonts w:hint="eastAsia" w:eastAsia="宋体"/>
                <w:b/>
                <w:color w:val="auto"/>
                <w:sz w:val="24"/>
                <w:szCs w:val="24"/>
              </w:rPr>
              <w:t>与《安徽省淮河流域水污染防治条例》相符性</w:t>
            </w:r>
          </w:p>
          <w:p w14:paraId="7A56BE9A">
            <w:pPr>
              <w:adjustRightInd w:val="0"/>
              <w:snapToGrid w:val="0"/>
              <w:spacing w:beforeLines="0" w:afterLines="0" w:line="360" w:lineRule="auto"/>
              <w:ind w:firstLine="480" w:firstLineChars="200"/>
              <w:rPr>
                <w:rFonts w:hint="eastAsia"/>
                <w:snapToGrid w:val="0"/>
                <w:color w:val="auto"/>
                <w:kern w:val="0"/>
                <w:sz w:val="24"/>
                <w:szCs w:val="24"/>
              </w:rPr>
            </w:pPr>
            <w:r>
              <w:rPr>
                <w:rFonts w:hint="eastAsia" w:eastAsia="宋体"/>
                <w:color w:val="auto"/>
                <w:sz w:val="24"/>
                <w:szCs w:val="24"/>
              </w:rPr>
              <w:t>项目与《安徽省淮河流域水污染防治条例》符合性分析见下表。</w:t>
            </w:r>
          </w:p>
          <w:p w14:paraId="57CD764A">
            <w:pPr>
              <w:adjustRightInd w:val="0"/>
              <w:snapToGrid w:val="0"/>
              <w:spacing w:beforeLines="0" w:afterLines="0"/>
              <w:jc w:val="center"/>
              <w:rPr>
                <w:rFonts w:hint="eastAsia"/>
                <w:b/>
                <w:snapToGrid w:val="0"/>
                <w:color w:val="auto"/>
                <w:kern w:val="0"/>
                <w:sz w:val="21"/>
                <w:szCs w:val="21"/>
              </w:rPr>
            </w:pPr>
            <w:r>
              <w:rPr>
                <w:rFonts w:hint="eastAsia" w:eastAsia="宋体"/>
                <w:b/>
                <w:snapToGrid w:val="0"/>
                <w:color w:val="auto"/>
                <w:kern w:val="0"/>
                <w:sz w:val="21"/>
                <w:szCs w:val="21"/>
              </w:rPr>
              <w:t>表1-</w:t>
            </w:r>
            <w:r>
              <w:rPr>
                <w:rFonts w:hint="eastAsia"/>
                <w:b/>
                <w:snapToGrid w:val="0"/>
                <w:color w:val="auto"/>
                <w:kern w:val="0"/>
                <w:sz w:val="21"/>
                <w:szCs w:val="21"/>
                <w:lang w:val="en-US" w:eastAsia="zh-CN"/>
              </w:rPr>
              <w:t>4</w:t>
            </w:r>
            <w:r>
              <w:rPr>
                <w:rFonts w:hint="eastAsia"/>
                <w:b/>
                <w:snapToGrid w:val="0"/>
                <w:color w:val="auto"/>
                <w:kern w:val="0"/>
                <w:sz w:val="21"/>
                <w:szCs w:val="21"/>
              </w:rPr>
              <w:t xml:space="preserve"> </w:t>
            </w:r>
            <w:r>
              <w:rPr>
                <w:rFonts w:hint="eastAsia" w:eastAsia="宋体"/>
                <w:b/>
                <w:snapToGrid w:val="0"/>
                <w:color w:val="auto"/>
                <w:kern w:val="0"/>
                <w:sz w:val="21"/>
                <w:szCs w:val="21"/>
              </w:rPr>
              <w:t>本项目与《安徽省淮河流域水污染防治条例》符合性分析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9"/>
              <w:gridCol w:w="4021"/>
              <w:gridCol w:w="2217"/>
              <w:gridCol w:w="724"/>
            </w:tblGrid>
            <w:tr w14:paraId="3F30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0D5FCD">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条款</w:t>
                  </w:r>
                </w:p>
              </w:tc>
              <w:tc>
                <w:tcPr>
                  <w:tcW w:w="3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18DA83">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条例内容</w:t>
                  </w:r>
                </w:p>
              </w:tc>
              <w:tc>
                <w:tcPr>
                  <w:tcW w:w="20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84CF21">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项目建设情况</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744E2A">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符合</w:t>
                  </w:r>
                </w:p>
                <w:p w14:paraId="5CB159DD">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pacing w:val="-3"/>
                      <w:sz w:val="21"/>
                      <w:szCs w:val="21"/>
                    </w:rPr>
                    <w:t>性</w:t>
                  </w:r>
                </w:p>
              </w:tc>
            </w:tr>
            <w:tr w14:paraId="596F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B684BA">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pacing w:val="-1"/>
                      <w:sz w:val="21"/>
                      <w:szCs w:val="21"/>
                    </w:rPr>
                    <w:t>第十三条</w:t>
                  </w:r>
                </w:p>
              </w:tc>
              <w:tc>
                <w:tcPr>
                  <w:tcW w:w="3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C0B56E">
                  <w:pPr>
                    <w:pStyle w:val="58"/>
                    <w:spacing w:beforeLines="0" w:afterLines="0"/>
                    <w:ind w:firstLine="440" w:firstLineChars="200"/>
                    <w:jc w:val="both"/>
                    <w:rPr>
                      <w:rFonts w:hint="eastAsia" w:ascii="Times New Roman" w:hAnsi="Times New Roman" w:eastAsia="Times New Roman" w:cs="Times New Roman"/>
                      <w:color w:val="auto"/>
                      <w:sz w:val="21"/>
                      <w:szCs w:val="21"/>
                    </w:rPr>
                  </w:pPr>
                  <w:r>
                    <w:rPr>
                      <w:rFonts w:hint="eastAsia"/>
                      <w:color w:val="auto"/>
                    </w:rPr>
                    <w:t>禁止在淮河流域新建化学制浆造纸企业和印染、制革、化工、电镀、酿造等污染严重的小型企业。</w:t>
                  </w:r>
                  <w:r>
                    <w:rPr>
                      <w:rFonts w:hint="eastAsia" w:ascii="Times New Roman" w:hAnsi="Times New Roman" w:cs="Times New Roman"/>
                      <w:color w:val="auto"/>
                      <w:sz w:val="21"/>
                      <w:szCs w:val="21"/>
                    </w:rPr>
                    <w:t>严格限制在淮河流域新建印染、制革、化工、电镀、酿造等大中型项目或者其他污染严重的项目；建设该类项目的，应当事前征得省人民政府生态环境行政主管部门的同意，并按照规定办理有关手续。</w:t>
                  </w:r>
                </w:p>
              </w:tc>
              <w:tc>
                <w:tcPr>
                  <w:tcW w:w="20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D3D728">
                  <w:pPr>
                    <w:pStyle w:val="58"/>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9"/>
                      <w:sz w:val="21"/>
                      <w:szCs w:val="21"/>
                    </w:rPr>
                    <w:t>本项目属于</w:t>
                  </w:r>
                  <w:r>
                    <w:rPr>
                      <w:rFonts w:hint="eastAsia" w:ascii="Times New Roman" w:hAnsi="Times New Roman" w:eastAsia="Times New Roman" w:cs="Times New Roman"/>
                      <w:color w:val="auto"/>
                      <w:sz w:val="21"/>
                      <w:szCs w:val="21"/>
                    </w:rPr>
                    <w:t>C1391 淀粉及淀粉制品制造、C1392 豆制品制造及C1393 蛋品加工项目</w:t>
                  </w:r>
                  <w:r>
                    <w:rPr>
                      <w:rFonts w:hint="eastAsia" w:ascii="Times New Roman" w:hAnsi="Times New Roman" w:cs="Times New Roman"/>
                      <w:color w:val="auto"/>
                      <w:spacing w:val="-10"/>
                      <w:sz w:val="21"/>
                      <w:szCs w:val="21"/>
                    </w:rPr>
                    <w:t>，</w:t>
                  </w:r>
                  <w:r>
                    <w:rPr>
                      <w:rFonts w:hint="eastAsia" w:ascii="Times New Roman" w:hAnsi="Times New Roman" w:cs="Times New Roman"/>
                      <w:color w:val="auto"/>
                      <w:spacing w:val="-10"/>
                      <w:sz w:val="21"/>
                      <w:szCs w:val="21"/>
                      <w:lang w:val="en-US" w:eastAsia="zh-CN"/>
                    </w:rPr>
                    <w:t>属于其他农副食品加工行业，不属于淮河流域禁止类或限制类项目</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F39F48">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符合</w:t>
                  </w:r>
                </w:p>
              </w:tc>
            </w:tr>
            <w:tr w14:paraId="6AF1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37CAAC5">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pacing w:val="-1"/>
                      <w:sz w:val="21"/>
                      <w:szCs w:val="21"/>
                    </w:rPr>
                    <w:t>第十</w:t>
                  </w:r>
                  <w:r>
                    <w:rPr>
                      <w:rFonts w:hint="eastAsia" w:ascii="Times New Roman" w:hAnsi="Times New Roman" w:cs="Times New Roman"/>
                      <w:color w:val="auto"/>
                      <w:sz w:val="21"/>
                      <w:szCs w:val="21"/>
                    </w:rPr>
                    <w:t>四条</w:t>
                  </w:r>
                </w:p>
              </w:tc>
              <w:tc>
                <w:tcPr>
                  <w:tcW w:w="3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63129A">
                  <w:pPr>
                    <w:pStyle w:val="58"/>
                    <w:spacing w:beforeLines="0" w:afterLines="0"/>
                    <w:ind w:firstLine="420" w:firstLineChars="200"/>
                    <w:jc w:val="both"/>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tc>
              <w:tc>
                <w:tcPr>
                  <w:tcW w:w="20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D2E690">
                  <w:pPr>
                    <w:pStyle w:val="58"/>
                    <w:spacing w:beforeLines="0" w:afterLines="0"/>
                    <w:jc w:val="center"/>
                    <w:rPr>
                      <w:rFonts w:hint="default" w:ascii="Times New Roman" w:hAnsi="Times New Roman" w:eastAsia="宋体" w:cs="Times New Roman"/>
                      <w:color w:val="auto"/>
                      <w:sz w:val="21"/>
                      <w:szCs w:val="21"/>
                      <w:lang w:val="en-US" w:eastAsia="zh-CN"/>
                    </w:rPr>
                  </w:pPr>
                  <w:r>
                    <w:rPr>
                      <w:rFonts w:hint="eastAsia"/>
                      <w:color w:val="auto"/>
                      <w:sz w:val="21"/>
                      <w:szCs w:val="21"/>
                    </w:rPr>
                    <w:t>生活污水经隔油池、化粪池处理后用于农田堆肥，生产废水经自建污水处理站预处理后用于厂区绿化</w:t>
                  </w:r>
                  <w:r>
                    <w:rPr>
                      <w:rFonts w:hint="eastAsia"/>
                      <w:color w:val="auto"/>
                      <w:sz w:val="21"/>
                      <w:szCs w:val="21"/>
                      <w:lang w:val="en-US" w:eastAsia="zh-CN"/>
                    </w:rPr>
                    <w:t>，废水不外排</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A02328">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符合</w:t>
                  </w:r>
                </w:p>
              </w:tc>
            </w:tr>
            <w:tr w14:paraId="2BB8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8EA3FFB">
                  <w:pPr>
                    <w:autoSpaceDE w:val="0"/>
                    <w:autoSpaceDN w:val="0"/>
                    <w:spacing w:beforeLines="0" w:afterLines="0"/>
                    <w:jc w:val="center"/>
                    <w:rPr>
                      <w:rFonts w:hint="eastAsia"/>
                      <w:color w:val="auto"/>
                      <w:sz w:val="21"/>
                      <w:szCs w:val="21"/>
                    </w:rPr>
                  </w:pPr>
                </w:p>
              </w:tc>
              <w:tc>
                <w:tcPr>
                  <w:tcW w:w="3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16427A">
                  <w:pPr>
                    <w:pStyle w:val="58"/>
                    <w:spacing w:beforeLines="0" w:afterLines="0"/>
                    <w:ind w:firstLine="420" w:firstLineChars="200"/>
                    <w:jc w:val="both"/>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新建、扩建、改建项目，除执行前款规定外，还应当遵守下列规定：</w:t>
                  </w:r>
                </w:p>
                <w:p w14:paraId="55F28719">
                  <w:pPr>
                    <w:pStyle w:val="58"/>
                    <w:spacing w:beforeLines="0" w:afterLines="0"/>
                    <w:ind w:firstLine="420" w:firstLineChars="200"/>
                    <w:jc w:val="both"/>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（一）新建项目的选址应符合城市总体规划，避开饮用水水源地和对环境有特殊要求的功能区；</w:t>
                  </w:r>
                </w:p>
                <w:p w14:paraId="5ABC19A4">
                  <w:pPr>
                    <w:pStyle w:val="58"/>
                    <w:spacing w:beforeLines="0" w:afterLines="0"/>
                    <w:ind w:firstLine="420" w:firstLineChars="200"/>
                    <w:jc w:val="both"/>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（二）采用资源利用率高、污染物排放量少的先进设备和先进工艺；</w:t>
                  </w:r>
                </w:p>
                <w:p w14:paraId="53D35741">
                  <w:pPr>
                    <w:pStyle w:val="58"/>
                    <w:spacing w:beforeLines="0" w:afterLines="0"/>
                    <w:ind w:firstLine="420" w:firstLineChars="200"/>
                    <w:jc w:val="both"/>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（三）改建、扩建项目和技改项目应当把水污染治理纳入项目内容。工程配套建设的水污染防治设施竣工</w:t>
                  </w:r>
                  <w:r>
                    <w:rPr>
                      <w:rFonts w:hint="eastAsia" w:ascii="Times New Roman" w:hAnsi="Times New Roman" w:cs="Times New Roman"/>
                      <w:color w:val="auto"/>
                      <w:spacing w:val="-1"/>
                      <w:sz w:val="21"/>
                      <w:szCs w:val="21"/>
                    </w:rPr>
                    <w:t>后，建设单位应当按照国务院生态环境</w:t>
                  </w:r>
                  <w:r>
                    <w:rPr>
                      <w:rFonts w:hint="eastAsia" w:ascii="Times New Roman" w:hAnsi="Times New Roman" w:cs="Times New Roman"/>
                      <w:color w:val="auto"/>
                      <w:sz w:val="21"/>
                      <w:szCs w:val="21"/>
                    </w:rPr>
                    <w:t>行政主管部门规定的标准和程序进行验收。验收合格后，方可投入使用；未经验收或者</w:t>
                  </w:r>
                  <w:r>
                    <w:rPr>
                      <w:rFonts w:hint="eastAsia" w:ascii="Times New Roman" w:hAnsi="Times New Roman" w:cs="Times New Roman"/>
                      <w:color w:val="auto"/>
                      <w:spacing w:val="-1"/>
                      <w:sz w:val="21"/>
                      <w:szCs w:val="21"/>
                    </w:rPr>
                    <w:t>验收不合格的，不得投入生产或者使用。</w:t>
                  </w:r>
                </w:p>
              </w:tc>
              <w:tc>
                <w:tcPr>
                  <w:tcW w:w="20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C360D0">
                  <w:pPr>
                    <w:pStyle w:val="58"/>
                    <w:spacing w:beforeLines="0" w:afterLine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本项目选址位于安徽省蚌埠市固镇县刘集镇珍珠沟西侧，符合用地和产业规划，评价范围内不涉及饮用水水源地和对环境有特殊要求的功能区。要求厂区采用资源利用率高，污染物排放量少的设备和工艺。</w:t>
                  </w:r>
                </w:p>
                <w:p w14:paraId="5FE38318">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建设单位应当按照国务院生态环境行政主管部门规定的标准和程序进行验收。验收合格后，方可投入使用；未经验收或者验收不合格的，不得投入生产或者使用</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A1C780">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符合</w:t>
                  </w:r>
                </w:p>
              </w:tc>
            </w:tr>
            <w:tr w14:paraId="2624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5F43F5">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pacing w:val="-1"/>
                      <w:sz w:val="21"/>
                      <w:szCs w:val="21"/>
                    </w:rPr>
                    <w:t>第十五条</w:t>
                  </w:r>
                </w:p>
              </w:tc>
              <w:tc>
                <w:tcPr>
                  <w:tcW w:w="3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D1CE03">
                  <w:pPr>
                    <w:pStyle w:val="58"/>
                    <w:spacing w:beforeLines="0" w:afterLines="0"/>
                    <w:ind w:firstLine="420" w:firstLineChars="200"/>
                    <w:jc w:val="both"/>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所有排污单位的污水治理设施，应当确保正常运转，达标排放。</w:t>
                  </w:r>
                </w:p>
              </w:tc>
              <w:tc>
                <w:tcPr>
                  <w:tcW w:w="20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F3EA25">
                  <w:pPr>
                    <w:pStyle w:val="58"/>
                    <w:spacing w:beforeLines="0" w:afterLine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rPr>
                    <w:t>生活污水经隔油池、化粪池处理后用于农田堆肥，生产废水经自建污水处理站预处理后用于厂区绿化，</w:t>
                  </w:r>
                  <w:r>
                    <w:rPr>
                      <w:rFonts w:hint="eastAsia" w:ascii="Times New Roman" w:hAnsi="Times New Roman" w:cs="Times New Roman"/>
                      <w:color w:val="auto"/>
                      <w:sz w:val="21"/>
                      <w:szCs w:val="21"/>
                      <w:lang w:val="en-US" w:eastAsia="zh-CN"/>
                    </w:rPr>
                    <w:t>废水</w:t>
                  </w:r>
                  <w:r>
                    <w:rPr>
                      <w:rFonts w:hint="eastAsia" w:ascii="Times New Roman" w:hAnsi="Times New Roman" w:cs="Times New Roman"/>
                      <w:color w:val="auto"/>
                      <w:sz w:val="21"/>
                      <w:szCs w:val="21"/>
                    </w:rPr>
                    <w:t>不外排</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9D5C41">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符合</w:t>
                  </w:r>
                </w:p>
              </w:tc>
            </w:tr>
            <w:tr w14:paraId="53F7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610582">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pacing w:val="-1"/>
                      <w:sz w:val="21"/>
                      <w:szCs w:val="21"/>
                    </w:rPr>
                    <w:t>第十七条</w:t>
                  </w:r>
                </w:p>
              </w:tc>
              <w:tc>
                <w:tcPr>
                  <w:tcW w:w="3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55E975">
                  <w:pPr>
                    <w:pStyle w:val="58"/>
                    <w:spacing w:beforeLines="0" w:afterLines="0"/>
                    <w:ind w:firstLine="420" w:firstLineChars="200"/>
                    <w:jc w:val="both"/>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在饮用水水源保护区内，禁止设置排污口。在风景名胜区水体、重要渔业水体和其他具有特殊经济文化价值的水体的保护区内，不得新建排污口。在保护区附近新建</w:t>
                  </w:r>
                  <w:r>
                    <w:rPr>
                      <w:rFonts w:hint="eastAsia" w:ascii="Times New Roman" w:hAnsi="Times New Roman" w:cs="Times New Roman"/>
                      <w:color w:val="auto"/>
                      <w:spacing w:val="-1"/>
                      <w:sz w:val="21"/>
                      <w:szCs w:val="21"/>
                    </w:rPr>
                    <w:t>排污口，应当保证保护区水体不受污染。</w:t>
                  </w:r>
                </w:p>
              </w:tc>
              <w:tc>
                <w:tcPr>
                  <w:tcW w:w="20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BD9CBE">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本项目不新建排污口</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436BEE">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符合</w:t>
                  </w:r>
                </w:p>
              </w:tc>
            </w:tr>
            <w:tr w14:paraId="6C12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2975A4">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pacing w:val="-1"/>
                      <w:sz w:val="21"/>
                      <w:szCs w:val="21"/>
                    </w:rPr>
                    <w:t>第十九条</w:t>
                  </w:r>
                </w:p>
              </w:tc>
              <w:tc>
                <w:tcPr>
                  <w:tcW w:w="3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F79A5C">
                  <w:pPr>
                    <w:pStyle w:val="58"/>
                    <w:spacing w:beforeLines="0" w:afterLines="0"/>
                    <w:ind w:firstLine="420" w:firstLineChars="200"/>
                    <w:jc w:val="both"/>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禁止下列行为：</w:t>
                  </w:r>
                </w:p>
                <w:p w14:paraId="741DDC34">
                  <w:pPr>
                    <w:pStyle w:val="58"/>
                    <w:spacing w:beforeLines="0" w:afterLines="0"/>
                    <w:ind w:firstLine="420" w:firstLineChars="200"/>
                    <w:jc w:val="both"/>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九）引进不符合国家环境保护规定要求的技术和设备；（十）法律、法规禁止的其他行为。</w:t>
                  </w:r>
                </w:p>
              </w:tc>
              <w:tc>
                <w:tcPr>
                  <w:tcW w:w="20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A637BC">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评价要求企业严格遵</w:t>
                  </w:r>
                  <w:r>
                    <w:rPr>
                      <w:rFonts w:hint="eastAsia" w:ascii="Times New Roman" w:hAnsi="Times New Roman" w:cs="Times New Roman"/>
                      <w:color w:val="auto"/>
                      <w:spacing w:val="-11"/>
                      <w:sz w:val="21"/>
                      <w:szCs w:val="21"/>
                    </w:rPr>
                    <w:t>守《安徽省淮河流域水</w:t>
                  </w:r>
                  <w:r>
                    <w:rPr>
                      <w:rFonts w:hint="eastAsia" w:ascii="Times New Roman" w:hAnsi="Times New Roman" w:cs="Times New Roman"/>
                      <w:color w:val="auto"/>
                      <w:spacing w:val="-9"/>
                      <w:sz w:val="21"/>
                      <w:szCs w:val="21"/>
                    </w:rPr>
                    <w:t>污染防治条例》，不得</w:t>
                  </w:r>
                  <w:r>
                    <w:rPr>
                      <w:rFonts w:hint="eastAsia" w:ascii="Times New Roman" w:hAnsi="Times New Roman" w:cs="Times New Roman"/>
                      <w:color w:val="auto"/>
                      <w:sz w:val="21"/>
                      <w:szCs w:val="21"/>
                    </w:rPr>
                    <w:t>有明令禁止的违法行为。</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1F5E77">
                  <w:pPr>
                    <w:pStyle w:val="58"/>
                    <w:spacing w:beforeLines="0" w:afterLines="0"/>
                    <w:jc w:val="center"/>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符合</w:t>
                  </w:r>
                </w:p>
              </w:tc>
            </w:tr>
          </w:tbl>
          <w:p w14:paraId="0748DFD3">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4、</w:t>
            </w:r>
            <w:r>
              <w:rPr>
                <w:rFonts w:hint="default" w:ascii="Times New Roman" w:hAnsi="Times New Roman" w:cs="Times New Roman"/>
                <w:b/>
                <w:bCs/>
                <w:color w:val="auto"/>
                <w:kern w:val="0"/>
                <w:sz w:val="24"/>
                <w:szCs w:val="24"/>
                <w:lang w:val="en-US" w:eastAsia="zh-CN"/>
              </w:rPr>
              <w:t>项目与《食品企业通用卫生规范》相符性分析</w:t>
            </w:r>
          </w:p>
          <w:p w14:paraId="494AE06F">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项目建设与《食品企业通用卫生规范》(GB14881-2013) 对照见</w:t>
            </w:r>
            <w:r>
              <w:rPr>
                <w:rFonts w:hint="eastAsia" w:ascii="Times New Roman" w:hAnsi="Times New Roman" w:cs="Times New Roman"/>
                <w:color w:val="auto"/>
                <w:kern w:val="0"/>
                <w:sz w:val="24"/>
                <w:szCs w:val="24"/>
                <w:lang w:val="en-US" w:eastAsia="zh-CN"/>
              </w:rPr>
              <w:t>下</w:t>
            </w:r>
            <w:r>
              <w:rPr>
                <w:rFonts w:hint="default" w:ascii="Times New Roman" w:hAnsi="Times New Roman" w:cs="Times New Roman"/>
                <w:color w:val="auto"/>
                <w:kern w:val="0"/>
                <w:sz w:val="24"/>
                <w:szCs w:val="24"/>
                <w:lang w:val="en-US" w:eastAsia="zh-CN"/>
              </w:rPr>
              <w:t>表。</w:t>
            </w:r>
          </w:p>
          <w:p w14:paraId="66993CC1">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表1-</w:t>
            </w:r>
            <w:r>
              <w:rPr>
                <w:rFonts w:hint="eastAsia" w:ascii="Times New Roman" w:hAnsi="Times New Roman" w:cs="Times New Roman"/>
                <w:b/>
                <w:bCs/>
                <w:color w:val="auto"/>
                <w:kern w:val="0"/>
                <w:sz w:val="21"/>
                <w:szCs w:val="21"/>
                <w:lang w:val="en-US" w:eastAsia="zh-CN"/>
              </w:rPr>
              <w:t xml:space="preserve">5  </w:t>
            </w:r>
            <w:r>
              <w:rPr>
                <w:rFonts w:hint="default" w:ascii="Times New Roman" w:hAnsi="Times New Roman" w:cs="Times New Roman"/>
                <w:b/>
                <w:bCs/>
                <w:color w:val="auto"/>
                <w:kern w:val="0"/>
                <w:sz w:val="21"/>
                <w:szCs w:val="21"/>
                <w:lang w:val="en-US" w:eastAsia="zh-CN"/>
              </w:rPr>
              <w:t>项目选址与《食品企业通用卫生规范》对照表</w:t>
            </w:r>
          </w:p>
          <w:tbl>
            <w:tblPr>
              <w:tblStyle w:val="26"/>
              <w:tblW w:w="7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2448"/>
              <w:gridCol w:w="3240"/>
              <w:gridCol w:w="1120"/>
            </w:tblGrid>
            <w:tr w14:paraId="1CC0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3" w:type="dxa"/>
                  <w:vAlign w:val="center"/>
                </w:tcPr>
                <w:p w14:paraId="5445CB3A">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序 号</w:t>
                  </w:r>
                </w:p>
              </w:tc>
              <w:tc>
                <w:tcPr>
                  <w:tcW w:w="2448" w:type="dxa"/>
                  <w:vAlign w:val="center"/>
                </w:tcPr>
                <w:p w14:paraId="3BDC6EEF">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选址要求</w:t>
                  </w:r>
                </w:p>
              </w:tc>
              <w:tc>
                <w:tcPr>
                  <w:tcW w:w="3240" w:type="dxa"/>
                  <w:vAlign w:val="center"/>
                </w:tcPr>
                <w:p w14:paraId="0BB7BBC0">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本项目选址情况</w:t>
                  </w:r>
                </w:p>
              </w:tc>
              <w:tc>
                <w:tcPr>
                  <w:tcW w:w="1120" w:type="dxa"/>
                  <w:vAlign w:val="center"/>
                </w:tcPr>
                <w:p w14:paraId="5714B20A">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相符情况</w:t>
                  </w:r>
                </w:p>
              </w:tc>
            </w:tr>
            <w:tr w14:paraId="1027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3" w:type="dxa"/>
                  <w:vAlign w:val="center"/>
                </w:tcPr>
                <w:p w14:paraId="6CD4CA8E">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w:t>
                  </w:r>
                </w:p>
              </w:tc>
              <w:tc>
                <w:tcPr>
                  <w:tcW w:w="2448" w:type="dxa"/>
                  <w:vAlign w:val="center"/>
                </w:tcPr>
                <w:p w14:paraId="5205D2DF">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厂区不应</w:t>
                  </w:r>
                  <w:r>
                    <w:rPr>
                      <w:rFonts w:hint="eastAsia" w:ascii="Times New Roman" w:hAnsi="Times New Roman" w:cs="Times New Roman"/>
                      <w:color w:val="auto"/>
                      <w:kern w:val="0"/>
                      <w:sz w:val="21"/>
                      <w:szCs w:val="21"/>
                      <w:vertAlign w:val="baseline"/>
                      <w:lang w:val="en-US" w:eastAsia="zh-CN"/>
                    </w:rPr>
                    <w:t>设在</w:t>
                  </w:r>
                  <w:r>
                    <w:rPr>
                      <w:rFonts w:hint="default" w:ascii="Times New Roman" w:hAnsi="Times New Roman" w:cs="Times New Roman"/>
                      <w:color w:val="auto"/>
                      <w:kern w:val="0"/>
                      <w:sz w:val="21"/>
                      <w:szCs w:val="21"/>
                      <w:vertAlign w:val="baseline"/>
                      <w:lang w:val="en-US" w:eastAsia="zh-CN"/>
                    </w:rPr>
                    <w:t>受污染河流的下游</w:t>
                  </w:r>
                </w:p>
              </w:tc>
              <w:tc>
                <w:tcPr>
                  <w:tcW w:w="3240" w:type="dxa"/>
                  <w:vAlign w:val="center"/>
                </w:tcPr>
                <w:p w14:paraId="55410635">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根据现场踏勘，项目所在地</w:t>
                  </w:r>
                  <w:r>
                    <w:rPr>
                      <w:rFonts w:hint="eastAsia" w:ascii="Times New Roman" w:hAnsi="Times New Roman" w:cs="Times New Roman"/>
                      <w:color w:val="auto"/>
                      <w:kern w:val="0"/>
                      <w:sz w:val="21"/>
                      <w:szCs w:val="21"/>
                      <w:vertAlign w:val="baseline"/>
                      <w:lang w:val="en-US" w:eastAsia="zh-CN"/>
                    </w:rPr>
                    <w:t>不设在受污染河流的下游，且</w:t>
                  </w:r>
                  <w:r>
                    <w:rPr>
                      <w:rFonts w:hint="default" w:ascii="Times New Roman" w:hAnsi="Times New Roman" w:cs="Times New Roman"/>
                      <w:color w:val="auto"/>
                      <w:kern w:val="0"/>
                      <w:sz w:val="21"/>
                      <w:szCs w:val="21"/>
                      <w:vertAlign w:val="baseline"/>
                      <w:lang w:val="en-US" w:eastAsia="zh-CN"/>
                    </w:rPr>
                    <w:t>不属于对食品有显著污染的区域</w:t>
                  </w:r>
                </w:p>
              </w:tc>
              <w:tc>
                <w:tcPr>
                  <w:tcW w:w="1120" w:type="dxa"/>
                  <w:vAlign w:val="center"/>
                </w:tcPr>
                <w:p w14:paraId="0A052869">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相符</w:t>
                  </w:r>
                </w:p>
              </w:tc>
            </w:tr>
            <w:tr w14:paraId="7329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3" w:type="dxa"/>
                  <w:vAlign w:val="center"/>
                </w:tcPr>
                <w:p w14:paraId="78A09004">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2</w:t>
                  </w:r>
                </w:p>
              </w:tc>
              <w:tc>
                <w:tcPr>
                  <w:tcW w:w="2448" w:type="dxa"/>
                  <w:vAlign w:val="center"/>
                </w:tcPr>
                <w:p w14:paraId="1A4C8F61">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厂区周围不得</w:t>
                  </w:r>
                  <w:r>
                    <w:rPr>
                      <w:rFonts w:hint="eastAsia" w:ascii="Times New Roman" w:hAnsi="Times New Roman" w:cs="Times New Roman"/>
                      <w:color w:val="auto"/>
                      <w:kern w:val="0"/>
                      <w:sz w:val="21"/>
                      <w:szCs w:val="21"/>
                      <w:vertAlign w:val="baseline"/>
                      <w:lang w:val="en-US" w:eastAsia="zh-CN"/>
                    </w:rPr>
                    <w:t>有粉尘、</w:t>
                  </w:r>
                  <w:r>
                    <w:rPr>
                      <w:rFonts w:hint="default" w:ascii="Times New Roman" w:hAnsi="Times New Roman" w:cs="Times New Roman"/>
                      <w:color w:val="auto"/>
                      <w:kern w:val="0"/>
                      <w:sz w:val="21"/>
                      <w:szCs w:val="21"/>
                      <w:vertAlign w:val="baseline"/>
                      <w:lang w:val="en-US" w:eastAsia="zh-CN"/>
                    </w:rPr>
                    <w:t>有害气体、放射性物质和其他扩散性污染源，不得有昆虫大量滋生的潜在场所，避免危及产品。</w:t>
                  </w:r>
                </w:p>
              </w:tc>
              <w:tc>
                <w:tcPr>
                  <w:tcW w:w="3240" w:type="dxa"/>
                  <w:vAlign w:val="center"/>
                </w:tcPr>
                <w:p w14:paraId="481101ED">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经调查，周边不涉及粉尘、有害气体、放射性物质和其他扩散性污染源等有毒有害企业。</w:t>
                  </w:r>
                  <w:r>
                    <w:rPr>
                      <w:rFonts w:hint="eastAsia" w:ascii="Times New Roman" w:hAnsi="Times New Roman" w:cs="Times New Roman"/>
                      <w:color w:val="auto"/>
                      <w:kern w:val="0"/>
                      <w:sz w:val="21"/>
                      <w:szCs w:val="21"/>
                      <w:vertAlign w:val="baseline"/>
                      <w:lang w:val="en-US" w:eastAsia="zh-CN"/>
                    </w:rPr>
                    <w:t>不属于昆虫大量滋生的潜在场所</w:t>
                  </w:r>
                </w:p>
              </w:tc>
              <w:tc>
                <w:tcPr>
                  <w:tcW w:w="1120" w:type="dxa"/>
                  <w:vAlign w:val="center"/>
                </w:tcPr>
                <w:p w14:paraId="6F09A65F">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相符</w:t>
                  </w:r>
                </w:p>
              </w:tc>
            </w:tr>
            <w:tr w14:paraId="71C9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3" w:type="dxa"/>
                  <w:vAlign w:val="center"/>
                </w:tcPr>
                <w:p w14:paraId="5EFA1618">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w:t>
                  </w:r>
                </w:p>
              </w:tc>
              <w:tc>
                <w:tcPr>
                  <w:tcW w:w="2448" w:type="dxa"/>
                  <w:vAlign w:val="center"/>
                </w:tcPr>
                <w:p w14:paraId="192780C7">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厂区要远离危害场所</w:t>
                  </w:r>
                </w:p>
              </w:tc>
              <w:tc>
                <w:tcPr>
                  <w:tcW w:w="3240" w:type="dxa"/>
                  <w:vAlign w:val="center"/>
                </w:tcPr>
                <w:p w14:paraId="442B6315">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项目周围无危害场所，企业周围多为</w:t>
                  </w:r>
                  <w:r>
                    <w:rPr>
                      <w:rFonts w:hint="eastAsia" w:ascii="Times New Roman" w:hAnsi="Times New Roman" w:cs="Times New Roman"/>
                      <w:color w:val="auto"/>
                      <w:kern w:val="0"/>
                      <w:sz w:val="21"/>
                      <w:szCs w:val="21"/>
                      <w:vertAlign w:val="baseline"/>
                      <w:lang w:val="en-US" w:eastAsia="zh-CN"/>
                    </w:rPr>
                    <w:t>村落</w:t>
                  </w:r>
                  <w:r>
                    <w:rPr>
                      <w:rFonts w:hint="default" w:ascii="Times New Roman" w:hAnsi="Times New Roman" w:cs="Times New Roman"/>
                      <w:color w:val="auto"/>
                      <w:kern w:val="0"/>
                      <w:sz w:val="21"/>
                      <w:szCs w:val="21"/>
                      <w:vertAlign w:val="baseline"/>
                      <w:lang w:val="en-US" w:eastAsia="zh-CN"/>
                    </w:rPr>
                    <w:t>，且绿化率较高，可以有效吸附空气中的粉尘。</w:t>
                  </w:r>
                </w:p>
              </w:tc>
              <w:tc>
                <w:tcPr>
                  <w:tcW w:w="1120" w:type="dxa"/>
                  <w:vAlign w:val="center"/>
                </w:tcPr>
                <w:p w14:paraId="43E0B800">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相符</w:t>
                  </w:r>
                </w:p>
              </w:tc>
            </w:tr>
          </w:tbl>
          <w:p w14:paraId="45F51580">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5</w:t>
            </w:r>
            <w:r>
              <w:rPr>
                <w:rFonts w:hint="default" w:ascii="Times New Roman" w:hAnsi="Times New Roman" w:cs="Times New Roman"/>
                <w:b/>
                <w:bCs/>
                <w:color w:val="auto"/>
                <w:kern w:val="0"/>
                <w:sz w:val="24"/>
                <w:szCs w:val="24"/>
                <w:lang w:val="en-US" w:eastAsia="zh-CN"/>
              </w:rPr>
              <w:t>、 周边环境协调性分析</w:t>
            </w:r>
          </w:p>
          <w:p w14:paraId="23DA603F">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项目</w:t>
            </w:r>
            <w:r>
              <w:rPr>
                <w:rFonts w:hint="default" w:ascii="Times New Roman" w:hAnsi="Times New Roman" w:cs="Times New Roman"/>
                <w:color w:val="auto"/>
                <w:kern w:val="0"/>
                <w:sz w:val="24"/>
                <w:szCs w:val="24"/>
                <w:lang w:val="en-US" w:eastAsia="zh-CN"/>
              </w:rPr>
              <w:t>位于安徽省蚌埠市固镇县刘集镇珍珠沟西侧</w:t>
            </w:r>
            <w:r>
              <w:rPr>
                <w:rFonts w:hint="eastAsia" w:ascii="Times New Roman" w:hAnsi="Times New Roman" w:cs="Times New Roman"/>
                <w:color w:val="auto"/>
                <w:kern w:val="0"/>
                <w:sz w:val="24"/>
                <w:szCs w:val="24"/>
                <w:lang w:val="en-US" w:eastAsia="zh-CN"/>
              </w:rPr>
              <w:t>，为租赁现有闲置厂房进行生产。</w:t>
            </w:r>
            <w:r>
              <w:rPr>
                <w:rFonts w:hint="default" w:ascii="Times New Roman" w:hAnsi="Times New Roman" w:cs="Times New Roman"/>
                <w:color w:val="auto"/>
                <w:kern w:val="0"/>
                <w:sz w:val="24"/>
                <w:szCs w:val="24"/>
                <w:lang w:val="en-US" w:eastAsia="zh-CN"/>
              </w:rPr>
              <w:t>项目所在地厂界</w:t>
            </w:r>
            <w:r>
              <w:rPr>
                <w:rFonts w:hint="eastAsia" w:ascii="Times New Roman" w:hAnsi="Times New Roman" w:cs="Times New Roman"/>
                <w:color w:val="auto"/>
                <w:kern w:val="0"/>
                <w:sz w:val="24"/>
                <w:szCs w:val="24"/>
                <w:lang w:val="en-US" w:eastAsia="zh-CN"/>
              </w:rPr>
              <w:t>周边</w:t>
            </w:r>
            <w:r>
              <w:rPr>
                <w:rFonts w:hint="default" w:ascii="Times New Roman" w:hAnsi="Times New Roman" w:cs="Times New Roman"/>
                <w:color w:val="auto"/>
                <w:kern w:val="0"/>
                <w:sz w:val="24"/>
                <w:szCs w:val="24"/>
                <w:lang w:val="en-US" w:eastAsia="zh-CN"/>
              </w:rPr>
              <w:t>为</w:t>
            </w:r>
            <w:r>
              <w:rPr>
                <w:rFonts w:hint="eastAsia" w:ascii="Times New Roman" w:hAnsi="Times New Roman" w:cs="Times New Roman"/>
                <w:color w:val="auto"/>
                <w:kern w:val="0"/>
                <w:sz w:val="24"/>
                <w:szCs w:val="24"/>
                <w:lang w:val="en-US" w:eastAsia="zh-CN"/>
              </w:rPr>
              <w:t>村庄</w:t>
            </w:r>
            <w:r>
              <w:rPr>
                <w:rFonts w:hint="default" w:ascii="Times New Roman" w:hAnsi="Times New Roman"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项目地</w:t>
            </w:r>
            <w:r>
              <w:rPr>
                <w:rFonts w:hint="default" w:ascii="Times New Roman" w:hAnsi="Times New Roman" w:cs="Times New Roman"/>
                <w:color w:val="auto"/>
                <w:kern w:val="0"/>
                <w:sz w:val="24"/>
                <w:szCs w:val="24"/>
                <w:lang w:val="en-US" w:eastAsia="zh-CN"/>
              </w:rPr>
              <w:t>规划为工业用地，该厂区厂界</w:t>
            </w:r>
            <w:r>
              <w:rPr>
                <w:rFonts w:hint="eastAsia" w:ascii="Times New Roman" w:hAnsi="Times New Roman" w:cs="Times New Roman"/>
                <w:color w:val="auto"/>
                <w:kern w:val="0"/>
                <w:sz w:val="24"/>
                <w:szCs w:val="24"/>
                <w:lang w:val="en-US" w:eastAsia="zh-CN"/>
              </w:rPr>
              <w:t>北</w:t>
            </w:r>
            <w:r>
              <w:rPr>
                <w:rFonts w:hint="default" w:ascii="Times New Roman" w:hAnsi="Times New Roman" w:cs="Times New Roman"/>
                <w:color w:val="auto"/>
                <w:kern w:val="0"/>
                <w:sz w:val="24"/>
                <w:szCs w:val="24"/>
                <w:lang w:val="en-US" w:eastAsia="zh-CN"/>
              </w:rPr>
              <w:t>侧</w:t>
            </w:r>
            <w:r>
              <w:rPr>
                <w:rFonts w:hint="eastAsia" w:ascii="Times New Roman" w:hAnsi="Times New Roman" w:cs="Times New Roman"/>
                <w:color w:val="auto"/>
                <w:kern w:val="0"/>
                <w:sz w:val="24"/>
                <w:szCs w:val="24"/>
                <w:lang w:val="en-US" w:eastAsia="zh-CN"/>
              </w:rPr>
              <w:t>25m</w:t>
            </w:r>
            <w:r>
              <w:rPr>
                <w:rFonts w:hint="default" w:ascii="Times New Roman" w:hAnsi="Times New Roman" w:cs="Times New Roman"/>
                <w:color w:val="auto"/>
                <w:kern w:val="0"/>
                <w:sz w:val="24"/>
                <w:szCs w:val="24"/>
                <w:lang w:val="en-US" w:eastAsia="zh-CN"/>
              </w:rPr>
              <w:t>为</w:t>
            </w:r>
            <w:r>
              <w:rPr>
                <w:rFonts w:hint="eastAsia" w:ascii="Times New Roman" w:hAnsi="Times New Roman" w:cs="Times New Roman"/>
                <w:color w:val="auto"/>
                <w:kern w:val="0"/>
                <w:sz w:val="24"/>
                <w:szCs w:val="24"/>
                <w:lang w:val="en-US" w:eastAsia="zh-CN"/>
              </w:rPr>
              <w:t>左马村</w:t>
            </w:r>
            <w:r>
              <w:rPr>
                <w:rFonts w:hint="default" w:ascii="Times New Roman" w:hAnsi="Times New Roman"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东北</w:t>
            </w:r>
            <w:r>
              <w:rPr>
                <w:rFonts w:hint="default" w:ascii="Times New Roman" w:hAnsi="Times New Roman" w:cs="Times New Roman"/>
                <w:color w:val="auto"/>
                <w:kern w:val="0"/>
                <w:sz w:val="24"/>
                <w:szCs w:val="24"/>
                <w:lang w:val="en-US" w:eastAsia="zh-CN"/>
              </w:rPr>
              <w:t>侧</w:t>
            </w:r>
            <w:r>
              <w:rPr>
                <w:rFonts w:hint="eastAsia" w:ascii="Times New Roman" w:hAnsi="Times New Roman" w:cs="Times New Roman"/>
                <w:color w:val="auto"/>
                <w:kern w:val="0"/>
                <w:sz w:val="24"/>
                <w:szCs w:val="24"/>
                <w:lang w:val="en-US" w:eastAsia="zh-CN"/>
              </w:rPr>
              <w:t>140m</w:t>
            </w:r>
            <w:r>
              <w:rPr>
                <w:rFonts w:hint="default" w:ascii="Times New Roman" w:hAnsi="Times New Roman" w:cs="Times New Roman"/>
                <w:color w:val="auto"/>
                <w:kern w:val="0"/>
                <w:sz w:val="24"/>
                <w:szCs w:val="24"/>
                <w:lang w:val="en-US" w:eastAsia="zh-CN"/>
              </w:rPr>
              <w:t>为</w:t>
            </w:r>
            <w:r>
              <w:rPr>
                <w:rFonts w:hint="eastAsia" w:ascii="Times New Roman" w:hAnsi="Times New Roman" w:cs="Times New Roman"/>
                <w:color w:val="auto"/>
                <w:kern w:val="0"/>
                <w:sz w:val="24"/>
                <w:szCs w:val="24"/>
                <w:lang w:val="en-US" w:eastAsia="zh-CN"/>
              </w:rPr>
              <w:t>前丁村</w:t>
            </w:r>
            <w:r>
              <w:rPr>
                <w:rFonts w:hint="default" w:ascii="Times New Roman" w:hAnsi="Times New Roman"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东</w:t>
            </w:r>
            <w:r>
              <w:rPr>
                <w:rFonts w:hint="default" w:ascii="Times New Roman" w:hAnsi="Times New Roman" w:cs="Times New Roman"/>
                <w:color w:val="auto"/>
                <w:kern w:val="0"/>
                <w:sz w:val="24"/>
                <w:szCs w:val="24"/>
                <w:lang w:val="en-US" w:eastAsia="zh-CN"/>
              </w:rPr>
              <w:t>侧</w:t>
            </w:r>
            <w:r>
              <w:rPr>
                <w:rFonts w:hint="eastAsia" w:ascii="Times New Roman" w:hAnsi="Times New Roman" w:cs="Times New Roman"/>
                <w:color w:val="auto"/>
                <w:kern w:val="0"/>
                <w:sz w:val="24"/>
                <w:szCs w:val="24"/>
                <w:lang w:val="en-US" w:eastAsia="zh-CN"/>
              </w:rPr>
              <w:t>53m</w:t>
            </w:r>
            <w:r>
              <w:rPr>
                <w:rFonts w:hint="default" w:ascii="Times New Roman" w:hAnsi="Times New Roman" w:cs="Times New Roman"/>
                <w:color w:val="auto"/>
                <w:kern w:val="0"/>
                <w:sz w:val="24"/>
                <w:szCs w:val="24"/>
                <w:lang w:val="en-US" w:eastAsia="zh-CN"/>
              </w:rPr>
              <w:t>为</w:t>
            </w:r>
            <w:r>
              <w:rPr>
                <w:rFonts w:hint="eastAsia" w:ascii="Times New Roman" w:hAnsi="Times New Roman" w:cs="Times New Roman"/>
                <w:color w:val="auto"/>
                <w:kern w:val="0"/>
                <w:sz w:val="24"/>
                <w:szCs w:val="24"/>
                <w:lang w:val="en-US" w:eastAsia="zh-CN"/>
              </w:rPr>
              <w:t>珍珠沟，临近厂区南侧和西侧为农田</w:t>
            </w:r>
            <w:r>
              <w:rPr>
                <w:rFonts w:hint="default" w:ascii="Times New Roman" w:hAnsi="Times New Roman"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本项目属于低污染、低能耗产业。项目配备了专业、高效的环保处理设备，对废气、废水、固废进行严格处理，确保达标排放。同时，项目积极采用绿色生产技术与工艺，从源头减少污染物产生</w:t>
            </w:r>
            <w:r>
              <w:rPr>
                <w:rFonts w:hint="default" w:ascii="Times New Roman" w:hAnsi="Times New Roman"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故</w:t>
            </w:r>
            <w:r>
              <w:rPr>
                <w:rFonts w:hint="default" w:ascii="Times New Roman" w:hAnsi="Times New Roman" w:cs="Times New Roman"/>
                <w:color w:val="auto"/>
                <w:kern w:val="0"/>
                <w:sz w:val="24"/>
                <w:szCs w:val="24"/>
                <w:lang w:val="en-US" w:eastAsia="zh-CN"/>
              </w:rPr>
              <w:t>项目建设对村庄影响很小</w:t>
            </w:r>
            <w:r>
              <w:rPr>
                <w:rFonts w:hint="eastAsia" w:ascii="Times New Roman" w:hAnsi="Times New Roman" w:cs="Times New Roman"/>
                <w:color w:val="auto"/>
                <w:kern w:val="0"/>
                <w:sz w:val="24"/>
                <w:szCs w:val="24"/>
                <w:lang w:val="en-US" w:eastAsia="zh-CN"/>
              </w:rPr>
              <w:t>。距厂界西侧5m为安徽华冠光学材料有限公司，该厂采用先进的生产工艺和污染治理技术，能有效控制颗粒物、VOCs的产生和排放。本项目废水不外排，同时，本项目</w:t>
            </w:r>
            <w:r>
              <w:rPr>
                <w:rFonts w:hint="default" w:ascii="Times New Roman" w:hAnsi="Times New Roman" w:cs="Times New Roman"/>
                <w:color w:val="auto"/>
                <w:kern w:val="0"/>
                <w:sz w:val="24"/>
                <w:szCs w:val="24"/>
                <w:lang w:val="en-US" w:eastAsia="zh-CN"/>
              </w:rPr>
              <w:t>采用全封闭生产车间</w:t>
            </w:r>
            <w:r>
              <w:rPr>
                <w:rFonts w:hint="eastAsia" w:ascii="Times New Roman" w:hAnsi="Times New Roman" w:cs="Times New Roman"/>
                <w:color w:val="auto"/>
                <w:kern w:val="0"/>
                <w:sz w:val="24"/>
                <w:szCs w:val="24"/>
                <w:lang w:val="en-US" w:eastAsia="zh-CN"/>
              </w:rPr>
              <w:t>，故周边企业对本项目影响较小。距厂界东侧15m为中国石油蚌埠刘集加油站，加油站与项目实际生产车间距离为35m，刘集加油站配备油气回收系统，根据《石油库设计规范》(GB 50074-2014)，本项目生产车间不在加油站安全防护距离内，加油站采用双层油罐，且本项目采用集中供水，不采用地下水。同时，车间采用新风系统，故刘集加油站对本项目影响较小。</w:t>
            </w:r>
          </w:p>
          <w:p w14:paraId="501C5CFF">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综上，</w:t>
            </w:r>
            <w:r>
              <w:rPr>
                <w:rFonts w:hint="default" w:ascii="Times New Roman" w:hAnsi="Times New Roman" w:cs="Times New Roman"/>
                <w:color w:val="auto"/>
                <w:kern w:val="0"/>
                <w:sz w:val="24"/>
                <w:szCs w:val="24"/>
                <w:lang w:val="en-US" w:eastAsia="zh-CN"/>
              </w:rPr>
              <w:t>项目的选址与周边环境相协调。项目周边环境状况图</w:t>
            </w:r>
            <w:r>
              <w:rPr>
                <w:rFonts w:hint="eastAsia" w:ascii="Times New Roman" w:hAnsi="Times New Roman" w:cs="Times New Roman"/>
                <w:color w:val="auto"/>
                <w:kern w:val="0"/>
                <w:sz w:val="24"/>
                <w:szCs w:val="24"/>
                <w:lang w:val="en-US" w:eastAsia="zh-CN"/>
              </w:rPr>
              <w:t>详见</w:t>
            </w:r>
            <w:r>
              <w:rPr>
                <w:rFonts w:hint="default" w:ascii="Times New Roman" w:hAnsi="Times New Roman" w:cs="Times New Roman"/>
                <w:color w:val="auto"/>
                <w:kern w:val="0"/>
                <w:sz w:val="24"/>
                <w:szCs w:val="24"/>
                <w:lang w:val="en-US" w:eastAsia="zh-CN"/>
              </w:rPr>
              <w:t>附图5</w:t>
            </w:r>
            <w:r>
              <w:rPr>
                <w:rFonts w:hint="eastAsia" w:ascii="Times New Roman" w:hAnsi="Times New Roman" w:cs="Times New Roman"/>
                <w:color w:val="auto"/>
                <w:kern w:val="0"/>
                <w:sz w:val="24"/>
                <w:szCs w:val="24"/>
                <w:lang w:val="en-US" w:eastAsia="zh-CN"/>
              </w:rPr>
              <w:t>。</w:t>
            </w:r>
          </w:p>
          <w:p w14:paraId="641F165D">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4BBD552D">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69D109BB">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14F851B5">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51ACC821">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31B9CA69">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43262B83">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43236098">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4D823D9A">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0C21701D">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4D38A182">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307042D7">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5B94F3EA">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40A306DD">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5D86AF0A">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0598B8C1">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5D24B587">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3DC18930">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6ED7D0D4">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5B42C50F">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25060D2C">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427378BC">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006A4418">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p w14:paraId="0EED2E19">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Times New Roman" w:hAnsi="Times New Roman" w:cs="Times New Roman"/>
                <w:color w:val="auto"/>
                <w:kern w:val="0"/>
                <w:sz w:val="24"/>
                <w:szCs w:val="24"/>
                <w:lang w:val="en-US" w:eastAsia="zh-CN"/>
              </w:rPr>
            </w:pPr>
          </w:p>
        </w:tc>
      </w:tr>
    </w:tbl>
    <w:p w14:paraId="4947582B">
      <w:pPr>
        <w:pStyle w:val="23"/>
        <w:outlineLvl w:val="9"/>
        <w:rPr>
          <w:snapToGrid w:val="0"/>
        </w:rPr>
        <w:sectPr>
          <w:footerReference r:id="rId5" w:type="default"/>
          <w:pgSz w:w="11906" w:h="16838"/>
          <w:pgMar w:top="1440" w:right="1134" w:bottom="1440"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4" w:name="_Toc15543"/>
    </w:p>
    <w:p w14:paraId="114EF0A9">
      <w:pPr>
        <w:pStyle w:val="23"/>
        <w:rPr>
          <w:rFonts w:hAnsi="Times New Roman"/>
          <w:snapToGrid w:val="0"/>
        </w:rPr>
      </w:pPr>
      <w:bookmarkStart w:id="5" w:name="_Toc4334"/>
      <w:r>
        <w:rPr>
          <w:snapToGrid w:val="0"/>
        </w:rPr>
        <w:t>二、建设项目工程分析</w:t>
      </w:r>
      <w:bookmarkEnd w:id="4"/>
      <w:bookmarkEnd w:id="5"/>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9116"/>
      </w:tblGrid>
      <w:tr w14:paraId="7455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9" w:type="dxa"/>
            <w:vAlign w:val="center"/>
          </w:tcPr>
          <w:p w14:paraId="44DD1EB8">
            <w:pPr>
              <w:autoSpaceDE w:val="0"/>
              <w:autoSpaceDN w:val="0"/>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建设内容</w:t>
            </w:r>
          </w:p>
        </w:tc>
        <w:tc>
          <w:tcPr>
            <w:tcW w:w="9142" w:type="dxa"/>
            <w:vAlign w:val="center"/>
          </w:tcPr>
          <w:p w14:paraId="75536AD9">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1、建设内容</w:t>
            </w:r>
          </w:p>
          <w:p w14:paraId="5B3596ED">
            <w:pPr>
              <w:spacing w:line="360" w:lineRule="auto"/>
              <w:ind w:firstLine="480" w:firstLineChars="200"/>
              <w:rPr>
                <w:rFonts w:hint="eastAsia" w:cs="Times New Roman"/>
                <w:color w:val="auto"/>
                <w:sz w:val="24"/>
                <w:szCs w:val="24"/>
                <w:lang w:eastAsia="zh-CN"/>
              </w:rPr>
            </w:pPr>
            <w:r>
              <w:rPr>
                <w:rFonts w:hint="default" w:ascii="Times New Roman" w:hAnsi="Times New Roman" w:cs="Times New Roman"/>
                <w:color w:val="auto"/>
                <w:sz w:val="24"/>
                <w:szCs w:val="24"/>
                <w:lang w:eastAsia="zh-CN"/>
              </w:rPr>
              <w:t>由于市场发展需要，安徽美康星农业发展有限公司投资</w:t>
            </w:r>
            <w:r>
              <w:rPr>
                <w:rFonts w:hint="eastAsia" w:cs="Times New Roman"/>
                <w:color w:val="auto"/>
                <w:sz w:val="24"/>
                <w:szCs w:val="24"/>
                <w:lang w:val="en-US" w:eastAsia="zh-CN"/>
              </w:rPr>
              <w:t>10100</w:t>
            </w:r>
            <w:r>
              <w:rPr>
                <w:rFonts w:hint="default" w:ascii="Times New Roman" w:hAnsi="Times New Roman" w:cs="Times New Roman"/>
                <w:color w:val="auto"/>
                <w:sz w:val="24"/>
                <w:szCs w:val="24"/>
                <w:lang w:eastAsia="zh-CN"/>
              </w:rPr>
              <w:t>万元拟建“年产1200吨蛋类制品、500吨淀粉制品和200吨豆制品项目”，项目位于安徽省蚌埠市固镇县刘集镇珍珠沟西侧，</w:t>
            </w:r>
            <w:r>
              <w:rPr>
                <w:rFonts w:hint="eastAsia" w:cs="Times New Roman"/>
                <w:color w:val="auto"/>
                <w:sz w:val="24"/>
                <w:szCs w:val="24"/>
                <w:lang w:val="en-US" w:eastAsia="zh-CN"/>
              </w:rPr>
              <w:t>主要设置生产车间、原料暂存区、冷却区、包材区、成品区</w:t>
            </w:r>
            <w:r>
              <w:rPr>
                <w:rFonts w:hint="default" w:ascii="Times New Roman" w:hAnsi="Times New Roman" w:cs="Times New Roman"/>
                <w:color w:val="auto"/>
                <w:sz w:val="24"/>
                <w:szCs w:val="24"/>
                <w:lang w:eastAsia="zh-CN"/>
              </w:rPr>
              <w:t>并配套建设相关基础设施，项目主要建设年产1200吨蛋类制品、500吨淀粉制品和200吨豆制品项</w:t>
            </w:r>
            <w:r>
              <w:rPr>
                <w:rFonts w:hint="eastAsia" w:cs="Times New Roman"/>
                <w:color w:val="auto"/>
                <w:sz w:val="24"/>
                <w:szCs w:val="24"/>
                <w:lang w:eastAsia="zh-CN"/>
              </w:rPr>
              <w:t>，分两期建设完成，</w:t>
            </w:r>
            <w:r>
              <w:rPr>
                <w:rFonts w:hint="default" w:ascii="Times New Roman" w:hAnsi="Times New Roman" w:cs="Times New Roman"/>
                <w:color w:val="auto"/>
                <w:sz w:val="24"/>
                <w:szCs w:val="24"/>
                <w:lang w:eastAsia="zh-CN"/>
              </w:rPr>
              <w:t>一期年产700吨蛋类制品、200吨淀粉制品和100吨豆</w:t>
            </w:r>
            <w:r>
              <w:rPr>
                <w:rFonts w:hint="eastAsia" w:cs="Times New Roman"/>
                <w:color w:val="auto"/>
                <w:sz w:val="24"/>
                <w:szCs w:val="24"/>
                <w:lang w:val="en-US" w:eastAsia="zh-CN"/>
              </w:rPr>
              <w:t>制品，</w:t>
            </w:r>
            <w:r>
              <w:rPr>
                <w:rFonts w:hint="default" w:ascii="Times New Roman" w:hAnsi="Times New Roman" w:cs="Times New Roman"/>
                <w:color w:val="auto"/>
                <w:sz w:val="24"/>
                <w:szCs w:val="24"/>
                <w:lang w:eastAsia="zh-CN"/>
              </w:rPr>
              <w:t>二期进一步扩大产能，达到年产1200吨蛋类制品、500吨淀粉制</w:t>
            </w:r>
            <w:r>
              <w:rPr>
                <w:rFonts w:hint="eastAsia" w:cs="Times New Roman"/>
                <w:color w:val="auto"/>
                <w:sz w:val="24"/>
                <w:szCs w:val="24"/>
                <w:lang w:val="en-US" w:eastAsia="zh-CN"/>
              </w:rPr>
              <w:t>品</w:t>
            </w:r>
            <w:r>
              <w:rPr>
                <w:rFonts w:hint="default" w:ascii="Times New Roman" w:hAnsi="Times New Roman" w:cs="Times New Roman"/>
                <w:color w:val="auto"/>
                <w:sz w:val="24"/>
                <w:szCs w:val="24"/>
                <w:lang w:eastAsia="zh-CN"/>
              </w:rPr>
              <w:t>和200吨豆制品项目。</w:t>
            </w:r>
            <w:r>
              <w:rPr>
                <w:rFonts w:hint="eastAsia" w:cs="Times New Roman"/>
                <w:color w:val="auto"/>
                <w:sz w:val="24"/>
                <w:szCs w:val="24"/>
                <w:lang w:val="en-US" w:eastAsia="zh-CN"/>
              </w:rPr>
              <w:t>本次环评评价范围为一、二期建设完成，生产满产。</w:t>
            </w:r>
          </w:p>
          <w:p w14:paraId="5FB8DB58">
            <w:pPr>
              <w:spacing w:line="360" w:lineRule="auto"/>
              <w:ind w:firstLine="480" w:firstLineChars="200"/>
              <w:rPr>
                <w:rFonts w:hint="default"/>
                <w:color w:val="auto"/>
                <w:lang w:val="en-US" w:eastAsia="zh-CN"/>
              </w:rPr>
            </w:pPr>
            <w:r>
              <w:rPr>
                <w:rFonts w:hint="default" w:ascii="Times New Roman" w:hAnsi="Times New Roman" w:cs="Times New Roman"/>
                <w:color w:val="auto"/>
                <w:sz w:val="24"/>
                <w:szCs w:val="24"/>
                <w:lang w:eastAsia="zh-CN"/>
              </w:rPr>
              <w:t>根据《建设项目环境影响评价分类管理名录（2021年版）》本项目属于“十、农副食品加工业 13-20-其他农副食品加工139*-不含发酵工艺的淀粉、淀粉糖制造；淀粉制品制造；豆制品制造 以上均不含单纯分装的”，需编制环境影响报告表</w:t>
            </w:r>
            <w:r>
              <w:rPr>
                <w:rFonts w:hint="eastAsia" w:cs="Times New Roman"/>
                <w:color w:val="auto"/>
                <w:sz w:val="24"/>
                <w:szCs w:val="24"/>
                <w:lang w:eastAsia="zh-CN"/>
              </w:rPr>
              <w:t>。</w:t>
            </w:r>
            <w:r>
              <w:rPr>
                <w:rFonts w:hint="eastAsia" w:cs="Times New Roman"/>
                <w:color w:val="auto"/>
                <w:sz w:val="24"/>
                <w:szCs w:val="24"/>
                <w:lang w:val="en-US" w:eastAsia="zh-CN"/>
              </w:rPr>
              <w:t>蛋类制品属于农副食品加工业中豁免类</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综上，取最高级，该项目需编制环境影响报告表。</w:t>
            </w:r>
          </w:p>
          <w:p w14:paraId="3FA16258">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安徽美康星农业发展有限公司委托蚌埠富鑫环境科技有限公司开展该项目环境影响评价工作。我公司接受委托后，环评工作组进行了实地踏勘和资料收集，在工程分析的基础上，编制了本环境影响报告表。</w:t>
            </w:r>
          </w:p>
          <w:p w14:paraId="25B3544D">
            <w:pPr>
              <w:spacing w:line="24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项目建设内容见下表。</w:t>
            </w:r>
          </w:p>
          <w:p w14:paraId="6CFEDA6E">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表2-1</w:t>
            </w:r>
            <w:r>
              <w:rPr>
                <w:rFonts w:hint="eastAsia" w:cs="Times New Roman"/>
                <w:b/>
                <w:color w:val="auto"/>
                <w:sz w:val="21"/>
                <w:szCs w:val="21"/>
                <w:lang w:val="en-US" w:eastAsia="zh-CN"/>
              </w:rPr>
              <w:t xml:space="preserve">  </w:t>
            </w:r>
            <w:r>
              <w:rPr>
                <w:rFonts w:hint="default" w:ascii="Times New Roman" w:hAnsi="Times New Roman" w:cs="Times New Roman"/>
                <w:b/>
                <w:color w:val="auto"/>
                <w:sz w:val="21"/>
                <w:szCs w:val="21"/>
              </w:rPr>
              <w:t>项目建设内容一览表</w:t>
            </w:r>
          </w:p>
          <w:tbl>
            <w:tblPr>
              <w:tblStyle w:val="25"/>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425"/>
              <w:gridCol w:w="6190"/>
              <w:gridCol w:w="662"/>
            </w:tblGrid>
            <w:tr w14:paraId="5EC7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0EF721">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工程名称</w:t>
                  </w:r>
                </w:p>
              </w:tc>
              <w:tc>
                <w:tcPr>
                  <w:tcW w:w="7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61A8A1">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单项工程名称</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B2BB4A">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工程建设内容</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3AD9FC">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备注</w:t>
                  </w:r>
                </w:p>
              </w:tc>
            </w:tr>
            <w:tr w14:paraId="5224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DF7D2B">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主体工程</w:t>
                  </w:r>
                </w:p>
              </w:tc>
              <w:tc>
                <w:tcPr>
                  <w:tcW w:w="7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4AF706">
                  <w:pPr>
                    <w:widowControl/>
                    <w:adjustRightInd w:val="0"/>
                    <w:snapToGrid w:val="0"/>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3ECA82">
                  <w:pPr>
                    <w:widowControl/>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设置粉丝生产线、松花蛋生产线、变蛋生产线、豆制品生产线、腌制区、更衣室。</w:t>
                  </w:r>
                  <w:r>
                    <w:rPr>
                      <w:rFonts w:hint="default" w:ascii="Times New Roman" w:hAnsi="Times New Roman" w:eastAsia="宋体" w:cs="Times New Roman"/>
                      <w:color w:val="auto"/>
                      <w:sz w:val="21"/>
                      <w:szCs w:val="21"/>
                    </w:rPr>
                    <w:t>建筑面积</w:t>
                  </w:r>
                  <w:r>
                    <w:rPr>
                      <w:rFonts w:hint="default" w:ascii="Times New Roman" w:hAnsi="Times New Roman" w:cs="Times New Roman"/>
                      <w:color w:val="auto"/>
                      <w:sz w:val="21"/>
                      <w:szCs w:val="21"/>
                      <w:lang w:val="en-US" w:eastAsia="zh-CN"/>
                    </w:rPr>
                    <w:t>约6000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1F，高度约12m</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建成后可</w:t>
                  </w:r>
                  <w:r>
                    <w:rPr>
                      <w:rFonts w:hint="default" w:ascii="Times New Roman" w:hAnsi="Times New Roman" w:eastAsia="宋体" w:cs="Times New Roman"/>
                      <w:color w:val="auto"/>
                      <w:sz w:val="21"/>
                      <w:szCs w:val="21"/>
                    </w:rPr>
                    <w:t>年产1200吨蛋类制品、500吨淀粉制品和200吨豆制品。</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7377BF">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新建</w:t>
                  </w:r>
                </w:p>
              </w:tc>
            </w:tr>
            <w:tr w14:paraId="7824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vMerge w:val="restart"/>
                  <w:tcBorders>
                    <w:top w:val="single" w:color="auto" w:sz="4" w:space="0"/>
                    <w:left w:val="single" w:color="auto" w:sz="4" w:space="0"/>
                    <w:right w:val="single" w:color="auto" w:sz="4" w:space="0"/>
                    <w:tl2br w:val="nil"/>
                    <w:tr2bl w:val="nil"/>
                  </w:tcBorders>
                  <w:noWrap w:val="0"/>
                  <w:vAlign w:val="center"/>
                </w:tcPr>
                <w:p w14:paraId="5D24550D">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贮运工程</w:t>
                  </w:r>
                </w:p>
              </w:tc>
              <w:tc>
                <w:tcPr>
                  <w:tcW w:w="7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F0D2B7">
                  <w:pPr>
                    <w:widowControl/>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w:t>
                  </w:r>
                  <w:r>
                    <w:rPr>
                      <w:rFonts w:hint="default" w:ascii="Times New Roman" w:hAnsi="Times New Roman" w:eastAsia="宋体" w:cs="Times New Roman"/>
                      <w:color w:val="auto"/>
                      <w:sz w:val="21"/>
                      <w:szCs w:val="21"/>
                      <w:lang w:val="en-US" w:eastAsia="zh-CN"/>
                    </w:rPr>
                    <w:t>暂存</w:t>
                  </w:r>
                  <w:r>
                    <w:rPr>
                      <w:rFonts w:hint="default" w:ascii="Times New Roman" w:hAnsi="Times New Roman" w:eastAsia="宋体" w:cs="Times New Roman"/>
                      <w:color w:val="auto"/>
                      <w:sz w:val="21"/>
                      <w:szCs w:val="21"/>
                    </w:rPr>
                    <w:t>区</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C1F616">
                  <w:pPr>
                    <w:widowControl/>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蛋类</w:t>
                  </w:r>
                  <w:r>
                    <w:rPr>
                      <w:rFonts w:hint="default" w:ascii="Times New Roman" w:hAnsi="Times New Roman" w:eastAsia="宋体" w:cs="Times New Roman"/>
                      <w:color w:val="auto"/>
                      <w:sz w:val="21"/>
                      <w:szCs w:val="21"/>
                      <w:lang w:val="en-US" w:eastAsia="zh-CN"/>
                    </w:rPr>
                    <w:t>原料区</w:t>
                  </w:r>
                  <w:r>
                    <w:rPr>
                      <w:rFonts w:hint="default" w:ascii="Times New Roman" w:hAnsi="Times New Roman" w:eastAsia="宋体" w:cs="Times New Roman"/>
                      <w:color w:val="auto"/>
                      <w:sz w:val="21"/>
                      <w:szCs w:val="21"/>
                    </w:rPr>
                    <w:t>位于生产车间</w:t>
                  </w:r>
                  <w:r>
                    <w:rPr>
                      <w:rFonts w:hint="default" w:ascii="Times New Roman" w:hAnsi="Times New Roman" w:cs="Times New Roman"/>
                      <w:color w:val="auto"/>
                      <w:sz w:val="21"/>
                      <w:szCs w:val="21"/>
                      <w:lang w:val="en-US" w:eastAsia="zh-CN"/>
                    </w:rPr>
                    <w:t>西北侧</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建筑</w:t>
                  </w:r>
                  <w:r>
                    <w:rPr>
                      <w:rFonts w:hint="default" w:ascii="Times New Roman" w:hAnsi="Times New Roman" w:eastAsia="宋体" w:cs="Times New Roman"/>
                      <w:color w:val="auto"/>
                      <w:sz w:val="21"/>
                      <w:szCs w:val="21"/>
                    </w:rPr>
                    <w:t>面积</w:t>
                  </w:r>
                  <w:r>
                    <w:rPr>
                      <w:rFonts w:hint="default" w:ascii="Times New Roman" w:hAnsi="Times New Roman" w:eastAsia="宋体" w:cs="Times New Roman"/>
                      <w:color w:val="auto"/>
                      <w:sz w:val="21"/>
                      <w:szCs w:val="21"/>
                      <w:lang w:val="en-US" w:eastAsia="zh-CN"/>
                    </w:rPr>
                    <w:t>约</w:t>
                  </w:r>
                  <w:r>
                    <w:rPr>
                      <w:rFonts w:hint="default" w:ascii="Times New Roman" w:hAnsi="Times New Roman" w:cs="Times New Roman"/>
                      <w:color w:val="auto"/>
                      <w:sz w:val="21"/>
                      <w:szCs w:val="21"/>
                      <w:lang w:val="en-US" w:eastAsia="zh-CN"/>
                    </w:rPr>
                    <w:t>150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豆制品</w:t>
                  </w:r>
                  <w:r>
                    <w:rPr>
                      <w:rFonts w:hint="default" w:ascii="Times New Roman" w:hAnsi="Times New Roman" w:eastAsia="宋体" w:cs="Times New Roman"/>
                      <w:color w:val="auto"/>
                      <w:sz w:val="21"/>
                      <w:szCs w:val="21"/>
                    </w:rPr>
                    <w:t>原料区位于生产车间西侧，建筑面积约</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粉丝</w:t>
                  </w:r>
                  <w:r>
                    <w:rPr>
                      <w:rFonts w:hint="default" w:ascii="Times New Roman" w:hAnsi="Times New Roman" w:cs="Times New Roman"/>
                      <w:color w:val="auto"/>
                      <w:sz w:val="21"/>
                      <w:szCs w:val="21"/>
                      <w:lang w:eastAsia="zh-CN"/>
                    </w:rPr>
                    <w:t>原料区位于生产车间</w:t>
                  </w:r>
                  <w:r>
                    <w:rPr>
                      <w:rFonts w:hint="default" w:ascii="Times New Roman" w:hAnsi="Times New Roman" w:cs="Times New Roman"/>
                      <w:color w:val="auto"/>
                      <w:sz w:val="21"/>
                      <w:szCs w:val="21"/>
                      <w:lang w:val="en-US" w:eastAsia="zh-CN"/>
                    </w:rPr>
                    <w:t>东</w:t>
                  </w:r>
                  <w:r>
                    <w:rPr>
                      <w:rFonts w:hint="default" w:ascii="Times New Roman" w:hAnsi="Times New Roman" w:cs="Times New Roman"/>
                      <w:color w:val="auto"/>
                      <w:sz w:val="21"/>
                      <w:szCs w:val="21"/>
                      <w:lang w:eastAsia="zh-CN"/>
                    </w:rPr>
                    <w:t>侧，建筑面积约</w:t>
                  </w:r>
                  <w:r>
                    <w:rPr>
                      <w:rFonts w:hint="default" w:ascii="Times New Roman" w:hAnsi="Times New Roman" w:cs="Times New Roman"/>
                      <w:color w:val="auto"/>
                      <w:sz w:val="21"/>
                      <w:szCs w:val="21"/>
                      <w:lang w:val="en-US" w:eastAsia="zh-CN"/>
                    </w:rPr>
                    <w:t>120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2</w:t>
                  </w:r>
                  <w:r>
                    <w:rPr>
                      <w:rFonts w:hint="default" w:ascii="Times New Roman" w:hAnsi="Times New Roman" w:eastAsia="宋体" w:cs="Times New Roman"/>
                      <w:color w:val="auto"/>
                      <w:sz w:val="21"/>
                      <w:szCs w:val="21"/>
                      <w:vertAlign w:val="baseline"/>
                      <w:lang w:val="en-US" w:eastAsia="zh-CN"/>
                    </w:rPr>
                    <w:t>。</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51B09C">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新建</w:t>
                  </w:r>
                </w:p>
              </w:tc>
            </w:tr>
            <w:tr w14:paraId="3E05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vMerge w:val="continue"/>
                  <w:tcBorders>
                    <w:left w:val="single" w:color="auto" w:sz="4" w:space="0"/>
                    <w:right w:val="single" w:color="auto" w:sz="4" w:space="0"/>
                    <w:tl2br w:val="nil"/>
                    <w:tr2bl w:val="nil"/>
                  </w:tcBorders>
                  <w:noWrap w:val="0"/>
                  <w:vAlign w:val="center"/>
                </w:tcPr>
                <w:p w14:paraId="75E05652">
                  <w:pPr>
                    <w:widowControl/>
                    <w:spacing w:beforeLines="0" w:afterLines="0"/>
                    <w:jc w:val="center"/>
                    <w:rPr>
                      <w:rFonts w:hint="default" w:ascii="Times New Roman" w:hAnsi="Times New Roman" w:eastAsia="宋体" w:cs="Times New Roman"/>
                      <w:color w:val="auto"/>
                      <w:sz w:val="21"/>
                      <w:szCs w:val="21"/>
                    </w:rPr>
                  </w:pPr>
                </w:p>
              </w:tc>
              <w:tc>
                <w:tcPr>
                  <w:tcW w:w="7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4189E9">
                  <w:pPr>
                    <w:widowControl/>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包材</w:t>
                  </w:r>
                  <w:r>
                    <w:rPr>
                      <w:rFonts w:hint="default" w:ascii="Times New Roman" w:hAnsi="Times New Roman" w:eastAsia="宋体" w:cs="Times New Roman"/>
                      <w:color w:val="auto"/>
                      <w:sz w:val="21"/>
                      <w:szCs w:val="21"/>
                    </w:rPr>
                    <w:t>区</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AA1140">
                  <w:pPr>
                    <w:widowControl/>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蛋类包材区位于生产车间西北侧，建筑面积约50m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，豆制品包材区位于生产车间西</w:t>
                  </w:r>
                  <w:r>
                    <w:rPr>
                      <w:rFonts w:hint="default" w:ascii="Times New Roman" w:hAnsi="Times New Roman" w:cs="Times New Roman"/>
                      <w:color w:val="auto"/>
                      <w:sz w:val="21"/>
                      <w:szCs w:val="21"/>
                      <w:lang w:val="en-US" w:eastAsia="zh-CN"/>
                    </w:rPr>
                    <w:t>南</w:t>
                  </w:r>
                  <w:r>
                    <w:rPr>
                      <w:rFonts w:hint="default" w:ascii="Times New Roman" w:hAnsi="Times New Roman" w:eastAsia="宋体" w:cs="Times New Roman"/>
                      <w:color w:val="auto"/>
                      <w:sz w:val="21"/>
                      <w:szCs w:val="21"/>
                    </w:rPr>
                    <w:t>侧，建筑面积约</w:t>
                  </w:r>
                  <w:r>
                    <w:rPr>
                      <w:rFonts w:hint="default" w:ascii="Times New Roman" w:hAnsi="Times New Roman" w:cs="Times New Roman"/>
                      <w:color w:val="auto"/>
                      <w:sz w:val="21"/>
                      <w:szCs w:val="21"/>
                      <w:lang w:val="en-US" w:eastAsia="zh-CN"/>
                    </w:rPr>
                    <w:t>10</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，粉丝包材区于生产车间东侧，建筑面积约</w:t>
                  </w:r>
                  <w:r>
                    <w:rPr>
                      <w:rFonts w:hint="default" w:ascii="Times New Roman" w:hAnsi="Times New Roman" w:cs="Times New Roman"/>
                      <w:color w:val="auto"/>
                      <w:sz w:val="21"/>
                      <w:szCs w:val="21"/>
                      <w:lang w:val="en-US" w:eastAsia="zh-CN"/>
                    </w:rPr>
                    <w:t>80</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D76711">
                  <w:pPr>
                    <w:widowControl/>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1153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vMerge w:val="continue"/>
                  <w:tcBorders>
                    <w:left w:val="single" w:color="auto" w:sz="4" w:space="0"/>
                    <w:bottom w:val="single" w:color="auto" w:sz="4" w:space="0"/>
                    <w:right w:val="single" w:color="auto" w:sz="4" w:space="0"/>
                    <w:tl2br w:val="nil"/>
                    <w:tr2bl w:val="nil"/>
                  </w:tcBorders>
                  <w:noWrap w:val="0"/>
                  <w:vAlign w:val="center"/>
                </w:tcPr>
                <w:p w14:paraId="3BF6A410">
                  <w:pPr>
                    <w:widowControl/>
                    <w:spacing w:beforeLines="0" w:afterLines="0"/>
                    <w:jc w:val="center"/>
                    <w:rPr>
                      <w:rFonts w:hint="default" w:ascii="Times New Roman" w:hAnsi="Times New Roman" w:cs="Times New Roman"/>
                      <w:color w:val="auto"/>
                      <w:sz w:val="21"/>
                      <w:szCs w:val="21"/>
                    </w:rPr>
                  </w:pPr>
                </w:p>
              </w:tc>
              <w:tc>
                <w:tcPr>
                  <w:tcW w:w="7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94B7A6">
                  <w:pPr>
                    <w:widowControl/>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成品区</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0A56A0">
                  <w:pPr>
                    <w:widowControl/>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蛋类成品区位于生产车间西北侧，建筑面积约</w:t>
                  </w:r>
                  <w:r>
                    <w:rPr>
                      <w:rFonts w:hint="default" w:ascii="Times New Roman" w:hAnsi="Times New Roman"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，豆制品成品区位于生产车间西侧，建筑面积约100m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，粉丝成品区于生产车间东</w:t>
                  </w:r>
                  <w:r>
                    <w:rPr>
                      <w:rFonts w:hint="default" w:ascii="Times New Roman" w:hAnsi="Times New Roman" w:cs="Times New Roman"/>
                      <w:color w:val="auto"/>
                      <w:sz w:val="21"/>
                      <w:szCs w:val="21"/>
                      <w:lang w:val="en-US" w:eastAsia="zh-CN"/>
                    </w:rPr>
                    <w:t>南</w:t>
                  </w:r>
                  <w:r>
                    <w:rPr>
                      <w:rFonts w:hint="default" w:ascii="Times New Roman" w:hAnsi="Times New Roman" w:eastAsia="宋体" w:cs="Times New Roman"/>
                      <w:color w:val="auto"/>
                      <w:sz w:val="21"/>
                      <w:szCs w:val="21"/>
                      <w:lang w:val="en-US" w:eastAsia="zh-CN"/>
                    </w:rPr>
                    <w:t>侧，建筑面积约</w:t>
                  </w:r>
                  <w:r>
                    <w:rPr>
                      <w:rFonts w:hint="default"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BFFDC7">
                  <w:pPr>
                    <w:widowControl/>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31D5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58F542">
                  <w:pPr>
                    <w:widowControl/>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7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D0CC6A">
                  <w:pPr>
                    <w:widowControl/>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办公</w:t>
                  </w:r>
                  <w:r>
                    <w:rPr>
                      <w:rFonts w:hint="default" w:ascii="Times New Roman" w:hAnsi="Times New Roman" w:eastAsia="宋体" w:cs="Times New Roman"/>
                      <w:color w:val="auto"/>
                      <w:sz w:val="21"/>
                      <w:szCs w:val="21"/>
                      <w:lang w:val="en-US" w:eastAsia="zh-CN"/>
                    </w:rPr>
                    <w:t>区</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AC47DE">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位于厂区西北</w:t>
                  </w:r>
                  <w:r>
                    <w:rPr>
                      <w:rFonts w:hint="default" w:ascii="Times New Roman" w:hAnsi="Times New Roman" w:eastAsia="宋体" w:cs="Times New Roman"/>
                      <w:color w:val="auto"/>
                      <w:sz w:val="21"/>
                      <w:szCs w:val="21"/>
                      <w:lang w:val="en-US" w:eastAsia="zh-CN"/>
                    </w:rPr>
                    <w:t>侧</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占地</w:t>
                  </w:r>
                  <w:r>
                    <w:rPr>
                      <w:rFonts w:hint="default" w:ascii="Times New Roman" w:hAnsi="Times New Roman" w:eastAsia="宋体" w:cs="Times New Roman"/>
                      <w:color w:val="auto"/>
                      <w:sz w:val="21"/>
                      <w:szCs w:val="21"/>
                    </w:rPr>
                    <w:t>面积</w:t>
                  </w:r>
                  <w:r>
                    <w:rPr>
                      <w:rFonts w:hint="default" w:ascii="Times New Roman" w:hAnsi="Times New Roman" w:eastAsia="宋体" w:cs="Times New Roman"/>
                      <w:color w:val="auto"/>
                      <w:sz w:val="21"/>
                      <w:szCs w:val="21"/>
                      <w:lang w:val="en-US" w:eastAsia="zh-CN"/>
                    </w:rPr>
                    <w:t>约</w:t>
                  </w:r>
                  <w:r>
                    <w:rPr>
                      <w:rFonts w:hint="default" w:ascii="Times New Roman" w:hAnsi="Times New Roman" w:cs="Times New Roman"/>
                      <w:color w:val="auto"/>
                      <w:sz w:val="21"/>
                      <w:szCs w:val="21"/>
                      <w:lang w:val="en-US" w:eastAsia="zh-CN"/>
                    </w:rPr>
                    <w:t>1000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eastAsia="宋体" w:cs="Times New Roman"/>
                      <w:color w:val="auto"/>
                      <w:sz w:val="21"/>
                      <w:szCs w:val="21"/>
                    </w:rPr>
                    <w:t>，用于职员日常办公。</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FC7D5D">
                  <w:pPr>
                    <w:widowControl/>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5E5F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DC5AB9B">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公用工程</w:t>
                  </w:r>
                </w:p>
              </w:tc>
              <w:tc>
                <w:tcPr>
                  <w:tcW w:w="7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49E47D">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供水</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9F80B1">
                  <w:pPr>
                    <w:widowControl/>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项目用水取自</w:t>
                  </w:r>
                  <w:r>
                    <w:rPr>
                      <w:rFonts w:hint="default" w:ascii="Times New Roman" w:hAnsi="Times New Roman" w:cs="Times New Roman"/>
                      <w:color w:val="auto"/>
                      <w:sz w:val="21"/>
                      <w:szCs w:val="21"/>
                      <w:lang w:val="en-US" w:eastAsia="zh-CN"/>
                    </w:rPr>
                    <w:t>城镇</w:t>
                  </w:r>
                  <w:r>
                    <w:rPr>
                      <w:rFonts w:hint="default" w:ascii="Times New Roman" w:hAnsi="Times New Roman" w:eastAsia="宋体" w:cs="Times New Roman"/>
                      <w:color w:val="auto"/>
                      <w:sz w:val="21"/>
                      <w:szCs w:val="21"/>
                    </w:rPr>
                    <w:t>供水管网</w:t>
                  </w:r>
                  <w:r>
                    <w:rPr>
                      <w:rFonts w:hint="eastAsia" w:cs="Times New Roman"/>
                      <w:color w:val="auto"/>
                      <w:sz w:val="21"/>
                      <w:szCs w:val="21"/>
                      <w:lang w:eastAsia="zh-CN"/>
                    </w:rPr>
                    <w:t>，</w:t>
                  </w:r>
                  <w:r>
                    <w:rPr>
                      <w:rFonts w:hint="eastAsia" w:cs="Times New Roman"/>
                      <w:color w:val="auto"/>
                      <w:sz w:val="21"/>
                      <w:szCs w:val="21"/>
                      <w:lang w:val="en-US" w:eastAsia="zh-CN"/>
                    </w:rPr>
                    <w:t>为集中供水</w:t>
                  </w:r>
                  <w:r>
                    <w:rPr>
                      <w:rFonts w:hint="default" w:ascii="Times New Roman" w:hAnsi="Times New Roman" w:eastAsia="宋体" w:cs="Times New Roman"/>
                      <w:color w:val="auto"/>
                      <w:sz w:val="21"/>
                      <w:szCs w:val="21"/>
                    </w:rPr>
                    <w:t>。</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DD7910">
                  <w:pPr>
                    <w:snapToGrid w:val="0"/>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依托</w:t>
                  </w:r>
                </w:p>
              </w:tc>
            </w:tr>
            <w:tr w14:paraId="091C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43EAD7E">
                  <w:pPr>
                    <w:widowControl/>
                    <w:spacing w:beforeLines="0" w:afterLines="0"/>
                    <w:jc w:val="center"/>
                    <w:rPr>
                      <w:rFonts w:hint="default" w:ascii="Times New Roman" w:hAnsi="Times New Roman" w:cs="Times New Roman"/>
                      <w:color w:val="auto"/>
                      <w:sz w:val="21"/>
                      <w:szCs w:val="21"/>
                    </w:rPr>
                  </w:pPr>
                </w:p>
              </w:tc>
              <w:tc>
                <w:tcPr>
                  <w:tcW w:w="7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B03114">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排水</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91DB76">
                  <w:pPr>
                    <w:widowControl/>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依托城镇雨污管网。</w:t>
                  </w:r>
                  <w:r>
                    <w:rPr>
                      <w:rFonts w:hint="default" w:ascii="Times New Roman" w:hAnsi="Times New Roman" w:eastAsia="宋体" w:cs="Times New Roman"/>
                      <w:color w:val="auto"/>
                      <w:sz w:val="21"/>
                      <w:szCs w:val="21"/>
                    </w:rPr>
                    <w:t>生活污水经隔油池、化粪池处理后用于农田堆肥，生产废水经自建污水处理站预处理后用于厂区绿化</w:t>
                  </w:r>
                  <w:r>
                    <w:rPr>
                      <w:rFonts w:hint="default" w:ascii="Times New Roman" w:hAnsi="Times New Roman" w:cs="Times New Roman"/>
                      <w:color w:val="auto"/>
                      <w:sz w:val="21"/>
                      <w:szCs w:val="21"/>
                      <w:lang w:val="en-US" w:eastAsia="zh-CN"/>
                    </w:rPr>
                    <w:t>。</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3567FD">
                  <w:pPr>
                    <w:snapToGrid w:val="0"/>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新建</w:t>
                  </w:r>
                </w:p>
              </w:tc>
            </w:tr>
            <w:tr w14:paraId="44E5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8C0D235">
                  <w:pPr>
                    <w:widowControl/>
                    <w:spacing w:beforeLines="0" w:afterLines="0"/>
                    <w:jc w:val="center"/>
                    <w:rPr>
                      <w:rFonts w:hint="default" w:ascii="Times New Roman" w:hAnsi="Times New Roman" w:cs="Times New Roman"/>
                      <w:color w:val="auto"/>
                      <w:sz w:val="21"/>
                      <w:szCs w:val="21"/>
                    </w:rPr>
                  </w:pPr>
                </w:p>
              </w:tc>
              <w:tc>
                <w:tcPr>
                  <w:tcW w:w="7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993AE1">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供电</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CF1262">
                  <w:pPr>
                    <w:widowControl/>
                    <w:spacing w:beforeLines="0" w:afterLines="0"/>
                    <w:jc w:val="center"/>
                    <w:rPr>
                      <w:rFonts w:hint="default" w:ascii="Times New Roman" w:hAnsi="Times New Roman" w:eastAsia="宋体" w:cs="Times New Roman"/>
                      <w:color w:val="auto"/>
                      <w:sz w:val="21"/>
                      <w:szCs w:val="21"/>
                      <w:lang w:val="en-GB"/>
                    </w:rPr>
                  </w:pPr>
                  <w:r>
                    <w:rPr>
                      <w:rFonts w:hint="default" w:ascii="Times New Roman" w:hAnsi="Times New Roman" w:eastAsia="宋体" w:cs="Times New Roman"/>
                      <w:color w:val="auto"/>
                      <w:sz w:val="21"/>
                      <w:szCs w:val="21"/>
                    </w:rPr>
                    <w:t>项目用电接自城镇供电线路。</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50D944">
                  <w:pPr>
                    <w:snapToGrid w:val="0"/>
                    <w:spacing w:beforeLines="0" w:afterLines="0"/>
                    <w:jc w:val="center"/>
                    <w:rPr>
                      <w:rFonts w:hint="default" w:ascii="Times New Roman" w:hAnsi="Times New Roman" w:cs="Times New Roman"/>
                      <w:color w:val="auto"/>
                      <w:sz w:val="21"/>
                      <w:szCs w:val="21"/>
                      <w:lang w:val="en-GB"/>
                    </w:rPr>
                  </w:pPr>
                  <w:r>
                    <w:rPr>
                      <w:rFonts w:hint="default" w:ascii="Times New Roman" w:hAnsi="Times New Roman" w:eastAsia="宋体" w:cs="Times New Roman"/>
                      <w:color w:val="auto"/>
                      <w:sz w:val="21"/>
                      <w:szCs w:val="21"/>
                    </w:rPr>
                    <w:t>依托</w:t>
                  </w:r>
                </w:p>
              </w:tc>
            </w:tr>
            <w:tr w14:paraId="39AE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58" w:type="pct"/>
                  <w:vMerge w:val="restart"/>
                  <w:tcBorders>
                    <w:top w:val="single" w:color="auto" w:sz="4" w:space="0"/>
                    <w:left w:val="single" w:color="auto" w:sz="4" w:space="0"/>
                    <w:right w:val="single" w:color="auto" w:sz="4" w:space="0"/>
                    <w:tl2br w:val="nil"/>
                    <w:tr2bl w:val="nil"/>
                  </w:tcBorders>
                  <w:noWrap w:val="0"/>
                  <w:vAlign w:val="center"/>
                </w:tcPr>
                <w:p w14:paraId="789A1848">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环保工程</w:t>
                  </w:r>
                </w:p>
              </w:tc>
              <w:tc>
                <w:tcPr>
                  <w:tcW w:w="799" w:type="pct"/>
                  <w:vMerge w:val="restart"/>
                  <w:tcBorders>
                    <w:top w:val="single" w:color="auto" w:sz="4" w:space="0"/>
                    <w:left w:val="single" w:color="auto" w:sz="4" w:space="0"/>
                    <w:right w:val="single" w:color="auto" w:sz="4" w:space="0"/>
                    <w:tl2br w:val="nil"/>
                    <w:tr2bl w:val="nil"/>
                  </w:tcBorders>
                  <w:noWrap w:val="0"/>
                  <w:vAlign w:val="center"/>
                </w:tcPr>
                <w:p w14:paraId="66A51EEE">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废气治理</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6E8CA6">
                  <w:pPr>
                    <w:adjustRightInd w:val="0"/>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配料粉尘</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lang w:val="en-US" w:eastAsia="zh-CN"/>
                    </w:rPr>
                    <w:t>集气罩+布袋除尘器+1根1</w:t>
                  </w:r>
                  <w:r>
                    <w:rPr>
                      <w:rFonts w:hint="eastAsia" w:cs="Times New Roman"/>
                      <w:color w:val="auto"/>
                      <w:lang w:val="en-US" w:eastAsia="zh-CN"/>
                    </w:rPr>
                    <w:t>7</w:t>
                  </w:r>
                  <w:r>
                    <w:rPr>
                      <w:rFonts w:hint="default" w:ascii="Times New Roman" w:hAnsi="Times New Roman" w:cs="Times New Roman"/>
                      <w:color w:val="auto"/>
                      <w:lang w:val="en-US" w:eastAsia="zh-CN"/>
                    </w:rPr>
                    <w:t>m高排气筒（DA001）</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414A03">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新建</w:t>
                  </w:r>
                </w:p>
              </w:tc>
            </w:tr>
            <w:tr w14:paraId="0659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58" w:type="pct"/>
                  <w:vMerge w:val="continue"/>
                  <w:tcBorders>
                    <w:left w:val="single" w:color="auto" w:sz="4" w:space="0"/>
                    <w:right w:val="single" w:color="auto" w:sz="4" w:space="0"/>
                    <w:tl2br w:val="nil"/>
                    <w:tr2bl w:val="nil"/>
                  </w:tcBorders>
                  <w:noWrap w:val="0"/>
                  <w:vAlign w:val="center"/>
                </w:tcPr>
                <w:p w14:paraId="4260B676">
                  <w:pPr>
                    <w:widowControl/>
                    <w:spacing w:beforeLines="0" w:afterLines="0"/>
                    <w:jc w:val="center"/>
                    <w:rPr>
                      <w:rFonts w:hint="default" w:ascii="Times New Roman" w:hAnsi="Times New Roman" w:eastAsia="宋体" w:cs="Times New Roman"/>
                      <w:color w:val="auto"/>
                      <w:sz w:val="21"/>
                      <w:szCs w:val="21"/>
                    </w:rPr>
                  </w:pPr>
                </w:p>
              </w:tc>
              <w:tc>
                <w:tcPr>
                  <w:tcW w:w="799" w:type="pct"/>
                  <w:vMerge w:val="continue"/>
                  <w:tcBorders>
                    <w:left w:val="single" w:color="auto" w:sz="4" w:space="0"/>
                    <w:right w:val="single" w:color="auto" w:sz="4" w:space="0"/>
                    <w:tl2br w:val="nil"/>
                    <w:tr2bl w:val="nil"/>
                  </w:tcBorders>
                  <w:noWrap w:val="0"/>
                  <w:vAlign w:val="center"/>
                </w:tcPr>
                <w:p w14:paraId="425635F0">
                  <w:pPr>
                    <w:widowControl/>
                    <w:spacing w:beforeLines="0" w:afterLines="0"/>
                    <w:jc w:val="center"/>
                    <w:rPr>
                      <w:rFonts w:hint="default" w:ascii="Times New Roman" w:hAnsi="Times New Roman" w:eastAsia="宋体" w:cs="Times New Roman"/>
                      <w:color w:val="auto"/>
                      <w:sz w:val="21"/>
                      <w:szCs w:val="21"/>
                    </w:rPr>
                  </w:pP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34EE43">
                  <w:pPr>
                    <w:adjustRightInd w:val="0"/>
                    <w:spacing w:beforeLines="0" w:afterLines="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油炸油烟：油烟净化器+1根1</w:t>
                  </w:r>
                  <w:r>
                    <w:rPr>
                      <w:rFonts w:hint="eastAsia" w:cs="Times New Roman"/>
                      <w:color w:val="auto"/>
                      <w:sz w:val="21"/>
                      <w:szCs w:val="21"/>
                      <w:lang w:val="en-US" w:eastAsia="zh-CN"/>
                    </w:rPr>
                    <w:t>7</w:t>
                  </w:r>
                  <w:r>
                    <w:rPr>
                      <w:rFonts w:hint="default" w:ascii="Times New Roman" w:hAnsi="Times New Roman" w:cs="Times New Roman"/>
                      <w:color w:val="auto"/>
                      <w:sz w:val="21"/>
                      <w:szCs w:val="21"/>
                      <w:lang w:val="en-US" w:eastAsia="zh-CN"/>
                    </w:rPr>
                    <w:t>m高排气筒</w:t>
                  </w:r>
                  <w:r>
                    <w:rPr>
                      <w:rFonts w:hint="eastAsia"/>
                      <w:color w:val="auto"/>
                    </w:rPr>
                    <w:t>（DA00</w:t>
                  </w:r>
                  <w:r>
                    <w:rPr>
                      <w:rFonts w:hint="eastAsia"/>
                      <w:color w:val="auto"/>
                      <w:lang w:val="en-US" w:eastAsia="zh-CN"/>
                    </w:rPr>
                    <w:t>2</w:t>
                  </w:r>
                  <w:r>
                    <w:rPr>
                      <w:rFonts w:hint="eastAsia"/>
                      <w:color w:val="auto"/>
                    </w:rPr>
                    <w:t>）</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5F960E">
                  <w:pPr>
                    <w:widowControl/>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467A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58" w:type="pct"/>
                  <w:vMerge w:val="continue"/>
                  <w:tcBorders>
                    <w:left w:val="single" w:color="auto" w:sz="4" w:space="0"/>
                    <w:right w:val="single" w:color="auto" w:sz="4" w:space="0"/>
                    <w:tl2br w:val="nil"/>
                    <w:tr2bl w:val="nil"/>
                  </w:tcBorders>
                  <w:noWrap w:val="0"/>
                  <w:vAlign w:val="center"/>
                </w:tcPr>
                <w:p w14:paraId="0FA3D570">
                  <w:pPr>
                    <w:widowControl/>
                    <w:spacing w:beforeLines="0" w:afterLines="0"/>
                    <w:jc w:val="center"/>
                    <w:rPr>
                      <w:rFonts w:hint="default" w:ascii="Times New Roman" w:hAnsi="Times New Roman" w:eastAsia="宋体" w:cs="Times New Roman"/>
                      <w:color w:val="auto"/>
                      <w:sz w:val="21"/>
                      <w:szCs w:val="21"/>
                    </w:rPr>
                  </w:pPr>
                </w:p>
              </w:tc>
              <w:tc>
                <w:tcPr>
                  <w:tcW w:w="799" w:type="pct"/>
                  <w:vMerge w:val="continue"/>
                  <w:tcBorders>
                    <w:left w:val="single" w:color="auto" w:sz="4" w:space="0"/>
                    <w:right w:val="single" w:color="auto" w:sz="4" w:space="0"/>
                    <w:tl2br w:val="nil"/>
                    <w:tr2bl w:val="nil"/>
                  </w:tcBorders>
                  <w:noWrap w:val="0"/>
                  <w:vAlign w:val="center"/>
                </w:tcPr>
                <w:p w14:paraId="7C53F710">
                  <w:pPr>
                    <w:widowControl/>
                    <w:spacing w:beforeLines="0" w:afterLines="0"/>
                    <w:jc w:val="center"/>
                    <w:rPr>
                      <w:rFonts w:hint="default" w:ascii="Times New Roman" w:hAnsi="Times New Roman" w:eastAsia="宋体" w:cs="Times New Roman"/>
                      <w:color w:val="auto"/>
                      <w:sz w:val="21"/>
                      <w:szCs w:val="21"/>
                    </w:rPr>
                  </w:pP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9F671D">
                  <w:pPr>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食堂油烟：油烟净化器+专用烟道</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2D4B1C">
                  <w:pPr>
                    <w:widowControl/>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58D8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58" w:type="pct"/>
                  <w:vMerge w:val="continue"/>
                  <w:tcBorders>
                    <w:left w:val="single" w:color="auto" w:sz="4" w:space="0"/>
                    <w:right w:val="single" w:color="auto" w:sz="4" w:space="0"/>
                    <w:tl2br w:val="nil"/>
                    <w:tr2bl w:val="nil"/>
                  </w:tcBorders>
                  <w:noWrap w:val="0"/>
                  <w:vAlign w:val="center"/>
                </w:tcPr>
                <w:p w14:paraId="52F3A987">
                  <w:pPr>
                    <w:widowControl/>
                    <w:spacing w:beforeLines="0" w:afterLines="0"/>
                    <w:jc w:val="center"/>
                    <w:rPr>
                      <w:rFonts w:hint="default" w:ascii="Times New Roman" w:hAnsi="Times New Roman" w:eastAsia="宋体" w:cs="Times New Roman"/>
                      <w:color w:val="auto"/>
                      <w:sz w:val="21"/>
                      <w:szCs w:val="21"/>
                    </w:rPr>
                  </w:pPr>
                </w:p>
              </w:tc>
              <w:tc>
                <w:tcPr>
                  <w:tcW w:w="799" w:type="pct"/>
                  <w:vMerge w:val="continue"/>
                  <w:tcBorders>
                    <w:left w:val="single" w:color="auto" w:sz="4" w:space="0"/>
                    <w:right w:val="single" w:color="auto" w:sz="4" w:space="0"/>
                    <w:tl2br w:val="nil"/>
                    <w:tr2bl w:val="nil"/>
                  </w:tcBorders>
                  <w:noWrap w:val="0"/>
                  <w:vAlign w:val="center"/>
                </w:tcPr>
                <w:p w14:paraId="09A6F5B3">
                  <w:pPr>
                    <w:widowControl/>
                    <w:spacing w:beforeLines="0" w:afterLines="0"/>
                    <w:jc w:val="center"/>
                    <w:rPr>
                      <w:rFonts w:hint="default" w:ascii="Times New Roman" w:hAnsi="Times New Roman" w:eastAsia="宋体" w:cs="Times New Roman"/>
                      <w:color w:val="auto"/>
                      <w:sz w:val="21"/>
                      <w:szCs w:val="21"/>
                    </w:rPr>
                  </w:pP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1E6CA0">
                  <w:pPr>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天然气燃烧废气：低氮燃烧器+1根1</w:t>
                  </w:r>
                  <w:r>
                    <w:rPr>
                      <w:rFonts w:hint="eastAsia" w:cs="Times New Roman"/>
                      <w:color w:val="auto"/>
                      <w:sz w:val="21"/>
                      <w:szCs w:val="21"/>
                      <w:lang w:val="en-US" w:eastAsia="zh-CN"/>
                    </w:rPr>
                    <w:t>5</w:t>
                  </w:r>
                  <w:r>
                    <w:rPr>
                      <w:rFonts w:hint="default" w:ascii="Times New Roman" w:hAnsi="Times New Roman" w:cs="Times New Roman"/>
                      <w:color w:val="auto"/>
                      <w:sz w:val="21"/>
                      <w:szCs w:val="21"/>
                      <w:lang w:val="en-US" w:eastAsia="zh-CN"/>
                    </w:rPr>
                    <w:t>m高排气筒（DA00</w:t>
                  </w: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29C86F">
                  <w:pPr>
                    <w:widowControl/>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3168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58" w:type="pct"/>
                  <w:vMerge w:val="continue"/>
                  <w:tcBorders>
                    <w:left w:val="single" w:color="auto" w:sz="4" w:space="0"/>
                    <w:right w:val="single" w:color="auto" w:sz="4" w:space="0"/>
                    <w:tl2br w:val="nil"/>
                    <w:tr2bl w:val="nil"/>
                  </w:tcBorders>
                  <w:noWrap w:val="0"/>
                  <w:vAlign w:val="center"/>
                </w:tcPr>
                <w:p w14:paraId="6FE261FA">
                  <w:pPr>
                    <w:widowControl/>
                    <w:spacing w:beforeLines="0" w:afterLines="0"/>
                    <w:jc w:val="center"/>
                    <w:rPr>
                      <w:rFonts w:hint="default" w:ascii="Times New Roman" w:hAnsi="Times New Roman" w:eastAsia="宋体" w:cs="Times New Roman"/>
                      <w:color w:val="auto"/>
                      <w:sz w:val="21"/>
                      <w:szCs w:val="21"/>
                    </w:rPr>
                  </w:pPr>
                </w:p>
              </w:tc>
              <w:tc>
                <w:tcPr>
                  <w:tcW w:w="799" w:type="pct"/>
                  <w:vMerge w:val="continue"/>
                  <w:tcBorders>
                    <w:left w:val="single" w:color="auto" w:sz="4" w:space="0"/>
                    <w:bottom w:val="single" w:color="auto" w:sz="4" w:space="0"/>
                    <w:right w:val="single" w:color="auto" w:sz="4" w:space="0"/>
                    <w:tl2br w:val="nil"/>
                    <w:tr2bl w:val="nil"/>
                  </w:tcBorders>
                  <w:noWrap w:val="0"/>
                  <w:vAlign w:val="center"/>
                </w:tcPr>
                <w:p w14:paraId="4E9E4B3B">
                  <w:pPr>
                    <w:widowControl/>
                    <w:spacing w:beforeLines="0" w:afterLines="0"/>
                    <w:jc w:val="center"/>
                    <w:rPr>
                      <w:rFonts w:hint="default" w:ascii="Times New Roman" w:hAnsi="Times New Roman" w:eastAsia="宋体" w:cs="Times New Roman"/>
                      <w:color w:val="auto"/>
                      <w:sz w:val="21"/>
                      <w:szCs w:val="21"/>
                    </w:rPr>
                  </w:pP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492236">
                  <w:pPr>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污水处理站恶臭：恶臭单元密闭，定期添加除臭剂（污水除臭剂）</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963D58">
                  <w:pPr>
                    <w:widowControl/>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7539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vMerge w:val="continue"/>
                  <w:tcBorders>
                    <w:left w:val="single" w:color="auto" w:sz="4" w:space="0"/>
                    <w:right w:val="single" w:color="auto" w:sz="4" w:space="0"/>
                    <w:tl2br w:val="nil"/>
                    <w:tr2bl w:val="nil"/>
                  </w:tcBorders>
                  <w:noWrap w:val="0"/>
                  <w:vAlign w:val="center"/>
                </w:tcPr>
                <w:p w14:paraId="6BB9EF6F">
                  <w:pPr>
                    <w:widowControl/>
                    <w:spacing w:beforeLines="0" w:afterLines="0"/>
                    <w:jc w:val="center"/>
                    <w:rPr>
                      <w:rFonts w:hint="default" w:ascii="Times New Roman" w:hAnsi="Times New Roman" w:cs="Times New Roman"/>
                      <w:color w:val="auto"/>
                      <w:sz w:val="21"/>
                      <w:szCs w:val="21"/>
                    </w:rPr>
                  </w:pPr>
                </w:p>
              </w:tc>
              <w:tc>
                <w:tcPr>
                  <w:tcW w:w="7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8BACC4">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废水治理</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FB79E6">
                  <w:pPr>
                    <w:widowControl/>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生活污水经隔油池、化粪池处理后用于农田堆肥，生产废水经自建污水处理站预处理后用于厂区绿化</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厂区</w:t>
                  </w:r>
                  <w:r>
                    <w:rPr>
                      <w:rFonts w:hint="default" w:ascii="Times New Roman" w:hAnsi="Times New Roman" w:eastAsia="宋体" w:cs="Times New Roman"/>
                      <w:color w:val="auto"/>
                      <w:sz w:val="21"/>
                      <w:szCs w:val="21"/>
                    </w:rPr>
                    <w:t>新建污水处理站，</w:t>
                  </w:r>
                  <w:r>
                    <w:rPr>
                      <w:rFonts w:hint="default" w:ascii="Times New Roman" w:hAnsi="Times New Roman" w:cs="Times New Roman"/>
                      <w:color w:val="auto"/>
                      <w:sz w:val="21"/>
                      <w:szCs w:val="21"/>
                      <w:lang w:eastAsia="zh-CN"/>
                    </w:rPr>
                    <w:t>废水处理规模</w:t>
                  </w: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t/d，</w:t>
                  </w:r>
                  <w:r>
                    <w:rPr>
                      <w:rFonts w:hint="default" w:ascii="Times New Roman" w:hAnsi="Times New Roman" w:eastAsia="宋体" w:cs="Times New Roman"/>
                      <w:color w:val="auto"/>
                      <w:sz w:val="21"/>
                      <w:szCs w:val="21"/>
                    </w:rPr>
                    <w:t>废水处理工艺采用</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调节+缺氧+接触氧化+二沉池+清水池</w:t>
                  </w:r>
                  <w:r>
                    <w:rPr>
                      <w:rFonts w:hint="default" w:ascii="Times New Roman" w:hAnsi="Times New Roman" w:cs="Times New Roman"/>
                      <w:color w:val="auto"/>
                      <w:lang w:eastAsia="zh-CN"/>
                    </w:rPr>
                    <w:t>”</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C1D26F">
                  <w:pPr>
                    <w:widowControl/>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1428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vMerge w:val="continue"/>
                  <w:tcBorders>
                    <w:left w:val="single" w:color="auto" w:sz="4" w:space="0"/>
                    <w:right w:val="single" w:color="auto" w:sz="4" w:space="0"/>
                    <w:tl2br w:val="nil"/>
                    <w:tr2bl w:val="nil"/>
                  </w:tcBorders>
                  <w:noWrap w:val="0"/>
                  <w:vAlign w:val="center"/>
                </w:tcPr>
                <w:p w14:paraId="13D48282">
                  <w:pPr>
                    <w:widowControl/>
                    <w:spacing w:beforeLines="0" w:afterLines="0"/>
                    <w:jc w:val="center"/>
                    <w:rPr>
                      <w:rFonts w:hint="default" w:ascii="Times New Roman" w:hAnsi="Times New Roman" w:cs="Times New Roman"/>
                      <w:color w:val="auto"/>
                      <w:sz w:val="21"/>
                      <w:szCs w:val="21"/>
                    </w:rPr>
                  </w:pPr>
                </w:p>
              </w:tc>
              <w:tc>
                <w:tcPr>
                  <w:tcW w:w="799"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48FCD2E">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固废治理</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C606D3">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生活垃圾定期由环卫清理。</w:t>
                  </w:r>
                </w:p>
              </w:tc>
              <w:tc>
                <w:tcPr>
                  <w:tcW w:w="37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3C70BEF">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新建</w:t>
                  </w:r>
                </w:p>
              </w:tc>
            </w:tr>
            <w:tr w14:paraId="072E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vMerge w:val="continue"/>
                  <w:tcBorders>
                    <w:left w:val="single" w:color="auto" w:sz="4" w:space="0"/>
                    <w:right w:val="single" w:color="auto" w:sz="4" w:space="0"/>
                    <w:tl2br w:val="nil"/>
                    <w:tr2bl w:val="nil"/>
                  </w:tcBorders>
                  <w:noWrap w:val="0"/>
                  <w:vAlign w:val="center"/>
                </w:tcPr>
                <w:p w14:paraId="7DE49AC2">
                  <w:pPr>
                    <w:widowControl/>
                    <w:spacing w:beforeLines="0" w:afterLines="0"/>
                    <w:jc w:val="center"/>
                    <w:rPr>
                      <w:rFonts w:hint="default" w:ascii="Times New Roman" w:hAnsi="Times New Roman" w:cs="Times New Roman"/>
                      <w:color w:val="auto"/>
                      <w:sz w:val="21"/>
                      <w:szCs w:val="21"/>
                    </w:rPr>
                  </w:pPr>
                </w:p>
              </w:tc>
              <w:tc>
                <w:tcPr>
                  <w:tcW w:w="799" w:type="pct"/>
                  <w:vMerge w:val="continue"/>
                  <w:tcBorders>
                    <w:left w:val="single" w:color="auto" w:sz="4" w:space="0"/>
                    <w:right w:val="single" w:color="auto" w:sz="4" w:space="0"/>
                    <w:tl2br w:val="nil"/>
                    <w:tr2bl w:val="nil"/>
                  </w:tcBorders>
                  <w:noWrap w:val="0"/>
                  <w:vAlign w:val="center"/>
                </w:tcPr>
                <w:p w14:paraId="1FAE87C4">
                  <w:pPr>
                    <w:widowControl/>
                    <w:spacing w:beforeLines="0" w:afterLines="0"/>
                    <w:jc w:val="center"/>
                    <w:rPr>
                      <w:rFonts w:hint="default" w:ascii="Times New Roman" w:hAnsi="Times New Roman" w:eastAsia="宋体" w:cs="Times New Roman"/>
                      <w:color w:val="auto"/>
                      <w:sz w:val="21"/>
                      <w:szCs w:val="21"/>
                    </w:rPr>
                  </w:pP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2311EC">
                  <w:pPr>
                    <w:widowControl/>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蛋制品作为处理品销售；粉丝作为处理品销售；豆腐皮挑选工序退回厂家处理，出厂检验工序作为处理品销售，处理品暂存于成品库。</w:t>
                  </w:r>
                </w:p>
              </w:tc>
              <w:tc>
                <w:tcPr>
                  <w:tcW w:w="371" w:type="pct"/>
                  <w:vMerge w:val="continue"/>
                  <w:tcBorders>
                    <w:left w:val="single" w:color="auto" w:sz="4" w:space="0"/>
                    <w:right w:val="single" w:color="auto" w:sz="4" w:space="0"/>
                    <w:tl2br w:val="nil"/>
                    <w:tr2bl w:val="nil"/>
                  </w:tcBorders>
                  <w:noWrap w:val="0"/>
                  <w:vAlign w:val="center"/>
                </w:tcPr>
                <w:p w14:paraId="6F47D37C">
                  <w:pPr>
                    <w:widowControl/>
                    <w:spacing w:beforeLines="0" w:afterLines="0"/>
                    <w:jc w:val="center"/>
                    <w:rPr>
                      <w:rFonts w:hint="default" w:ascii="Times New Roman" w:hAnsi="Times New Roman" w:eastAsia="宋体" w:cs="Times New Roman"/>
                      <w:color w:val="auto"/>
                      <w:sz w:val="21"/>
                      <w:szCs w:val="21"/>
                    </w:rPr>
                  </w:pPr>
                </w:p>
              </w:tc>
            </w:tr>
            <w:tr w14:paraId="236A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358" w:type="pct"/>
                  <w:vMerge w:val="continue"/>
                  <w:tcBorders>
                    <w:left w:val="single" w:color="auto" w:sz="4" w:space="0"/>
                    <w:right w:val="single" w:color="auto" w:sz="4" w:space="0"/>
                    <w:tl2br w:val="nil"/>
                    <w:tr2bl w:val="nil"/>
                  </w:tcBorders>
                  <w:noWrap w:val="0"/>
                  <w:vAlign w:val="center"/>
                </w:tcPr>
                <w:p w14:paraId="75C50F45">
                  <w:pPr>
                    <w:widowControl/>
                    <w:spacing w:beforeLines="0" w:afterLines="0"/>
                    <w:jc w:val="center"/>
                    <w:rPr>
                      <w:rFonts w:hint="default" w:ascii="Times New Roman" w:hAnsi="Times New Roman" w:cs="Times New Roman"/>
                      <w:color w:val="auto"/>
                      <w:sz w:val="21"/>
                      <w:szCs w:val="21"/>
                    </w:rPr>
                  </w:pPr>
                </w:p>
              </w:tc>
              <w:tc>
                <w:tcPr>
                  <w:tcW w:w="799"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98FEAAA">
                  <w:pPr>
                    <w:widowControl/>
                    <w:spacing w:beforeLines="0" w:afterLines="0"/>
                    <w:jc w:val="center"/>
                    <w:rPr>
                      <w:rFonts w:hint="default" w:ascii="Times New Roman" w:hAnsi="Times New Roman" w:cs="Times New Roman"/>
                      <w:color w:val="auto"/>
                      <w:sz w:val="21"/>
                      <w:szCs w:val="21"/>
                    </w:rPr>
                  </w:pP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45D65C">
                  <w:pPr>
                    <w:widowControl/>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一般固废：设置一般固废暂存间，位于</w:t>
                  </w:r>
                  <w:r>
                    <w:rPr>
                      <w:rFonts w:hint="default" w:ascii="Times New Roman" w:hAnsi="Times New Roman" w:cs="Times New Roman"/>
                      <w:color w:val="auto"/>
                      <w:sz w:val="21"/>
                      <w:szCs w:val="21"/>
                      <w:lang w:val="en-US" w:eastAsia="zh-CN"/>
                    </w:rPr>
                    <w:t>厂区中部</w:t>
                  </w:r>
                  <w:r>
                    <w:rPr>
                      <w:rFonts w:hint="default" w:ascii="Times New Roman" w:hAnsi="Times New Roman" w:eastAsia="宋体" w:cs="Times New Roman"/>
                      <w:color w:val="auto"/>
                      <w:sz w:val="21"/>
                      <w:szCs w:val="21"/>
                    </w:rPr>
                    <w:t>，建筑面积</w:t>
                  </w:r>
                  <w:r>
                    <w:rPr>
                      <w:rFonts w:hint="default" w:ascii="Times New Roman" w:hAnsi="Times New Roman" w:eastAsia="宋体" w:cs="Times New Roman"/>
                      <w:color w:val="auto"/>
                      <w:sz w:val="21"/>
                      <w:szCs w:val="21"/>
                      <w:lang w:val="en-US" w:eastAsia="zh-CN"/>
                    </w:rPr>
                    <w:t>约</w:t>
                  </w: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lang w:eastAsia="zh-CN"/>
                    </w:rPr>
                    <w:t>废包装材料</w:t>
                  </w:r>
                  <w:r>
                    <w:rPr>
                      <w:rFonts w:hint="eastAsia" w:cs="Times New Roman"/>
                      <w:color w:val="auto"/>
                      <w:kern w:val="0"/>
                      <w:sz w:val="21"/>
                      <w:szCs w:val="21"/>
                      <w:lang w:val="en-US" w:eastAsia="zh-CN"/>
                    </w:rPr>
                    <w:t>和</w:t>
                  </w:r>
                  <w:r>
                    <w:rPr>
                      <w:rFonts w:hint="default" w:ascii="Times New Roman" w:hAnsi="Times New Roman" w:eastAsia="宋体" w:cs="Times New Roman"/>
                      <w:color w:val="auto"/>
                      <w:kern w:val="0"/>
                      <w:sz w:val="21"/>
                      <w:szCs w:val="21"/>
                      <w:lang w:eastAsia="zh-CN"/>
                    </w:rPr>
                    <w:t>除尘器收集粉尘交由回收单位回收处理</w:t>
                  </w:r>
                  <w:r>
                    <w:rPr>
                      <w:rFonts w:hint="default" w:ascii="Times New Roman" w:hAnsi="Times New Roman" w:cs="Times New Roman"/>
                      <w:color w:val="auto"/>
                      <w:kern w:val="0"/>
                      <w:sz w:val="21"/>
                      <w:szCs w:val="21"/>
                      <w:lang w:eastAsia="zh-CN"/>
                    </w:rPr>
                    <w:t>、废油桶</w:t>
                  </w:r>
                  <w:r>
                    <w:rPr>
                      <w:rFonts w:hint="eastAsia" w:cs="Times New Roman"/>
                      <w:color w:val="auto"/>
                      <w:kern w:val="0"/>
                      <w:sz w:val="21"/>
                      <w:szCs w:val="21"/>
                      <w:lang w:val="en-US" w:eastAsia="zh-CN"/>
                    </w:rPr>
                    <w:t>和</w:t>
                  </w:r>
                  <w:r>
                    <w:rPr>
                      <w:rFonts w:hint="default" w:ascii="Times New Roman" w:hAnsi="Times New Roman" w:cs="Times New Roman"/>
                      <w:color w:val="auto"/>
                      <w:kern w:val="0"/>
                      <w:sz w:val="21"/>
                      <w:szCs w:val="21"/>
                      <w:lang w:val="en-US" w:eastAsia="zh-CN"/>
                    </w:rPr>
                    <w:t>废过滤介质收集后交由更换厂家回收处置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碎粉丝作为饲料外售，污泥收集后定期外售。</w:t>
                  </w:r>
                </w:p>
              </w:tc>
              <w:tc>
                <w:tcPr>
                  <w:tcW w:w="37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6031EB5">
                  <w:pPr>
                    <w:widowControl/>
                    <w:spacing w:beforeLines="0" w:afterLines="0"/>
                    <w:jc w:val="center"/>
                    <w:rPr>
                      <w:rFonts w:hint="default" w:ascii="Times New Roman" w:hAnsi="Times New Roman" w:eastAsia="宋体" w:cs="Times New Roman"/>
                      <w:color w:val="auto"/>
                      <w:sz w:val="21"/>
                      <w:szCs w:val="21"/>
                    </w:rPr>
                  </w:pPr>
                </w:p>
              </w:tc>
            </w:tr>
            <w:tr w14:paraId="2250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vMerge w:val="continue"/>
                  <w:tcBorders>
                    <w:left w:val="single" w:color="auto" w:sz="4" w:space="0"/>
                    <w:right w:val="single" w:color="auto" w:sz="4" w:space="0"/>
                    <w:tl2br w:val="nil"/>
                    <w:tr2bl w:val="nil"/>
                  </w:tcBorders>
                  <w:noWrap w:val="0"/>
                  <w:vAlign w:val="center"/>
                </w:tcPr>
                <w:p w14:paraId="5E2288A3">
                  <w:pPr>
                    <w:widowControl/>
                    <w:spacing w:beforeLines="0" w:afterLines="0"/>
                    <w:jc w:val="center"/>
                    <w:rPr>
                      <w:rFonts w:hint="default" w:ascii="Times New Roman" w:hAnsi="Times New Roman" w:cs="Times New Roman"/>
                      <w:color w:val="auto"/>
                      <w:sz w:val="21"/>
                      <w:szCs w:val="21"/>
                    </w:rPr>
                  </w:pPr>
                </w:p>
              </w:tc>
              <w:tc>
                <w:tcPr>
                  <w:tcW w:w="7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7CE89E">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噪声治理</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4D4215">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厂房隔声、基础减振、合理布局、加强维修保养等。</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B9544A">
                  <w:pPr>
                    <w:widowControl/>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5124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vMerge w:val="continue"/>
                  <w:tcBorders>
                    <w:left w:val="single" w:color="auto" w:sz="4" w:space="0"/>
                    <w:right w:val="single" w:color="auto" w:sz="4" w:space="0"/>
                    <w:tl2br w:val="nil"/>
                    <w:tr2bl w:val="nil"/>
                  </w:tcBorders>
                  <w:noWrap w:val="0"/>
                  <w:vAlign w:val="center"/>
                </w:tcPr>
                <w:p w14:paraId="365F4185">
                  <w:pPr>
                    <w:widowControl/>
                    <w:spacing w:beforeLines="0" w:afterLines="0"/>
                    <w:jc w:val="center"/>
                    <w:rPr>
                      <w:rFonts w:hint="default" w:ascii="Times New Roman" w:hAnsi="Times New Roman" w:cs="Times New Roman"/>
                      <w:color w:val="auto"/>
                      <w:sz w:val="21"/>
                      <w:szCs w:val="21"/>
                    </w:rPr>
                  </w:pPr>
                </w:p>
              </w:tc>
              <w:tc>
                <w:tcPr>
                  <w:tcW w:w="7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E76666">
                  <w:pPr>
                    <w:snapToGrid w:val="0"/>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地下水、土壤治理</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AEC715">
                  <w:pPr>
                    <w:pStyle w:val="14"/>
                    <w:tabs>
                      <w:tab w:val="left" w:pos="0"/>
                    </w:tabs>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采取分区防渗措施，</w:t>
                  </w:r>
                  <w:r>
                    <w:rPr>
                      <w:rFonts w:hint="default" w:ascii="Times New Roman" w:hAnsi="Times New Roman" w:cs="Times New Roman"/>
                      <w:color w:val="auto"/>
                      <w:sz w:val="21"/>
                      <w:szCs w:val="21"/>
                      <w:lang w:val="en-US" w:eastAsia="zh-CN"/>
                    </w:rPr>
                    <w:t>污水处理站</w:t>
                  </w:r>
                  <w:r>
                    <w:rPr>
                      <w:rFonts w:hint="default" w:ascii="Times New Roman" w:hAnsi="Times New Roman" w:cs="Times New Roman"/>
                      <w:color w:val="auto"/>
                      <w:sz w:val="21"/>
                      <w:szCs w:val="21"/>
                    </w:rPr>
                    <w:t>做重点防渗，</w:t>
                  </w:r>
                  <w:r>
                    <w:rPr>
                      <w:rFonts w:hint="default" w:ascii="Times New Roman" w:hAnsi="Times New Roman" w:cs="Times New Roman"/>
                      <w:color w:val="auto"/>
                      <w:sz w:val="21"/>
                      <w:szCs w:val="21"/>
                      <w:lang w:val="en-US" w:eastAsia="zh-CN"/>
                    </w:rPr>
                    <w:t>一般固废暂存间、生产车间</w:t>
                  </w:r>
                  <w:r>
                    <w:rPr>
                      <w:rFonts w:hint="default" w:ascii="Times New Roman" w:hAnsi="Times New Roman" w:cs="Times New Roman"/>
                      <w:color w:val="auto"/>
                      <w:sz w:val="21"/>
                      <w:szCs w:val="21"/>
                    </w:rPr>
                    <w:t>一般防渗</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其他区域简单防渗</w:t>
                  </w:r>
                  <w:r>
                    <w:rPr>
                      <w:rFonts w:hint="default" w:ascii="Times New Roman" w:hAnsi="Times New Roman" w:cs="Times New Roman"/>
                      <w:color w:val="auto"/>
                      <w:sz w:val="21"/>
                      <w:szCs w:val="21"/>
                    </w:rPr>
                    <w:t>。</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E3853C">
                  <w:pPr>
                    <w:widowControl/>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1A56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vMerge w:val="continue"/>
                  <w:tcBorders>
                    <w:left w:val="single" w:color="auto" w:sz="4" w:space="0"/>
                    <w:bottom w:val="single" w:color="auto" w:sz="4" w:space="0"/>
                    <w:right w:val="single" w:color="auto" w:sz="4" w:space="0"/>
                    <w:tl2br w:val="nil"/>
                    <w:tr2bl w:val="nil"/>
                  </w:tcBorders>
                  <w:noWrap w:val="0"/>
                  <w:vAlign w:val="center"/>
                </w:tcPr>
                <w:p w14:paraId="1F360E73">
                  <w:pPr>
                    <w:widowControl/>
                    <w:spacing w:beforeLines="0" w:afterLines="0"/>
                    <w:jc w:val="center"/>
                    <w:rPr>
                      <w:rFonts w:hint="default" w:ascii="Times New Roman" w:hAnsi="Times New Roman" w:cs="Times New Roman"/>
                      <w:color w:val="auto"/>
                      <w:sz w:val="21"/>
                      <w:szCs w:val="21"/>
                    </w:rPr>
                  </w:pPr>
                </w:p>
              </w:tc>
              <w:tc>
                <w:tcPr>
                  <w:tcW w:w="7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CACFFB">
                  <w:pPr>
                    <w:snapToGrid w:val="0"/>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风险防范</w:t>
                  </w:r>
                </w:p>
              </w:tc>
              <w:tc>
                <w:tcPr>
                  <w:tcW w:w="3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D830F0">
                  <w:pPr>
                    <w:pStyle w:val="14"/>
                    <w:tabs>
                      <w:tab w:val="left" w:pos="0"/>
                    </w:tabs>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编制应急预案；重点防渗处理；加强员工操作管理</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3F8780">
                  <w:pPr>
                    <w:widowControl/>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新建</w:t>
                  </w:r>
                </w:p>
              </w:tc>
            </w:tr>
          </w:tbl>
          <w:p w14:paraId="21676160">
            <w:pPr>
              <w:spacing w:beforeLines="0" w:afterLines="0" w:line="360" w:lineRule="auto"/>
              <w:ind w:firstLine="482" w:firstLineChars="200"/>
              <w:rPr>
                <w:rFonts w:hint="eastAsia"/>
                <w:b/>
                <w:color w:val="auto"/>
                <w:sz w:val="24"/>
                <w:szCs w:val="24"/>
              </w:rPr>
            </w:pPr>
            <w:r>
              <w:rPr>
                <w:rFonts w:hint="eastAsia"/>
                <w:b/>
                <w:color w:val="auto"/>
                <w:sz w:val="24"/>
                <w:szCs w:val="24"/>
              </w:rPr>
              <w:t>2</w:t>
            </w:r>
            <w:r>
              <w:rPr>
                <w:rFonts w:hint="default" w:ascii="宋体" w:eastAsia="宋体"/>
                <w:b/>
                <w:color w:val="auto"/>
                <w:sz w:val="24"/>
                <w:szCs w:val="24"/>
              </w:rPr>
              <w:t>、项目产品方案及规模</w:t>
            </w:r>
          </w:p>
          <w:p w14:paraId="21695070">
            <w:pPr>
              <w:spacing w:beforeLines="0" w:afterLines="0"/>
              <w:ind w:firstLine="480" w:firstLineChars="200"/>
              <w:rPr>
                <w:rFonts w:hint="eastAsia"/>
                <w:color w:val="auto"/>
                <w:sz w:val="24"/>
                <w:szCs w:val="24"/>
              </w:rPr>
            </w:pPr>
            <w:r>
              <w:rPr>
                <w:rFonts w:hint="default" w:ascii="宋体" w:eastAsia="宋体"/>
                <w:color w:val="auto"/>
                <w:sz w:val="24"/>
                <w:szCs w:val="24"/>
              </w:rPr>
              <w:t>项目产品产能、规格见下表。</w:t>
            </w:r>
          </w:p>
          <w:p w14:paraId="1E589372">
            <w:pPr>
              <w:spacing w:line="240" w:lineRule="auto"/>
              <w:jc w:val="center"/>
              <w:rPr>
                <w:rFonts w:hint="eastAsia" w:ascii="Times New Roman" w:hAnsi="Times New Roman" w:cs="Times New Roman"/>
                <w:b/>
                <w:iCs/>
                <w:color w:val="auto"/>
                <w:sz w:val="21"/>
                <w:szCs w:val="21"/>
              </w:rPr>
            </w:pPr>
            <w:r>
              <w:rPr>
                <w:rFonts w:hint="default" w:ascii="Times New Roman" w:hAnsi="Times New Roman" w:cs="Times New Roman"/>
                <w:b/>
                <w:iCs/>
                <w:color w:val="auto"/>
                <w:sz w:val="21"/>
                <w:szCs w:val="21"/>
              </w:rPr>
              <w:t>表2</w:t>
            </w:r>
            <w:r>
              <w:rPr>
                <w:rFonts w:hint="eastAsia" w:ascii="Times New Roman" w:hAnsi="Times New Roman" w:cs="Times New Roman"/>
                <w:b/>
                <w:iCs/>
                <w:color w:val="auto"/>
                <w:sz w:val="21"/>
                <w:szCs w:val="21"/>
              </w:rPr>
              <w:t>-</w:t>
            </w:r>
            <w:r>
              <w:rPr>
                <w:rFonts w:hint="default" w:ascii="Times New Roman" w:hAnsi="Times New Roman" w:cs="Times New Roman"/>
                <w:b/>
                <w:iCs/>
                <w:color w:val="auto"/>
                <w:sz w:val="21"/>
                <w:szCs w:val="21"/>
              </w:rPr>
              <w:t>2</w:t>
            </w:r>
            <w:r>
              <w:rPr>
                <w:rFonts w:hint="eastAsia" w:cs="Times New Roman"/>
                <w:b/>
                <w:iCs/>
                <w:color w:val="auto"/>
                <w:sz w:val="21"/>
                <w:szCs w:val="21"/>
                <w:lang w:val="en-US" w:eastAsia="zh-CN"/>
              </w:rPr>
              <w:t xml:space="preserve">  </w:t>
            </w:r>
            <w:r>
              <w:rPr>
                <w:rFonts w:hint="default" w:ascii="Times New Roman" w:hAnsi="Times New Roman" w:cs="Times New Roman"/>
                <w:b/>
                <w:iCs/>
                <w:color w:val="auto"/>
                <w:sz w:val="21"/>
                <w:szCs w:val="21"/>
              </w:rPr>
              <w:t>产品产能及规格一览表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3003"/>
              <w:gridCol w:w="1742"/>
              <w:gridCol w:w="1742"/>
              <w:gridCol w:w="1742"/>
            </w:tblGrid>
            <w:tr w14:paraId="3C63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1994D0">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序号</w:t>
                  </w:r>
                </w:p>
              </w:tc>
              <w:tc>
                <w:tcPr>
                  <w:tcW w:w="168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C51315">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产品名称</w:t>
                  </w:r>
                </w:p>
              </w:tc>
              <w:tc>
                <w:tcPr>
                  <w:tcW w:w="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75EBF0">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年产量</w:t>
                  </w:r>
                </w:p>
              </w:tc>
              <w:tc>
                <w:tcPr>
                  <w:tcW w:w="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9E903F">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包装规格</w:t>
                  </w:r>
                </w:p>
              </w:tc>
              <w:tc>
                <w:tcPr>
                  <w:tcW w:w="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7AF709">
                  <w:pPr>
                    <w:spacing w:beforeLines="0" w:afterLines="0"/>
                    <w:jc w:val="center"/>
                    <w:rPr>
                      <w:rFonts w:hint="eastAsia"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备注</w:t>
                  </w:r>
                </w:p>
              </w:tc>
            </w:tr>
            <w:tr w14:paraId="3CF8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50228F">
                  <w:pPr>
                    <w:spacing w:beforeLines="0" w:afterLines="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68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368185">
                  <w:pPr>
                    <w:spacing w:beforeLines="0" w:afterLines="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粉丝</w:t>
                  </w:r>
                </w:p>
              </w:tc>
              <w:tc>
                <w:tcPr>
                  <w:tcW w:w="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8AF127">
                  <w:pPr>
                    <w:spacing w:beforeLines="0" w:afterLines="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500t</w:t>
                  </w:r>
                </w:p>
              </w:tc>
              <w:tc>
                <w:tcPr>
                  <w:tcW w:w="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AB28CC">
                  <w:pPr>
                    <w:spacing w:beforeLines="0" w:afterLines="0"/>
                    <w:jc w:val="center"/>
                    <w:rPr>
                      <w:rFonts w:hint="default" w:ascii="Times New Roman" w:hAnsi="Times New Roman" w:cs="Times New Roman"/>
                      <w:b w:val="0"/>
                      <w:bCs w:val="0"/>
                      <w:color w:val="auto"/>
                      <w:sz w:val="21"/>
                      <w:szCs w:val="21"/>
                    </w:rPr>
                  </w:pPr>
                  <w:r>
                    <w:rPr>
                      <w:rFonts w:hint="eastAsia" w:cs="Times New Roman"/>
                      <w:b w:val="0"/>
                      <w:bCs w:val="0"/>
                      <w:color w:val="auto"/>
                      <w:sz w:val="21"/>
                      <w:szCs w:val="21"/>
                      <w:lang w:val="en-US" w:eastAsia="zh-CN"/>
                    </w:rPr>
                    <w:t>8kg/</w:t>
                  </w:r>
                  <w:r>
                    <w:rPr>
                      <w:rFonts w:hint="default" w:ascii="Times New Roman" w:hAnsi="Times New Roman" w:eastAsia="宋体" w:cs="Times New Roman"/>
                      <w:b w:val="0"/>
                      <w:bCs w:val="0"/>
                      <w:color w:val="auto"/>
                      <w:sz w:val="21"/>
                      <w:szCs w:val="21"/>
                    </w:rPr>
                    <w:t>纸箱</w:t>
                  </w:r>
                </w:p>
              </w:tc>
              <w:tc>
                <w:tcPr>
                  <w:tcW w:w="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2E13F6">
                  <w:pPr>
                    <w:spacing w:beforeLines="0" w:afterLines="0"/>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500t</w:t>
                  </w:r>
                  <w:r>
                    <w:rPr>
                      <w:rFonts w:hint="default" w:ascii="Times New Roman" w:hAnsi="Times New Roman" w:eastAsia="宋体" w:cs="Times New Roman"/>
                      <w:b w:val="0"/>
                      <w:bCs w:val="0"/>
                      <w:color w:val="auto"/>
                      <w:sz w:val="21"/>
                      <w:szCs w:val="21"/>
                    </w:rPr>
                    <w:t>淀粉制品</w:t>
                  </w:r>
                </w:p>
              </w:tc>
            </w:tr>
            <w:tr w14:paraId="676E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051FEA">
                  <w:pPr>
                    <w:spacing w:beforeLines="0" w:afterLines="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68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71E347">
                  <w:pPr>
                    <w:spacing w:beforeLines="0" w:afterLines="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松花蛋</w:t>
                  </w:r>
                </w:p>
              </w:tc>
              <w:tc>
                <w:tcPr>
                  <w:tcW w:w="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39BB74">
                  <w:pPr>
                    <w:spacing w:beforeLines="0" w:afterLines="0"/>
                    <w:jc w:val="center"/>
                    <w:rPr>
                      <w:rFonts w:hint="default" w:ascii="Times New Roman" w:hAnsi="Times New Roman" w:cs="Times New Roman"/>
                      <w:b w:val="0"/>
                      <w:bCs w:val="0"/>
                      <w:color w:val="auto"/>
                      <w:sz w:val="21"/>
                      <w:szCs w:val="21"/>
                    </w:rPr>
                  </w:pPr>
                  <w:r>
                    <w:rPr>
                      <w:rFonts w:hint="eastAsia" w:cs="Times New Roman"/>
                      <w:b w:val="0"/>
                      <w:bCs w:val="0"/>
                      <w:color w:val="auto"/>
                      <w:sz w:val="21"/>
                      <w:szCs w:val="21"/>
                      <w:lang w:val="en-US" w:eastAsia="zh-CN"/>
                    </w:rPr>
                    <w:t>900t</w:t>
                  </w:r>
                </w:p>
              </w:tc>
              <w:tc>
                <w:tcPr>
                  <w:tcW w:w="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E5C8DC">
                  <w:pPr>
                    <w:spacing w:beforeLines="0" w:afterLines="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500kg/</w:t>
                  </w:r>
                  <w:r>
                    <w:rPr>
                      <w:rFonts w:hint="default" w:ascii="Times New Roman" w:hAnsi="Times New Roman" w:eastAsia="宋体" w:cs="Times New Roman"/>
                      <w:b w:val="0"/>
                      <w:bCs w:val="0"/>
                      <w:color w:val="auto"/>
                      <w:sz w:val="21"/>
                      <w:szCs w:val="21"/>
                    </w:rPr>
                    <w:t>塑料</w:t>
                  </w:r>
                  <w:r>
                    <w:rPr>
                      <w:rFonts w:hint="eastAsia" w:cs="Times New Roman"/>
                      <w:b w:val="0"/>
                      <w:bCs w:val="0"/>
                      <w:color w:val="auto"/>
                      <w:sz w:val="21"/>
                      <w:szCs w:val="21"/>
                      <w:lang w:val="en-US" w:eastAsia="zh-CN"/>
                    </w:rPr>
                    <w:t>桶</w:t>
                  </w:r>
                </w:p>
              </w:tc>
              <w:tc>
                <w:tcPr>
                  <w:tcW w:w="980" w:type="pct"/>
                  <w:vMerge w:val="restart"/>
                  <w:tcBorders>
                    <w:top w:val="single" w:color="auto" w:sz="4" w:space="0"/>
                    <w:left w:val="single" w:color="auto" w:sz="4" w:space="0"/>
                    <w:right w:val="single" w:color="auto" w:sz="4" w:space="0"/>
                    <w:tl2br w:val="nil"/>
                    <w:tr2bl w:val="nil"/>
                  </w:tcBorders>
                  <w:noWrap w:val="0"/>
                  <w:vAlign w:val="center"/>
                </w:tcPr>
                <w:p w14:paraId="59E2B756">
                  <w:pPr>
                    <w:spacing w:beforeLines="0" w:afterLine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1200t蛋制品</w:t>
                  </w:r>
                </w:p>
              </w:tc>
            </w:tr>
            <w:tr w14:paraId="656F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1B3390">
                  <w:pPr>
                    <w:spacing w:beforeLines="0" w:afterLine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68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32F64D">
                  <w:pPr>
                    <w:spacing w:beforeLines="0" w:afterLines="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变蛋</w:t>
                  </w:r>
                </w:p>
              </w:tc>
              <w:tc>
                <w:tcPr>
                  <w:tcW w:w="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BD0C02">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300t</w:t>
                  </w:r>
                </w:p>
              </w:tc>
              <w:tc>
                <w:tcPr>
                  <w:tcW w:w="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4039D8">
                  <w:pPr>
                    <w:spacing w:beforeLines="0" w:afterLines="0"/>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12.5kg/</w:t>
                  </w:r>
                  <w:r>
                    <w:rPr>
                      <w:rFonts w:hint="default" w:ascii="Times New Roman" w:hAnsi="Times New Roman" w:eastAsia="宋体" w:cs="Times New Roman"/>
                      <w:b w:val="0"/>
                      <w:bCs w:val="0"/>
                      <w:color w:val="auto"/>
                      <w:sz w:val="21"/>
                      <w:szCs w:val="21"/>
                    </w:rPr>
                    <w:t>塑料桶</w:t>
                  </w:r>
                </w:p>
              </w:tc>
              <w:tc>
                <w:tcPr>
                  <w:tcW w:w="980" w:type="pct"/>
                  <w:vMerge w:val="continue"/>
                  <w:tcBorders>
                    <w:left w:val="single" w:color="auto" w:sz="4" w:space="0"/>
                    <w:bottom w:val="single" w:color="auto" w:sz="4" w:space="0"/>
                    <w:right w:val="single" w:color="auto" w:sz="4" w:space="0"/>
                    <w:tl2br w:val="nil"/>
                    <w:tr2bl w:val="nil"/>
                  </w:tcBorders>
                  <w:noWrap w:val="0"/>
                  <w:vAlign w:val="center"/>
                </w:tcPr>
                <w:p w14:paraId="1FF65D23">
                  <w:pPr>
                    <w:spacing w:beforeLines="0" w:afterLines="0"/>
                    <w:jc w:val="center"/>
                    <w:rPr>
                      <w:rFonts w:hint="default" w:ascii="Times New Roman" w:hAnsi="Times New Roman" w:eastAsia="宋体" w:cs="Times New Roman"/>
                      <w:b w:val="0"/>
                      <w:bCs w:val="0"/>
                      <w:color w:val="auto"/>
                      <w:sz w:val="21"/>
                      <w:szCs w:val="21"/>
                    </w:rPr>
                  </w:pPr>
                </w:p>
              </w:tc>
            </w:tr>
            <w:tr w14:paraId="20E8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82D384">
                  <w:pPr>
                    <w:spacing w:beforeLines="0" w:afterLines="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168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A5FCA9">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响铃卷</w:t>
                  </w:r>
                </w:p>
              </w:tc>
              <w:tc>
                <w:tcPr>
                  <w:tcW w:w="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82358F">
                  <w:pPr>
                    <w:spacing w:beforeLines="0" w:afterLines="0"/>
                    <w:jc w:val="center"/>
                    <w:rPr>
                      <w:rFonts w:hint="default" w:ascii="Times New Roman" w:hAnsi="Times New Roman" w:cs="Times New Roman"/>
                      <w:b w:val="0"/>
                      <w:bCs w:val="0"/>
                      <w:color w:val="auto"/>
                      <w:sz w:val="21"/>
                      <w:szCs w:val="21"/>
                    </w:rPr>
                  </w:pPr>
                  <w:r>
                    <w:rPr>
                      <w:rFonts w:hint="eastAsia" w:cs="Times New Roman"/>
                      <w:b w:val="0"/>
                      <w:bCs w:val="0"/>
                      <w:color w:val="auto"/>
                      <w:sz w:val="21"/>
                      <w:szCs w:val="21"/>
                      <w:lang w:val="en-US" w:eastAsia="zh-CN"/>
                    </w:rPr>
                    <w:t>130</w:t>
                  </w:r>
                  <w:r>
                    <w:rPr>
                      <w:rFonts w:hint="default" w:ascii="Times New Roman" w:hAnsi="Times New Roman" w:eastAsia="宋体" w:cs="Times New Roman"/>
                      <w:b w:val="0"/>
                      <w:bCs w:val="0"/>
                      <w:color w:val="auto"/>
                      <w:sz w:val="21"/>
                      <w:szCs w:val="21"/>
                    </w:rPr>
                    <w:t>t</w:t>
                  </w:r>
                </w:p>
              </w:tc>
              <w:tc>
                <w:tcPr>
                  <w:tcW w:w="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E93DF7">
                  <w:pPr>
                    <w:spacing w:beforeLines="0" w:afterLines="0"/>
                    <w:jc w:val="center"/>
                    <w:rPr>
                      <w:rFonts w:hint="default" w:ascii="Times New Roman" w:hAnsi="Times New Roman" w:cs="Times New Roman"/>
                      <w:b w:val="0"/>
                      <w:bCs w:val="0"/>
                      <w:color w:val="auto"/>
                      <w:sz w:val="21"/>
                      <w:szCs w:val="21"/>
                    </w:rPr>
                  </w:pPr>
                  <w:r>
                    <w:rPr>
                      <w:rFonts w:hint="eastAsia" w:cs="Times New Roman"/>
                      <w:b w:val="0"/>
                      <w:bCs w:val="0"/>
                      <w:color w:val="auto"/>
                      <w:sz w:val="21"/>
                      <w:szCs w:val="21"/>
                      <w:lang w:val="en-US" w:eastAsia="zh-CN"/>
                    </w:rPr>
                    <w:t>5kg/</w:t>
                  </w:r>
                  <w:r>
                    <w:rPr>
                      <w:rFonts w:hint="default" w:ascii="Times New Roman" w:hAnsi="Times New Roman" w:eastAsia="宋体" w:cs="Times New Roman"/>
                      <w:b w:val="0"/>
                      <w:bCs w:val="0"/>
                      <w:color w:val="auto"/>
                      <w:sz w:val="21"/>
                      <w:szCs w:val="21"/>
                    </w:rPr>
                    <w:t>纸箱</w:t>
                  </w:r>
                </w:p>
              </w:tc>
              <w:tc>
                <w:tcPr>
                  <w:tcW w:w="980" w:type="pct"/>
                  <w:vMerge w:val="restart"/>
                  <w:tcBorders>
                    <w:top w:val="single" w:color="auto" w:sz="4" w:space="0"/>
                    <w:left w:val="single" w:color="auto" w:sz="4" w:space="0"/>
                    <w:right w:val="single" w:color="auto" w:sz="4" w:space="0"/>
                    <w:tl2br w:val="nil"/>
                    <w:tr2bl w:val="nil"/>
                  </w:tcBorders>
                  <w:noWrap w:val="0"/>
                  <w:vAlign w:val="center"/>
                </w:tcPr>
                <w:p w14:paraId="3DAB3B22">
                  <w:pPr>
                    <w:spacing w:beforeLines="0" w:afterLine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200t豆制品</w:t>
                  </w:r>
                </w:p>
              </w:tc>
            </w:tr>
            <w:tr w14:paraId="24A2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4C8260">
                  <w:pPr>
                    <w:spacing w:beforeLines="0" w:afterLines="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c>
                <w:tcPr>
                  <w:tcW w:w="168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FBA17C">
                  <w:pPr>
                    <w:spacing w:beforeLines="0" w:afterLine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炸豆皮</w:t>
                  </w:r>
                </w:p>
              </w:tc>
              <w:tc>
                <w:tcPr>
                  <w:tcW w:w="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78FBA5">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70t</w:t>
                  </w:r>
                </w:p>
              </w:tc>
              <w:tc>
                <w:tcPr>
                  <w:tcW w:w="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529311">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2.8kg/纸箱</w:t>
                  </w:r>
                </w:p>
              </w:tc>
              <w:tc>
                <w:tcPr>
                  <w:tcW w:w="980" w:type="pct"/>
                  <w:vMerge w:val="continue"/>
                  <w:tcBorders>
                    <w:left w:val="single" w:color="auto" w:sz="4" w:space="0"/>
                    <w:bottom w:val="single" w:color="auto" w:sz="4" w:space="0"/>
                    <w:right w:val="single" w:color="auto" w:sz="4" w:space="0"/>
                    <w:tl2br w:val="nil"/>
                    <w:tr2bl w:val="nil"/>
                  </w:tcBorders>
                  <w:noWrap w:val="0"/>
                  <w:vAlign w:val="center"/>
                </w:tcPr>
                <w:p w14:paraId="576D62D9">
                  <w:pPr>
                    <w:spacing w:beforeLines="0" w:afterLines="0"/>
                    <w:jc w:val="center"/>
                    <w:rPr>
                      <w:rFonts w:hint="default" w:ascii="Times New Roman" w:hAnsi="Times New Roman" w:eastAsia="宋体" w:cs="Times New Roman"/>
                      <w:b w:val="0"/>
                      <w:bCs w:val="0"/>
                      <w:color w:val="auto"/>
                      <w:sz w:val="21"/>
                      <w:szCs w:val="21"/>
                    </w:rPr>
                  </w:pPr>
                </w:p>
              </w:tc>
            </w:tr>
          </w:tbl>
          <w:p w14:paraId="33A23DB2">
            <w:pPr>
              <w:spacing w:line="360" w:lineRule="auto"/>
              <w:ind w:firstLine="482" w:firstLineChars="200"/>
              <w:rPr>
                <w:rFonts w:hint="default" w:ascii="Times New Roman" w:hAnsi="Times New Roman" w:cs="Times New Roman"/>
                <w:b/>
                <w:color w:val="auto"/>
                <w:sz w:val="24"/>
                <w:szCs w:val="24"/>
              </w:rPr>
            </w:pPr>
            <w:r>
              <w:rPr>
                <w:rFonts w:hint="eastAsia" w:cs="Times New Roman"/>
                <w:b/>
                <w:color w:val="auto"/>
                <w:sz w:val="24"/>
                <w:szCs w:val="24"/>
                <w:lang w:val="en-US" w:eastAsia="zh-CN"/>
              </w:rPr>
              <w:t>3</w:t>
            </w:r>
            <w:r>
              <w:rPr>
                <w:rFonts w:hint="default" w:ascii="Times New Roman" w:hAnsi="Times New Roman" w:cs="Times New Roman"/>
                <w:b/>
                <w:color w:val="auto"/>
                <w:sz w:val="24"/>
                <w:szCs w:val="24"/>
              </w:rPr>
              <w:t>、生产设施及设施参数</w:t>
            </w:r>
          </w:p>
          <w:p w14:paraId="2FB5308A">
            <w:pPr>
              <w:spacing w:line="240" w:lineRule="auto"/>
              <w:jc w:val="center"/>
              <w:rPr>
                <w:rFonts w:hint="default" w:ascii="Times New Roman" w:hAnsi="Times New Roman" w:cs="Times New Roman"/>
                <w:b/>
                <w:iCs/>
                <w:color w:val="auto"/>
                <w:sz w:val="21"/>
                <w:szCs w:val="21"/>
              </w:rPr>
            </w:pPr>
            <w:r>
              <w:rPr>
                <w:rFonts w:hint="default" w:ascii="Times New Roman" w:hAnsi="Times New Roman" w:cs="Times New Roman"/>
                <w:b/>
                <w:iCs/>
                <w:color w:val="auto"/>
                <w:sz w:val="21"/>
                <w:szCs w:val="21"/>
              </w:rPr>
              <w:t>表2-</w:t>
            </w:r>
            <w:r>
              <w:rPr>
                <w:rFonts w:hint="eastAsia" w:cs="Times New Roman"/>
                <w:b/>
                <w:iCs/>
                <w:color w:val="auto"/>
                <w:sz w:val="21"/>
                <w:szCs w:val="21"/>
                <w:lang w:val="en-US" w:eastAsia="zh-CN"/>
              </w:rPr>
              <w:t xml:space="preserve">3  </w:t>
            </w:r>
            <w:r>
              <w:rPr>
                <w:rFonts w:hint="default" w:ascii="Times New Roman" w:hAnsi="Times New Roman" w:cs="Times New Roman"/>
                <w:b/>
                <w:iCs/>
                <w:color w:val="auto"/>
                <w:sz w:val="21"/>
                <w:szCs w:val="21"/>
                <w:lang w:eastAsia="zh-CN"/>
              </w:rPr>
              <w:t>项目</w:t>
            </w:r>
            <w:r>
              <w:rPr>
                <w:rFonts w:hint="default" w:ascii="Times New Roman" w:hAnsi="Times New Roman" w:cs="Times New Roman"/>
                <w:b/>
                <w:color w:val="auto"/>
                <w:sz w:val="21"/>
                <w:szCs w:val="21"/>
              </w:rPr>
              <w:t>生产设施</w:t>
            </w:r>
            <w:r>
              <w:rPr>
                <w:rFonts w:hint="default" w:ascii="Times New Roman" w:hAnsi="Times New Roman" w:cs="Times New Roman"/>
                <w:b/>
                <w:iCs/>
                <w:color w:val="auto"/>
                <w:sz w:val="21"/>
                <w:szCs w:val="21"/>
              </w:rPr>
              <w:t>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2048"/>
              <w:gridCol w:w="2048"/>
              <w:gridCol w:w="1389"/>
              <w:gridCol w:w="2089"/>
            </w:tblGrid>
            <w:tr w14:paraId="52B0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936613">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序号</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928DF2">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设备名称</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D8F032">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规格/型号</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2510FF">
                  <w:pPr>
                    <w:spacing w:beforeLines="0" w:afterLine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数量</w:t>
                  </w:r>
                </w:p>
              </w:tc>
              <w:tc>
                <w:tcPr>
                  <w:tcW w:w="117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2E6EC6">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用途</w:t>
                  </w:r>
                </w:p>
              </w:tc>
            </w:tr>
            <w:tr w14:paraId="4577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C22C7E">
                  <w:pPr>
                    <w:spacing w:beforeLines="0" w:afterLines="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296716">
                  <w:pPr>
                    <w:spacing w:beforeLines="0" w:afterLine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粉丝</w:t>
                  </w:r>
                  <w:r>
                    <w:rPr>
                      <w:rFonts w:hint="default" w:ascii="Times New Roman" w:hAnsi="Times New Roman" w:eastAsia="宋体" w:cs="Times New Roman"/>
                      <w:b w:val="0"/>
                      <w:bCs w:val="0"/>
                      <w:color w:val="auto"/>
                      <w:sz w:val="21"/>
                      <w:szCs w:val="21"/>
                      <w:lang w:val="en-US" w:eastAsia="zh-CN"/>
                    </w:rPr>
                    <w:t>生产线</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A0A442">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48m*3.5m*4m</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63B80F">
                  <w:pPr>
                    <w:spacing w:beforeLines="0" w:afterLine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1</w:t>
                  </w:r>
                  <w:r>
                    <w:rPr>
                      <w:rFonts w:hint="eastAsia" w:cs="Times New Roman"/>
                      <w:b w:val="0"/>
                      <w:bCs w:val="0"/>
                      <w:color w:val="auto"/>
                      <w:sz w:val="21"/>
                      <w:szCs w:val="21"/>
                      <w:lang w:val="en-US" w:eastAsia="zh-CN"/>
                    </w:rPr>
                    <w:t>条</w:t>
                  </w:r>
                </w:p>
              </w:tc>
              <w:tc>
                <w:tcPr>
                  <w:tcW w:w="117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86BA62">
                  <w:pPr>
                    <w:spacing w:beforeLines="0" w:afterLine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生产粉丝</w:t>
                  </w:r>
                </w:p>
              </w:tc>
            </w:tr>
            <w:tr w14:paraId="1066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F36895">
                  <w:pPr>
                    <w:spacing w:beforeLines="0" w:afterLines="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F273AA">
                  <w:pPr>
                    <w:spacing w:beforeLines="0" w:afterLine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u w:val="none"/>
                      <w:lang w:val="en-US" w:eastAsia="zh-CN"/>
                    </w:rPr>
                    <w:t>松花蛋生产线</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1829FC">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20.6m*3.7m*1.2m</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BAADD0">
                  <w:pPr>
                    <w:spacing w:beforeLines="0" w:afterLine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1</w:t>
                  </w:r>
                  <w:r>
                    <w:rPr>
                      <w:rFonts w:hint="eastAsia" w:cs="Times New Roman"/>
                      <w:b w:val="0"/>
                      <w:bCs w:val="0"/>
                      <w:color w:val="auto"/>
                      <w:sz w:val="21"/>
                      <w:szCs w:val="21"/>
                      <w:lang w:val="en-US" w:eastAsia="zh-CN"/>
                    </w:rPr>
                    <w:t>条</w:t>
                  </w:r>
                </w:p>
              </w:tc>
              <w:tc>
                <w:tcPr>
                  <w:tcW w:w="117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3DB1B0">
                  <w:pPr>
                    <w:spacing w:beforeLines="0" w:afterLines="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生产松花蛋</w:t>
                  </w:r>
                </w:p>
              </w:tc>
            </w:tr>
            <w:tr w14:paraId="5685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E1DFE1">
                  <w:pPr>
                    <w:spacing w:beforeLines="0" w:afterLines="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984064">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变蛋</w:t>
                  </w:r>
                  <w:r>
                    <w:rPr>
                      <w:rFonts w:hint="default" w:ascii="Times New Roman" w:hAnsi="Times New Roman" w:eastAsia="宋体" w:cs="Times New Roman"/>
                      <w:b w:val="0"/>
                      <w:bCs w:val="0"/>
                      <w:color w:val="auto"/>
                      <w:sz w:val="21"/>
                      <w:szCs w:val="21"/>
                      <w:lang w:val="en-US" w:eastAsia="zh-CN"/>
                    </w:rPr>
                    <w:t>生产线</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5CD1C5">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10m*1.2m*1.5m</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B01382">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w:t>
                  </w:r>
                  <w:r>
                    <w:rPr>
                      <w:rFonts w:hint="eastAsia" w:cs="Times New Roman"/>
                      <w:b w:val="0"/>
                      <w:bCs w:val="0"/>
                      <w:color w:val="auto"/>
                      <w:sz w:val="21"/>
                      <w:szCs w:val="21"/>
                      <w:lang w:val="en-US" w:eastAsia="zh-CN"/>
                    </w:rPr>
                    <w:t>条</w:t>
                  </w:r>
                </w:p>
              </w:tc>
              <w:tc>
                <w:tcPr>
                  <w:tcW w:w="117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432A4B">
                  <w:pPr>
                    <w:spacing w:beforeLines="0" w:afterLines="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生产变蛋</w:t>
                  </w:r>
                </w:p>
              </w:tc>
            </w:tr>
            <w:tr w14:paraId="6BBE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A5389F">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4</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D01D9D">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豆制品生产线</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E4D0D2">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1.2m*0.8m*2m</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B08414">
                  <w:pPr>
                    <w:spacing w:beforeLines="0" w:afterLine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w:t>
                  </w:r>
                  <w:r>
                    <w:rPr>
                      <w:rFonts w:hint="eastAsia" w:cs="Times New Roman"/>
                      <w:b w:val="0"/>
                      <w:bCs w:val="0"/>
                      <w:color w:val="auto"/>
                      <w:sz w:val="21"/>
                      <w:szCs w:val="21"/>
                      <w:lang w:val="en-US" w:eastAsia="zh-CN"/>
                    </w:rPr>
                    <w:t>条</w:t>
                  </w:r>
                </w:p>
              </w:tc>
              <w:tc>
                <w:tcPr>
                  <w:tcW w:w="117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7567D0">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生产豆制品</w:t>
                  </w:r>
                </w:p>
              </w:tc>
            </w:tr>
            <w:tr w14:paraId="3CA4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B105AC">
                  <w:pPr>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C809C5">
                  <w:pPr>
                    <w:spacing w:beforeLines="0" w:afterLine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腌制桶</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90B629">
                  <w:pPr>
                    <w:spacing w:beforeLines="0" w:afterLines="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1.2m*1m*1.2m</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1707AC">
                  <w:pPr>
                    <w:spacing w:beforeLines="0" w:afterLine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300</w:t>
                  </w:r>
                  <w:r>
                    <w:rPr>
                      <w:rFonts w:hint="eastAsia" w:cs="Times New Roman"/>
                      <w:b w:val="0"/>
                      <w:bCs w:val="0"/>
                      <w:color w:val="auto"/>
                      <w:sz w:val="21"/>
                      <w:szCs w:val="21"/>
                      <w:lang w:val="en-US" w:eastAsia="zh-CN"/>
                    </w:rPr>
                    <w:t>个</w:t>
                  </w:r>
                </w:p>
              </w:tc>
              <w:tc>
                <w:tcPr>
                  <w:tcW w:w="117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ADD036">
                  <w:pPr>
                    <w:spacing w:beforeLines="0" w:afterLines="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生产松花蛋</w:t>
                  </w:r>
                </w:p>
              </w:tc>
            </w:tr>
            <w:tr w14:paraId="4C4C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D3BCE6">
                  <w:pPr>
                    <w:jc w:val="center"/>
                    <w:rPr>
                      <w:rFonts w:hint="default" w:ascii="Times New Roman" w:hAnsi="Times New Roman" w:cs="Times New Roman"/>
                      <w:b w:val="0"/>
                      <w:bCs w:val="0"/>
                      <w:color w:val="auto"/>
                      <w:sz w:val="21"/>
                      <w:szCs w:val="21"/>
                      <w:lang w:val="en-US"/>
                    </w:rPr>
                  </w:pPr>
                  <w:r>
                    <w:rPr>
                      <w:rFonts w:hint="default" w:ascii="Times New Roman" w:hAnsi="Times New Roman" w:eastAsia="宋体" w:cs="Times New Roman"/>
                      <w:b w:val="0"/>
                      <w:bCs w:val="0"/>
                      <w:color w:val="auto"/>
                      <w:sz w:val="21"/>
                      <w:szCs w:val="21"/>
                    </w:rPr>
                    <w:t>6</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755EA4">
                  <w:pPr>
                    <w:spacing w:beforeLines="0" w:afterLine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油炸锅</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62F254">
                  <w:pPr>
                    <w:spacing w:beforeLines="0" w:afterLines="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YF12</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8BC4BF">
                  <w:pPr>
                    <w:spacing w:beforeLines="0" w:afterLine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8台</w:t>
                  </w:r>
                </w:p>
              </w:tc>
              <w:tc>
                <w:tcPr>
                  <w:tcW w:w="117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386C7B">
                  <w:pPr>
                    <w:spacing w:beforeLines="0" w:afterLines="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炸豆皮、响铃卷</w:t>
                  </w:r>
                </w:p>
              </w:tc>
            </w:tr>
            <w:tr w14:paraId="5F09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98F15B">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7</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9DDE86">
                  <w:pPr>
                    <w:spacing w:beforeLines="0" w:afterLines="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蒸汽发生器</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CACF79">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2*LPS0.5-1.0-Q</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8495FF">
                  <w:pPr>
                    <w:spacing w:beforeLines="0" w:afterLine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2台</w:t>
                  </w:r>
                </w:p>
              </w:tc>
              <w:tc>
                <w:tcPr>
                  <w:tcW w:w="117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5A897D">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生产粉丝</w:t>
                  </w:r>
                </w:p>
              </w:tc>
            </w:tr>
            <w:tr w14:paraId="70E2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3F6EEF">
                  <w:pPr>
                    <w:spacing w:beforeLines="0" w:afterLine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8</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006002">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反渗透软水机</w:t>
                  </w:r>
                </w:p>
              </w:tc>
              <w:tc>
                <w:tcPr>
                  <w:tcW w:w="11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1E7AC3">
                  <w:pPr>
                    <w:spacing w:beforeLines="0" w:afterLine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1吨</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DA5895">
                  <w:pPr>
                    <w:spacing w:beforeLines="0" w:afterLine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1台</w:t>
                  </w:r>
                </w:p>
              </w:tc>
              <w:tc>
                <w:tcPr>
                  <w:tcW w:w="117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F0AF79">
                  <w:pPr>
                    <w:spacing w:beforeLines="0" w:afterLine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制软水</w:t>
                  </w:r>
                </w:p>
              </w:tc>
            </w:tr>
          </w:tbl>
          <w:p w14:paraId="78EBC894">
            <w:pPr>
              <w:pStyle w:val="71"/>
              <w:numPr>
                <w:ilvl w:val="0"/>
                <w:numId w:val="0"/>
              </w:numPr>
              <w:spacing w:beforeLines="0" w:afterLines="0" w:line="360" w:lineRule="auto"/>
              <w:ind w:firstLine="482" w:firstLineChars="200"/>
              <w:rPr>
                <w:rFonts w:hint="default" w:ascii="Times New Roman" w:hAnsi="Times New Roman" w:cs="Times New Roman"/>
                <w:b/>
                <w:color w:val="auto"/>
                <w:sz w:val="24"/>
                <w:szCs w:val="24"/>
              </w:rPr>
            </w:pPr>
            <w:r>
              <w:rPr>
                <w:rFonts w:hint="eastAsia" w:cs="Times New Roman"/>
                <w:b/>
                <w:color w:val="auto"/>
                <w:sz w:val="24"/>
                <w:szCs w:val="24"/>
                <w:lang w:val="en-US" w:eastAsia="zh-CN"/>
              </w:rPr>
              <w:t>4</w:t>
            </w:r>
            <w:r>
              <w:rPr>
                <w:rFonts w:hint="default"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rPr>
              <w:t>原辅材料消耗</w:t>
            </w:r>
          </w:p>
          <w:p w14:paraId="1CD95C7F">
            <w:pPr>
              <w:pStyle w:val="72"/>
              <w:adjustRightInd/>
              <w:spacing w:beforeLines="0" w:afterLines="0" w:line="240" w:lineRule="auto"/>
              <w:rPr>
                <w:rFonts w:hint="default" w:ascii="Times New Roman" w:hAnsi="Times New Roman" w:eastAsia="宋体" w:cs="Times New Roman"/>
                <w:b/>
                <w:iCs/>
                <w:color w:val="auto"/>
                <w:spacing w:val="0"/>
                <w:kern w:val="2"/>
                <w:sz w:val="24"/>
                <w:szCs w:val="24"/>
                <w:lang w:val="en-US" w:eastAsia="zh-CN" w:bidi="ar-SA"/>
              </w:rPr>
            </w:pPr>
            <w:r>
              <w:rPr>
                <w:rFonts w:hint="default" w:ascii="Times New Roman" w:hAnsi="Times New Roman" w:eastAsia="宋体" w:cs="Times New Roman"/>
                <w:b/>
                <w:iCs/>
                <w:color w:val="auto"/>
                <w:spacing w:val="0"/>
                <w:kern w:val="2"/>
                <w:sz w:val="21"/>
                <w:szCs w:val="21"/>
                <w:lang w:val="en-US" w:eastAsia="zh-CN" w:bidi="ar-SA"/>
              </w:rPr>
              <w:t>表2-</w:t>
            </w:r>
            <w:r>
              <w:rPr>
                <w:rFonts w:hint="eastAsia" w:ascii="Times New Roman" w:hAnsi="Times New Roman" w:eastAsia="宋体" w:cs="Times New Roman"/>
                <w:b/>
                <w:iCs/>
                <w:color w:val="auto"/>
                <w:spacing w:val="0"/>
                <w:kern w:val="2"/>
                <w:sz w:val="21"/>
                <w:szCs w:val="21"/>
                <w:lang w:val="en-US" w:eastAsia="zh-CN" w:bidi="ar-SA"/>
              </w:rPr>
              <w:t xml:space="preserve">4  </w:t>
            </w:r>
            <w:r>
              <w:rPr>
                <w:rFonts w:hint="default" w:ascii="Times New Roman" w:hAnsi="Times New Roman" w:eastAsia="宋体" w:cs="Times New Roman"/>
                <w:b/>
                <w:iCs/>
                <w:color w:val="auto"/>
                <w:spacing w:val="0"/>
                <w:kern w:val="2"/>
                <w:sz w:val="21"/>
                <w:szCs w:val="21"/>
                <w:lang w:val="en-US" w:eastAsia="zh-CN" w:bidi="ar-SA"/>
              </w:rPr>
              <w:t>主要原辅材料明细表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178"/>
              <w:gridCol w:w="1252"/>
              <w:gridCol w:w="1114"/>
              <w:gridCol w:w="1391"/>
              <w:gridCol w:w="1532"/>
              <w:gridCol w:w="1690"/>
            </w:tblGrid>
            <w:tr w14:paraId="6BD1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89C141">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序号</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DCD67B">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原辅材料名称</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60B75B">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包装规格/型号</w:t>
                  </w:r>
                </w:p>
              </w:tc>
              <w:tc>
                <w:tcPr>
                  <w:tcW w:w="6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BE2A2E">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年用量</w:t>
                  </w:r>
                  <w:r>
                    <w:rPr>
                      <w:rFonts w:hint="default" w:ascii="Times New Roman" w:hAnsi="Times New Roman" w:cs="Times New Roman"/>
                      <w:b/>
                      <w:color w:val="auto"/>
                      <w:sz w:val="21"/>
                      <w:szCs w:val="21"/>
                    </w:rPr>
                    <w:t xml:space="preserve"> t/a</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509BE9">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一次最大储存量</w:t>
                  </w:r>
                  <w:r>
                    <w:rPr>
                      <w:rFonts w:hint="default" w:ascii="Times New Roman" w:hAnsi="Times New Roman" w:cs="Times New Roman"/>
                      <w:b/>
                      <w:color w:val="auto"/>
                      <w:sz w:val="21"/>
                      <w:szCs w:val="21"/>
                    </w:rPr>
                    <w:t xml:space="preserve"> t/a</w:t>
                  </w:r>
                </w:p>
              </w:tc>
              <w:tc>
                <w:tcPr>
                  <w:tcW w:w="8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117E69">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储存位置</w:t>
                  </w:r>
                </w:p>
              </w:tc>
              <w:tc>
                <w:tcPr>
                  <w:tcW w:w="9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1A9650">
                  <w:pPr>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用途</w:t>
                  </w:r>
                </w:p>
              </w:tc>
            </w:tr>
            <w:tr w14:paraId="050B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0E3DD2">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009859">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红薯淀粉</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F9C773">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r>
                    <w:rPr>
                      <w:rFonts w:hint="default" w:ascii="Times New Roman" w:hAnsi="Times New Roman" w:eastAsia="宋体" w:cs="Times New Roman"/>
                      <w:color w:val="auto"/>
                      <w:sz w:val="21"/>
                      <w:szCs w:val="21"/>
                    </w:rPr>
                    <w:t>斤/袋</w:t>
                  </w:r>
                </w:p>
              </w:tc>
              <w:tc>
                <w:tcPr>
                  <w:tcW w:w="6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17AAA6">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5EBB2D">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8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CDED4D">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仓库</w:t>
                  </w:r>
                </w:p>
              </w:tc>
              <w:tc>
                <w:tcPr>
                  <w:tcW w:w="9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C5DBCC">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加工粉丝</w:t>
                  </w:r>
                </w:p>
              </w:tc>
            </w:tr>
            <w:tr w14:paraId="092F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BE3A37">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B907EE">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鲜鸭蛋</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B6071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r>
                    <w:rPr>
                      <w:rFonts w:hint="default" w:ascii="Times New Roman" w:hAnsi="Times New Roman" w:eastAsia="宋体" w:cs="Times New Roman"/>
                      <w:color w:val="auto"/>
                      <w:sz w:val="21"/>
                      <w:szCs w:val="21"/>
                    </w:rPr>
                    <w:t>斤/箱</w:t>
                  </w:r>
                </w:p>
              </w:tc>
              <w:tc>
                <w:tcPr>
                  <w:tcW w:w="6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F45DF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840</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73A1B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8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3D7D1A">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仓库</w:t>
                  </w:r>
                </w:p>
              </w:tc>
              <w:tc>
                <w:tcPr>
                  <w:tcW w:w="9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9CAFFE">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加工松花蛋</w:t>
                  </w:r>
                </w:p>
              </w:tc>
            </w:tr>
            <w:tr w14:paraId="2374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6B24F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C59D97">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鲜鸡蛋</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C4277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r>
                    <w:rPr>
                      <w:rFonts w:hint="default" w:ascii="Times New Roman" w:hAnsi="Times New Roman" w:eastAsia="宋体" w:cs="Times New Roman"/>
                      <w:color w:val="auto"/>
                      <w:sz w:val="21"/>
                      <w:szCs w:val="21"/>
                    </w:rPr>
                    <w:t>斤/箱</w:t>
                  </w:r>
                </w:p>
              </w:tc>
              <w:tc>
                <w:tcPr>
                  <w:tcW w:w="6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87444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A9E42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8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A8619D">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仓库</w:t>
                  </w:r>
                </w:p>
              </w:tc>
              <w:tc>
                <w:tcPr>
                  <w:tcW w:w="9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067E6F">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加工变蛋</w:t>
                  </w:r>
                </w:p>
              </w:tc>
            </w:tr>
            <w:tr w14:paraId="023F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1E749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DF81B3">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豆腐皮</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052ABE">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r>
                    <w:rPr>
                      <w:rFonts w:hint="default" w:ascii="Times New Roman" w:hAnsi="Times New Roman" w:eastAsia="宋体" w:cs="Times New Roman"/>
                      <w:color w:val="auto"/>
                      <w:sz w:val="21"/>
                      <w:szCs w:val="21"/>
                    </w:rPr>
                    <w:t>斤/箱</w:t>
                  </w:r>
                </w:p>
              </w:tc>
              <w:tc>
                <w:tcPr>
                  <w:tcW w:w="6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51E228">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AEBEDA">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8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6E80CD">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冷冻库</w:t>
                  </w:r>
                </w:p>
              </w:tc>
              <w:tc>
                <w:tcPr>
                  <w:tcW w:w="9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85585F">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加工炸豆皮、响铃卷</w:t>
                  </w:r>
                </w:p>
              </w:tc>
            </w:tr>
            <w:tr w14:paraId="2328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B3893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D41596">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片碱</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03BCEF">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r>
                    <w:rPr>
                      <w:rFonts w:hint="default" w:ascii="Times New Roman" w:hAnsi="Times New Roman" w:eastAsia="宋体" w:cs="Times New Roman"/>
                      <w:color w:val="auto"/>
                      <w:sz w:val="21"/>
                      <w:szCs w:val="21"/>
                    </w:rPr>
                    <w:t>斤/袋</w:t>
                  </w:r>
                </w:p>
              </w:tc>
              <w:tc>
                <w:tcPr>
                  <w:tcW w:w="6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A42133">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D911A8">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8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4B4620">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仓库</w:t>
                  </w:r>
                </w:p>
              </w:tc>
              <w:tc>
                <w:tcPr>
                  <w:tcW w:w="9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BC8F75">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加工松花蛋</w:t>
                  </w:r>
                </w:p>
              </w:tc>
            </w:tr>
            <w:tr w14:paraId="42E4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E3D2E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C81534">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食盐</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48083D">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r>
                    <w:rPr>
                      <w:rFonts w:hint="default" w:ascii="Times New Roman" w:hAnsi="Times New Roman" w:eastAsia="宋体" w:cs="Times New Roman"/>
                      <w:color w:val="auto"/>
                      <w:sz w:val="21"/>
                      <w:szCs w:val="21"/>
                    </w:rPr>
                    <w:t>斤/袋</w:t>
                  </w:r>
                </w:p>
              </w:tc>
              <w:tc>
                <w:tcPr>
                  <w:tcW w:w="6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E99D58">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33</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93C648">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8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D09749">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仓库</w:t>
                  </w:r>
                </w:p>
              </w:tc>
              <w:tc>
                <w:tcPr>
                  <w:tcW w:w="9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1D8A98">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加工松花蛋咸蛋</w:t>
                  </w:r>
                </w:p>
              </w:tc>
            </w:tr>
            <w:tr w14:paraId="329F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22827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E9A532">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复配变蛋加工助剂</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47D399">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r>
                    <w:rPr>
                      <w:rFonts w:hint="default" w:ascii="Times New Roman" w:hAnsi="Times New Roman" w:eastAsia="宋体" w:cs="Times New Roman"/>
                      <w:color w:val="auto"/>
                      <w:sz w:val="21"/>
                      <w:szCs w:val="21"/>
                    </w:rPr>
                    <w:t>斤/袋</w:t>
                  </w:r>
                </w:p>
              </w:tc>
              <w:tc>
                <w:tcPr>
                  <w:tcW w:w="6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BA81F2">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787D63">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8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E89F83">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仓库</w:t>
                  </w:r>
                </w:p>
              </w:tc>
              <w:tc>
                <w:tcPr>
                  <w:tcW w:w="9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EDC19B">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加工松花蛋</w:t>
                  </w:r>
                </w:p>
              </w:tc>
            </w:tr>
            <w:tr w14:paraId="2387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0A8EE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6F823E">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大豆油</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8CE921">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r>
                    <w:rPr>
                      <w:rFonts w:hint="default" w:ascii="Times New Roman" w:hAnsi="Times New Roman" w:eastAsia="宋体" w:cs="Times New Roman"/>
                      <w:color w:val="auto"/>
                      <w:sz w:val="21"/>
                      <w:szCs w:val="21"/>
                    </w:rPr>
                    <w:t>升/桶</w:t>
                  </w:r>
                </w:p>
              </w:tc>
              <w:tc>
                <w:tcPr>
                  <w:tcW w:w="6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A43F9C">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9F9D9F">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8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0CB0ED">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仓库</w:t>
                  </w:r>
                </w:p>
              </w:tc>
              <w:tc>
                <w:tcPr>
                  <w:tcW w:w="9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F44974">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油炸</w:t>
                  </w:r>
                </w:p>
              </w:tc>
            </w:tr>
            <w:tr w14:paraId="675F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395B2B">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1D5D17">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黄泥</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F70AA7">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r>
                    <w:rPr>
                      <w:rFonts w:hint="default" w:ascii="Times New Roman" w:hAnsi="Times New Roman" w:eastAsia="宋体" w:cs="Times New Roman"/>
                      <w:color w:val="auto"/>
                      <w:sz w:val="21"/>
                      <w:szCs w:val="21"/>
                    </w:rPr>
                    <w:t>斤/袋</w:t>
                  </w:r>
                </w:p>
              </w:tc>
              <w:tc>
                <w:tcPr>
                  <w:tcW w:w="6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29D43B">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06BB0A">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8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4940A9">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仓库</w:t>
                  </w:r>
                </w:p>
              </w:tc>
              <w:tc>
                <w:tcPr>
                  <w:tcW w:w="9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C743B6">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加工咸蛋</w:t>
                  </w:r>
                </w:p>
              </w:tc>
            </w:tr>
            <w:tr w14:paraId="5B1D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918A92">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0E0649">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大豆卵磷脂</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4CABA6">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r>
                    <w:rPr>
                      <w:rFonts w:hint="default" w:ascii="Times New Roman" w:hAnsi="Times New Roman" w:eastAsia="宋体" w:cs="Times New Roman"/>
                      <w:color w:val="auto"/>
                      <w:sz w:val="21"/>
                      <w:szCs w:val="21"/>
                    </w:rPr>
                    <w:t>斤</w:t>
                  </w: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rPr>
                    <w:t>桶</w:t>
                  </w:r>
                </w:p>
              </w:tc>
              <w:tc>
                <w:tcPr>
                  <w:tcW w:w="6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38E3CB">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34FF5A">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w:t>
                  </w:r>
                </w:p>
              </w:tc>
              <w:tc>
                <w:tcPr>
                  <w:tcW w:w="8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83A7D1">
                  <w:pPr>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仓库</w:t>
                  </w:r>
                </w:p>
              </w:tc>
              <w:tc>
                <w:tcPr>
                  <w:tcW w:w="9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B2978E">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润滑</w:t>
                  </w:r>
                </w:p>
              </w:tc>
            </w:tr>
          </w:tbl>
          <w:p w14:paraId="2F7816E1">
            <w:pPr>
              <w:pStyle w:val="5"/>
              <w:numPr>
                <w:ilvl w:val="0"/>
                <w:numId w:val="0"/>
              </w:numPr>
              <w:spacing w:before="0" w:after="0" w:line="460" w:lineRule="exact"/>
              <w:ind w:firstLine="422" w:firstLineChars="200"/>
              <w:rPr>
                <w:rFonts w:hint="eastAsia" w:cs="Times New Roman"/>
                <w:b/>
                <w:bCs/>
                <w:color w:val="auto"/>
                <w:sz w:val="21"/>
                <w:szCs w:val="21"/>
                <w:lang w:val="en-US" w:eastAsia="zh-CN"/>
              </w:rPr>
            </w:pPr>
            <w:r>
              <w:rPr>
                <w:rFonts w:hint="eastAsia" w:cs="Times New Roman"/>
                <w:b/>
                <w:bCs/>
                <w:color w:val="auto"/>
                <w:sz w:val="21"/>
                <w:szCs w:val="21"/>
                <w:lang w:val="en-US" w:eastAsia="zh-CN"/>
              </w:rPr>
              <w:t>注：复配变蛋加工助剂成分为预混碱性盐+金属络合剂+缓冲剂（氢氧化钠、硫酸铜、氯化钠、葡萄糖酸钠等）。复配变蛋加工助剂无铅化，降低毒性风险。通过科学配比平衡碱性强度与渗透速度，缩短腌制时间并提升松花纹路清晰度。符合食品添加剂国家标准（如GB 2760），确保残留量在安全范围内。</w:t>
            </w:r>
          </w:p>
          <w:p w14:paraId="658BBF96">
            <w:pPr>
              <w:pStyle w:val="5"/>
              <w:numPr>
                <w:ilvl w:val="0"/>
                <w:numId w:val="0"/>
              </w:numPr>
              <w:spacing w:before="0" w:after="0" w:line="460" w:lineRule="exact"/>
              <w:ind w:firstLine="482" w:firstLineChars="200"/>
              <w:rPr>
                <w:rFonts w:hint="default"/>
                <w:color w:val="auto"/>
              </w:rPr>
            </w:pP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公用系统能耗</w:t>
            </w:r>
          </w:p>
          <w:p w14:paraId="5567D942">
            <w:pPr>
              <w:pStyle w:val="47"/>
              <w:snapToGrid w:val="0"/>
              <w:spacing w:line="240" w:lineRule="auto"/>
              <w:ind w:firstLine="0"/>
              <w:jc w:val="center"/>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1"/>
                <w:szCs w:val="21"/>
              </w:rPr>
              <w:t>表2-</w:t>
            </w:r>
            <w:r>
              <w:rPr>
                <w:rFonts w:hint="eastAsia" w:ascii="Times New Roman" w:cs="Times New Roman"/>
                <w:b/>
                <w:bCs/>
                <w:color w:val="auto"/>
                <w:kern w:val="2"/>
                <w:sz w:val="21"/>
                <w:szCs w:val="21"/>
                <w:lang w:val="en-US" w:eastAsia="zh-CN"/>
              </w:rPr>
              <w:t xml:space="preserve">5  </w:t>
            </w:r>
            <w:r>
              <w:rPr>
                <w:rFonts w:hint="default" w:ascii="Times New Roman" w:hAnsi="Times New Roman" w:eastAsia="宋体" w:cs="Times New Roman"/>
                <w:b/>
                <w:bCs/>
                <w:color w:val="auto"/>
                <w:kern w:val="2"/>
                <w:sz w:val="21"/>
                <w:szCs w:val="21"/>
              </w:rPr>
              <w:t>项目公用系统能耗明细表</w:t>
            </w:r>
          </w:p>
          <w:tbl>
            <w:tblPr>
              <w:tblStyle w:val="25"/>
              <w:tblW w:w="8899"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1791"/>
              <w:gridCol w:w="2220"/>
              <w:gridCol w:w="1995"/>
              <w:gridCol w:w="2893"/>
            </w:tblGrid>
            <w:tr w14:paraId="28DCD66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91" w:type="dxa"/>
                  <w:noWrap w:val="0"/>
                  <w:vAlign w:val="center"/>
                </w:tcPr>
                <w:p w14:paraId="1D0FAF37">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220" w:type="dxa"/>
                  <w:noWrap w:val="0"/>
                  <w:vAlign w:val="center"/>
                </w:tcPr>
                <w:p w14:paraId="4B0F88AB">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995" w:type="dxa"/>
                  <w:noWrap w:val="0"/>
                  <w:vAlign w:val="center"/>
                </w:tcPr>
                <w:p w14:paraId="4BD396FD">
                  <w:pPr>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c>
                <w:tcPr>
                  <w:tcW w:w="2893" w:type="dxa"/>
                  <w:noWrap w:val="0"/>
                  <w:vAlign w:val="center"/>
                </w:tcPr>
                <w:p w14:paraId="6F8E8D9D">
                  <w:pPr>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消耗量</w:t>
                  </w:r>
                </w:p>
              </w:tc>
            </w:tr>
            <w:tr w14:paraId="2A39155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791" w:type="dxa"/>
                  <w:noWrap w:val="0"/>
                  <w:vAlign w:val="center"/>
                </w:tcPr>
                <w:p w14:paraId="073AEA74">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220" w:type="dxa"/>
                  <w:noWrap w:val="0"/>
                  <w:vAlign w:val="center"/>
                </w:tcPr>
                <w:p w14:paraId="5172205A">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1995" w:type="dxa"/>
                  <w:noWrap w:val="0"/>
                  <w:vAlign w:val="center"/>
                </w:tcPr>
                <w:p w14:paraId="7353CAB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t</w:t>
                  </w:r>
                  <w:r>
                    <w:rPr>
                      <w:rFonts w:hint="default" w:ascii="Times New Roman" w:hAnsi="Times New Roman" w:eastAsia="宋体" w:cs="Times New Roman"/>
                      <w:color w:val="auto"/>
                      <w:sz w:val="21"/>
                      <w:szCs w:val="21"/>
                    </w:rPr>
                    <w:t>/a</w:t>
                  </w:r>
                </w:p>
              </w:tc>
              <w:tc>
                <w:tcPr>
                  <w:tcW w:w="2893" w:type="dxa"/>
                  <w:noWrap w:val="0"/>
                  <w:vAlign w:val="center"/>
                </w:tcPr>
                <w:p w14:paraId="4EE1C8F4">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4502.5</w:t>
                  </w:r>
                </w:p>
              </w:tc>
            </w:tr>
            <w:tr w14:paraId="7A27468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791" w:type="dxa"/>
                  <w:noWrap w:val="0"/>
                  <w:vAlign w:val="center"/>
                </w:tcPr>
                <w:p w14:paraId="08B2F970">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220" w:type="dxa"/>
                  <w:noWrap w:val="0"/>
                  <w:vAlign w:val="center"/>
                </w:tcPr>
                <w:p w14:paraId="4FD6F64D">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1995" w:type="dxa"/>
                  <w:noWrap w:val="0"/>
                  <w:vAlign w:val="center"/>
                </w:tcPr>
                <w:p w14:paraId="6A61F26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iCs/>
                      <w:color w:val="auto"/>
                      <w:sz w:val="21"/>
                      <w:szCs w:val="21"/>
                      <w:lang w:eastAsia="zh-CN"/>
                    </w:rPr>
                    <w:t>万</w:t>
                  </w:r>
                  <w:r>
                    <w:rPr>
                      <w:rFonts w:hint="default" w:ascii="Times New Roman" w:hAnsi="Times New Roman" w:eastAsia="宋体" w:cs="Times New Roman"/>
                      <w:iCs/>
                      <w:color w:val="auto"/>
                      <w:sz w:val="21"/>
                      <w:szCs w:val="21"/>
                    </w:rPr>
                    <w:t>kwh/a</w:t>
                  </w:r>
                </w:p>
              </w:tc>
              <w:tc>
                <w:tcPr>
                  <w:tcW w:w="2893" w:type="dxa"/>
                  <w:noWrap w:val="0"/>
                  <w:vAlign w:val="center"/>
                </w:tcPr>
                <w:p w14:paraId="2400B8C2">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r>
            <w:tr w14:paraId="0FA5FF1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791" w:type="dxa"/>
                  <w:noWrap w:val="0"/>
                  <w:vAlign w:val="center"/>
                </w:tcPr>
                <w:p w14:paraId="2D3FBA51">
                  <w:pPr>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2220" w:type="dxa"/>
                  <w:noWrap w:val="0"/>
                  <w:vAlign w:val="center"/>
                </w:tcPr>
                <w:p w14:paraId="790CA8C5">
                  <w:pPr>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天然气</w:t>
                  </w:r>
                </w:p>
              </w:tc>
              <w:tc>
                <w:tcPr>
                  <w:tcW w:w="1995" w:type="dxa"/>
                  <w:noWrap w:val="0"/>
                  <w:vAlign w:val="center"/>
                </w:tcPr>
                <w:p w14:paraId="5AD86E5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Cs/>
                      <w:color w:val="auto"/>
                      <w:sz w:val="21"/>
                      <w:szCs w:val="21"/>
                      <w:lang w:val="en-US" w:eastAsia="zh-CN"/>
                    </w:rPr>
                  </w:pPr>
                  <w:r>
                    <w:rPr>
                      <w:rFonts w:hint="eastAsia" w:cs="Times New Roman"/>
                      <w:iCs/>
                      <w:color w:val="auto"/>
                      <w:sz w:val="21"/>
                      <w:szCs w:val="21"/>
                      <w:lang w:val="en-US" w:eastAsia="zh-CN"/>
                    </w:rPr>
                    <w:t>万m</w:t>
                  </w:r>
                  <w:r>
                    <w:rPr>
                      <w:rFonts w:hint="eastAsia" w:cs="Times New Roman"/>
                      <w:iCs/>
                      <w:color w:val="auto"/>
                      <w:sz w:val="21"/>
                      <w:szCs w:val="21"/>
                      <w:vertAlign w:val="superscript"/>
                      <w:lang w:val="en-US" w:eastAsia="zh-CN"/>
                    </w:rPr>
                    <w:t>3</w:t>
                  </w:r>
                  <w:r>
                    <w:rPr>
                      <w:rFonts w:hint="eastAsia" w:cs="Times New Roman"/>
                      <w:iCs/>
                      <w:color w:val="auto"/>
                      <w:sz w:val="21"/>
                      <w:szCs w:val="21"/>
                      <w:lang w:val="en-US" w:eastAsia="zh-CN"/>
                    </w:rPr>
                    <w:t>/a</w:t>
                  </w:r>
                </w:p>
              </w:tc>
              <w:tc>
                <w:tcPr>
                  <w:tcW w:w="2893" w:type="dxa"/>
                  <w:noWrap w:val="0"/>
                  <w:vAlign w:val="center"/>
                </w:tcPr>
                <w:p w14:paraId="2FADD4F8">
                  <w:pPr>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r>
          </w:tbl>
          <w:p w14:paraId="4799BF6B">
            <w:pPr>
              <w:spacing w:line="240" w:lineRule="auto"/>
              <w:ind w:firstLine="482" w:firstLineChars="200"/>
              <w:rPr>
                <w:rFonts w:hint="default" w:ascii="Times New Roman" w:hAnsi="Times New Roman" w:cs="Times New Roman"/>
                <w:b/>
                <w:color w:val="auto"/>
                <w:sz w:val="24"/>
                <w:szCs w:val="24"/>
              </w:rPr>
            </w:pPr>
            <w:r>
              <w:rPr>
                <w:rFonts w:hint="eastAsia" w:cs="Times New Roman"/>
                <w:b/>
                <w:color w:val="auto"/>
                <w:sz w:val="24"/>
                <w:szCs w:val="24"/>
                <w:lang w:val="en-US" w:eastAsia="zh-CN"/>
              </w:rPr>
              <w:t>6</w:t>
            </w:r>
            <w:r>
              <w:rPr>
                <w:rFonts w:hint="default" w:ascii="Times New Roman" w:hAnsi="Times New Roman" w:cs="Times New Roman"/>
                <w:b/>
                <w:color w:val="auto"/>
                <w:sz w:val="24"/>
                <w:szCs w:val="24"/>
              </w:rPr>
              <w:t>、项目公用工程</w:t>
            </w:r>
          </w:p>
          <w:p w14:paraId="1372ED46">
            <w:pPr>
              <w:adjustRightInd w:val="0"/>
              <w:spacing w:beforeLines="0" w:afterLines="0"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（1）给水</w:t>
            </w:r>
          </w:p>
          <w:p w14:paraId="57D73BBC">
            <w:pPr>
              <w:adjustRightInd w:val="0"/>
              <w:spacing w:beforeLines="0" w:afterLines="0"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本项目用水由</w:t>
            </w:r>
            <w:r>
              <w:rPr>
                <w:rFonts w:hint="eastAsia" w:cs="Times New Roman"/>
                <w:color w:val="auto"/>
                <w:sz w:val="24"/>
                <w:szCs w:val="24"/>
                <w:lang w:val="en-US" w:eastAsia="zh-CN"/>
              </w:rPr>
              <w:t>城镇</w:t>
            </w:r>
            <w:r>
              <w:rPr>
                <w:rFonts w:hint="default" w:ascii="Times New Roman" w:hAnsi="Times New Roman" w:eastAsia="宋体" w:cs="Times New Roman"/>
                <w:color w:val="auto"/>
                <w:sz w:val="24"/>
                <w:szCs w:val="24"/>
              </w:rPr>
              <w:t>供水管网统一提供，为集中供水</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能满足</w:t>
            </w:r>
            <w:r>
              <w:rPr>
                <w:rFonts w:hint="eastAsia" w:cs="Times New Roman"/>
                <w:color w:val="auto"/>
                <w:sz w:val="24"/>
                <w:szCs w:val="24"/>
                <w:lang w:val="en-US" w:eastAsia="zh-CN"/>
              </w:rPr>
              <w:t>生产</w:t>
            </w:r>
            <w:r>
              <w:rPr>
                <w:rFonts w:hint="default" w:ascii="Times New Roman" w:hAnsi="Times New Roman" w:eastAsia="宋体" w:cs="Times New Roman"/>
                <w:color w:val="auto"/>
                <w:sz w:val="24"/>
                <w:szCs w:val="24"/>
              </w:rPr>
              <w:t>及生活供水需求。</w:t>
            </w:r>
          </w:p>
          <w:p w14:paraId="4CB4C8AE">
            <w:pPr>
              <w:adjustRightInd w:val="0"/>
              <w:spacing w:beforeLines="0" w:afterLines="0"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（2）排水</w:t>
            </w:r>
          </w:p>
          <w:p w14:paraId="5A48AC11">
            <w:pPr>
              <w:pStyle w:val="22"/>
              <w:spacing w:before="0" w:beforeLines="0" w:beforeAutospacing="0" w:after="0" w:afterLines="0" w:afterAutospacing="0" w:line="360" w:lineRule="auto"/>
              <w:ind w:firstLine="488" w:firstLineChars="200"/>
              <w:rPr>
                <w:rFonts w:hint="eastAsia" w:ascii="Times New Roman" w:hAnsi="Times New Roman" w:eastAsia="宋体" w:cs="Times New Roman"/>
                <w:color w:val="auto"/>
                <w:spacing w:val="2"/>
                <w:sz w:val="24"/>
                <w:szCs w:val="24"/>
                <w:lang w:eastAsia="zh-CN"/>
              </w:rPr>
            </w:pPr>
            <w:r>
              <w:rPr>
                <w:rFonts w:hint="default" w:ascii="Times New Roman" w:hAnsi="Times New Roman" w:cs="Times New Roman"/>
                <w:color w:val="auto"/>
                <w:spacing w:val="2"/>
                <w:sz w:val="24"/>
                <w:szCs w:val="24"/>
              </w:rPr>
              <w:t>项目废水为生活污水</w:t>
            </w:r>
            <w:r>
              <w:rPr>
                <w:rFonts w:hint="eastAsia" w:ascii="Times New Roman" w:hAnsi="Times New Roman" w:cs="Times New Roman"/>
                <w:color w:val="auto"/>
                <w:spacing w:val="2"/>
                <w:sz w:val="24"/>
                <w:szCs w:val="24"/>
                <w:lang w:val="en-US" w:eastAsia="zh-CN"/>
              </w:rPr>
              <w:t>和生产废水</w:t>
            </w:r>
            <w:r>
              <w:rPr>
                <w:rFonts w:hint="default" w:ascii="Times New Roman" w:hAnsi="Times New Roman" w:cs="Times New Roman"/>
                <w:color w:val="auto"/>
                <w:spacing w:val="2"/>
                <w:sz w:val="24"/>
                <w:szCs w:val="24"/>
              </w:rPr>
              <w:t>，生活污水</w:t>
            </w:r>
            <w:r>
              <w:rPr>
                <w:rFonts w:hint="eastAsia" w:ascii="Times New Roman" w:hAnsi="Times New Roman" w:cs="Times New Roman"/>
                <w:color w:val="auto"/>
                <w:spacing w:val="2"/>
                <w:sz w:val="24"/>
                <w:szCs w:val="24"/>
                <w:lang w:val="en-US" w:eastAsia="zh-CN"/>
              </w:rPr>
              <w:t>经隔油池、化粪池处理后用于农田堆肥，</w:t>
            </w:r>
            <w:r>
              <w:rPr>
                <w:rFonts w:hint="default" w:ascii="Times New Roman" w:hAnsi="Times New Roman" w:cs="Times New Roman"/>
                <w:color w:val="auto"/>
                <w:spacing w:val="2"/>
                <w:sz w:val="24"/>
                <w:szCs w:val="24"/>
              </w:rPr>
              <w:t>生产废水经自建污水处理站预处理后</w:t>
            </w:r>
            <w:r>
              <w:rPr>
                <w:rFonts w:hint="eastAsia" w:ascii="Times New Roman" w:hAnsi="Times New Roman" w:cs="Times New Roman"/>
                <w:color w:val="auto"/>
                <w:spacing w:val="2"/>
                <w:sz w:val="24"/>
                <w:szCs w:val="24"/>
                <w:lang w:val="en-US" w:eastAsia="zh-CN"/>
              </w:rPr>
              <w:t>用于厂区绿化</w:t>
            </w:r>
            <w:r>
              <w:rPr>
                <w:rFonts w:hint="eastAsia" w:ascii="Times New Roman" w:hAnsi="Times New Roman" w:cs="Times New Roman"/>
                <w:color w:val="auto"/>
                <w:spacing w:val="2"/>
                <w:sz w:val="24"/>
                <w:szCs w:val="24"/>
                <w:lang w:eastAsia="zh-CN"/>
              </w:rPr>
              <w:t>。</w:t>
            </w:r>
          </w:p>
          <w:p w14:paraId="6C397B5A">
            <w:pPr>
              <w:adjustRightInd w:val="0"/>
              <w:spacing w:beforeLines="0" w:afterLines="0"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（3）供电</w:t>
            </w:r>
          </w:p>
          <w:p w14:paraId="48F44DBF">
            <w:pPr>
              <w:pStyle w:val="13"/>
              <w:keepNext w:val="0"/>
              <w:keepLines w:val="0"/>
              <w:pageBreakBefore w:val="0"/>
              <w:widowControl w:val="0"/>
              <w:kinsoku/>
              <w:wordWrap/>
              <w:overflowPunct/>
              <w:topLinePunct w:val="0"/>
              <w:autoSpaceDE/>
              <w:autoSpaceDN/>
              <w:bidi w:val="0"/>
              <w:adjustRightInd/>
              <w:snapToGrid/>
              <w:spacing w:beforeLines="0" w:line="360" w:lineRule="auto"/>
              <w:ind w:left="0" w:leftChars="0" w:firstLine="472"/>
              <w:textAlignment w:val="auto"/>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rPr>
              <w:t>本项目用电从当地供主线路接线，年用电量为</w:t>
            </w:r>
            <w:r>
              <w:rPr>
                <w:rFonts w:hint="eastAsia" w:cs="Times New Roman"/>
                <w:color w:val="auto"/>
                <w:spacing w:val="-2"/>
                <w:sz w:val="24"/>
                <w:szCs w:val="24"/>
                <w:lang w:val="en-US" w:eastAsia="zh-CN"/>
              </w:rPr>
              <w:t>15</w:t>
            </w:r>
            <w:r>
              <w:rPr>
                <w:rFonts w:hint="default" w:ascii="Times New Roman" w:hAnsi="Times New Roman" w:eastAsia="宋体" w:cs="Times New Roman"/>
                <w:color w:val="auto"/>
                <w:spacing w:val="-2"/>
                <w:sz w:val="24"/>
                <w:szCs w:val="24"/>
              </w:rPr>
              <w:t>万kWh</w:t>
            </w:r>
            <w:r>
              <w:rPr>
                <w:rFonts w:hint="eastAsia" w:cs="Times New Roman"/>
                <w:color w:val="auto"/>
                <w:spacing w:val="-2"/>
                <w:sz w:val="24"/>
                <w:szCs w:val="24"/>
                <w:lang w:val="en-US" w:eastAsia="zh-CN"/>
              </w:rPr>
              <w:t>。</w:t>
            </w:r>
          </w:p>
          <w:p w14:paraId="221A10E3">
            <w:pPr>
              <w:keepNext w:val="0"/>
              <w:keepLines w:val="0"/>
              <w:pageBreakBefore w:val="0"/>
              <w:widowControl w:val="0"/>
              <w:numPr>
                <w:ilvl w:val="0"/>
                <w:numId w:val="2"/>
              </w:numPr>
              <w:kinsoku/>
              <w:wordWrap/>
              <w:overflowPunct/>
              <w:topLinePunct w:val="0"/>
              <w:autoSpaceDE/>
              <w:autoSpaceDN/>
              <w:bidi w:val="0"/>
              <w:adjustRightInd/>
              <w:spacing w:line="360" w:lineRule="auto"/>
              <w:ind w:firstLine="472" w:firstLineChars="200"/>
              <w:textAlignment w:val="auto"/>
              <w:rPr>
                <w:rFonts w:hint="eastAsia" w:cs="Times New Roman"/>
                <w:color w:val="auto"/>
                <w:spacing w:val="-2"/>
                <w:sz w:val="24"/>
                <w:szCs w:val="24"/>
                <w:lang w:val="en-US" w:eastAsia="zh-CN"/>
              </w:rPr>
            </w:pPr>
            <w:r>
              <w:rPr>
                <w:rFonts w:hint="eastAsia" w:cs="Times New Roman"/>
                <w:color w:val="auto"/>
                <w:spacing w:val="-2"/>
                <w:sz w:val="24"/>
                <w:szCs w:val="24"/>
                <w:lang w:val="en-US" w:eastAsia="zh-CN"/>
              </w:rPr>
              <w:t>供天然气</w:t>
            </w:r>
          </w:p>
          <w:p w14:paraId="6C1125F1">
            <w:pPr>
              <w:pStyle w:val="16"/>
              <w:keepNext w:val="0"/>
              <w:keepLines w:val="0"/>
              <w:pageBreakBefore w:val="0"/>
              <w:widowControl w:val="0"/>
              <w:numPr>
                <w:ilvl w:val="0"/>
                <w:numId w:val="0"/>
              </w:numPr>
              <w:kinsoku/>
              <w:wordWrap/>
              <w:overflowPunct/>
              <w:topLinePunct w:val="0"/>
              <w:autoSpaceDE/>
              <w:autoSpaceDN/>
              <w:bidi w:val="0"/>
              <w:adjustRightInd/>
              <w:spacing w:line="360" w:lineRule="auto"/>
              <w:ind w:firstLine="488" w:firstLineChars="200"/>
              <w:textAlignment w:val="auto"/>
              <w:rPr>
                <w:rFonts w:hint="default" w:ascii="Times New Roman" w:hAnsi="Times New Roman" w:eastAsia="宋体" w:cs="Times New Roman"/>
                <w:color w:val="auto"/>
                <w:spacing w:val="2"/>
                <w:kern w:val="0"/>
                <w:sz w:val="24"/>
                <w:szCs w:val="24"/>
                <w:lang w:val="en-US" w:eastAsia="zh-CN" w:bidi="ar-SA"/>
              </w:rPr>
            </w:pPr>
            <w:r>
              <w:rPr>
                <w:rFonts w:hint="eastAsia" w:cs="Times New Roman"/>
                <w:color w:val="auto"/>
                <w:spacing w:val="2"/>
                <w:kern w:val="0"/>
                <w:sz w:val="24"/>
                <w:szCs w:val="24"/>
                <w:lang w:val="en-US" w:eastAsia="zh-CN" w:bidi="ar-SA"/>
              </w:rPr>
              <w:t>本项目天然气为管道天然气，蒸汽发生器采用天然气供能，产生的蒸汽间接接触粉丝，使其成型和烘干，蒸汽压力：1.0MPa，蒸汽量：1t/h。</w:t>
            </w:r>
          </w:p>
          <w:p w14:paraId="033CDDC7">
            <w:pPr>
              <w:spacing w:line="360" w:lineRule="auto"/>
              <w:ind w:firstLine="482" w:firstLineChars="200"/>
              <w:rPr>
                <w:rFonts w:hint="default" w:ascii="Times New Roman" w:hAnsi="Times New Roman" w:cs="Times New Roman"/>
                <w:b/>
                <w:color w:val="auto"/>
                <w:sz w:val="24"/>
                <w:szCs w:val="24"/>
              </w:rPr>
            </w:pPr>
            <w:r>
              <w:rPr>
                <w:rFonts w:hint="eastAsia" w:cs="Times New Roman"/>
                <w:b/>
                <w:color w:val="auto"/>
                <w:sz w:val="24"/>
                <w:szCs w:val="24"/>
                <w:lang w:val="en-US" w:eastAsia="zh-CN"/>
              </w:rPr>
              <w:t>7</w:t>
            </w:r>
            <w:r>
              <w:rPr>
                <w:rFonts w:hint="default" w:ascii="Times New Roman" w:hAnsi="Times New Roman" w:cs="Times New Roman"/>
                <w:b/>
                <w:color w:val="auto"/>
                <w:sz w:val="24"/>
                <w:szCs w:val="24"/>
              </w:rPr>
              <w:t>、</w:t>
            </w:r>
            <w:r>
              <w:rPr>
                <w:rFonts w:hint="default" w:ascii="Times New Roman" w:hAnsi="Times New Roman" w:cs="Times New Roman"/>
                <w:b/>
                <w:iCs/>
                <w:color w:val="auto"/>
                <w:sz w:val="24"/>
                <w:szCs w:val="24"/>
              </w:rPr>
              <w:t>工作制度</w:t>
            </w:r>
            <w:r>
              <w:rPr>
                <w:rFonts w:hint="default" w:ascii="Times New Roman" w:hAnsi="Times New Roman" w:cs="Times New Roman"/>
                <w:b/>
                <w:color w:val="auto"/>
                <w:sz w:val="24"/>
                <w:szCs w:val="24"/>
              </w:rPr>
              <w:t>及劳动定员</w:t>
            </w:r>
          </w:p>
          <w:p w14:paraId="70A747F7">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工</w:t>
            </w:r>
            <w:r>
              <w:rPr>
                <w:rFonts w:hint="default" w:ascii="Times New Roman" w:hAnsi="Times New Roman" w:eastAsia="宋体" w:cs="Times New Roman"/>
                <w:color w:val="auto"/>
                <w:sz w:val="24"/>
                <w:szCs w:val="24"/>
                <w:lang w:eastAsia="zh-CN"/>
              </w:rPr>
              <w:t>作制度：</w:t>
            </w:r>
            <w:r>
              <w:rPr>
                <w:rFonts w:hint="default" w:ascii="Times New Roman" w:hAnsi="Times New Roman" w:eastAsia="宋体" w:cs="Times New Roman"/>
                <w:bCs/>
                <w:color w:val="auto"/>
                <w:sz w:val="24"/>
                <w:szCs w:val="24"/>
                <w:highlight w:val="none"/>
              </w:rPr>
              <w:t>年工作日为</w:t>
            </w:r>
            <w:r>
              <w:rPr>
                <w:rFonts w:hint="eastAsia" w:cs="Times New Roman"/>
                <w:bCs/>
                <w:color w:val="auto"/>
                <w:sz w:val="24"/>
                <w:szCs w:val="24"/>
                <w:highlight w:val="none"/>
                <w:lang w:val="en-US" w:eastAsia="zh-CN"/>
              </w:rPr>
              <w:t>300</w:t>
            </w:r>
            <w:r>
              <w:rPr>
                <w:rFonts w:hint="default" w:ascii="Times New Roman" w:hAnsi="Times New Roman" w:eastAsia="宋体" w:cs="Times New Roman"/>
                <w:bCs/>
                <w:color w:val="auto"/>
                <w:sz w:val="24"/>
                <w:szCs w:val="24"/>
                <w:highlight w:val="none"/>
              </w:rPr>
              <w:t>天，</w:t>
            </w:r>
            <w:r>
              <w:rPr>
                <w:rFonts w:hint="eastAsia" w:cs="Times New Roman"/>
                <w:bCs/>
                <w:color w:val="auto"/>
                <w:sz w:val="24"/>
                <w:szCs w:val="24"/>
                <w:highlight w:val="none"/>
                <w:lang w:val="en-US" w:eastAsia="zh-CN"/>
              </w:rPr>
              <w:t>一</w:t>
            </w:r>
            <w:r>
              <w:rPr>
                <w:rFonts w:hint="default" w:ascii="Times New Roman" w:hAnsi="Times New Roman" w:eastAsia="宋体" w:cs="Times New Roman"/>
                <w:bCs/>
                <w:color w:val="auto"/>
                <w:sz w:val="24"/>
                <w:szCs w:val="24"/>
                <w:highlight w:val="none"/>
              </w:rPr>
              <w:t>班制生产，每班</w:t>
            </w:r>
            <w:r>
              <w:rPr>
                <w:rFonts w:hint="eastAsia"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rPr>
              <w:t>小时。</w:t>
            </w:r>
          </w:p>
          <w:p w14:paraId="76983B1E">
            <w:pPr>
              <w:spacing w:line="360" w:lineRule="auto"/>
              <w:ind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lang w:eastAsia="zh-CN"/>
              </w:rPr>
              <w:t>劳动定员：劳动定员</w:t>
            </w:r>
            <w:r>
              <w:rPr>
                <w:rFonts w:hint="eastAsia" w:cs="Times New Roman"/>
                <w:color w:val="auto"/>
                <w:sz w:val="24"/>
                <w:szCs w:val="24"/>
                <w:lang w:val="en-US" w:eastAsia="zh-CN"/>
              </w:rPr>
              <w:t>18</w:t>
            </w:r>
            <w:r>
              <w:rPr>
                <w:rFonts w:hint="default" w:ascii="Times New Roman" w:hAnsi="Times New Roman" w:eastAsia="宋体" w:cs="Times New Roman"/>
                <w:color w:val="auto"/>
                <w:sz w:val="24"/>
                <w:szCs w:val="24"/>
                <w:lang w:val="en-US" w:eastAsia="zh-CN"/>
              </w:rPr>
              <w:t>人，设食宿。</w:t>
            </w:r>
          </w:p>
          <w:p w14:paraId="433D942C">
            <w:pPr>
              <w:spacing w:line="360" w:lineRule="auto"/>
              <w:ind w:firstLine="482" w:firstLineChars="200"/>
              <w:rPr>
                <w:rFonts w:hint="default" w:ascii="Times New Roman" w:hAnsi="Times New Roman" w:cs="Times New Roman"/>
                <w:b/>
                <w:color w:val="auto"/>
                <w:sz w:val="24"/>
                <w:szCs w:val="24"/>
              </w:rPr>
            </w:pPr>
            <w:r>
              <w:rPr>
                <w:rFonts w:hint="eastAsia" w:cs="Times New Roman"/>
                <w:b/>
                <w:color w:val="auto"/>
                <w:sz w:val="24"/>
                <w:szCs w:val="24"/>
                <w:lang w:val="en-US" w:eastAsia="zh-CN"/>
              </w:rPr>
              <w:t>8</w:t>
            </w:r>
            <w:r>
              <w:rPr>
                <w:rFonts w:hint="default" w:ascii="Times New Roman" w:hAnsi="Times New Roman" w:cs="Times New Roman"/>
                <w:b/>
                <w:color w:val="auto"/>
                <w:sz w:val="24"/>
                <w:szCs w:val="24"/>
              </w:rPr>
              <w:t>、厂区平面布置</w:t>
            </w:r>
          </w:p>
          <w:p w14:paraId="601C56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pacing w:val="4"/>
                <w:sz w:val="24"/>
                <w:szCs w:val="24"/>
              </w:rPr>
            </w:pPr>
            <w:r>
              <w:rPr>
                <w:rFonts w:hint="default" w:ascii="Times New Roman" w:hAnsi="Times New Roman" w:eastAsia="宋体" w:cs="Times New Roman"/>
                <w:color w:val="auto"/>
                <w:sz w:val="24"/>
                <w:szCs w:val="24"/>
                <w:lang w:eastAsia="zh-CN"/>
              </w:rPr>
              <w:t>本项目利用现有</w:t>
            </w:r>
            <w:r>
              <w:rPr>
                <w:rFonts w:hint="eastAsia" w:cs="Times New Roman"/>
                <w:color w:val="auto"/>
                <w:sz w:val="24"/>
                <w:szCs w:val="24"/>
                <w:lang w:val="en-US" w:eastAsia="zh-CN"/>
              </w:rPr>
              <w:t>厂房</w:t>
            </w:r>
            <w:r>
              <w:rPr>
                <w:rFonts w:hint="default" w:ascii="Times New Roman" w:hAnsi="Times New Roman" w:eastAsia="宋体" w:cs="Times New Roman"/>
                <w:color w:val="auto"/>
                <w:sz w:val="24"/>
                <w:szCs w:val="24"/>
                <w:lang w:eastAsia="zh-CN"/>
              </w:rPr>
              <w:t>进行</w:t>
            </w:r>
            <w:r>
              <w:rPr>
                <w:rFonts w:hint="eastAsia" w:cs="Times New Roman"/>
                <w:color w:val="auto"/>
                <w:sz w:val="24"/>
                <w:szCs w:val="24"/>
                <w:lang w:val="en-US" w:eastAsia="zh-CN"/>
              </w:rPr>
              <w:t>生产</w:t>
            </w:r>
            <w:r>
              <w:rPr>
                <w:rFonts w:hint="default" w:ascii="Times New Roman" w:hAnsi="Times New Roman" w:eastAsia="宋体" w:cs="Times New Roman"/>
                <w:color w:val="auto"/>
                <w:sz w:val="24"/>
                <w:szCs w:val="24"/>
                <w:lang w:eastAsia="zh-CN"/>
              </w:rPr>
              <w:t>经营。</w:t>
            </w:r>
            <w:r>
              <w:rPr>
                <w:rFonts w:hint="eastAsia" w:cs="Times New Roman"/>
                <w:color w:val="auto"/>
                <w:sz w:val="24"/>
                <w:szCs w:val="24"/>
                <w:lang w:val="en-US" w:eastAsia="zh-CN"/>
              </w:rPr>
              <w:t>生产车间：设置粉丝生产线、松花蛋生产线、变蛋生产线、豆制品生产线、腌制区、更衣室。建筑面积约6000m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1F，高度约12m。原料暂存区：蛋类原料区位于生产车间西北侧，豆制品原料区位于生产车间西侧，粉丝原料区位于生产车间东侧。包材区：蛋类包材区位于生产车间西北侧，豆制品包材区位于生产车间西南侧，粉丝包材区于生产车间东侧。冷却区：位于生产车间西侧和中部。成品区：蛋类成品区位于生产车间西北侧，豆制品成品区位于生产车间西侧，粉丝成品区于生产车间东南侧。办公区：位于厂区西北侧</w:t>
            </w:r>
            <w:r>
              <w:rPr>
                <w:rFonts w:hint="default" w:ascii="Times New Roman" w:hAnsi="Times New Roman" w:eastAsia="宋体" w:cs="Times New Roman"/>
                <w:color w:val="auto"/>
                <w:sz w:val="24"/>
                <w:szCs w:val="24"/>
                <w:lang w:eastAsia="zh-CN"/>
              </w:rPr>
              <w:t>。项目区内各部分人流、物流分开，充分考虑生产流程顺畅、布局合理。污水处理站位于项目区下风向，并设置防渗措施，同时在污水处理站周边增加绿化，减少恶臭废气对</w:t>
            </w:r>
            <w:r>
              <w:rPr>
                <w:rFonts w:hint="eastAsia" w:cs="Times New Roman"/>
                <w:color w:val="auto"/>
                <w:sz w:val="24"/>
                <w:szCs w:val="24"/>
                <w:lang w:val="en-US" w:eastAsia="zh-CN"/>
              </w:rPr>
              <w:t>周围</w:t>
            </w:r>
            <w:r>
              <w:rPr>
                <w:rFonts w:hint="default" w:ascii="Times New Roman" w:hAnsi="Times New Roman" w:eastAsia="宋体" w:cs="Times New Roman"/>
                <w:color w:val="auto"/>
                <w:sz w:val="24"/>
                <w:szCs w:val="24"/>
                <w:lang w:eastAsia="zh-CN"/>
              </w:rPr>
              <w:t>人员的影响。因此本项目平面布置合理，详见项目平面布置图。</w:t>
            </w:r>
          </w:p>
        </w:tc>
      </w:tr>
      <w:tr w14:paraId="2A2B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429" w:type="dxa"/>
            <w:vAlign w:val="center"/>
          </w:tcPr>
          <w:p w14:paraId="0665E22E">
            <w:pPr>
              <w:autoSpaceDE w:val="0"/>
              <w:autoSpaceDN w:val="0"/>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工艺流程和产排污环节</w:t>
            </w:r>
          </w:p>
        </w:tc>
        <w:tc>
          <w:tcPr>
            <w:tcW w:w="9142" w:type="dxa"/>
            <w:vAlign w:val="center"/>
          </w:tcPr>
          <w:p w14:paraId="7B6B4ADD">
            <w:pPr>
              <w:spacing w:before="120" w:beforeLines="50" w:after="120" w:afterLines="50"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新建</w:t>
            </w:r>
            <w:r>
              <w:rPr>
                <w:rFonts w:hint="eastAsia" w:ascii="Times New Roman" w:hAnsi="Times New Roman" w:eastAsia="宋体" w:cs="Times New Roman"/>
                <w:color w:val="auto"/>
                <w:sz w:val="24"/>
                <w:szCs w:val="24"/>
              </w:rPr>
              <w:t>项目选址为安徽省蚌埠市固镇县刘集镇珍珠沟西侧，具体的生产工艺详如下：</w:t>
            </w:r>
          </w:p>
          <w:p w14:paraId="69866EAE">
            <w:pPr>
              <w:spacing w:line="360" w:lineRule="auto"/>
              <w:ind w:firstLine="482" w:firstLineChars="200"/>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一、施工期</w:t>
            </w:r>
          </w:p>
          <w:p w14:paraId="7E61DB77">
            <w:pPr>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项目</w:t>
            </w:r>
            <w:r>
              <w:rPr>
                <w:rFonts w:hint="eastAsia" w:ascii="Times New Roman" w:hAnsi="Times New Roman" w:eastAsia="宋体" w:cs="Times New Roman"/>
                <w:color w:val="auto"/>
                <w:sz w:val="24"/>
                <w:szCs w:val="24"/>
              </w:rPr>
              <w:t>位于安徽省蚌埠市固镇县刘集镇珍珠沟西侧，依托现有厂房，施工期主要为厂房装修和设备安装调试，工艺简单，不再单独分析。</w:t>
            </w:r>
          </w:p>
          <w:p w14:paraId="1E976641">
            <w:pPr>
              <w:pStyle w:val="45"/>
              <w:numPr>
                <w:ilvl w:val="0"/>
                <w:numId w:val="0"/>
              </w:numPr>
              <w:spacing w:line="240" w:lineRule="auto"/>
              <w:ind w:leftChars="0" w:firstLine="482" w:firstLineChars="200"/>
              <w:rPr>
                <w:rFonts w:hint="default" w:ascii="Times New Roman" w:hAnsi="Times New Roman" w:cs="Times New Roman"/>
                <w:b/>
                <w:color w:val="auto"/>
                <w:kern w:val="1"/>
                <w:sz w:val="24"/>
                <w:szCs w:val="24"/>
              </w:rPr>
            </w:pPr>
            <w:r>
              <w:rPr>
                <w:rFonts w:hint="default" w:ascii="Times New Roman" w:hAnsi="Times New Roman" w:cs="Times New Roman"/>
                <w:b/>
                <w:color w:val="auto"/>
                <w:kern w:val="1"/>
                <w:sz w:val="24"/>
                <w:szCs w:val="24"/>
                <w:lang w:val="en-US" w:eastAsia="zh-CN"/>
              </w:rPr>
              <w:t>二、运营期工艺流程及产排污环节</w:t>
            </w:r>
          </w:p>
          <w:p w14:paraId="0B27D95D">
            <w:pPr>
              <w:spacing w:beforeLines="0" w:afterLines="0" w:line="360" w:lineRule="auto"/>
              <w:jc w:val="center"/>
              <w:rPr>
                <w:color w:val="auto"/>
                <w:vertAlign w:val="baseline"/>
              </w:rPr>
            </w:pPr>
            <w:r>
              <w:rPr>
                <w:color w:val="auto"/>
                <w:vertAlign w:val="baseline"/>
              </w:rPr>
              <w:object>
                <v:shape id="_x0000_i1025" o:spt="75" type="#_x0000_t75" style="height:59.45pt;width:415.25pt;" o:ole="t" filled="f" o:preferrelative="t" stroked="f" coordsize="21600,21600">
                  <v:path/>
                  <v:fill on="f" focussize="0,0"/>
                  <v:stroke on="f"/>
                  <v:imagedata r:id="rId8" o:title=""/>
                  <o:lock v:ext="edit" aspectratio="f"/>
                  <w10:wrap type="none"/>
                  <w10:anchorlock/>
                </v:shape>
                <o:OLEObject Type="Embed" ProgID="Visio.Drawing.11" ShapeID="_x0000_i1025" DrawAspect="Content" ObjectID="_1468075725" r:id="rId7">
                  <o:LockedField>false</o:LockedField>
                </o:OLEObject>
              </w:object>
            </w:r>
          </w:p>
          <w:p w14:paraId="21FAA6CE">
            <w:pPr>
              <w:spacing w:beforeLines="0" w:afterLines="0" w:line="360" w:lineRule="auto"/>
              <w:jc w:val="right"/>
              <w:rPr>
                <w:rFonts w:hint="eastAsia"/>
                <w:color w:val="auto"/>
                <w:sz w:val="21"/>
                <w:szCs w:val="24"/>
              </w:rPr>
            </w:pPr>
            <w:r>
              <w:rPr>
                <w:rFonts w:hint="default" w:ascii="宋体" w:eastAsia="宋体"/>
                <w:color w:val="auto"/>
                <w:sz w:val="21"/>
                <w:szCs w:val="21"/>
                <w:vertAlign w:val="baseline"/>
                <w:lang w:val="zh-CN"/>
              </w:rPr>
              <w:t>S：固废</w:t>
            </w:r>
          </w:p>
          <w:p w14:paraId="5F898345">
            <w:pPr>
              <w:numPr>
                <w:ilvl w:val="0"/>
                <w:numId w:val="0"/>
              </w:numPr>
              <w:jc w:val="center"/>
              <w:rPr>
                <w:rFonts w:hint="default" w:ascii="宋体" w:eastAsia="宋体"/>
                <w:snapToGrid/>
                <w:color w:val="auto"/>
                <w:sz w:val="21"/>
                <w:szCs w:val="21"/>
                <w:vertAlign w:val="baseline"/>
              </w:rPr>
            </w:pPr>
            <w:r>
              <w:rPr>
                <w:rFonts w:hint="default" w:ascii="宋体" w:eastAsia="宋体"/>
                <w:b/>
                <w:snapToGrid/>
                <w:color w:val="auto"/>
                <w:sz w:val="21"/>
                <w:szCs w:val="21"/>
                <w:vertAlign w:val="baseline"/>
              </w:rPr>
              <w:t>图2-1   变蛋生产线工艺流程及产污节点图</w:t>
            </w:r>
          </w:p>
          <w:p w14:paraId="1FB880BC">
            <w:pPr>
              <w:keepNext w:val="0"/>
              <w:keepLines w:val="0"/>
              <w:pageBreakBefore w:val="0"/>
              <w:widowControl w:val="0"/>
              <w:kinsoku/>
              <w:wordWrap/>
              <w:overflowPunct/>
              <w:topLinePunct w:val="0"/>
              <w:autoSpaceDE/>
              <w:autoSpaceDN/>
              <w:bidi w:val="0"/>
              <w:adjustRightInd/>
              <w:snapToGrid w:val="0"/>
              <w:spacing w:beforeLines="0" w:afterLines="0" w:line="360" w:lineRule="auto"/>
              <w:ind w:firstLine="482" w:firstLineChars="200"/>
              <w:jc w:val="left"/>
              <w:textAlignment w:val="auto"/>
              <w:rPr>
                <w:rFonts w:hint="default" w:ascii="宋体" w:eastAsia="宋体"/>
                <w:snapToGrid/>
                <w:color w:val="auto"/>
                <w:sz w:val="24"/>
                <w:szCs w:val="24"/>
                <w:vertAlign w:val="baseline"/>
              </w:rPr>
            </w:pPr>
            <w:r>
              <w:rPr>
                <w:rFonts w:hint="default" w:ascii="宋体" w:eastAsia="宋体"/>
                <w:b/>
                <w:snapToGrid/>
                <w:color w:val="auto"/>
                <w:sz w:val="24"/>
                <w:szCs w:val="24"/>
                <w:vertAlign w:val="baseline"/>
              </w:rPr>
              <w:t>选蛋分级：</w:t>
            </w:r>
            <w:r>
              <w:rPr>
                <w:rFonts w:hint="default" w:ascii="宋体" w:eastAsia="宋体"/>
                <w:snapToGrid/>
                <w:color w:val="auto"/>
                <w:sz w:val="24"/>
                <w:szCs w:val="24"/>
                <w:vertAlign w:val="baseline"/>
              </w:rPr>
              <w:t>将外购的鲜鸡蛋通过选蛋机光检，光学检测系统根据蛋的形状、大小、颜色等特征进行检测，并将检测结果传递给控制系统，控制系统根据检测结果控制传动系统和输送带的动作，将符合要求的蛋传递到指定的位置。此过程会产生不合格的鸡蛋。</w:t>
            </w:r>
          </w:p>
          <w:p w14:paraId="754C0B91">
            <w:pPr>
              <w:keepNext w:val="0"/>
              <w:keepLines w:val="0"/>
              <w:pageBreakBefore w:val="0"/>
              <w:widowControl w:val="0"/>
              <w:kinsoku/>
              <w:wordWrap/>
              <w:overflowPunct/>
              <w:topLinePunct w:val="0"/>
              <w:autoSpaceDE/>
              <w:autoSpaceDN/>
              <w:bidi w:val="0"/>
              <w:adjustRightInd/>
              <w:snapToGrid w:val="0"/>
              <w:spacing w:beforeLines="0" w:afterLines="0" w:line="360" w:lineRule="auto"/>
              <w:ind w:firstLine="482" w:firstLineChars="200"/>
              <w:jc w:val="left"/>
              <w:textAlignment w:val="auto"/>
              <w:rPr>
                <w:rFonts w:hint="default" w:ascii="宋体" w:eastAsia="宋体"/>
                <w:snapToGrid/>
                <w:color w:val="auto"/>
                <w:sz w:val="24"/>
                <w:szCs w:val="24"/>
                <w:vertAlign w:val="baseline"/>
              </w:rPr>
            </w:pPr>
            <w:r>
              <w:rPr>
                <w:rFonts w:hint="default" w:ascii="宋体" w:eastAsia="宋体"/>
                <w:b/>
                <w:snapToGrid/>
                <w:color w:val="auto"/>
                <w:sz w:val="24"/>
                <w:szCs w:val="24"/>
                <w:vertAlign w:val="baseline"/>
              </w:rPr>
              <w:t>配料腌制：</w:t>
            </w:r>
            <w:r>
              <w:rPr>
                <w:rFonts w:hint="default" w:ascii="宋体" w:eastAsia="宋体"/>
                <w:snapToGrid/>
                <w:color w:val="auto"/>
                <w:sz w:val="24"/>
                <w:szCs w:val="24"/>
                <w:vertAlign w:val="baseline"/>
              </w:rPr>
              <w:t>泥浆需通过黄泥：水：食用盐按4:10:3比例混合搅拌。得到腌制鸡蛋的泥浆，用变蛋生产线的裹泥机将需要腌制的鸡蛋裹上腌泥浆，常温状态下腌制7天。</w:t>
            </w:r>
          </w:p>
          <w:p w14:paraId="74479A78">
            <w:pPr>
              <w:keepNext w:val="0"/>
              <w:keepLines w:val="0"/>
              <w:pageBreakBefore w:val="0"/>
              <w:widowControl w:val="0"/>
              <w:kinsoku/>
              <w:wordWrap/>
              <w:overflowPunct/>
              <w:topLinePunct w:val="0"/>
              <w:autoSpaceDE/>
              <w:autoSpaceDN/>
              <w:bidi w:val="0"/>
              <w:adjustRightInd/>
              <w:snapToGrid w:val="0"/>
              <w:spacing w:beforeLines="0" w:afterLines="0" w:line="360" w:lineRule="auto"/>
              <w:ind w:firstLine="482" w:firstLineChars="200"/>
              <w:jc w:val="left"/>
              <w:textAlignment w:val="auto"/>
              <w:rPr>
                <w:rFonts w:hint="default" w:ascii="宋体" w:eastAsia="宋体"/>
                <w:snapToGrid/>
                <w:color w:val="auto"/>
                <w:sz w:val="24"/>
                <w:szCs w:val="24"/>
                <w:vertAlign w:val="baseline"/>
              </w:rPr>
            </w:pPr>
            <w:r>
              <w:rPr>
                <w:rFonts w:hint="default" w:ascii="宋体" w:eastAsia="宋体"/>
                <w:b/>
                <w:snapToGrid/>
                <w:color w:val="auto"/>
                <w:sz w:val="24"/>
                <w:szCs w:val="24"/>
                <w:vertAlign w:val="baseline"/>
              </w:rPr>
              <w:t>晾晒：</w:t>
            </w:r>
            <w:r>
              <w:rPr>
                <w:rFonts w:hint="default" w:ascii="宋体" w:eastAsia="宋体"/>
                <w:snapToGrid/>
                <w:color w:val="auto"/>
                <w:sz w:val="24"/>
                <w:szCs w:val="24"/>
                <w:vertAlign w:val="baseline"/>
              </w:rPr>
              <w:t>晾晒3-5天，晾晒过程中需避免太阳光直射和保持通风。</w:t>
            </w:r>
          </w:p>
          <w:p w14:paraId="1C735D5B">
            <w:pPr>
              <w:keepNext w:val="0"/>
              <w:keepLines w:val="0"/>
              <w:pageBreakBefore w:val="0"/>
              <w:widowControl w:val="0"/>
              <w:kinsoku/>
              <w:wordWrap/>
              <w:overflowPunct/>
              <w:topLinePunct w:val="0"/>
              <w:autoSpaceDE/>
              <w:autoSpaceDN/>
              <w:bidi w:val="0"/>
              <w:adjustRightInd/>
              <w:snapToGrid w:val="0"/>
              <w:spacing w:beforeLines="0" w:afterLines="0" w:line="360" w:lineRule="auto"/>
              <w:ind w:firstLine="482" w:firstLineChars="200"/>
              <w:jc w:val="left"/>
              <w:textAlignment w:val="auto"/>
              <w:rPr>
                <w:rFonts w:hint="default" w:ascii="宋体" w:eastAsia="宋体"/>
                <w:snapToGrid/>
                <w:color w:val="auto"/>
                <w:sz w:val="24"/>
                <w:szCs w:val="24"/>
                <w:vertAlign w:val="baseline"/>
              </w:rPr>
            </w:pPr>
            <w:r>
              <w:rPr>
                <w:rFonts w:hint="default" w:ascii="宋体" w:eastAsia="宋体"/>
                <w:b/>
                <w:snapToGrid/>
                <w:color w:val="auto"/>
                <w:sz w:val="24"/>
                <w:szCs w:val="24"/>
                <w:vertAlign w:val="baseline"/>
              </w:rPr>
              <w:t>包装：</w:t>
            </w:r>
            <w:r>
              <w:rPr>
                <w:rFonts w:hint="default" w:ascii="宋体" w:eastAsia="宋体"/>
                <w:snapToGrid/>
                <w:color w:val="auto"/>
                <w:sz w:val="24"/>
                <w:szCs w:val="24"/>
                <w:vertAlign w:val="baseline"/>
              </w:rPr>
              <w:t>不需清洗，直接用打包机打包。</w:t>
            </w:r>
          </w:p>
          <w:p w14:paraId="3D7BFD0B">
            <w:pPr>
              <w:keepNext w:val="0"/>
              <w:keepLines w:val="0"/>
              <w:pageBreakBefore w:val="0"/>
              <w:widowControl w:val="0"/>
              <w:kinsoku/>
              <w:wordWrap/>
              <w:overflowPunct/>
              <w:topLinePunct w:val="0"/>
              <w:autoSpaceDE/>
              <w:autoSpaceDN/>
              <w:bidi w:val="0"/>
              <w:adjustRightInd/>
              <w:snapToGrid w:val="0"/>
              <w:spacing w:beforeLines="0" w:afterLines="0" w:line="360" w:lineRule="auto"/>
              <w:ind w:firstLine="482" w:firstLineChars="200"/>
              <w:jc w:val="left"/>
              <w:textAlignment w:val="auto"/>
              <w:rPr>
                <w:rFonts w:hint="default" w:ascii="宋体" w:eastAsia="宋体"/>
                <w:snapToGrid/>
                <w:color w:val="auto"/>
                <w:sz w:val="24"/>
                <w:szCs w:val="24"/>
                <w:vertAlign w:val="baseline"/>
              </w:rPr>
            </w:pPr>
            <w:r>
              <w:rPr>
                <w:rFonts w:hint="default" w:ascii="宋体" w:eastAsia="宋体"/>
                <w:b/>
                <w:snapToGrid/>
                <w:color w:val="auto"/>
                <w:sz w:val="24"/>
                <w:szCs w:val="24"/>
                <w:vertAlign w:val="baseline"/>
              </w:rPr>
              <w:t>成品检验：</w:t>
            </w:r>
            <w:r>
              <w:rPr>
                <w:rFonts w:hint="default" w:ascii="宋体" w:eastAsia="宋体"/>
                <w:snapToGrid/>
                <w:color w:val="auto"/>
                <w:sz w:val="24"/>
                <w:szCs w:val="24"/>
                <w:vertAlign w:val="baseline"/>
              </w:rPr>
              <w:t>将打包好的成品进行检验，主要检验是否是破损蛋。此过程会产生不合格的鸡蛋。</w:t>
            </w:r>
          </w:p>
          <w:p w14:paraId="4F3EAF32">
            <w:pPr>
              <w:keepNext w:val="0"/>
              <w:keepLines w:val="0"/>
              <w:pageBreakBefore w:val="0"/>
              <w:widowControl w:val="0"/>
              <w:kinsoku/>
              <w:wordWrap/>
              <w:overflowPunct/>
              <w:topLinePunct w:val="0"/>
              <w:autoSpaceDE/>
              <w:autoSpaceDN/>
              <w:bidi w:val="0"/>
              <w:adjustRightInd/>
              <w:snapToGrid w:val="0"/>
              <w:spacing w:beforeLines="0" w:afterLines="0" w:line="360" w:lineRule="auto"/>
              <w:ind w:firstLine="482" w:firstLineChars="200"/>
              <w:jc w:val="left"/>
              <w:textAlignment w:val="auto"/>
              <w:rPr>
                <w:rFonts w:hint="default" w:ascii="宋体" w:eastAsia="宋体"/>
                <w:snapToGrid/>
                <w:color w:val="auto"/>
                <w:sz w:val="24"/>
                <w:szCs w:val="24"/>
                <w:vertAlign w:val="baseline"/>
              </w:rPr>
            </w:pPr>
            <w:r>
              <w:rPr>
                <w:rFonts w:hint="default" w:ascii="宋体" w:eastAsia="宋体"/>
                <w:b/>
                <w:snapToGrid/>
                <w:color w:val="auto"/>
                <w:sz w:val="24"/>
                <w:szCs w:val="24"/>
                <w:vertAlign w:val="baseline"/>
              </w:rPr>
              <w:t>成品入库：</w:t>
            </w:r>
            <w:r>
              <w:rPr>
                <w:rFonts w:hint="default" w:ascii="宋体" w:eastAsia="宋体"/>
                <w:snapToGrid/>
                <w:color w:val="auto"/>
                <w:sz w:val="24"/>
                <w:szCs w:val="24"/>
                <w:vertAlign w:val="baseline"/>
              </w:rPr>
              <w:t>检验合格的成品入库，待销售。</w:t>
            </w:r>
          </w:p>
          <w:p w14:paraId="741DC645">
            <w:pPr>
              <w:pStyle w:val="2"/>
              <w:overflowPunct w:val="0"/>
              <w:spacing w:after="0" w:line="360" w:lineRule="auto"/>
              <w:ind w:firstLine="420" w:firstLineChars="200"/>
              <w:rPr>
                <w:color w:val="auto"/>
                <w:vertAlign w:val="baseline"/>
              </w:rPr>
            </w:pPr>
            <w:r>
              <w:rPr>
                <w:color w:val="auto"/>
                <w:vertAlign w:val="baseline"/>
              </w:rPr>
              <w:object>
                <v:shape id="_x0000_i1026" o:spt="75" type="#_x0000_t75" style="height:66.6pt;width:406.8pt;" o:ole="t" filled="f" o:preferrelative="t" stroked="f" coordsize="21600,21600">
                  <v:path/>
                  <v:fill on="f" focussize="0,0"/>
                  <v:stroke on="f"/>
                  <v:imagedata r:id="rId10" o:title=""/>
                  <o:lock v:ext="edit" aspectratio="f"/>
                  <w10:wrap type="none"/>
                  <w10:anchorlock/>
                </v:shape>
                <o:OLEObject Type="Embed" ProgID="Visio.Drawing.11" ShapeID="_x0000_i1026" DrawAspect="Content" ObjectID="_1468075726" r:id="rId9">
                  <o:LockedField>false</o:LockedField>
                </o:OLEObject>
              </w:object>
            </w:r>
          </w:p>
          <w:p w14:paraId="5D6A6F24">
            <w:pPr>
              <w:pStyle w:val="2"/>
              <w:overflowPunct w:val="0"/>
              <w:spacing w:after="0" w:line="360" w:lineRule="auto"/>
              <w:jc w:val="right"/>
              <w:rPr>
                <w:rFonts w:hint="default"/>
                <w:color w:val="auto"/>
                <w:vertAlign w:val="baseline"/>
                <w:lang w:val="en-US" w:eastAsia="zh-CN"/>
              </w:rPr>
            </w:pPr>
            <w:r>
              <w:rPr>
                <w:rFonts w:hint="default"/>
                <w:color w:val="auto"/>
                <w:vertAlign w:val="baseline"/>
                <w:lang w:val="en-US" w:eastAsia="zh-CN"/>
              </w:rPr>
              <w:t>S：固废</w:t>
            </w:r>
          </w:p>
          <w:p w14:paraId="2C03AE95">
            <w:pPr>
              <w:pStyle w:val="2"/>
              <w:overflowPunct w:val="0"/>
              <w:spacing w:after="0" w:line="360" w:lineRule="auto"/>
              <w:jc w:val="center"/>
              <w:rPr>
                <w:rFonts w:hint="default"/>
                <w:color w:val="auto"/>
                <w:vertAlign w:val="baseline"/>
                <w:lang w:val="en-US" w:eastAsia="zh-CN"/>
              </w:rPr>
            </w:pPr>
            <w:r>
              <w:rPr>
                <w:rFonts w:hint="default"/>
                <w:b/>
                <w:bCs/>
                <w:color w:val="auto"/>
                <w:vertAlign w:val="baseline"/>
                <w:lang w:val="en-US" w:eastAsia="zh-CN"/>
              </w:rPr>
              <w:t>图2-</w:t>
            </w:r>
            <w:r>
              <w:rPr>
                <w:rFonts w:hint="eastAsia"/>
                <w:b/>
                <w:bCs/>
                <w:color w:val="auto"/>
                <w:vertAlign w:val="baseline"/>
                <w:lang w:val="en-US" w:eastAsia="zh-CN"/>
              </w:rPr>
              <w:t>2</w:t>
            </w:r>
            <w:r>
              <w:rPr>
                <w:rFonts w:hint="default"/>
                <w:b/>
                <w:bCs/>
                <w:color w:val="auto"/>
                <w:vertAlign w:val="baseline"/>
                <w:lang w:val="en-US" w:eastAsia="zh-CN"/>
              </w:rPr>
              <w:t xml:space="preserve">   松花蛋生产线工艺流程及产污节点图</w:t>
            </w:r>
          </w:p>
          <w:p w14:paraId="608AA151">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选蛋分级：</w:t>
            </w:r>
            <w:r>
              <w:rPr>
                <w:rFonts w:hint="default" w:ascii="宋体" w:hAnsi="Times New Roman" w:eastAsia="宋体" w:cs="Times New Roman"/>
                <w:snapToGrid/>
                <w:color w:val="auto"/>
                <w:kern w:val="2"/>
                <w:sz w:val="24"/>
                <w:szCs w:val="24"/>
                <w:vertAlign w:val="baseline"/>
                <w:lang w:val="en-US" w:eastAsia="zh-CN" w:bidi="ar-SA"/>
              </w:rPr>
              <w:t>将外购的鲜鸭蛋通过</w:t>
            </w:r>
            <w:r>
              <w:rPr>
                <w:rFonts w:hint="eastAsia" w:ascii="宋体" w:hAnsi="Times New Roman" w:eastAsia="宋体" w:cs="Times New Roman"/>
                <w:snapToGrid/>
                <w:color w:val="auto"/>
                <w:kern w:val="2"/>
                <w:sz w:val="24"/>
                <w:szCs w:val="24"/>
                <w:vertAlign w:val="baseline"/>
                <w:lang w:val="en-US" w:eastAsia="zh-CN" w:bidi="ar-SA"/>
              </w:rPr>
              <w:t>松花蛋生产线中清洗池清洗，</w:t>
            </w:r>
            <w:r>
              <w:rPr>
                <w:rFonts w:hint="default" w:ascii="宋体" w:hAnsi="Times New Roman" w:eastAsia="宋体" w:cs="Times New Roman"/>
                <w:snapToGrid/>
                <w:color w:val="auto"/>
                <w:kern w:val="2"/>
                <w:sz w:val="24"/>
                <w:szCs w:val="24"/>
                <w:vertAlign w:val="baseline"/>
                <w:lang w:val="en-US" w:eastAsia="zh-CN" w:bidi="ar-SA"/>
              </w:rPr>
              <w:t>选蛋机光检，光学检测系统根据蛋的形状、大小、颜色等特征进行检测，并将检测结果传递给控制系统，控制系统根据检测结果控制传动系统和输送带的动作，将符合要求的蛋传递到指定的位置。此过程会产生不合格的鸭蛋</w:t>
            </w:r>
            <w:r>
              <w:rPr>
                <w:rFonts w:hint="eastAsia" w:ascii="宋体" w:hAnsi="Times New Roman" w:eastAsia="宋体" w:cs="Times New Roman"/>
                <w:snapToGrid/>
                <w:color w:val="auto"/>
                <w:kern w:val="2"/>
                <w:sz w:val="24"/>
                <w:szCs w:val="24"/>
                <w:vertAlign w:val="baseline"/>
                <w:lang w:val="en-US" w:eastAsia="zh-CN" w:bidi="ar-SA"/>
              </w:rPr>
              <w:t>和鸭蛋清洗废水</w:t>
            </w:r>
            <w:r>
              <w:rPr>
                <w:rFonts w:hint="default" w:ascii="宋体" w:hAnsi="Times New Roman" w:eastAsia="宋体" w:cs="Times New Roman"/>
                <w:snapToGrid/>
                <w:color w:val="auto"/>
                <w:kern w:val="2"/>
                <w:sz w:val="24"/>
                <w:szCs w:val="24"/>
                <w:vertAlign w:val="baseline"/>
                <w:lang w:val="en-US" w:eastAsia="zh-CN" w:bidi="ar-SA"/>
              </w:rPr>
              <w:t>。</w:t>
            </w:r>
          </w:p>
          <w:p w14:paraId="19DF149A">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配料腌制：</w:t>
            </w:r>
            <w:r>
              <w:rPr>
                <w:rFonts w:hint="default" w:ascii="宋体" w:hAnsi="Times New Roman" w:eastAsia="宋体" w:cs="Times New Roman"/>
                <w:snapToGrid/>
                <w:color w:val="auto"/>
                <w:kern w:val="2"/>
                <w:sz w:val="24"/>
                <w:szCs w:val="24"/>
                <w:vertAlign w:val="baseline"/>
                <w:lang w:val="en-US" w:eastAsia="zh-CN" w:bidi="ar-SA"/>
              </w:rPr>
              <w:t>腌液需通过片碱：食盐：加工助剂：水按15:10:1:250比例混合搅拌，得到腌制鸭蛋的腌液，在腌制桶中放入鸭蛋和腌液，腌液高出鸭蛋2cm，常温状态下腌制30-40天。</w:t>
            </w:r>
          </w:p>
          <w:p w14:paraId="03A2AE4B">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包装：</w:t>
            </w:r>
            <w:r>
              <w:rPr>
                <w:rFonts w:hint="default" w:ascii="宋体" w:hAnsi="Times New Roman" w:eastAsia="宋体" w:cs="Times New Roman"/>
                <w:snapToGrid/>
                <w:color w:val="auto"/>
                <w:kern w:val="2"/>
                <w:sz w:val="24"/>
                <w:szCs w:val="24"/>
                <w:vertAlign w:val="baseline"/>
                <w:lang w:val="en-US" w:eastAsia="zh-CN" w:bidi="ar-SA"/>
              </w:rPr>
              <w:t>不需清洗，直接用打包机打包。</w:t>
            </w:r>
          </w:p>
          <w:p w14:paraId="7688EAEF">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成品检验：</w:t>
            </w:r>
            <w:r>
              <w:rPr>
                <w:rFonts w:hint="default" w:ascii="宋体" w:hAnsi="Times New Roman" w:eastAsia="宋体" w:cs="Times New Roman"/>
                <w:snapToGrid/>
                <w:color w:val="auto"/>
                <w:kern w:val="2"/>
                <w:sz w:val="24"/>
                <w:szCs w:val="24"/>
                <w:vertAlign w:val="baseline"/>
                <w:lang w:val="en-US" w:eastAsia="zh-CN" w:bidi="ar-SA"/>
              </w:rPr>
              <w:t>将打包好的成品进行检验，主要检验是否是破损蛋。此过程会产生不合格的</w:t>
            </w:r>
            <w:r>
              <w:rPr>
                <w:rFonts w:hint="eastAsia" w:ascii="宋体" w:hAnsi="Times New Roman" w:eastAsia="宋体" w:cs="Times New Roman"/>
                <w:snapToGrid/>
                <w:color w:val="auto"/>
                <w:kern w:val="2"/>
                <w:sz w:val="24"/>
                <w:szCs w:val="24"/>
                <w:vertAlign w:val="baseline"/>
                <w:lang w:val="en-US" w:eastAsia="zh-CN" w:bidi="ar-SA"/>
              </w:rPr>
              <w:t>松花蛋</w:t>
            </w:r>
            <w:r>
              <w:rPr>
                <w:rFonts w:hint="default" w:ascii="宋体" w:hAnsi="Times New Roman" w:eastAsia="宋体" w:cs="Times New Roman"/>
                <w:snapToGrid/>
                <w:color w:val="auto"/>
                <w:kern w:val="2"/>
                <w:sz w:val="24"/>
                <w:szCs w:val="24"/>
                <w:vertAlign w:val="baseline"/>
                <w:lang w:val="en-US" w:eastAsia="zh-CN" w:bidi="ar-SA"/>
              </w:rPr>
              <w:t>。</w:t>
            </w:r>
          </w:p>
          <w:p w14:paraId="378448A2">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成品入库：</w:t>
            </w:r>
            <w:r>
              <w:rPr>
                <w:rFonts w:hint="default" w:ascii="宋体" w:hAnsi="Times New Roman" w:eastAsia="宋体" w:cs="Times New Roman"/>
                <w:snapToGrid/>
                <w:color w:val="auto"/>
                <w:kern w:val="2"/>
                <w:sz w:val="24"/>
                <w:szCs w:val="24"/>
                <w:vertAlign w:val="baseline"/>
                <w:lang w:val="en-US" w:eastAsia="zh-CN" w:bidi="ar-SA"/>
              </w:rPr>
              <w:t>检验合格的成品入库，待销售。</w:t>
            </w:r>
          </w:p>
          <w:p w14:paraId="425690B6">
            <w:pPr>
              <w:pStyle w:val="2"/>
              <w:overflowPunct w:val="0"/>
              <w:spacing w:after="0" w:line="360" w:lineRule="auto"/>
              <w:ind w:firstLine="480" w:firstLineChars="200"/>
              <w:rPr>
                <w:rFonts w:hint="default" w:ascii="宋体" w:hAnsi="Times New Roman" w:eastAsia="宋体" w:cs="Times New Roman"/>
                <w:snapToGrid/>
                <w:color w:val="auto"/>
                <w:kern w:val="2"/>
                <w:sz w:val="24"/>
                <w:szCs w:val="24"/>
                <w:vertAlign w:val="baseline"/>
                <w:lang w:val="en-US" w:eastAsia="zh-CN" w:bidi="ar-SA"/>
              </w:rPr>
            </w:pPr>
          </w:p>
          <w:p w14:paraId="3AC39D63">
            <w:pPr>
              <w:pStyle w:val="2"/>
              <w:overflowPunct w:val="0"/>
              <w:spacing w:after="0" w:line="360" w:lineRule="auto"/>
              <w:ind w:firstLine="480" w:firstLineChars="200"/>
              <w:rPr>
                <w:rFonts w:hint="default" w:ascii="宋体" w:hAnsi="Times New Roman" w:eastAsia="宋体" w:cs="Times New Roman"/>
                <w:snapToGrid/>
                <w:color w:val="auto"/>
                <w:kern w:val="2"/>
                <w:sz w:val="24"/>
                <w:szCs w:val="24"/>
                <w:vertAlign w:val="baseline"/>
                <w:lang w:val="en-US" w:eastAsia="zh-CN" w:bidi="ar-SA"/>
              </w:rPr>
            </w:pPr>
          </w:p>
          <w:p w14:paraId="4D153AD5">
            <w:pPr>
              <w:pStyle w:val="2"/>
              <w:overflowPunct w:val="0"/>
              <w:spacing w:after="0" w:line="360" w:lineRule="auto"/>
              <w:ind w:firstLine="480" w:firstLineChars="200"/>
              <w:rPr>
                <w:rFonts w:hint="default" w:ascii="宋体" w:hAnsi="Times New Roman" w:eastAsia="宋体" w:cs="Times New Roman"/>
                <w:snapToGrid/>
                <w:color w:val="auto"/>
                <w:kern w:val="2"/>
                <w:sz w:val="24"/>
                <w:szCs w:val="24"/>
                <w:vertAlign w:val="baseline"/>
                <w:lang w:val="en-US" w:eastAsia="zh-CN" w:bidi="ar-SA"/>
              </w:rPr>
            </w:pPr>
          </w:p>
          <w:p w14:paraId="716477F9">
            <w:pPr>
              <w:pStyle w:val="2"/>
              <w:overflowPunct w:val="0"/>
              <w:spacing w:after="0" w:line="360" w:lineRule="auto"/>
              <w:ind w:firstLine="480" w:firstLineChars="200"/>
              <w:rPr>
                <w:rFonts w:hint="default" w:ascii="宋体" w:hAnsi="Times New Roman" w:eastAsia="宋体" w:cs="Times New Roman"/>
                <w:snapToGrid/>
                <w:color w:val="auto"/>
                <w:kern w:val="2"/>
                <w:sz w:val="24"/>
                <w:szCs w:val="24"/>
                <w:vertAlign w:val="baseline"/>
                <w:lang w:val="en-US" w:eastAsia="zh-CN" w:bidi="ar-SA"/>
              </w:rPr>
            </w:pPr>
          </w:p>
          <w:p w14:paraId="1BFE7847">
            <w:pPr>
              <w:pStyle w:val="2"/>
              <w:overflowPunct w:val="0"/>
              <w:spacing w:after="0" w:line="360" w:lineRule="auto"/>
              <w:ind w:firstLine="480" w:firstLineChars="200"/>
              <w:rPr>
                <w:rFonts w:hint="default" w:ascii="宋体" w:hAnsi="Times New Roman" w:eastAsia="宋体" w:cs="Times New Roman"/>
                <w:snapToGrid/>
                <w:color w:val="auto"/>
                <w:kern w:val="2"/>
                <w:sz w:val="24"/>
                <w:szCs w:val="24"/>
                <w:vertAlign w:val="baseline"/>
                <w:lang w:val="en-US" w:eastAsia="zh-CN" w:bidi="ar-SA"/>
              </w:rPr>
            </w:pPr>
          </w:p>
          <w:p w14:paraId="702B46D4">
            <w:pPr>
              <w:pStyle w:val="2"/>
              <w:overflowPunct w:val="0"/>
              <w:spacing w:after="0" w:line="360" w:lineRule="auto"/>
              <w:jc w:val="center"/>
              <w:rPr>
                <w:rFonts w:hint="default" w:ascii="宋体" w:hAnsi="Times New Roman" w:eastAsia="宋体" w:cs="Times New Roman"/>
                <w:b/>
                <w:snapToGrid/>
                <w:color w:val="auto"/>
                <w:sz w:val="24"/>
                <w:szCs w:val="24"/>
                <w:vertAlign w:val="baseline"/>
              </w:rPr>
            </w:pPr>
            <w:r>
              <w:rPr>
                <w:rFonts w:hint="default" w:ascii="宋体" w:hAnsi="Times New Roman" w:eastAsia="宋体" w:cs="Times New Roman"/>
                <w:b/>
                <w:snapToGrid/>
                <w:color w:val="auto"/>
                <w:sz w:val="24"/>
                <w:szCs w:val="24"/>
                <w:vertAlign w:val="baseline"/>
              </w:rPr>
              <w:object>
                <v:shape id="_x0000_i1027" o:spt="75" type="#_x0000_t75" style="height:138.9pt;width:330.85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p>
          <w:p w14:paraId="71DD0C98">
            <w:pPr>
              <w:pStyle w:val="2"/>
              <w:overflowPunct w:val="0"/>
              <w:spacing w:after="0" w:line="360" w:lineRule="auto"/>
              <w:jc w:val="right"/>
              <w:rPr>
                <w:rFonts w:hint="default" w:ascii="宋体" w:hAnsi="Times New Roman" w:eastAsia="宋体" w:cs="Times New Roman"/>
                <w:b w:val="0"/>
                <w:bCs/>
                <w:snapToGrid/>
                <w:color w:val="auto"/>
                <w:sz w:val="21"/>
                <w:szCs w:val="21"/>
                <w:vertAlign w:val="baseline"/>
                <w:lang w:val="en-US" w:eastAsia="zh-CN"/>
              </w:rPr>
            </w:pPr>
            <w:r>
              <w:rPr>
                <w:rFonts w:hint="default" w:ascii="宋体" w:hAnsi="Times New Roman" w:eastAsia="宋体" w:cs="Times New Roman"/>
                <w:b w:val="0"/>
                <w:bCs/>
                <w:snapToGrid/>
                <w:color w:val="auto"/>
                <w:sz w:val="21"/>
                <w:szCs w:val="21"/>
                <w:vertAlign w:val="baseline"/>
                <w:lang w:val="en-US" w:eastAsia="zh-CN"/>
              </w:rPr>
              <w:t>G：废气；W：废水；S：固废</w:t>
            </w:r>
          </w:p>
          <w:p w14:paraId="2BF7DFD0">
            <w:pPr>
              <w:pStyle w:val="2"/>
              <w:overflowPunct w:val="0"/>
              <w:spacing w:after="0" w:line="360" w:lineRule="auto"/>
              <w:jc w:val="center"/>
              <w:rPr>
                <w:rFonts w:hint="default" w:ascii="宋体" w:hAnsi="Times New Roman" w:eastAsia="宋体" w:cs="Times New Roman"/>
                <w:b/>
                <w:snapToGrid/>
                <w:color w:val="auto"/>
                <w:sz w:val="21"/>
                <w:szCs w:val="21"/>
                <w:vertAlign w:val="baseline"/>
                <w:lang w:val="en-US" w:eastAsia="zh-CN"/>
              </w:rPr>
            </w:pPr>
            <w:r>
              <w:rPr>
                <w:rFonts w:hint="default" w:ascii="宋体" w:hAnsi="Times New Roman" w:eastAsia="宋体" w:cs="Times New Roman"/>
                <w:b/>
                <w:snapToGrid/>
                <w:color w:val="auto"/>
                <w:sz w:val="21"/>
                <w:szCs w:val="21"/>
                <w:vertAlign w:val="baseline"/>
                <w:lang w:val="en-US" w:eastAsia="zh-CN"/>
              </w:rPr>
              <w:t>图2-</w:t>
            </w:r>
            <w:r>
              <w:rPr>
                <w:rFonts w:hint="eastAsia" w:ascii="宋体" w:cs="Times New Roman"/>
                <w:b/>
                <w:snapToGrid/>
                <w:color w:val="auto"/>
                <w:sz w:val="21"/>
                <w:szCs w:val="21"/>
                <w:vertAlign w:val="baseline"/>
                <w:lang w:val="en-US" w:eastAsia="zh-CN"/>
              </w:rPr>
              <w:t>3</w:t>
            </w:r>
            <w:r>
              <w:rPr>
                <w:rFonts w:hint="default" w:ascii="宋体" w:hAnsi="Times New Roman" w:eastAsia="宋体" w:cs="Times New Roman"/>
                <w:b/>
                <w:snapToGrid/>
                <w:color w:val="auto"/>
                <w:sz w:val="21"/>
                <w:szCs w:val="21"/>
                <w:vertAlign w:val="baseline"/>
                <w:lang w:val="en-US" w:eastAsia="zh-CN"/>
              </w:rPr>
              <w:t xml:space="preserve">   粉丝生产线工艺流程及产污节点图</w:t>
            </w:r>
          </w:p>
          <w:p w14:paraId="15A222B3">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和浆：</w:t>
            </w:r>
            <w:r>
              <w:rPr>
                <w:rFonts w:hint="default" w:ascii="宋体" w:hAnsi="Times New Roman" w:eastAsia="宋体" w:cs="Times New Roman"/>
                <w:snapToGrid/>
                <w:color w:val="auto"/>
                <w:kern w:val="2"/>
                <w:sz w:val="24"/>
                <w:szCs w:val="24"/>
                <w:vertAlign w:val="baseline"/>
                <w:lang w:val="en-US" w:eastAsia="zh-CN" w:bidi="ar-SA"/>
              </w:rPr>
              <w:t>打开进水口，向红薯淀粉生产线的打浆机内部投入红薯淀粉、水、食盐，比例为1000:1000:1，启动搅拌装置，使物料在密闭和浆机内部混合均匀。和浆机为密闭设施，和浆过程无废气产生。由人工破袋投料，故此工程会产生配料粉尘和废包装材料。</w:t>
            </w:r>
          </w:p>
          <w:p w14:paraId="0F4FBE01">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成型：</w:t>
            </w:r>
            <w:r>
              <w:rPr>
                <w:rFonts w:hint="default" w:ascii="宋体" w:hAnsi="Times New Roman" w:eastAsia="宋体" w:cs="Times New Roman"/>
                <w:snapToGrid/>
                <w:color w:val="auto"/>
                <w:kern w:val="2"/>
                <w:sz w:val="24"/>
                <w:szCs w:val="24"/>
                <w:vertAlign w:val="baseline"/>
                <w:lang w:val="en-US" w:eastAsia="zh-CN" w:bidi="ar-SA"/>
              </w:rPr>
              <w:t>和好的浆液由流水线投至挤丝机进料口，挤丝机内部的浆液在蒸汽作用下熟化依靠水平螺杆作用，由挤丝机机头挤出成丝。此过程会产生蒸汽冷凝水。</w:t>
            </w:r>
          </w:p>
          <w:p w14:paraId="6F0519AD">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老化：</w:t>
            </w:r>
            <w:r>
              <w:rPr>
                <w:rFonts w:hint="default" w:ascii="宋体" w:hAnsi="Times New Roman" w:eastAsia="宋体" w:cs="Times New Roman"/>
                <w:snapToGrid/>
                <w:color w:val="auto"/>
                <w:kern w:val="2"/>
                <w:sz w:val="24"/>
                <w:szCs w:val="24"/>
                <w:vertAlign w:val="baseline"/>
                <w:lang w:val="en-US" w:eastAsia="zh-CN" w:bidi="ar-SA"/>
              </w:rPr>
              <w:t>通过老化机压缩冷风给挤出的粉丝降温已达到老化产品的效果。</w:t>
            </w:r>
          </w:p>
          <w:p w14:paraId="2EF40106">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冷却：</w:t>
            </w:r>
            <w:r>
              <w:rPr>
                <w:rFonts w:hint="default" w:ascii="宋体" w:hAnsi="Times New Roman" w:eastAsia="宋体" w:cs="Times New Roman"/>
                <w:snapToGrid/>
                <w:color w:val="auto"/>
                <w:kern w:val="2"/>
                <w:sz w:val="24"/>
                <w:szCs w:val="24"/>
                <w:vertAlign w:val="baseline"/>
                <w:lang w:val="en-US" w:eastAsia="zh-CN" w:bidi="ar-SA"/>
              </w:rPr>
              <w:t>放入冷库中冷藏90min，控制温度在0-5℃。</w:t>
            </w:r>
          </w:p>
          <w:p w14:paraId="529DA28B">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烘干：</w:t>
            </w:r>
            <w:r>
              <w:rPr>
                <w:rFonts w:hint="default" w:ascii="宋体" w:hAnsi="Times New Roman" w:eastAsia="宋体" w:cs="Times New Roman"/>
                <w:snapToGrid/>
                <w:color w:val="auto"/>
                <w:kern w:val="2"/>
                <w:sz w:val="24"/>
                <w:szCs w:val="24"/>
                <w:vertAlign w:val="baseline"/>
                <w:lang w:val="en-US" w:eastAsia="zh-CN" w:bidi="ar-SA"/>
              </w:rPr>
              <w:t>本项目采用蒸汽烘干方式，温度保持在115℃，干燥时间保持2h，烘干过程中,把干湿不匀的粉丝翻动一下,把粘连的粉丝分离开,使其水分干燥为9%,防止干燥过渡造成产品易折断。此过程会产生蒸汽冷凝水。</w:t>
            </w:r>
          </w:p>
          <w:p w14:paraId="162E1AB7">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切丝：</w:t>
            </w:r>
            <w:r>
              <w:rPr>
                <w:rFonts w:hint="default" w:ascii="宋体" w:hAnsi="Times New Roman" w:eastAsia="宋体" w:cs="Times New Roman"/>
                <w:snapToGrid/>
                <w:color w:val="auto"/>
                <w:kern w:val="2"/>
                <w:sz w:val="24"/>
                <w:szCs w:val="24"/>
                <w:vertAlign w:val="baseline"/>
                <w:lang w:val="en-US" w:eastAsia="zh-CN" w:bidi="ar-SA"/>
              </w:rPr>
              <w:t>将干燥后的粉丝直接切成22cm长的粉丝段，此过程会产生少量的碎粉丝，作为饲料销售。</w:t>
            </w:r>
          </w:p>
          <w:p w14:paraId="032D0202">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包装：</w:t>
            </w:r>
            <w:r>
              <w:rPr>
                <w:rFonts w:hint="default" w:ascii="宋体" w:hAnsi="Times New Roman" w:eastAsia="宋体" w:cs="Times New Roman"/>
                <w:snapToGrid/>
                <w:color w:val="auto"/>
                <w:kern w:val="2"/>
                <w:sz w:val="24"/>
                <w:szCs w:val="24"/>
                <w:vertAlign w:val="baseline"/>
                <w:lang w:val="en-US" w:eastAsia="zh-CN" w:bidi="ar-SA"/>
              </w:rPr>
              <w:t>将切丝后的粉丝进行打包。</w:t>
            </w:r>
          </w:p>
          <w:p w14:paraId="4E29C48F">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出厂检验：</w:t>
            </w:r>
            <w:r>
              <w:rPr>
                <w:rFonts w:hint="default" w:ascii="宋体" w:hAnsi="Times New Roman" w:eastAsia="宋体" w:cs="Times New Roman"/>
                <w:snapToGrid/>
                <w:color w:val="auto"/>
                <w:kern w:val="2"/>
                <w:sz w:val="24"/>
                <w:szCs w:val="24"/>
                <w:vertAlign w:val="baseline"/>
                <w:lang w:val="en-US" w:eastAsia="zh-CN" w:bidi="ar-SA"/>
              </w:rPr>
              <w:t>将包装后的粉丝进行出厂检验，此过程会产生不合格品，作为处理品销售。</w:t>
            </w:r>
          </w:p>
          <w:p w14:paraId="43A4CA4A">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成品入库：</w:t>
            </w:r>
            <w:r>
              <w:rPr>
                <w:rFonts w:hint="default" w:ascii="宋体" w:hAnsi="Times New Roman" w:eastAsia="宋体" w:cs="Times New Roman"/>
                <w:snapToGrid/>
                <w:color w:val="auto"/>
                <w:kern w:val="2"/>
                <w:sz w:val="24"/>
                <w:szCs w:val="24"/>
                <w:vertAlign w:val="baseline"/>
                <w:lang w:val="en-US" w:eastAsia="zh-CN" w:bidi="ar-SA"/>
              </w:rPr>
              <w:t>检验合格的成品入库，待销售。</w:t>
            </w:r>
          </w:p>
          <w:p w14:paraId="131D8BB8">
            <w:pPr>
              <w:pStyle w:val="2"/>
              <w:overflowPunct w:val="0"/>
              <w:spacing w:after="0" w:line="360" w:lineRule="auto"/>
              <w:jc w:val="center"/>
              <w:rPr>
                <w:rFonts w:hint="default" w:ascii="宋体" w:hAnsi="Times New Roman" w:eastAsia="宋体" w:cs="Times New Roman"/>
                <w:b/>
                <w:snapToGrid/>
                <w:color w:val="auto"/>
                <w:kern w:val="2"/>
                <w:sz w:val="24"/>
                <w:szCs w:val="24"/>
                <w:vertAlign w:val="baseline"/>
                <w:lang w:val="en-US" w:eastAsia="zh-CN" w:bidi="ar-SA"/>
              </w:rPr>
            </w:pPr>
            <w:r>
              <w:rPr>
                <w:rFonts w:hint="default" w:ascii="宋体" w:hAnsi="Times New Roman" w:eastAsia="宋体" w:cs="Times New Roman"/>
                <w:b/>
                <w:snapToGrid/>
                <w:color w:val="auto"/>
                <w:kern w:val="2"/>
                <w:sz w:val="24"/>
                <w:szCs w:val="24"/>
                <w:vertAlign w:val="baseline"/>
                <w:lang w:val="en-US" w:eastAsia="zh-CN" w:bidi="ar-SA"/>
              </w:rPr>
              <w:object>
                <v:shape id="_x0000_i1028" o:spt="75" type="#_x0000_t75" style="height:58.65pt;width:415.25pt;" o:ole="t" filled="f" o:preferrelative="t" stroked="f" coordsize="21600,21600">
                  <v:path/>
                  <v:fill on="f" focussize="0,0"/>
                  <v:stroke on="f"/>
                  <v:imagedata r:id="rId14" o:title=""/>
                  <o:lock v:ext="edit" aspectratio="f"/>
                  <w10:wrap type="none"/>
                  <w10:anchorlock/>
                </v:shape>
                <o:OLEObject Type="Embed" ProgID="Visio.Drawing.11" ShapeID="_x0000_i1028" DrawAspect="Content" ObjectID="_1468075728" r:id="rId13">
                  <o:LockedField>false</o:LockedField>
                </o:OLEObject>
              </w:object>
            </w:r>
          </w:p>
          <w:p w14:paraId="4ACFCF7F">
            <w:pPr>
              <w:pStyle w:val="2"/>
              <w:overflowPunct w:val="0"/>
              <w:spacing w:after="0" w:line="360" w:lineRule="auto"/>
              <w:jc w:val="right"/>
              <w:rPr>
                <w:rFonts w:hint="default" w:ascii="宋体" w:hAnsi="Times New Roman" w:eastAsia="宋体" w:cs="Times New Roman"/>
                <w:b w:val="0"/>
                <w:bCs/>
                <w:snapToGrid/>
                <w:color w:val="auto"/>
                <w:kern w:val="2"/>
                <w:sz w:val="21"/>
                <w:szCs w:val="21"/>
                <w:vertAlign w:val="baseline"/>
                <w:lang w:val="en-US" w:eastAsia="zh-CN" w:bidi="ar-SA"/>
              </w:rPr>
            </w:pPr>
            <w:r>
              <w:rPr>
                <w:rFonts w:hint="default" w:ascii="宋体" w:hAnsi="Times New Roman" w:eastAsia="宋体" w:cs="Times New Roman"/>
                <w:b w:val="0"/>
                <w:bCs/>
                <w:snapToGrid/>
                <w:color w:val="auto"/>
                <w:kern w:val="2"/>
                <w:sz w:val="21"/>
                <w:szCs w:val="21"/>
                <w:vertAlign w:val="baseline"/>
                <w:lang w:val="en-US" w:eastAsia="zh-CN" w:bidi="ar-SA"/>
              </w:rPr>
              <w:t>G：废气；S：固废</w:t>
            </w:r>
          </w:p>
          <w:p w14:paraId="1D82FE29">
            <w:pPr>
              <w:pStyle w:val="2"/>
              <w:overflowPunct w:val="0"/>
              <w:spacing w:after="0" w:line="360" w:lineRule="auto"/>
              <w:jc w:val="center"/>
              <w:rPr>
                <w:rFonts w:hint="default" w:ascii="宋体" w:hAnsi="Times New Roman" w:eastAsia="宋体" w:cs="Times New Roman"/>
                <w:b/>
                <w:snapToGrid/>
                <w:color w:val="auto"/>
                <w:kern w:val="2"/>
                <w:sz w:val="21"/>
                <w:szCs w:val="21"/>
                <w:vertAlign w:val="baseline"/>
                <w:lang w:val="en-US" w:eastAsia="zh-CN" w:bidi="ar-SA"/>
              </w:rPr>
            </w:pPr>
            <w:r>
              <w:rPr>
                <w:rFonts w:hint="default" w:ascii="宋体" w:hAnsi="Times New Roman" w:eastAsia="宋体" w:cs="Times New Roman"/>
                <w:b/>
                <w:snapToGrid/>
                <w:color w:val="auto"/>
                <w:kern w:val="2"/>
                <w:sz w:val="21"/>
                <w:szCs w:val="21"/>
                <w:vertAlign w:val="baseline"/>
                <w:lang w:val="en-US" w:eastAsia="zh-CN" w:bidi="ar-SA"/>
              </w:rPr>
              <w:t>图2-</w:t>
            </w:r>
            <w:r>
              <w:rPr>
                <w:rFonts w:hint="eastAsia" w:ascii="宋体" w:cs="Times New Roman"/>
                <w:b/>
                <w:snapToGrid/>
                <w:color w:val="auto"/>
                <w:kern w:val="2"/>
                <w:sz w:val="21"/>
                <w:szCs w:val="21"/>
                <w:vertAlign w:val="baseline"/>
                <w:lang w:val="en-US" w:eastAsia="zh-CN" w:bidi="ar-SA"/>
              </w:rPr>
              <w:t>4</w:t>
            </w:r>
            <w:r>
              <w:rPr>
                <w:rFonts w:hint="default" w:ascii="宋体" w:hAnsi="Times New Roman" w:eastAsia="宋体" w:cs="Times New Roman"/>
                <w:b/>
                <w:snapToGrid/>
                <w:color w:val="auto"/>
                <w:kern w:val="2"/>
                <w:sz w:val="21"/>
                <w:szCs w:val="21"/>
                <w:vertAlign w:val="baseline"/>
                <w:lang w:val="en-US" w:eastAsia="zh-CN" w:bidi="ar-SA"/>
              </w:rPr>
              <w:t xml:space="preserve">   炸豆皮和响铃卷生产线工艺流程及产污节点图</w:t>
            </w:r>
          </w:p>
          <w:p w14:paraId="03D662B7">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挑选：</w:t>
            </w:r>
            <w:r>
              <w:rPr>
                <w:rFonts w:hint="default" w:ascii="宋体" w:hAnsi="Times New Roman" w:eastAsia="宋体" w:cs="Times New Roman"/>
                <w:snapToGrid/>
                <w:color w:val="auto"/>
                <w:kern w:val="2"/>
                <w:sz w:val="24"/>
                <w:szCs w:val="24"/>
                <w:vertAlign w:val="baseline"/>
                <w:lang w:val="en-US" w:eastAsia="zh-CN" w:bidi="ar-SA"/>
              </w:rPr>
              <w:t>对外购的豆腐皮进行挑选，不合格品退回厂家。</w:t>
            </w:r>
          </w:p>
          <w:p w14:paraId="4AB0DF6E">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油炸：</w:t>
            </w:r>
            <w:r>
              <w:rPr>
                <w:rFonts w:hint="default" w:ascii="宋体" w:hAnsi="Times New Roman" w:eastAsia="宋体" w:cs="Times New Roman"/>
                <w:snapToGrid/>
                <w:color w:val="auto"/>
                <w:kern w:val="2"/>
                <w:sz w:val="24"/>
                <w:szCs w:val="24"/>
                <w:vertAlign w:val="baseline"/>
                <w:lang w:val="en-US" w:eastAsia="zh-CN" w:bidi="ar-SA"/>
              </w:rPr>
              <w:t>控制炸锅温度为120℃，将豆腐皮炸3-5s即可出锅。此过程会产生油渣，会有油炸油烟产生，同时换油会产生废油。</w:t>
            </w:r>
          </w:p>
          <w:p w14:paraId="4ADE1E27">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回潮：</w:t>
            </w:r>
            <w:r>
              <w:rPr>
                <w:rFonts w:hint="default" w:ascii="宋体" w:hAnsi="Times New Roman" w:eastAsia="宋体" w:cs="Times New Roman"/>
                <w:snapToGrid/>
                <w:color w:val="auto"/>
                <w:kern w:val="2"/>
                <w:sz w:val="24"/>
                <w:szCs w:val="24"/>
                <w:vertAlign w:val="baseline"/>
                <w:lang w:val="en-US" w:eastAsia="zh-CN" w:bidi="ar-SA"/>
              </w:rPr>
              <w:t>将炸好的豆腐皮回潮，控制湿度80-90%，观察豆腐皮变软即可。</w:t>
            </w:r>
          </w:p>
          <w:p w14:paraId="6ECE198B">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称重：</w:t>
            </w:r>
            <w:r>
              <w:rPr>
                <w:rFonts w:hint="default" w:ascii="宋体" w:hAnsi="Times New Roman" w:eastAsia="宋体" w:cs="Times New Roman"/>
                <w:snapToGrid/>
                <w:color w:val="auto"/>
                <w:kern w:val="2"/>
                <w:sz w:val="24"/>
                <w:szCs w:val="24"/>
                <w:vertAlign w:val="baseline"/>
                <w:lang w:val="en-US" w:eastAsia="zh-CN" w:bidi="ar-SA"/>
              </w:rPr>
              <w:t>将回潮后的豆腐皮称重，保证一根豆腐皮125g，一包10根。</w:t>
            </w:r>
          </w:p>
          <w:p w14:paraId="0C83DF37">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包装：</w:t>
            </w:r>
            <w:r>
              <w:rPr>
                <w:rFonts w:hint="eastAsia" w:ascii="宋体" w:cs="Times New Roman"/>
                <w:b w:val="0"/>
                <w:bCs w:val="0"/>
                <w:snapToGrid/>
                <w:color w:val="auto"/>
                <w:kern w:val="2"/>
                <w:sz w:val="24"/>
                <w:szCs w:val="24"/>
                <w:vertAlign w:val="baseline"/>
                <w:lang w:val="en-US" w:eastAsia="zh-CN" w:bidi="ar-SA"/>
              </w:rPr>
              <w:t>称重好的豆腐皮为炸豆皮，卷成圆形即为响铃卷，将其分类打包</w:t>
            </w:r>
            <w:r>
              <w:rPr>
                <w:rFonts w:hint="default" w:ascii="宋体" w:hAnsi="Times New Roman" w:eastAsia="宋体" w:cs="Times New Roman"/>
                <w:snapToGrid/>
                <w:color w:val="auto"/>
                <w:kern w:val="2"/>
                <w:sz w:val="24"/>
                <w:szCs w:val="24"/>
                <w:vertAlign w:val="baseline"/>
                <w:lang w:val="en-US" w:eastAsia="zh-CN" w:bidi="ar-SA"/>
              </w:rPr>
              <w:t>。</w:t>
            </w:r>
          </w:p>
          <w:p w14:paraId="4F233AE3">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出厂检验：</w:t>
            </w:r>
            <w:r>
              <w:rPr>
                <w:rFonts w:hint="default" w:ascii="宋体" w:hAnsi="Times New Roman" w:eastAsia="宋体" w:cs="Times New Roman"/>
                <w:snapToGrid/>
                <w:color w:val="auto"/>
                <w:kern w:val="2"/>
                <w:sz w:val="24"/>
                <w:szCs w:val="24"/>
                <w:vertAlign w:val="baseline"/>
                <w:lang w:val="en-US" w:eastAsia="zh-CN" w:bidi="ar-SA"/>
              </w:rPr>
              <w:t>将包装后的豆腐皮进行出厂检验，此过程会产生不合格品，作为处理品销售。</w:t>
            </w:r>
          </w:p>
          <w:p w14:paraId="79FA39B0">
            <w:pPr>
              <w:pStyle w:val="2"/>
              <w:overflowPunct w:val="0"/>
              <w:spacing w:after="0" w:line="360" w:lineRule="auto"/>
              <w:ind w:firstLine="482" w:firstLineChars="200"/>
              <w:rPr>
                <w:rFonts w:hint="default" w:ascii="宋体" w:hAnsi="Times New Roman" w:eastAsia="宋体" w:cs="Times New Roman"/>
                <w:snapToGrid/>
                <w:color w:val="auto"/>
                <w:kern w:val="2"/>
                <w:sz w:val="24"/>
                <w:szCs w:val="24"/>
                <w:vertAlign w:val="baseline"/>
                <w:lang w:val="en-US" w:eastAsia="zh-CN" w:bidi="ar-SA"/>
              </w:rPr>
            </w:pPr>
            <w:r>
              <w:rPr>
                <w:rFonts w:hint="default" w:ascii="宋体" w:hAnsi="Times New Roman" w:eastAsia="宋体" w:cs="Times New Roman"/>
                <w:b/>
                <w:bCs/>
                <w:snapToGrid/>
                <w:color w:val="auto"/>
                <w:kern w:val="2"/>
                <w:sz w:val="24"/>
                <w:szCs w:val="24"/>
                <w:vertAlign w:val="baseline"/>
                <w:lang w:val="en-US" w:eastAsia="zh-CN" w:bidi="ar-SA"/>
              </w:rPr>
              <w:t>成品入库：</w:t>
            </w:r>
            <w:r>
              <w:rPr>
                <w:rFonts w:hint="default" w:ascii="宋体" w:hAnsi="Times New Roman" w:eastAsia="宋体" w:cs="Times New Roman"/>
                <w:snapToGrid/>
                <w:color w:val="auto"/>
                <w:kern w:val="2"/>
                <w:sz w:val="24"/>
                <w:szCs w:val="24"/>
                <w:vertAlign w:val="baseline"/>
                <w:lang w:val="en-US" w:eastAsia="zh-CN" w:bidi="ar-SA"/>
              </w:rPr>
              <w:t>检验合格的成品入库，待销售。</w:t>
            </w:r>
          </w:p>
          <w:p w14:paraId="3DEDC15C">
            <w:pPr>
              <w:pStyle w:val="2"/>
              <w:overflowPunct w:val="0"/>
              <w:spacing w:after="0" w:line="360" w:lineRule="auto"/>
              <w:ind w:firstLine="482" w:firstLineChars="200"/>
              <w:rPr>
                <w:rFonts w:hint="eastAsia" w:eastAsia="宋体"/>
                <w:snapToGrid/>
                <w:color w:val="auto"/>
                <w:sz w:val="24"/>
                <w:szCs w:val="24"/>
                <w:vertAlign w:val="baseline"/>
                <w:lang w:eastAsia="zh-CN"/>
              </w:rPr>
            </w:pPr>
            <w:r>
              <w:rPr>
                <w:rFonts w:hint="eastAsia" w:eastAsia="宋体"/>
                <w:b/>
                <w:snapToGrid/>
                <w:color w:val="auto"/>
                <w:sz w:val="24"/>
                <w:szCs w:val="24"/>
                <w:vertAlign w:val="baseline"/>
              </w:rPr>
              <w:t>产污环节分析</w:t>
            </w:r>
            <w:r>
              <w:rPr>
                <w:rFonts w:hint="eastAsia" w:eastAsia="宋体"/>
                <w:b/>
                <w:snapToGrid/>
                <w:color w:val="auto"/>
                <w:sz w:val="24"/>
                <w:szCs w:val="24"/>
                <w:vertAlign w:val="baseline"/>
                <w:lang w:eastAsia="zh-CN"/>
              </w:rPr>
              <w:t>：</w:t>
            </w:r>
          </w:p>
          <w:p w14:paraId="5857110C">
            <w:pPr>
              <w:pStyle w:val="2"/>
              <w:overflowPunct w:val="0"/>
              <w:spacing w:after="0" w:line="360" w:lineRule="auto"/>
              <w:ind w:firstLine="480" w:firstLineChars="200"/>
              <w:rPr>
                <w:rFonts w:hint="eastAsia" w:eastAsia="宋体"/>
                <w:snapToGrid/>
                <w:color w:val="auto"/>
                <w:sz w:val="24"/>
                <w:szCs w:val="24"/>
                <w:vertAlign w:val="baseline"/>
                <w:lang w:eastAsia="zh-CN"/>
              </w:rPr>
            </w:pPr>
            <w:r>
              <w:rPr>
                <w:rFonts w:hint="eastAsia"/>
                <w:snapToGrid/>
                <w:color w:val="auto"/>
                <w:sz w:val="24"/>
                <w:szCs w:val="24"/>
                <w:vertAlign w:val="baseline"/>
                <w:lang w:eastAsia="zh-CN"/>
              </w:rPr>
              <w:t>（</w:t>
            </w:r>
            <w:r>
              <w:rPr>
                <w:rFonts w:hint="eastAsia"/>
                <w:snapToGrid/>
                <w:color w:val="auto"/>
                <w:sz w:val="24"/>
                <w:szCs w:val="24"/>
                <w:vertAlign w:val="baseline"/>
                <w:lang w:val="en-US" w:eastAsia="zh-CN"/>
              </w:rPr>
              <w:t>1</w:t>
            </w:r>
            <w:r>
              <w:rPr>
                <w:rFonts w:hint="eastAsia"/>
                <w:snapToGrid/>
                <w:color w:val="auto"/>
                <w:sz w:val="24"/>
                <w:szCs w:val="24"/>
                <w:vertAlign w:val="baseline"/>
                <w:lang w:eastAsia="zh-CN"/>
              </w:rPr>
              <w:t>）</w:t>
            </w:r>
            <w:r>
              <w:rPr>
                <w:rFonts w:hint="eastAsia" w:eastAsia="宋体"/>
                <w:snapToGrid/>
                <w:color w:val="auto"/>
                <w:sz w:val="24"/>
                <w:szCs w:val="24"/>
                <w:vertAlign w:val="baseline"/>
                <w:lang w:eastAsia="zh-CN"/>
              </w:rPr>
              <w:t>废气：配料粉尘、</w:t>
            </w:r>
            <w:r>
              <w:rPr>
                <w:rFonts w:hint="eastAsia"/>
                <w:snapToGrid/>
                <w:color w:val="auto"/>
                <w:sz w:val="24"/>
                <w:szCs w:val="24"/>
                <w:vertAlign w:val="baseline"/>
                <w:lang w:eastAsia="zh-CN"/>
              </w:rPr>
              <w:t>油炸油烟、</w:t>
            </w:r>
            <w:r>
              <w:rPr>
                <w:rFonts w:hint="eastAsia" w:eastAsia="宋体"/>
                <w:snapToGrid/>
                <w:color w:val="auto"/>
                <w:sz w:val="24"/>
                <w:szCs w:val="24"/>
                <w:vertAlign w:val="baseline"/>
                <w:lang w:eastAsia="zh-CN"/>
              </w:rPr>
              <w:t>食堂油烟</w:t>
            </w:r>
            <w:r>
              <w:rPr>
                <w:rFonts w:hint="eastAsia"/>
                <w:snapToGrid/>
                <w:color w:val="auto"/>
                <w:sz w:val="24"/>
                <w:szCs w:val="24"/>
                <w:vertAlign w:val="baseline"/>
                <w:lang w:eastAsia="zh-CN"/>
              </w:rPr>
              <w:t>、</w:t>
            </w:r>
            <w:r>
              <w:rPr>
                <w:rFonts w:hint="eastAsia"/>
                <w:snapToGrid/>
                <w:color w:val="auto"/>
                <w:sz w:val="24"/>
                <w:szCs w:val="24"/>
                <w:vertAlign w:val="baseline"/>
                <w:lang w:val="en-US" w:eastAsia="zh-CN"/>
              </w:rPr>
              <w:t>污水</w:t>
            </w:r>
            <w:r>
              <w:rPr>
                <w:rFonts w:hint="eastAsia" w:eastAsia="宋体"/>
                <w:snapToGrid/>
                <w:color w:val="auto"/>
                <w:sz w:val="24"/>
                <w:szCs w:val="24"/>
                <w:vertAlign w:val="baseline"/>
                <w:lang w:eastAsia="zh-CN"/>
              </w:rPr>
              <w:t>处理站废气。</w:t>
            </w:r>
          </w:p>
          <w:p w14:paraId="043C3177">
            <w:pPr>
              <w:pStyle w:val="2"/>
              <w:overflowPunct w:val="0"/>
              <w:spacing w:after="0" w:line="360" w:lineRule="auto"/>
              <w:ind w:firstLine="480" w:firstLineChars="200"/>
              <w:rPr>
                <w:rFonts w:hint="eastAsia" w:eastAsia="宋体"/>
                <w:snapToGrid/>
                <w:color w:val="auto"/>
                <w:sz w:val="24"/>
                <w:szCs w:val="24"/>
                <w:vertAlign w:val="baseline"/>
                <w:lang w:eastAsia="zh-CN"/>
              </w:rPr>
            </w:pPr>
            <w:r>
              <w:rPr>
                <w:rFonts w:hint="eastAsia"/>
                <w:snapToGrid/>
                <w:color w:val="auto"/>
                <w:sz w:val="24"/>
                <w:szCs w:val="24"/>
                <w:vertAlign w:val="baseline"/>
                <w:lang w:eastAsia="zh-CN"/>
              </w:rPr>
              <w:t>（</w:t>
            </w:r>
            <w:r>
              <w:rPr>
                <w:rFonts w:hint="eastAsia"/>
                <w:snapToGrid/>
                <w:color w:val="auto"/>
                <w:sz w:val="24"/>
                <w:szCs w:val="24"/>
                <w:vertAlign w:val="baseline"/>
                <w:lang w:val="en-US" w:eastAsia="zh-CN"/>
              </w:rPr>
              <w:t>2</w:t>
            </w:r>
            <w:r>
              <w:rPr>
                <w:rFonts w:hint="eastAsia"/>
                <w:snapToGrid/>
                <w:color w:val="auto"/>
                <w:sz w:val="24"/>
                <w:szCs w:val="24"/>
                <w:vertAlign w:val="baseline"/>
                <w:lang w:eastAsia="zh-CN"/>
              </w:rPr>
              <w:t>）</w:t>
            </w:r>
            <w:r>
              <w:rPr>
                <w:rFonts w:hint="eastAsia" w:eastAsia="宋体"/>
                <w:snapToGrid/>
                <w:color w:val="auto"/>
                <w:sz w:val="24"/>
                <w:szCs w:val="24"/>
                <w:vertAlign w:val="baseline"/>
                <w:lang w:eastAsia="zh-CN"/>
              </w:rPr>
              <w:t>废水：项目废水为生活污水、</w:t>
            </w:r>
            <w:r>
              <w:rPr>
                <w:rFonts w:hint="eastAsia"/>
                <w:snapToGrid/>
                <w:color w:val="auto"/>
                <w:sz w:val="24"/>
                <w:szCs w:val="24"/>
                <w:vertAlign w:val="baseline"/>
                <w:lang w:val="en-US" w:eastAsia="zh-CN"/>
              </w:rPr>
              <w:t>鸭蛋清洗废水</w:t>
            </w:r>
            <w:r>
              <w:rPr>
                <w:rFonts w:hint="eastAsia"/>
                <w:snapToGrid/>
                <w:color w:val="auto"/>
                <w:sz w:val="24"/>
                <w:szCs w:val="24"/>
                <w:vertAlign w:val="baseline"/>
                <w:lang w:eastAsia="zh-CN"/>
              </w:rPr>
              <w:t>、</w:t>
            </w:r>
            <w:r>
              <w:rPr>
                <w:rFonts w:hint="eastAsia" w:eastAsia="宋体"/>
                <w:snapToGrid/>
                <w:color w:val="auto"/>
                <w:sz w:val="24"/>
                <w:szCs w:val="24"/>
                <w:vertAlign w:val="baseline"/>
                <w:lang w:eastAsia="zh-CN"/>
              </w:rPr>
              <w:t>设备清洗水</w:t>
            </w:r>
            <w:r>
              <w:rPr>
                <w:rFonts w:hint="eastAsia"/>
                <w:snapToGrid/>
                <w:color w:val="auto"/>
                <w:sz w:val="24"/>
                <w:szCs w:val="24"/>
                <w:vertAlign w:val="baseline"/>
                <w:lang w:eastAsia="zh-CN"/>
              </w:rPr>
              <w:t>、</w:t>
            </w:r>
            <w:r>
              <w:rPr>
                <w:rFonts w:hint="eastAsia" w:eastAsia="宋体"/>
                <w:snapToGrid/>
                <w:color w:val="auto"/>
                <w:sz w:val="24"/>
                <w:szCs w:val="24"/>
                <w:vertAlign w:val="baseline"/>
                <w:lang w:eastAsia="zh-CN"/>
              </w:rPr>
              <w:t>制软水废水</w:t>
            </w:r>
            <w:r>
              <w:rPr>
                <w:rFonts w:hint="eastAsia"/>
                <w:snapToGrid/>
                <w:color w:val="auto"/>
                <w:sz w:val="24"/>
                <w:szCs w:val="24"/>
                <w:vertAlign w:val="baseline"/>
                <w:lang w:eastAsia="zh-CN"/>
              </w:rPr>
              <w:t>、</w:t>
            </w:r>
            <w:r>
              <w:rPr>
                <w:rFonts w:hint="eastAsia" w:eastAsia="宋体"/>
                <w:snapToGrid/>
                <w:color w:val="auto"/>
                <w:sz w:val="24"/>
                <w:szCs w:val="24"/>
                <w:vertAlign w:val="baseline"/>
                <w:lang w:eastAsia="zh-CN"/>
              </w:rPr>
              <w:t>地面清洗用水。</w:t>
            </w:r>
          </w:p>
          <w:p w14:paraId="42F071FB">
            <w:pPr>
              <w:pStyle w:val="2"/>
              <w:overflowPunct w:val="0"/>
              <w:spacing w:after="0" w:line="360" w:lineRule="auto"/>
              <w:ind w:firstLine="480" w:firstLineChars="200"/>
              <w:rPr>
                <w:rFonts w:hint="eastAsia" w:eastAsia="宋体"/>
                <w:snapToGrid/>
                <w:color w:val="auto"/>
                <w:sz w:val="24"/>
                <w:szCs w:val="24"/>
                <w:vertAlign w:val="baseline"/>
                <w:lang w:eastAsia="zh-CN"/>
              </w:rPr>
            </w:pPr>
            <w:r>
              <w:rPr>
                <w:rFonts w:hint="eastAsia"/>
                <w:snapToGrid/>
                <w:color w:val="auto"/>
                <w:sz w:val="24"/>
                <w:szCs w:val="24"/>
                <w:vertAlign w:val="baseline"/>
                <w:lang w:eastAsia="zh-CN"/>
              </w:rPr>
              <w:t>（</w:t>
            </w:r>
            <w:r>
              <w:rPr>
                <w:rFonts w:hint="eastAsia"/>
                <w:snapToGrid/>
                <w:color w:val="auto"/>
                <w:sz w:val="24"/>
                <w:szCs w:val="24"/>
                <w:vertAlign w:val="baseline"/>
                <w:lang w:val="en-US" w:eastAsia="zh-CN"/>
              </w:rPr>
              <w:t>3</w:t>
            </w:r>
            <w:r>
              <w:rPr>
                <w:rFonts w:hint="eastAsia"/>
                <w:snapToGrid/>
                <w:color w:val="auto"/>
                <w:sz w:val="24"/>
                <w:szCs w:val="24"/>
                <w:vertAlign w:val="baseline"/>
                <w:lang w:eastAsia="zh-CN"/>
              </w:rPr>
              <w:t>）</w:t>
            </w:r>
            <w:r>
              <w:rPr>
                <w:rFonts w:hint="eastAsia" w:eastAsia="宋体"/>
                <w:snapToGrid/>
                <w:color w:val="auto"/>
                <w:sz w:val="24"/>
                <w:szCs w:val="24"/>
                <w:vertAlign w:val="baseline"/>
                <w:lang w:eastAsia="zh-CN"/>
              </w:rPr>
              <w:t>噪声：项目噪声源主要为粉丝生产线</w:t>
            </w:r>
            <w:r>
              <w:rPr>
                <w:rFonts w:hint="eastAsia"/>
                <w:snapToGrid/>
                <w:color w:val="auto"/>
                <w:sz w:val="24"/>
                <w:szCs w:val="24"/>
                <w:vertAlign w:val="baseline"/>
                <w:lang w:eastAsia="zh-CN"/>
              </w:rPr>
              <w:t>、</w:t>
            </w:r>
            <w:r>
              <w:rPr>
                <w:rFonts w:hint="eastAsia" w:eastAsia="宋体"/>
                <w:snapToGrid/>
                <w:color w:val="auto"/>
                <w:sz w:val="24"/>
                <w:szCs w:val="24"/>
                <w:vertAlign w:val="baseline"/>
                <w:lang w:eastAsia="zh-CN"/>
              </w:rPr>
              <w:t>松花蛋生产线</w:t>
            </w:r>
            <w:r>
              <w:rPr>
                <w:rFonts w:hint="eastAsia"/>
                <w:snapToGrid/>
                <w:color w:val="auto"/>
                <w:sz w:val="24"/>
                <w:szCs w:val="24"/>
                <w:vertAlign w:val="baseline"/>
                <w:lang w:eastAsia="zh-CN"/>
              </w:rPr>
              <w:t>、</w:t>
            </w:r>
            <w:r>
              <w:rPr>
                <w:rFonts w:hint="eastAsia" w:eastAsia="宋体"/>
                <w:snapToGrid/>
                <w:color w:val="auto"/>
                <w:sz w:val="24"/>
                <w:szCs w:val="24"/>
                <w:vertAlign w:val="baseline"/>
                <w:lang w:eastAsia="zh-CN"/>
              </w:rPr>
              <w:t>变蛋生产线</w:t>
            </w:r>
            <w:r>
              <w:rPr>
                <w:rFonts w:hint="eastAsia"/>
                <w:snapToGrid/>
                <w:color w:val="auto"/>
                <w:sz w:val="24"/>
                <w:szCs w:val="24"/>
                <w:vertAlign w:val="baseline"/>
                <w:lang w:eastAsia="zh-CN"/>
              </w:rPr>
              <w:t>、</w:t>
            </w:r>
            <w:r>
              <w:rPr>
                <w:rFonts w:hint="eastAsia" w:eastAsia="宋体"/>
                <w:snapToGrid/>
                <w:color w:val="auto"/>
                <w:sz w:val="24"/>
                <w:szCs w:val="24"/>
                <w:vertAlign w:val="baseline"/>
                <w:lang w:eastAsia="zh-CN"/>
              </w:rPr>
              <w:t>豆制品生产线</w:t>
            </w:r>
            <w:r>
              <w:rPr>
                <w:rFonts w:hint="eastAsia"/>
                <w:snapToGrid/>
                <w:color w:val="auto"/>
                <w:sz w:val="24"/>
                <w:szCs w:val="24"/>
                <w:vertAlign w:val="baseline"/>
                <w:lang w:eastAsia="zh-CN"/>
              </w:rPr>
              <w:t>、</w:t>
            </w:r>
            <w:r>
              <w:rPr>
                <w:rFonts w:hint="eastAsia"/>
                <w:snapToGrid/>
                <w:color w:val="auto"/>
                <w:sz w:val="24"/>
                <w:szCs w:val="24"/>
                <w:vertAlign w:val="baseline"/>
                <w:lang w:val="en-US" w:eastAsia="zh-CN"/>
              </w:rPr>
              <w:t>风机和</w:t>
            </w:r>
            <w:r>
              <w:rPr>
                <w:rFonts w:hint="eastAsia" w:eastAsia="宋体"/>
                <w:snapToGrid/>
                <w:color w:val="auto"/>
                <w:sz w:val="24"/>
                <w:szCs w:val="24"/>
                <w:vertAlign w:val="baseline"/>
                <w:lang w:eastAsia="zh-CN"/>
              </w:rPr>
              <w:t>污水处理站水泵等设备产生的机械性噪声。</w:t>
            </w:r>
          </w:p>
          <w:p w14:paraId="51AD95A7">
            <w:pPr>
              <w:pStyle w:val="2"/>
              <w:overflowPunct w:val="0"/>
              <w:spacing w:after="0" w:line="360" w:lineRule="auto"/>
              <w:ind w:firstLine="480" w:firstLineChars="200"/>
              <w:rPr>
                <w:rFonts w:hint="default"/>
                <w:color w:val="auto"/>
              </w:rPr>
            </w:pPr>
            <w:r>
              <w:rPr>
                <w:rFonts w:hint="eastAsia"/>
                <w:snapToGrid/>
                <w:color w:val="auto"/>
                <w:sz w:val="24"/>
                <w:szCs w:val="24"/>
                <w:vertAlign w:val="baseline"/>
                <w:lang w:eastAsia="zh-CN"/>
              </w:rPr>
              <w:t>（</w:t>
            </w:r>
            <w:r>
              <w:rPr>
                <w:rFonts w:hint="eastAsia"/>
                <w:snapToGrid/>
                <w:color w:val="auto"/>
                <w:sz w:val="24"/>
                <w:szCs w:val="24"/>
                <w:vertAlign w:val="baseline"/>
                <w:lang w:val="en-US" w:eastAsia="zh-CN"/>
              </w:rPr>
              <w:t>4</w:t>
            </w:r>
            <w:r>
              <w:rPr>
                <w:rFonts w:hint="eastAsia"/>
                <w:snapToGrid/>
                <w:color w:val="auto"/>
                <w:sz w:val="24"/>
                <w:szCs w:val="24"/>
                <w:vertAlign w:val="baseline"/>
                <w:lang w:eastAsia="zh-CN"/>
              </w:rPr>
              <w:t>）</w:t>
            </w:r>
            <w:r>
              <w:rPr>
                <w:rFonts w:hint="eastAsia" w:eastAsia="宋体"/>
                <w:snapToGrid/>
                <w:color w:val="auto"/>
                <w:sz w:val="24"/>
                <w:szCs w:val="24"/>
                <w:vertAlign w:val="baseline"/>
                <w:lang w:eastAsia="zh-CN"/>
              </w:rPr>
              <w:t>固废：生活垃圾、</w:t>
            </w:r>
            <w:r>
              <w:rPr>
                <w:rFonts w:hint="eastAsia"/>
                <w:snapToGrid/>
                <w:color w:val="auto"/>
                <w:sz w:val="24"/>
                <w:szCs w:val="24"/>
                <w:vertAlign w:val="baseline"/>
                <w:lang w:eastAsia="zh-CN"/>
              </w:rPr>
              <w:t>废包装材料、不合格品、碎粉丝、</w:t>
            </w:r>
            <w:r>
              <w:rPr>
                <w:rFonts w:hint="eastAsia"/>
                <w:snapToGrid/>
                <w:color w:val="auto"/>
                <w:sz w:val="24"/>
                <w:szCs w:val="24"/>
                <w:vertAlign w:val="baseline"/>
                <w:lang w:val="en-US" w:eastAsia="zh-CN"/>
              </w:rPr>
              <w:t>污泥、废过滤介质</w:t>
            </w:r>
            <w:r>
              <w:rPr>
                <w:rFonts w:hint="eastAsia" w:eastAsia="宋体"/>
                <w:snapToGrid/>
                <w:color w:val="auto"/>
                <w:sz w:val="24"/>
                <w:szCs w:val="24"/>
                <w:vertAlign w:val="baseline"/>
                <w:lang w:eastAsia="zh-CN"/>
              </w:rPr>
              <w:t>等</w:t>
            </w:r>
            <w:r>
              <w:rPr>
                <w:rFonts w:hint="eastAsia"/>
                <w:snapToGrid/>
                <w:color w:val="auto"/>
                <w:sz w:val="24"/>
                <w:szCs w:val="24"/>
                <w:vertAlign w:val="baseline"/>
                <w:lang w:eastAsia="zh-CN"/>
              </w:rPr>
              <w:t>。</w:t>
            </w:r>
          </w:p>
        </w:tc>
      </w:tr>
      <w:tr w14:paraId="2484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8" w:hRule="atLeast"/>
          <w:jc w:val="center"/>
        </w:trPr>
        <w:tc>
          <w:tcPr>
            <w:tcW w:w="429" w:type="dxa"/>
            <w:vAlign w:val="center"/>
          </w:tcPr>
          <w:p w14:paraId="4DE9E296">
            <w:pPr>
              <w:spacing w:line="240" w:lineRule="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cs="Times New Roman"/>
                <w:bCs/>
                <w:color w:val="auto"/>
                <w:sz w:val="24"/>
                <w:szCs w:val="24"/>
              </w:rPr>
              <w:t>与项目有关的原有环境污染问题</w:t>
            </w:r>
          </w:p>
        </w:tc>
        <w:tc>
          <w:tcPr>
            <w:tcW w:w="9142" w:type="dxa"/>
            <w:vAlign w:val="center"/>
          </w:tcPr>
          <w:p w14:paraId="650AB7B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本项目</w:t>
            </w:r>
            <w:r>
              <w:rPr>
                <w:rFonts w:hint="default" w:ascii="Times New Roman" w:hAnsi="Times New Roman" w:cs="Times New Roman"/>
                <w:color w:val="auto"/>
                <w:sz w:val="24"/>
                <w:szCs w:val="24"/>
                <w:lang w:eastAsia="zh-CN"/>
              </w:rPr>
              <w:t>为新建项目，</w:t>
            </w:r>
            <w:r>
              <w:rPr>
                <w:rFonts w:hint="default" w:ascii="Times New Roman" w:hAnsi="Times New Roman" w:eastAsia="宋体" w:cs="Times New Roman"/>
                <w:color w:val="auto"/>
                <w:sz w:val="24"/>
                <w:szCs w:val="24"/>
                <w:lang w:eastAsia="zh-CN"/>
              </w:rPr>
              <w:t>位于</w:t>
            </w:r>
            <w:r>
              <w:rPr>
                <w:rFonts w:hint="default" w:ascii="Times New Roman" w:hAnsi="Times New Roman" w:eastAsia="宋体" w:cs="Times New Roman"/>
                <w:color w:val="auto"/>
                <w:sz w:val="24"/>
                <w:szCs w:val="24"/>
                <w:lang w:val="en-US" w:eastAsia="zh-CN"/>
              </w:rPr>
              <w:t>安徽省蚌埠市固镇县刘集镇珍珠沟西侧</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根据</w:t>
            </w:r>
            <w:r>
              <w:rPr>
                <w:rFonts w:hint="default" w:ascii="Times New Roman" w:hAnsi="Times New Roman" w:eastAsia="宋体" w:cs="Times New Roman"/>
                <w:color w:val="auto"/>
                <w:kern w:val="0"/>
                <w:sz w:val="24"/>
                <w:szCs w:val="24"/>
                <w:lang w:val="en-US" w:eastAsia="zh-CN" w:bidi="ar"/>
              </w:rPr>
              <w:t>现场勘察，</w:t>
            </w:r>
            <w:r>
              <w:rPr>
                <w:rFonts w:hint="default" w:ascii="Times New Roman" w:hAnsi="Times New Roman" w:eastAsia="宋体" w:cs="Times New Roman"/>
                <w:color w:val="auto"/>
                <w:kern w:val="0"/>
                <w:sz w:val="24"/>
                <w:szCs w:val="24"/>
                <w:lang w:val="en-US" w:eastAsia="zh-CN" w:bidi="ar-SA"/>
              </w:rPr>
              <w:t>厂房为空置，无与本项目有关的原有环境污染问题。</w:t>
            </w:r>
          </w:p>
        </w:tc>
      </w:tr>
    </w:tbl>
    <w:p w14:paraId="25219F08">
      <w:pPr>
        <w:pStyle w:val="23"/>
        <w:ind w:firstLine="964" w:firstLineChars="300"/>
        <w:jc w:val="both"/>
        <w:outlineLvl w:val="9"/>
        <w:rPr>
          <w:snapToGrid w:val="0"/>
        </w:rPr>
        <w:sectPr>
          <w:pgSz w:w="11906" w:h="16838"/>
          <w:pgMar w:top="1440" w:right="1134"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6" w:name="_Toc27508"/>
    </w:p>
    <w:p w14:paraId="72EB41A1">
      <w:pPr>
        <w:pStyle w:val="23"/>
        <w:ind w:firstLine="964" w:firstLineChars="300"/>
        <w:jc w:val="both"/>
        <w:rPr>
          <w:rFonts w:ascii="黑体" w:hAnsi="黑体" w:eastAsia="黑体"/>
          <w:snapToGrid w:val="0"/>
        </w:rPr>
      </w:pPr>
      <w:bookmarkStart w:id="7" w:name="_Toc28242"/>
      <w:r>
        <w:rPr>
          <w:snapToGrid w:val="0"/>
        </w:rPr>
        <w:t>三、区域环境质量现状、环境保护目标及评价标准</w:t>
      </w:r>
      <w:bookmarkEnd w:id="6"/>
      <w:bookmarkEnd w:id="7"/>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9117"/>
      </w:tblGrid>
      <w:tr w14:paraId="2EB0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dxa"/>
            <w:vAlign w:val="center"/>
          </w:tcPr>
          <w:p w14:paraId="0FAC4082">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区域环境质量现状</w:t>
            </w:r>
          </w:p>
        </w:tc>
        <w:tc>
          <w:tcPr>
            <w:tcW w:w="9037" w:type="dxa"/>
            <w:vAlign w:val="top"/>
          </w:tcPr>
          <w:p w14:paraId="7BD0E86C">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w:t>
            </w:r>
            <w:r>
              <w:rPr>
                <w:rFonts w:hint="default" w:ascii="Times New Roman" w:hAnsi="Times New Roman" w:cs="Times New Roman"/>
                <w:b/>
                <w:color w:val="auto"/>
                <w:sz w:val="24"/>
                <w:szCs w:val="24"/>
                <w:lang w:eastAsia="zh-CN"/>
              </w:rPr>
              <w:t>空气</w:t>
            </w:r>
            <w:r>
              <w:rPr>
                <w:rFonts w:hint="default" w:ascii="Times New Roman" w:hAnsi="Times New Roman" w:cs="Times New Roman"/>
                <w:b/>
                <w:color w:val="auto"/>
                <w:sz w:val="24"/>
                <w:szCs w:val="24"/>
              </w:rPr>
              <w:t>环境</w:t>
            </w:r>
          </w:p>
          <w:p w14:paraId="3B6FAC27">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（1）项目所在区域达标判断</w:t>
            </w:r>
          </w:p>
          <w:p w14:paraId="4E3AF52F">
            <w:pPr>
              <w:spacing w:line="360" w:lineRule="auto"/>
              <w:ind w:firstLine="480" w:firstLineChars="200"/>
              <w:rPr>
                <w:rFonts w:hint="eastAsia"/>
                <w:color w:val="auto"/>
                <w:sz w:val="24"/>
                <w:szCs w:val="24"/>
              </w:rPr>
            </w:pPr>
            <w:r>
              <w:rPr>
                <w:rFonts w:hint="default" w:ascii="宋体" w:eastAsia="宋体"/>
                <w:color w:val="auto"/>
                <w:sz w:val="24"/>
                <w:szCs w:val="24"/>
              </w:rPr>
              <w:t>项目所在区域环境空气质量为二类功能区。</w:t>
            </w:r>
          </w:p>
          <w:p w14:paraId="721C5053">
            <w:pPr>
              <w:pStyle w:val="9"/>
              <w:spacing w:line="360" w:lineRule="auto"/>
              <w:ind w:firstLine="480" w:firstLineChars="200"/>
              <w:jc w:val="both"/>
              <w:rPr>
                <w:rFonts w:hint="eastAsia"/>
                <w:color w:val="auto"/>
                <w:sz w:val="24"/>
                <w:szCs w:val="24"/>
              </w:rPr>
            </w:pPr>
            <w:r>
              <w:rPr>
                <w:rFonts w:hint="default" w:ascii="宋体" w:eastAsia="宋体"/>
                <w:color w:val="auto"/>
                <w:sz w:val="24"/>
                <w:szCs w:val="24"/>
              </w:rPr>
              <w:t>本次评价选择</w:t>
            </w:r>
            <w:r>
              <w:rPr>
                <w:rFonts w:hint="default" w:ascii="Times New Roman" w:hAnsi="Times New Roman" w:cs="Times New Roman"/>
                <w:color w:val="auto"/>
                <w:sz w:val="24"/>
                <w:szCs w:val="24"/>
              </w:rPr>
              <w:t>202</w:t>
            </w:r>
            <w:r>
              <w:rPr>
                <w:rFonts w:hint="default" w:ascii="Times New Roman" w:hAnsi="Times New Roman" w:eastAsia="宋体" w:cs="Times New Roman"/>
                <w:color w:val="auto"/>
                <w:sz w:val="24"/>
                <w:szCs w:val="24"/>
              </w:rPr>
              <w:t>3</w:t>
            </w:r>
            <w:r>
              <w:rPr>
                <w:rFonts w:hint="default" w:ascii="宋体" w:eastAsia="宋体"/>
                <w:color w:val="auto"/>
                <w:sz w:val="24"/>
                <w:szCs w:val="24"/>
              </w:rPr>
              <w:t>年作为评价基准年，引用《2023年蚌埠市生态环境质量状况公报》中环境空气质量部分内容，具体如下：</w:t>
            </w:r>
          </w:p>
          <w:p w14:paraId="282B088F">
            <w:pPr>
              <w:pStyle w:val="9"/>
              <w:spacing w:line="360" w:lineRule="auto"/>
              <w:ind w:firstLine="480" w:firstLineChars="200"/>
              <w:jc w:val="both"/>
              <w:rPr>
                <w:rFonts w:hint="eastAsia"/>
                <w:color w:val="auto"/>
                <w:sz w:val="24"/>
                <w:szCs w:val="24"/>
              </w:rPr>
            </w:pPr>
            <w:r>
              <w:rPr>
                <w:rFonts w:hint="default" w:ascii="Times New Roman" w:hAnsi="Times New Roman" w:cs="Times New Roman"/>
                <w:color w:val="auto"/>
                <w:sz w:val="24"/>
                <w:szCs w:val="24"/>
              </w:rPr>
              <w:t>202</w:t>
            </w:r>
            <w:r>
              <w:rPr>
                <w:rFonts w:hint="default" w:ascii="Times New Roman" w:hAnsi="Times New Roman" w:eastAsia="宋体" w:cs="Times New Roman"/>
                <w:color w:val="auto"/>
                <w:sz w:val="24"/>
                <w:szCs w:val="24"/>
              </w:rPr>
              <w:t>3年</w:t>
            </w:r>
            <w:r>
              <w:rPr>
                <w:rFonts w:hint="default" w:ascii="宋体" w:eastAsia="宋体"/>
                <w:color w:val="auto"/>
                <w:sz w:val="24"/>
                <w:szCs w:val="24"/>
              </w:rPr>
              <w:t>，本市市区细颗粒物（</w:t>
            </w:r>
            <w:r>
              <w:rPr>
                <w:rFonts w:hint="eastAsia"/>
                <w:color w:val="auto"/>
                <w:sz w:val="24"/>
                <w:szCs w:val="24"/>
              </w:rPr>
              <w:t>P</w:t>
            </w:r>
            <w:r>
              <w:rPr>
                <w:rFonts w:hint="eastAsia"/>
                <w:color w:val="auto"/>
                <w:sz w:val="21"/>
                <w:szCs w:val="21"/>
              </w:rPr>
              <w:t>M</w:t>
            </w:r>
            <w:r>
              <w:rPr>
                <w:rFonts w:hint="eastAsia"/>
                <w:color w:val="auto"/>
                <w:sz w:val="21"/>
                <w:szCs w:val="21"/>
                <w:vertAlign w:val="subscript"/>
              </w:rPr>
              <w:t>2</w:t>
            </w:r>
            <w:r>
              <w:rPr>
                <w:rFonts w:hint="eastAsia"/>
                <w:color w:val="auto"/>
                <w:sz w:val="24"/>
                <w:szCs w:val="24"/>
                <w:vertAlign w:val="subscript"/>
              </w:rPr>
              <w:t>.5</w:t>
            </w:r>
            <w:r>
              <w:rPr>
                <w:rFonts w:hint="default" w:ascii="宋体" w:eastAsia="宋体"/>
                <w:color w:val="auto"/>
                <w:sz w:val="24"/>
                <w:szCs w:val="24"/>
              </w:rPr>
              <w:t>）年均浓度为38微克/立方米，同比上升1微克/立方米；优良天数比例为80.8</w:t>
            </w:r>
            <w:r>
              <w:rPr>
                <w:rFonts w:hint="eastAsia"/>
                <w:color w:val="auto"/>
                <w:sz w:val="24"/>
                <w:szCs w:val="24"/>
              </w:rPr>
              <w:t>%</w:t>
            </w:r>
            <w:r>
              <w:rPr>
                <w:rFonts w:hint="default" w:ascii="宋体" w:eastAsia="宋体"/>
                <w:color w:val="auto"/>
                <w:sz w:val="24"/>
                <w:szCs w:val="24"/>
              </w:rPr>
              <w:t>，同比上升1.9</w:t>
            </w:r>
            <w:r>
              <w:rPr>
                <w:rFonts w:hint="eastAsia"/>
                <w:color w:val="auto"/>
                <w:sz w:val="24"/>
                <w:szCs w:val="24"/>
              </w:rPr>
              <w:t>%</w:t>
            </w:r>
            <w:r>
              <w:rPr>
                <w:rFonts w:hint="default" w:ascii="宋体" w:eastAsia="宋体"/>
                <w:color w:val="auto"/>
                <w:sz w:val="24"/>
                <w:szCs w:val="24"/>
              </w:rPr>
              <w:t>。</w:t>
            </w:r>
          </w:p>
          <w:p w14:paraId="72AC3396">
            <w:pPr>
              <w:adjustRightInd w:val="0"/>
              <w:snapToGrid w:val="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表3-</w:t>
            </w:r>
            <w:r>
              <w:rPr>
                <w:rFonts w:hint="default" w:ascii="Times New Roman" w:hAnsi="Times New Roman" w:cs="Times New Roman"/>
                <w:b/>
                <w:color w:val="auto"/>
                <w:sz w:val="21"/>
                <w:szCs w:val="21"/>
              </w:rPr>
              <w:t>1</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 xml:space="preserve"> 202</w:t>
            </w:r>
            <w:r>
              <w:rPr>
                <w:rFonts w:hint="default" w:ascii="Times New Roman" w:hAnsi="Times New Roman" w:eastAsia="宋体" w:cs="Times New Roman"/>
                <w:b/>
                <w:color w:val="auto"/>
                <w:sz w:val="21"/>
                <w:szCs w:val="21"/>
              </w:rPr>
              <w:t>3年蚌埠市年均浓度</w:t>
            </w:r>
          </w:p>
          <w:tbl>
            <w:tblPr>
              <w:tblStyle w:val="25"/>
              <w:tblW w:w="4998"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108" w:type="dxa"/>
                <w:bottom w:w="0" w:type="dxa"/>
                <w:right w:w="108" w:type="dxa"/>
              </w:tblCellMar>
            </w:tblPr>
            <w:tblGrid>
              <w:gridCol w:w="761"/>
              <w:gridCol w:w="2643"/>
              <w:gridCol w:w="1353"/>
              <w:gridCol w:w="1778"/>
              <w:gridCol w:w="1184"/>
              <w:gridCol w:w="1168"/>
            </w:tblGrid>
            <w:tr w14:paraId="1FC1760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89" w:hRule="atLeast"/>
                <w:jc w:val="center"/>
              </w:trPr>
              <w:tc>
                <w:tcPr>
                  <w:tcW w:w="428" w:type="pct"/>
                  <w:tcBorders>
                    <w:top w:val="single" w:color="auto" w:sz="4" w:space="0"/>
                    <w:left w:val="single" w:color="auto" w:sz="4" w:space="0"/>
                    <w:bottom w:val="single" w:color="000000" w:sz="2" w:space="0"/>
                    <w:right w:val="single" w:color="000000" w:sz="2" w:space="0"/>
                    <w:tl2br w:val="nil"/>
                    <w:tr2bl w:val="nil"/>
                  </w:tcBorders>
                  <w:noWrap w:val="0"/>
                  <w:vAlign w:val="center"/>
                </w:tcPr>
                <w:p w14:paraId="08B42303">
                  <w:pPr>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pacing w:val="7"/>
                      <w:sz w:val="21"/>
                      <w:szCs w:val="21"/>
                    </w:rPr>
                    <w:t>污染物</w:t>
                  </w:r>
                </w:p>
              </w:tc>
              <w:tc>
                <w:tcPr>
                  <w:tcW w:w="1486" w:type="pct"/>
                  <w:tcBorders>
                    <w:top w:val="single" w:color="auto" w:sz="4" w:space="0"/>
                    <w:left w:val="single" w:color="000000" w:sz="2" w:space="0"/>
                    <w:bottom w:val="single" w:color="000000" w:sz="2" w:space="0"/>
                    <w:right w:val="single" w:color="000000" w:sz="2" w:space="0"/>
                    <w:tl2br w:val="nil"/>
                    <w:tr2bl w:val="nil"/>
                  </w:tcBorders>
                  <w:noWrap w:val="0"/>
                  <w:vAlign w:val="center"/>
                </w:tcPr>
                <w:p w14:paraId="28A5D529">
                  <w:pPr>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pacing w:val="9"/>
                      <w:sz w:val="21"/>
                      <w:szCs w:val="21"/>
                    </w:rPr>
                    <w:t>评价指</w:t>
                  </w:r>
                  <w:r>
                    <w:rPr>
                      <w:rFonts w:hint="default" w:ascii="Times New Roman" w:hAnsi="Times New Roman" w:eastAsia="宋体" w:cs="Times New Roman"/>
                      <w:b/>
                      <w:color w:val="auto"/>
                      <w:spacing w:val="8"/>
                      <w:sz w:val="21"/>
                      <w:szCs w:val="21"/>
                    </w:rPr>
                    <w:t>标</w:t>
                  </w:r>
                </w:p>
              </w:tc>
              <w:tc>
                <w:tcPr>
                  <w:tcW w:w="761" w:type="pct"/>
                  <w:tcBorders>
                    <w:top w:val="single" w:color="auto" w:sz="4" w:space="0"/>
                    <w:left w:val="single" w:color="000000" w:sz="2" w:space="0"/>
                    <w:bottom w:val="single" w:color="000000" w:sz="2" w:space="0"/>
                    <w:right w:val="single" w:color="000000" w:sz="2" w:space="0"/>
                    <w:tl2br w:val="nil"/>
                    <w:tr2bl w:val="nil"/>
                  </w:tcBorders>
                  <w:noWrap w:val="0"/>
                  <w:vAlign w:val="center"/>
                </w:tcPr>
                <w:p w14:paraId="6A1D5F67">
                  <w:pPr>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pacing w:val="6"/>
                      <w:position w:val="3"/>
                      <w:sz w:val="21"/>
                      <w:szCs w:val="21"/>
                    </w:rPr>
                    <w:t>现状浓度 （</w:t>
                  </w:r>
                  <w:r>
                    <w:rPr>
                      <w:rFonts w:hint="default" w:ascii="Times New Roman" w:hAnsi="Times New Roman" w:cs="Times New Roman"/>
                      <w:b/>
                      <w:color w:val="auto"/>
                      <w:spacing w:val="6"/>
                      <w:position w:val="3"/>
                      <w:sz w:val="21"/>
                      <w:szCs w:val="21"/>
                    </w:rPr>
                    <w:t>μ</w:t>
                  </w:r>
                  <w:r>
                    <w:rPr>
                      <w:rFonts w:hint="default" w:ascii="Times New Roman" w:hAnsi="Times New Roman" w:cs="Times New Roman"/>
                      <w:b/>
                      <w:color w:val="auto"/>
                      <w:position w:val="3"/>
                      <w:sz w:val="21"/>
                      <w:szCs w:val="21"/>
                    </w:rPr>
                    <w:t>g</w:t>
                  </w:r>
                  <w:r>
                    <w:rPr>
                      <w:rFonts w:hint="default" w:ascii="Times New Roman" w:hAnsi="Times New Roman" w:cs="Times New Roman"/>
                      <w:b/>
                      <w:color w:val="auto"/>
                      <w:spacing w:val="6"/>
                      <w:position w:val="3"/>
                      <w:sz w:val="21"/>
                      <w:szCs w:val="21"/>
                    </w:rPr>
                    <w:t>/</w:t>
                  </w:r>
                  <w:r>
                    <w:rPr>
                      <w:rFonts w:hint="default" w:ascii="Times New Roman" w:hAnsi="Times New Roman" w:cs="Times New Roman"/>
                      <w:b/>
                      <w:color w:val="auto"/>
                      <w:position w:val="3"/>
                      <w:sz w:val="21"/>
                      <w:szCs w:val="21"/>
                    </w:rPr>
                    <w:t>m</w:t>
                  </w:r>
                  <w:r>
                    <w:rPr>
                      <w:rFonts w:hint="default" w:ascii="Times New Roman" w:hAnsi="Times New Roman" w:cs="Times New Roman"/>
                      <w:b/>
                      <w:color w:val="auto"/>
                      <w:position w:val="3"/>
                      <w:sz w:val="21"/>
                      <w:szCs w:val="21"/>
                      <w:vertAlign w:val="superscript"/>
                    </w:rPr>
                    <w:t>3</w:t>
                  </w:r>
                  <w:r>
                    <w:rPr>
                      <w:rFonts w:hint="default" w:ascii="Times New Roman" w:hAnsi="Times New Roman" w:cs="Times New Roman"/>
                      <w:b/>
                      <w:color w:val="auto"/>
                      <w:spacing w:val="6"/>
                      <w:position w:val="9"/>
                      <w:sz w:val="21"/>
                      <w:szCs w:val="21"/>
                      <w:vertAlign w:val="superscript"/>
                    </w:rPr>
                    <w:t xml:space="preserve"> </w:t>
                  </w:r>
                  <w:r>
                    <w:rPr>
                      <w:rFonts w:hint="default" w:ascii="Times New Roman" w:hAnsi="Times New Roman" w:eastAsia="宋体" w:cs="Times New Roman"/>
                      <w:b/>
                      <w:color w:val="auto"/>
                      <w:spacing w:val="6"/>
                      <w:position w:val="3"/>
                      <w:sz w:val="21"/>
                      <w:szCs w:val="21"/>
                    </w:rPr>
                    <w:t>）</w:t>
                  </w:r>
                </w:p>
              </w:tc>
              <w:tc>
                <w:tcPr>
                  <w:tcW w:w="1000" w:type="pct"/>
                  <w:tcBorders>
                    <w:top w:val="single" w:color="auto" w:sz="4" w:space="0"/>
                    <w:left w:val="single" w:color="000000" w:sz="2" w:space="0"/>
                    <w:bottom w:val="single" w:color="000000" w:sz="2" w:space="0"/>
                    <w:right w:val="single" w:color="000000" w:sz="2" w:space="0"/>
                    <w:tl2br w:val="nil"/>
                    <w:tr2bl w:val="nil"/>
                  </w:tcBorders>
                  <w:noWrap w:val="0"/>
                  <w:vAlign w:val="center"/>
                </w:tcPr>
                <w:p w14:paraId="0B17F73E">
                  <w:pPr>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pacing w:val="10"/>
                      <w:position w:val="3"/>
                      <w:sz w:val="21"/>
                      <w:szCs w:val="21"/>
                    </w:rPr>
                    <w:t>标</w:t>
                  </w:r>
                  <w:r>
                    <w:rPr>
                      <w:rFonts w:hint="default" w:ascii="Times New Roman" w:hAnsi="Times New Roman" w:eastAsia="宋体" w:cs="Times New Roman"/>
                      <w:b/>
                      <w:color w:val="auto"/>
                      <w:spacing w:val="6"/>
                      <w:position w:val="3"/>
                      <w:sz w:val="21"/>
                      <w:szCs w:val="21"/>
                    </w:rPr>
                    <w:t>准</w:t>
                  </w:r>
                  <w:r>
                    <w:rPr>
                      <w:rFonts w:hint="default" w:ascii="Times New Roman" w:hAnsi="Times New Roman" w:eastAsia="宋体" w:cs="Times New Roman"/>
                      <w:b/>
                      <w:color w:val="auto"/>
                      <w:spacing w:val="5"/>
                      <w:position w:val="3"/>
                      <w:sz w:val="21"/>
                      <w:szCs w:val="21"/>
                    </w:rPr>
                    <w:t>值 （</w:t>
                  </w:r>
                  <w:r>
                    <w:rPr>
                      <w:rFonts w:hint="default" w:ascii="Times New Roman" w:hAnsi="Times New Roman" w:cs="Times New Roman"/>
                      <w:b/>
                      <w:color w:val="auto"/>
                      <w:spacing w:val="5"/>
                      <w:position w:val="3"/>
                      <w:sz w:val="21"/>
                      <w:szCs w:val="21"/>
                    </w:rPr>
                    <w:t>μ</w:t>
                  </w:r>
                  <w:r>
                    <w:rPr>
                      <w:rFonts w:hint="default" w:ascii="Times New Roman" w:hAnsi="Times New Roman" w:cs="Times New Roman"/>
                      <w:b/>
                      <w:color w:val="auto"/>
                      <w:position w:val="3"/>
                      <w:sz w:val="21"/>
                      <w:szCs w:val="21"/>
                    </w:rPr>
                    <w:t>g</w:t>
                  </w:r>
                  <w:r>
                    <w:rPr>
                      <w:rFonts w:hint="default" w:ascii="Times New Roman" w:hAnsi="Times New Roman" w:cs="Times New Roman"/>
                      <w:b/>
                      <w:color w:val="auto"/>
                      <w:spacing w:val="5"/>
                      <w:position w:val="3"/>
                      <w:sz w:val="21"/>
                      <w:szCs w:val="21"/>
                    </w:rPr>
                    <w:t>/</w:t>
                  </w:r>
                  <w:r>
                    <w:rPr>
                      <w:rFonts w:hint="default" w:ascii="Times New Roman" w:hAnsi="Times New Roman" w:cs="Times New Roman"/>
                      <w:b/>
                      <w:color w:val="auto"/>
                      <w:position w:val="3"/>
                      <w:sz w:val="21"/>
                      <w:szCs w:val="21"/>
                    </w:rPr>
                    <w:t>m</w:t>
                  </w:r>
                  <w:r>
                    <w:rPr>
                      <w:rFonts w:hint="default" w:ascii="Times New Roman" w:hAnsi="Times New Roman" w:cs="Times New Roman"/>
                      <w:b/>
                      <w:color w:val="auto"/>
                      <w:position w:val="3"/>
                      <w:sz w:val="21"/>
                      <w:szCs w:val="21"/>
                      <w:vertAlign w:val="superscript"/>
                    </w:rPr>
                    <w:t>3</w:t>
                  </w:r>
                  <w:r>
                    <w:rPr>
                      <w:rFonts w:hint="default" w:ascii="Times New Roman" w:hAnsi="Times New Roman" w:cs="Times New Roman"/>
                      <w:b/>
                      <w:color w:val="auto"/>
                      <w:spacing w:val="5"/>
                      <w:position w:val="9"/>
                      <w:sz w:val="21"/>
                      <w:szCs w:val="21"/>
                    </w:rPr>
                    <w:t xml:space="preserve"> </w:t>
                  </w:r>
                  <w:r>
                    <w:rPr>
                      <w:rFonts w:hint="default" w:ascii="Times New Roman" w:hAnsi="Times New Roman" w:eastAsia="宋体" w:cs="Times New Roman"/>
                      <w:b/>
                      <w:color w:val="auto"/>
                      <w:spacing w:val="5"/>
                      <w:position w:val="3"/>
                      <w:sz w:val="21"/>
                      <w:szCs w:val="21"/>
                    </w:rPr>
                    <w:t>）</w:t>
                  </w:r>
                </w:p>
              </w:tc>
              <w:tc>
                <w:tcPr>
                  <w:tcW w:w="666" w:type="pct"/>
                  <w:tcBorders>
                    <w:top w:val="single" w:color="auto" w:sz="4" w:space="0"/>
                    <w:left w:val="single" w:color="000000" w:sz="2" w:space="0"/>
                    <w:bottom w:val="single" w:color="000000" w:sz="2" w:space="0"/>
                    <w:right w:val="single" w:color="000000" w:sz="2" w:space="0"/>
                    <w:tl2br w:val="nil"/>
                    <w:tr2bl w:val="nil"/>
                  </w:tcBorders>
                  <w:noWrap w:val="0"/>
                  <w:vAlign w:val="center"/>
                </w:tcPr>
                <w:p w14:paraId="0C7ECFCF">
                  <w:pPr>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pacing w:val="-1"/>
                      <w:position w:val="1"/>
                      <w:sz w:val="21"/>
                      <w:szCs w:val="21"/>
                    </w:rPr>
                    <w:t>占标率</w:t>
                  </w:r>
                  <w:r>
                    <w:rPr>
                      <w:rFonts w:hint="default" w:ascii="Times New Roman" w:hAnsi="Times New Roman" w:cs="Times New Roman"/>
                      <w:b/>
                      <w:color w:val="auto"/>
                      <w:position w:val="1"/>
                      <w:sz w:val="21"/>
                      <w:szCs w:val="21"/>
                    </w:rPr>
                    <w:t>%</w:t>
                  </w:r>
                </w:p>
              </w:tc>
              <w:tc>
                <w:tcPr>
                  <w:tcW w:w="656" w:type="pct"/>
                  <w:tcBorders>
                    <w:top w:val="single" w:color="auto" w:sz="4" w:space="0"/>
                    <w:left w:val="single" w:color="000000" w:sz="2" w:space="0"/>
                    <w:bottom w:val="single" w:color="000000" w:sz="2" w:space="0"/>
                    <w:right w:val="single" w:color="auto" w:sz="4" w:space="0"/>
                    <w:tl2br w:val="nil"/>
                    <w:tr2bl w:val="nil"/>
                  </w:tcBorders>
                  <w:noWrap w:val="0"/>
                  <w:vAlign w:val="center"/>
                </w:tcPr>
                <w:p w14:paraId="2C60CE75">
                  <w:pPr>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pacing w:val="9"/>
                      <w:sz w:val="21"/>
                      <w:szCs w:val="21"/>
                    </w:rPr>
                    <w:t>达标情</w:t>
                  </w:r>
                  <w:r>
                    <w:rPr>
                      <w:rFonts w:hint="default" w:ascii="Times New Roman" w:hAnsi="Times New Roman" w:eastAsia="宋体" w:cs="Times New Roman"/>
                      <w:b/>
                      <w:color w:val="auto"/>
                      <w:spacing w:val="8"/>
                      <w:sz w:val="21"/>
                      <w:szCs w:val="21"/>
                    </w:rPr>
                    <w:t>况</w:t>
                  </w:r>
                </w:p>
              </w:tc>
            </w:tr>
            <w:tr w14:paraId="27EB7CB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4" w:hRule="atLeast"/>
                <w:jc w:val="center"/>
              </w:trPr>
              <w:tc>
                <w:tcPr>
                  <w:tcW w:w="428" w:type="pct"/>
                  <w:tcBorders>
                    <w:top w:val="single" w:color="000000" w:sz="2" w:space="0"/>
                    <w:left w:val="single" w:color="auto" w:sz="4" w:space="0"/>
                    <w:bottom w:val="single" w:color="000000" w:sz="2" w:space="0"/>
                    <w:right w:val="single" w:color="000000" w:sz="2" w:space="0"/>
                    <w:tl2br w:val="nil"/>
                    <w:tr2bl w:val="nil"/>
                  </w:tcBorders>
                  <w:noWrap w:val="0"/>
                  <w:vAlign w:val="center"/>
                </w:tcPr>
                <w:p w14:paraId="5B78170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pacing w:val="1"/>
                      <w:position w:val="-1"/>
                      <w:sz w:val="21"/>
                      <w:szCs w:val="21"/>
                      <w:vertAlign w:val="subscript"/>
                    </w:rPr>
                    <w:t>2</w:t>
                  </w:r>
                </w:p>
              </w:tc>
              <w:tc>
                <w:tcPr>
                  <w:tcW w:w="148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0F80F60">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pacing w:val="8"/>
                      <w:sz w:val="21"/>
                      <w:szCs w:val="21"/>
                    </w:rPr>
                    <w:t>年平均浓</w:t>
                  </w:r>
                  <w:r>
                    <w:rPr>
                      <w:rFonts w:hint="default" w:ascii="Times New Roman" w:hAnsi="Times New Roman" w:eastAsia="宋体" w:cs="Times New Roman"/>
                      <w:color w:val="auto"/>
                      <w:spacing w:val="7"/>
                      <w:sz w:val="21"/>
                      <w:szCs w:val="21"/>
                    </w:rPr>
                    <w:t>度</w:t>
                  </w:r>
                </w:p>
              </w:tc>
              <w:tc>
                <w:tcPr>
                  <w:tcW w:w="13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28A4CA0">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8</w:t>
                  </w:r>
                </w:p>
              </w:tc>
              <w:tc>
                <w:tcPr>
                  <w:tcW w:w="1763"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502C0422">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6</w:t>
                  </w:r>
                  <w:r>
                    <w:rPr>
                      <w:rFonts w:hint="default" w:ascii="Times New Roman" w:hAnsi="Times New Roman" w:cs="Times New Roman"/>
                      <w:color w:val="auto"/>
                      <w:sz w:val="21"/>
                      <w:szCs w:val="21"/>
                    </w:rPr>
                    <w:t>0</w:t>
                  </w:r>
                </w:p>
              </w:tc>
              <w:tc>
                <w:tcPr>
                  <w:tcW w:w="11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5A5BBC0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25.8</w:t>
                  </w:r>
                </w:p>
              </w:tc>
              <w:tc>
                <w:tcPr>
                  <w:tcW w:w="1158" w:type="dxa"/>
                  <w:tcBorders>
                    <w:top w:val="single" w:color="000000" w:sz="2" w:space="0"/>
                    <w:left w:val="single" w:color="000000" w:sz="2" w:space="0"/>
                    <w:bottom w:val="single" w:color="000000" w:sz="2" w:space="0"/>
                    <w:right w:val="single" w:color="auto" w:sz="4" w:space="0"/>
                    <w:tl2br w:val="nil"/>
                    <w:tr2bl w:val="nil"/>
                  </w:tcBorders>
                  <w:noWrap w:val="0"/>
                  <w:vAlign w:val="center"/>
                </w:tcPr>
                <w:p w14:paraId="2559C31B">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pacing w:val="5"/>
                      <w:sz w:val="21"/>
                      <w:szCs w:val="21"/>
                    </w:rPr>
                    <w:t>达标</w:t>
                  </w:r>
                </w:p>
              </w:tc>
            </w:tr>
            <w:tr w14:paraId="66E55FF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52" w:hRule="atLeast"/>
                <w:jc w:val="center"/>
              </w:trPr>
              <w:tc>
                <w:tcPr>
                  <w:tcW w:w="428" w:type="pct"/>
                  <w:tcBorders>
                    <w:top w:val="single" w:color="000000" w:sz="2" w:space="0"/>
                    <w:left w:val="single" w:color="auto" w:sz="4" w:space="0"/>
                    <w:bottom w:val="single" w:color="000000" w:sz="2" w:space="0"/>
                    <w:right w:val="single" w:color="000000" w:sz="2" w:space="0"/>
                    <w:tl2br w:val="nil"/>
                    <w:tr2bl w:val="nil"/>
                  </w:tcBorders>
                  <w:noWrap w:val="0"/>
                  <w:vAlign w:val="center"/>
                </w:tcPr>
                <w:p w14:paraId="0C27B2C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pacing w:val="21"/>
                      <w:position w:val="-1"/>
                      <w:sz w:val="21"/>
                      <w:szCs w:val="21"/>
                      <w:vertAlign w:val="subscript"/>
                    </w:rPr>
                    <w:t>2</w:t>
                  </w:r>
                </w:p>
              </w:tc>
              <w:tc>
                <w:tcPr>
                  <w:tcW w:w="148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973D7EF">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pacing w:val="8"/>
                      <w:sz w:val="21"/>
                      <w:szCs w:val="21"/>
                    </w:rPr>
                    <w:t>年平均浓</w:t>
                  </w:r>
                  <w:r>
                    <w:rPr>
                      <w:rFonts w:hint="default" w:ascii="Times New Roman" w:hAnsi="Times New Roman" w:eastAsia="宋体" w:cs="Times New Roman"/>
                      <w:color w:val="auto"/>
                      <w:spacing w:val="7"/>
                      <w:sz w:val="21"/>
                      <w:szCs w:val="21"/>
                    </w:rPr>
                    <w:t>度</w:t>
                  </w:r>
                </w:p>
              </w:tc>
              <w:tc>
                <w:tcPr>
                  <w:tcW w:w="13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7A526F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31</w:t>
                  </w:r>
                </w:p>
              </w:tc>
              <w:tc>
                <w:tcPr>
                  <w:tcW w:w="1763"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8BF618A">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pacing w:val="1"/>
                      <w:sz w:val="21"/>
                      <w:szCs w:val="21"/>
                    </w:rPr>
                    <w:t>4</w:t>
                  </w:r>
                  <w:r>
                    <w:rPr>
                      <w:rFonts w:hint="default" w:ascii="Times New Roman" w:hAnsi="Times New Roman" w:cs="Times New Roman"/>
                      <w:color w:val="auto"/>
                      <w:spacing w:val="1"/>
                      <w:sz w:val="21"/>
                      <w:szCs w:val="21"/>
                    </w:rPr>
                    <w:t>0</w:t>
                  </w:r>
                </w:p>
              </w:tc>
              <w:tc>
                <w:tcPr>
                  <w:tcW w:w="11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992220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77.5</w:t>
                  </w:r>
                </w:p>
              </w:tc>
              <w:tc>
                <w:tcPr>
                  <w:tcW w:w="1158" w:type="dxa"/>
                  <w:tcBorders>
                    <w:top w:val="single" w:color="000000" w:sz="2" w:space="0"/>
                    <w:left w:val="single" w:color="000000" w:sz="2" w:space="0"/>
                    <w:bottom w:val="single" w:color="000000" w:sz="2" w:space="0"/>
                    <w:right w:val="single" w:color="auto" w:sz="4" w:space="0"/>
                    <w:tl2br w:val="nil"/>
                    <w:tr2bl w:val="nil"/>
                  </w:tcBorders>
                  <w:noWrap w:val="0"/>
                  <w:vAlign w:val="center"/>
                </w:tcPr>
                <w:p w14:paraId="65F51B5F">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pacing w:val="5"/>
                      <w:sz w:val="21"/>
                      <w:szCs w:val="21"/>
                    </w:rPr>
                    <w:t>达标</w:t>
                  </w:r>
                </w:p>
              </w:tc>
            </w:tr>
            <w:tr w14:paraId="6D0C1BC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4" w:hRule="atLeast"/>
                <w:jc w:val="center"/>
              </w:trPr>
              <w:tc>
                <w:tcPr>
                  <w:tcW w:w="428" w:type="pct"/>
                  <w:tcBorders>
                    <w:top w:val="single" w:color="000000" w:sz="2" w:space="0"/>
                    <w:left w:val="single" w:color="auto" w:sz="4" w:space="0"/>
                    <w:bottom w:val="single" w:color="000000" w:sz="2" w:space="0"/>
                    <w:right w:val="single" w:color="000000" w:sz="2" w:space="0"/>
                    <w:tl2br w:val="nil"/>
                    <w:tr2bl w:val="nil"/>
                  </w:tcBorders>
                  <w:noWrap w:val="0"/>
                  <w:vAlign w:val="center"/>
                </w:tcPr>
                <w:p w14:paraId="0DE807F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pacing w:val="9"/>
                      <w:position w:val="-1"/>
                      <w:sz w:val="21"/>
                      <w:szCs w:val="21"/>
                      <w:vertAlign w:val="subscript"/>
                    </w:rPr>
                    <w:t>1</w:t>
                  </w:r>
                  <w:r>
                    <w:rPr>
                      <w:rFonts w:hint="default" w:ascii="Times New Roman" w:hAnsi="Times New Roman" w:cs="Times New Roman"/>
                      <w:color w:val="auto"/>
                      <w:spacing w:val="8"/>
                      <w:position w:val="-1"/>
                      <w:sz w:val="21"/>
                      <w:szCs w:val="21"/>
                      <w:vertAlign w:val="subscript"/>
                    </w:rPr>
                    <w:t>0</w:t>
                  </w:r>
                </w:p>
              </w:tc>
              <w:tc>
                <w:tcPr>
                  <w:tcW w:w="148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4782909">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pacing w:val="8"/>
                      <w:sz w:val="21"/>
                      <w:szCs w:val="21"/>
                    </w:rPr>
                    <w:t>年平均浓</w:t>
                  </w:r>
                  <w:r>
                    <w:rPr>
                      <w:rFonts w:hint="default" w:ascii="Times New Roman" w:hAnsi="Times New Roman" w:eastAsia="宋体" w:cs="Times New Roman"/>
                      <w:color w:val="auto"/>
                      <w:spacing w:val="7"/>
                      <w:sz w:val="21"/>
                      <w:szCs w:val="21"/>
                    </w:rPr>
                    <w:t>度</w:t>
                  </w:r>
                </w:p>
              </w:tc>
              <w:tc>
                <w:tcPr>
                  <w:tcW w:w="13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9081203">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66</w:t>
                  </w:r>
                </w:p>
              </w:tc>
              <w:tc>
                <w:tcPr>
                  <w:tcW w:w="1763"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5D9A1426">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70</w:t>
                  </w:r>
                </w:p>
              </w:tc>
              <w:tc>
                <w:tcPr>
                  <w:tcW w:w="11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3553551">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9</w:t>
                  </w:r>
                  <w:r>
                    <w:rPr>
                      <w:rFonts w:hint="default" w:ascii="Times New Roman" w:hAnsi="Times New Roman" w:cs="Times New Roman"/>
                      <w:color w:val="auto"/>
                      <w:sz w:val="21"/>
                      <w:szCs w:val="21"/>
                    </w:rPr>
                    <w:t xml:space="preserve">4.29 </w:t>
                  </w:r>
                </w:p>
              </w:tc>
              <w:tc>
                <w:tcPr>
                  <w:tcW w:w="1158" w:type="dxa"/>
                  <w:tcBorders>
                    <w:top w:val="single" w:color="000000" w:sz="2" w:space="0"/>
                    <w:left w:val="single" w:color="000000" w:sz="2" w:space="0"/>
                    <w:bottom w:val="single" w:color="000000" w:sz="2" w:space="0"/>
                    <w:right w:val="single" w:color="auto" w:sz="4" w:space="0"/>
                    <w:tl2br w:val="nil"/>
                    <w:tr2bl w:val="nil"/>
                  </w:tcBorders>
                  <w:noWrap w:val="0"/>
                  <w:vAlign w:val="center"/>
                </w:tcPr>
                <w:p w14:paraId="0637065D">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pacing w:val="6"/>
                      <w:sz w:val="21"/>
                      <w:szCs w:val="21"/>
                    </w:rPr>
                    <w:t>达</w:t>
                  </w:r>
                  <w:r>
                    <w:rPr>
                      <w:rFonts w:hint="default" w:ascii="Times New Roman" w:hAnsi="Times New Roman" w:eastAsia="宋体" w:cs="Times New Roman"/>
                      <w:color w:val="auto"/>
                      <w:spacing w:val="5"/>
                      <w:sz w:val="21"/>
                      <w:szCs w:val="21"/>
                    </w:rPr>
                    <w:t>标</w:t>
                  </w:r>
                </w:p>
              </w:tc>
            </w:tr>
            <w:tr w14:paraId="1CA6F13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4" w:hRule="atLeast"/>
                <w:jc w:val="center"/>
              </w:trPr>
              <w:tc>
                <w:tcPr>
                  <w:tcW w:w="428" w:type="pct"/>
                  <w:tcBorders>
                    <w:top w:val="single" w:color="000000" w:sz="2" w:space="0"/>
                    <w:left w:val="single" w:color="auto" w:sz="4" w:space="0"/>
                    <w:bottom w:val="single" w:color="000000" w:sz="2" w:space="0"/>
                    <w:right w:val="single" w:color="000000" w:sz="2" w:space="0"/>
                    <w:tl2br w:val="nil"/>
                    <w:tr2bl w:val="nil"/>
                  </w:tcBorders>
                  <w:noWrap w:val="0"/>
                  <w:vAlign w:val="center"/>
                </w:tcPr>
                <w:p w14:paraId="789E6B2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148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1EEFB163">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pacing w:val="8"/>
                      <w:sz w:val="21"/>
                      <w:szCs w:val="21"/>
                    </w:rPr>
                    <w:t>年平均浓</w:t>
                  </w:r>
                  <w:r>
                    <w:rPr>
                      <w:rFonts w:hint="default" w:ascii="Times New Roman" w:hAnsi="Times New Roman" w:eastAsia="宋体" w:cs="Times New Roman"/>
                      <w:color w:val="auto"/>
                      <w:spacing w:val="7"/>
                      <w:sz w:val="21"/>
                      <w:szCs w:val="21"/>
                    </w:rPr>
                    <w:t>度</w:t>
                  </w:r>
                </w:p>
              </w:tc>
              <w:tc>
                <w:tcPr>
                  <w:tcW w:w="13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6EF1E5F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eastAsia="宋体" w:cs="Times New Roman"/>
                      <w:color w:val="auto"/>
                      <w:sz w:val="21"/>
                      <w:szCs w:val="21"/>
                    </w:rPr>
                    <w:t>8</w:t>
                  </w:r>
                </w:p>
              </w:tc>
              <w:tc>
                <w:tcPr>
                  <w:tcW w:w="1763"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63AC74F">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3</w:t>
                  </w:r>
                  <w:r>
                    <w:rPr>
                      <w:rFonts w:hint="default" w:ascii="Times New Roman" w:hAnsi="Times New Roman" w:cs="Times New Roman"/>
                      <w:color w:val="auto"/>
                      <w:sz w:val="21"/>
                      <w:szCs w:val="21"/>
                    </w:rPr>
                    <w:t>5</w:t>
                  </w:r>
                </w:p>
              </w:tc>
              <w:tc>
                <w:tcPr>
                  <w:tcW w:w="11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736DD3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default" w:ascii="Times New Roman" w:hAnsi="Times New Roman" w:eastAsia="宋体" w:cs="Times New Roman"/>
                      <w:color w:val="auto"/>
                      <w:sz w:val="21"/>
                      <w:szCs w:val="21"/>
                    </w:rPr>
                    <w:t>8.57</w:t>
                  </w:r>
                  <w:r>
                    <w:rPr>
                      <w:rFonts w:hint="default" w:ascii="Times New Roman" w:hAnsi="Times New Roman" w:cs="Times New Roman"/>
                      <w:color w:val="auto"/>
                      <w:sz w:val="21"/>
                      <w:szCs w:val="21"/>
                    </w:rPr>
                    <w:t xml:space="preserve"> </w:t>
                  </w:r>
                </w:p>
              </w:tc>
              <w:tc>
                <w:tcPr>
                  <w:tcW w:w="1158" w:type="dxa"/>
                  <w:tcBorders>
                    <w:top w:val="single" w:color="000000" w:sz="2" w:space="0"/>
                    <w:left w:val="single" w:color="000000" w:sz="2" w:space="0"/>
                    <w:bottom w:val="single" w:color="000000" w:sz="2" w:space="0"/>
                    <w:right w:val="single" w:color="auto" w:sz="4" w:space="0"/>
                    <w:tl2br w:val="nil"/>
                    <w:tr2bl w:val="nil"/>
                  </w:tcBorders>
                  <w:noWrap w:val="0"/>
                  <w:vAlign w:val="center"/>
                </w:tcPr>
                <w:p w14:paraId="24312656">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pacing w:val="6"/>
                      <w:sz w:val="21"/>
                      <w:szCs w:val="21"/>
                    </w:rPr>
                    <w:t>不达</w:t>
                  </w:r>
                  <w:r>
                    <w:rPr>
                      <w:rFonts w:hint="default" w:ascii="Times New Roman" w:hAnsi="Times New Roman" w:eastAsia="宋体" w:cs="Times New Roman"/>
                      <w:color w:val="auto"/>
                      <w:spacing w:val="5"/>
                      <w:sz w:val="21"/>
                      <w:szCs w:val="21"/>
                    </w:rPr>
                    <w:t>标</w:t>
                  </w:r>
                </w:p>
              </w:tc>
            </w:tr>
            <w:tr w14:paraId="01161A8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4" w:hRule="atLeast"/>
                <w:jc w:val="center"/>
              </w:trPr>
              <w:tc>
                <w:tcPr>
                  <w:tcW w:w="428" w:type="pct"/>
                  <w:tcBorders>
                    <w:top w:val="single" w:color="000000" w:sz="2" w:space="0"/>
                    <w:left w:val="single" w:color="auto" w:sz="4" w:space="0"/>
                    <w:bottom w:val="single" w:color="000000" w:sz="2" w:space="0"/>
                    <w:right w:val="single" w:color="000000" w:sz="2" w:space="0"/>
                    <w:tl2br w:val="nil"/>
                    <w:tr2bl w:val="nil"/>
                  </w:tcBorders>
                  <w:noWrap w:val="0"/>
                  <w:vAlign w:val="center"/>
                </w:tcPr>
                <w:p w14:paraId="177600F3">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CO</w:t>
                  </w:r>
                </w:p>
              </w:tc>
              <w:tc>
                <w:tcPr>
                  <w:tcW w:w="148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45DF4A06">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pacing w:val="1"/>
                      <w:sz w:val="21"/>
                      <w:szCs w:val="21"/>
                    </w:rPr>
                    <w:t>日均值第 95 百</w:t>
                  </w:r>
                  <w:r>
                    <w:rPr>
                      <w:rFonts w:hint="default" w:ascii="Times New Roman" w:hAnsi="Times New Roman" w:eastAsia="宋体" w:cs="Times New Roman"/>
                      <w:color w:val="auto"/>
                      <w:sz w:val="21"/>
                      <w:szCs w:val="21"/>
                    </w:rPr>
                    <w:t>分位浓度</w:t>
                  </w:r>
                </w:p>
              </w:tc>
              <w:tc>
                <w:tcPr>
                  <w:tcW w:w="13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369DA1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900</w:t>
                  </w:r>
                </w:p>
              </w:tc>
              <w:tc>
                <w:tcPr>
                  <w:tcW w:w="1763"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4D50C47">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400</w:t>
                  </w:r>
                  <w:r>
                    <w:rPr>
                      <w:rFonts w:hint="default" w:ascii="Times New Roman" w:hAnsi="Times New Roman" w:cs="Times New Roman"/>
                      <w:color w:val="auto"/>
                      <w:spacing w:val="3"/>
                      <w:sz w:val="21"/>
                      <w:szCs w:val="21"/>
                    </w:rPr>
                    <w:t>0</w:t>
                  </w:r>
                </w:p>
              </w:tc>
              <w:tc>
                <w:tcPr>
                  <w:tcW w:w="117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B10BE1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22.5</w:t>
                  </w:r>
                </w:p>
              </w:tc>
              <w:tc>
                <w:tcPr>
                  <w:tcW w:w="1158" w:type="dxa"/>
                  <w:tcBorders>
                    <w:top w:val="single" w:color="000000" w:sz="2" w:space="0"/>
                    <w:left w:val="single" w:color="000000" w:sz="2" w:space="0"/>
                    <w:bottom w:val="single" w:color="000000" w:sz="2" w:space="0"/>
                    <w:right w:val="single" w:color="auto" w:sz="4" w:space="0"/>
                    <w:tl2br w:val="nil"/>
                    <w:tr2bl w:val="nil"/>
                  </w:tcBorders>
                  <w:noWrap w:val="0"/>
                  <w:vAlign w:val="center"/>
                </w:tcPr>
                <w:p w14:paraId="7E0FCCC3">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pacing w:val="5"/>
                      <w:sz w:val="21"/>
                      <w:szCs w:val="21"/>
                    </w:rPr>
                    <w:t>达标</w:t>
                  </w:r>
                </w:p>
              </w:tc>
            </w:tr>
            <w:tr w14:paraId="2117FFE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5" w:hRule="atLeast"/>
                <w:jc w:val="center"/>
              </w:trPr>
              <w:tc>
                <w:tcPr>
                  <w:tcW w:w="428" w:type="pct"/>
                  <w:tcBorders>
                    <w:top w:val="single" w:color="000000" w:sz="2" w:space="0"/>
                    <w:left w:val="single" w:color="auto" w:sz="4" w:space="0"/>
                    <w:bottom w:val="single" w:color="auto" w:sz="4" w:space="0"/>
                    <w:right w:val="single" w:color="000000" w:sz="2" w:space="0"/>
                    <w:tl2br w:val="nil"/>
                    <w:tr2bl w:val="nil"/>
                  </w:tcBorders>
                  <w:noWrap w:val="0"/>
                  <w:vAlign w:val="center"/>
                </w:tcPr>
                <w:p w14:paraId="22C989B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pacing w:val="2"/>
                      <w:position w:val="-1"/>
                      <w:sz w:val="21"/>
                      <w:szCs w:val="21"/>
                      <w:vertAlign w:val="subscript"/>
                    </w:rPr>
                    <w:t>3</w:t>
                  </w:r>
                </w:p>
              </w:tc>
              <w:tc>
                <w:tcPr>
                  <w:tcW w:w="1486" w:type="pct"/>
                  <w:tcBorders>
                    <w:top w:val="single" w:color="000000" w:sz="2" w:space="0"/>
                    <w:left w:val="single" w:color="000000" w:sz="2" w:space="0"/>
                    <w:bottom w:val="single" w:color="auto" w:sz="4" w:space="0"/>
                    <w:right w:val="single" w:color="000000" w:sz="2" w:space="0"/>
                    <w:tl2br w:val="nil"/>
                    <w:tr2bl w:val="nil"/>
                  </w:tcBorders>
                  <w:noWrap w:val="0"/>
                  <w:vAlign w:val="center"/>
                </w:tcPr>
                <w:p w14:paraId="5818F198">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8</w:t>
                  </w:r>
                  <w:r>
                    <w:rPr>
                      <w:rFonts w:hint="default" w:ascii="Times New Roman" w:hAnsi="Times New Roman" w:cs="Times New Roman"/>
                      <w:color w:val="auto"/>
                      <w:spacing w:val="5"/>
                      <w:sz w:val="21"/>
                      <w:szCs w:val="21"/>
                    </w:rPr>
                    <w:t xml:space="preserve"> </w:t>
                  </w:r>
                  <w:r>
                    <w:rPr>
                      <w:rFonts w:hint="default" w:ascii="Times New Roman" w:hAnsi="Times New Roman" w:eastAsia="宋体" w:cs="Times New Roman"/>
                      <w:color w:val="auto"/>
                      <w:spacing w:val="3"/>
                      <w:sz w:val="21"/>
                      <w:szCs w:val="21"/>
                    </w:rPr>
                    <w:t>小时平均值第 90 百分位数</w:t>
                  </w:r>
                </w:p>
              </w:tc>
              <w:tc>
                <w:tcPr>
                  <w:tcW w:w="1342" w:type="dxa"/>
                  <w:tcBorders>
                    <w:top w:val="single" w:color="000000" w:sz="2" w:space="0"/>
                    <w:left w:val="single" w:color="000000" w:sz="2" w:space="0"/>
                    <w:bottom w:val="single" w:color="auto" w:sz="4" w:space="0"/>
                    <w:right w:val="single" w:color="000000" w:sz="2" w:space="0"/>
                    <w:tl2br w:val="nil"/>
                    <w:tr2bl w:val="nil"/>
                  </w:tcBorders>
                  <w:noWrap w:val="0"/>
                  <w:vAlign w:val="center"/>
                </w:tcPr>
                <w:p w14:paraId="19EBFAC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159</w:t>
                  </w:r>
                </w:p>
              </w:tc>
              <w:tc>
                <w:tcPr>
                  <w:tcW w:w="1763" w:type="dxa"/>
                  <w:tcBorders>
                    <w:top w:val="single" w:color="000000" w:sz="2" w:space="0"/>
                    <w:left w:val="single" w:color="000000" w:sz="2" w:space="0"/>
                    <w:bottom w:val="single" w:color="auto" w:sz="4" w:space="0"/>
                    <w:right w:val="single" w:color="000000" w:sz="2" w:space="0"/>
                    <w:tl2br w:val="nil"/>
                    <w:tr2bl w:val="nil"/>
                  </w:tcBorders>
                  <w:noWrap w:val="0"/>
                  <w:vAlign w:val="center"/>
                </w:tcPr>
                <w:p w14:paraId="5B30B87A">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160</w:t>
                  </w:r>
                </w:p>
              </w:tc>
              <w:tc>
                <w:tcPr>
                  <w:tcW w:w="1174" w:type="dxa"/>
                  <w:tcBorders>
                    <w:top w:val="single" w:color="000000" w:sz="2" w:space="0"/>
                    <w:left w:val="single" w:color="000000" w:sz="2" w:space="0"/>
                    <w:bottom w:val="single" w:color="auto" w:sz="4" w:space="0"/>
                    <w:right w:val="single" w:color="000000" w:sz="2" w:space="0"/>
                    <w:tl2br w:val="nil"/>
                    <w:tr2bl w:val="nil"/>
                  </w:tcBorders>
                  <w:noWrap w:val="0"/>
                  <w:vAlign w:val="center"/>
                </w:tcPr>
                <w:p w14:paraId="7FB3F10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99.38</w:t>
                  </w:r>
                </w:p>
              </w:tc>
              <w:tc>
                <w:tcPr>
                  <w:tcW w:w="1158" w:type="dxa"/>
                  <w:tcBorders>
                    <w:top w:val="single" w:color="000000" w:sz="2" w:space="0"/>
                    <w:left w:val="single" w:color="000000" w:sz="2" w:space="0"/>
                    <w:bottom w:val="single" w:color="auto" w:sz="4" w:space="0"/>
                    <w:right w:val="single" w:color="auto" w:sz="4" w:space="0"/>
                    <w:tl2br w:val="nil"/>
                    <w:tr2bl w:val="nil"/>
                  </w:tcBorders>
                  <w:noWrap w:val="0"/>
                  <w:vAlign w:val="center"/>
                </w:tcPr>
                <w:p w14:paraId="4D218D39">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pacing w:val="5"/>
                      <w:sz w:val="21"/>
                      <w:szCs w:val="21"/>
                    </w:rPr>
                    <w:t>达标</w:t>
                  </w:r>
                </w:p>
              </w:tc>
            </w:tr>
          </w:tbl>
          <w:p w14:paraId="5E163733">
            <w:pPr>
              <w:widowControl/>
              <w:spacing w:line="360" w:lineRule="auto"/>
              <w:ind w:firstLine="480" w:firstLineChars="200"/>
              <w:jc w:val="left"/>
              <w:rPr>
                <w:rFonts w:hint="eastAsia"/>
                <w:b/>
                <w:color w:val="auto"/>
                <w:sz w:val="24"/>
                <w:szCs w:val="24"/>
              </w:rPr>
            </w:pPr>
            <w:r>
              <w:rPr>
                <w:rFonts w:hint="default" w:ascii="宋体" w:eastAsia="宋体"/>
                <w:color w:val="auto"/>
                <w:sz w:val="24"/>
                <w:szCs w:val="24"/>
              </w:rPr>
              <w:t>根据上表可知，项目所在区PM</w:t>
            </w:r>
            <w:r>
              <w:rPr>
                <w:rFonts w:hint="eastAsia"/>
                <w:color w:val="auto"/>
                <w:sz w:val="24"/>
                <w:szCs w:val="24"/>
                <w:vertAlign w:val="subscript"/>
              </w:rPr>
              <w:t>2.5</w:t>
            </w:r>
            <w:r>
              <w:rPr>
                <w:rFonts w:hint="default" w:ascii="宋体" w:eastAsia="宋体"/>
                <w:color w:val="auto"/>
                <w:sz w:val="24"/>
                <w:szCs w:val="24"/>
              </w:rPr>
              <w:t>超标，因此判定为不达标区。</w:t>
            </w:r>
            <w:r>
              <w:rPr>
                <w:rFonts w:hint="default" w:ascii="宋体" w:eastAsia="宋体"/>
                <w:color w:val="auto"/>
                <w:kern w:val="0"/>
                <w:sz w:val="24"/>
                <w:szCs w:val="24"/>
                <w:lang w:bidi="ar"/>
              </w:rPr>
              <w:t>根据</w:t>
            </w:r>
            <w:r>
              <w:rPr>
                <w:rFonts w:hint="default" w:ascii="宋体" w:eastAsia="宋体"/>
                <w:color w:val="auto"/>
                <w:sz w:val="24"/>
                <w:szCs w:val="24"/>
              </w:rPr>
              <w:t>《蚌埠市环境空气质量达标规划（2019-2030年）》，通过落实各项具体措施，</w:t>
            </w:r>
            <w:r>
              <w:rPr>
                <w:rFonts w:hint="default" w:ascii="宋体" w:eastAsia="宋体"/>
                <w:color w:val="auto"/>
                <w:kern w:val="0"/>
                <w:sz w:val="24"/>
                <w:szCs w:val="24"/>
                <w:lang w:bidi="ar"/>
              </w:rPr>
              <w:t>大气环境质量状况可以得到进一步改善。</w:t>
            </w:r>
          </w:p>
          <w:p w14:paraId="71E3A90C">
            <w:pPr>
              <w:numPr>
                <w:ilvl w:val="0"/>
                <w:numId w:val="0"/>
              </w:numPr>
              <w:spacing w:line="360" w:lineRule="auto"/>
              <w:ind w:firstLine="482" w:firstLineChars="200"/>
              <w:rPr>
                <w:rFonts w:hint="eastAsia"/>
                <w:b/>
                <w:color w:val="auto"/>
                <w:sz w:val="24"/>
                <w:szCs w:val="24"/>
              </w:rPr>
            </w:pPr>
            <w:r>
              <w:rPr>
                <w:rFonts w:hint="default" w:ascii="宋体" w:eastAsia="宋体"/>
                <w:b/>
                <w:color w:val="auto"/>
                <w:sz w:val="24"/>
                <w:szCs w:val="24"/>
              </w:rPr>
              <w:t>（2）特征污染物</w:t>
            </w:r>
          </w:p>
          <w:p w14:paraId="1761FA23">
            <w:pPr>
              <w:spacing w:line="360" w:lineRule="auto"/>
              <w:ind w:firstLine="480" w:firstLineChars="200"/>
              <w:rPr>
                <w:rFonts w:hint="default" w:ascii="宋体" w:hAnsi="宋体" w:eastAsia="宋体" w:cs="宋体"/>
                <w:color w:val="auto"/>
                <w:kern w:val="0"/>
                <w:sz w:val="24"/>
                <w:szCs w:val="24"/>
                <w:lang w:bidi="ar"/>
              </w:rPr>
            </w:pPr>
            <w:r>
              <w:rPr>
                <w:rFonts w:hint="default" w:ascii="宋体" w:eastAsia="宋体"/>
                <w:color w:val="auto"/>
                <w:sz w:val="24"/>
                <w:szCs w:val="24"/>
              </w:rPr>
              <w:t>本项目特征因子</w:t>
            </w:r>
            <w:r>
              <w:rPr>
                <w:rFonts w:hint="eastAsia"/>
                <w:color w:val="auto"/>
                <w:kern w:val="0"/>
                <w:sz w:val="24"/>
                <w:szCs w:val="24"/>
                <w:lang w:bidi="ar"/>
              </w:rPr>
              <w:t>TSP</w:t>
            </w:r>
            <w:r>
              <w:rPr>
                <w:rFonts w:hint="default" w:ascii="宋体" w:eastAsia="宋体"/>
                <w:color w:val="auto"/>
                <w:sz w:val="24"/>
                <w:szCs w:val="24"/>
              </w:rPr>
              <w:t>现状数据引用安徽环科检测中心有限公司</w:t>
            </w:r>
            <w:r>
              <w:rPr>
                <w:rFonts w:hint="default" w:ascii="宋体" w:eastAsia="宋体"/>
                <w:color w:val="auto"/>
                <w:spacing w:val="-7"/>
                <w:sz w:val="24"/>
                <w:szCs w:val="24"/>
              </w:rPr>
              <w:t xml:space="preserve">于 </w:t>
            </w:r>
            <w:r>
              <w:rPr>
                <w:rFonts w:hint="eastAsia"/>
                <w:color w:val="auto"/>
                <w:sz w:val="24"/>
                <w:szCs w:val="24"/>
              </w:rPr>
              <w:t>2022</w:t>
            </w:r>
            <w:r>
              <w:rPr>
                <w:rFonts w:hint="default" w:ascii="宋体" w:eastAsia="宋体"/>
                <w:color w:val="auto"/>
                <w:sz w:val="24"/>
                <w:szCs w:val="24"/>
              </w:rPr>
              <w:t>年8月17日~8月23日G1</w:t>
            </w:r>
            <w:r>
              <w:rPr>
                <w:rFonts w:hint="default" w:ascii="宋体" w:eastAsia="宋体"/>
                <w:color w:val="auto"/>
                <w:spacing w:val="3"/>
                <w:sz w:val="24"/>
                <w:szCs w:val="24"/>
              </w:rPr>
              <w:t>进行的监测数据</w:t>
            </w:r>
            <w:r>
              <w:rPr>
                <w:rFonts w:hint="default" w:ascii="宋体" w:eastAsia="宋体"/>
                <w:color w:val="auto"/>
                <w:spacing w:val="2"/>
                <w:sz w:val="24"/>
                <w:szCs w:val="24"/>
              </w:rPr>
              <w:t>，监测点位位于项目</w:t>
            </w:r>
            <w:r>
              <w:rPr>
                <w:rFonts w:hint="eastAsia" w:ascii="宋体" w:eastAsia="宋体"/>
                <w:color w:val="auto"/>
                <w:spacing w:val="2"/>
                <w:sz w:val="24"/>
                <w:szCs w:val="24"/>
                <w:lang w:val="en-US" w:eastAsia="zh-CN"/>
              </w:rPr>
              <w:t>东</w:t>
            </w:r>
            <w:r>
              <w:rPr>
                <w:rFonts w:hint="default" w:ascii="宋体" w:eastAsia="宋体"/>
                <w:color w:val="auto"/>
                <w:spacing w:val="2"/>
                <w:sz w:val="24"/>
                <w:szCs w:val="24"/>
              </w:rPr>
              <w:t>南</w:t>
            </w:r>
            <w:r>
              <w:rPr>
                <w:rFonts w:hint="eastAsia" w:ascii="宋体" w:eastAsia="宋体"/>
                <w:color w:val="auto"/>
                <w:spacing w:val="2"/>
                <w:sz w:val="24"/>
                <w:szCs w:val="24"/>
                <w:lang w:val="en-US" w:eastAsia="zh-CN"/>
              </w:rPr>
              <w:t>985</w:t>
            </w:r>
            <w:r>
              <w:rPr>
                <w:rFonts w:hint="default" w:ascii="宋体" w:eastAsia="宋体"/>
                <w:color w:val="auto"/>
                <w:spacing w:val="2"/>
                <w:sz w:val="24"/>
                <w:szCs w:val="24"/>
              </w:rPr>
              <w:t>m，</w:t>
            </w:r>
            <w:r>
              <w:rPr>
                <w:rFonts w:hint="default" w:ascii="宋体" w:eastAsia="宋体"/>
                <w:color w:val="auto"/>
                <w:kern w:val="0"/>
                <w:sz w:val="24"/>
                <w:szCs w:val="24"/>
                <w:lang w:bidi="ar"/>
              </w:rPr>
              <w:t>因此引用该项目的监测数据是可行有效的。监测数</w:t>
            </w:r>
            <w:r>
              <w:rPr>
                <w:rFonts w:hint="default" w:ascii="宋体" w:hAnsi="宋体" w:eastAsia="宋体" w:cs="宋体"/>
                <w:color w:val="auto"/>
                <w:kern w:val="0"/>
                <w:sz w:val="24"/>
                <w:szCs w:val="24"/>
                <w:lang w:bidi="ar"/>
              </w:rPr>
              <w:t>据见下表。</w:t>
            </w:r>
          </w:p>
          <w:p w14:paraId="5881609B">
            <w:pPr>
              <w:spacing w:line="360" w:lineRule="auto"/>
              <w:ind w:firstLine="480" w:firstLineChars="200"/>
              <w:rPr>
                <w:rFonts w:hint="default" w:ascii="宋体" w:hAnsi="宋体" w:eastAsia="宋体" w:cs="宋体"/>
                <w:color w:val="auto"/>
                <w:kern w:val="0"/>
                <w:sz w:val="24"/>
                <w:szCs w:val="24"/>
                <w:lang w:bidi="ar"/>
              </w:rPr>
            </w:pPr>
          </w:p>
          <w:p w14:paraId="1A999323">
            <w:pPr>
              <w:spacing w:line="360" w:lineRule="auto"/>
              <w:ind w:firstLine="480" w:firstLineChars="200"/>
              <w:rPr>
                <w:rFonts w:hint="default" w:ascii="宋体" w:hAnsi="宋体" w:eastAsia="宋体" w:cs="宋体"/>
                <w:color w:val="auto"/>
                <w:kern w:val="0"/>
                <w:sz w:val="24"/>
                <w:szCs w:val="24"/>
                <w:lang w:bidi="ar"/>
              </w:rPr>
            </w:pPr>
          </w:p>
          <w:p w14:paraId="22E04DE8">
            <w:pPr>
              <w:spacing w:line="360" w:lineRule="auto"/>
              <w:ind w:firstLine="480" w:firstLineChars="200"/>
              <w:rPr>
                <w:rFonts w:hint="default" w:ascii="宋体" w:hAnsi="宋体" w:eastAsia="宋体" w:cs="宋体"/>
                <w:color w:val="auto"/>
                <w:kern w:val="0"/>
                <w:sz w:val="24"/>
                <w:szCs w:val="24"/>
                <w:lang w:bidi="ar"/>
              </w:rPr>
            </w:pPr>
          </w:p>
          <w:p w14:paraId="6C4505F3">
            <w:pPr>
              <w:spacing w:line="360" w:lineRule="auto"/>
              <w:ind w:firstLine="480" w:firstLineChars="200"/>
              <w:rPr>
                <w:rFonts w:hint="default" w:ascii="宋体" w:hAnsi="宋体" w:eastAsia="宋体" w:cs="宋体"/>
                <w:color w:val="auto"/>
                <w:kern w:val="0"/>
                <w:sz w:val="24"/>
                <w:szCs w:val="24"/>
                <w:lang w:bidi="ar"/>
              </w:rPr>
            </w:pPr>
          </w:p>
          <w:p w14:paraId="5E4E1FE6">
            <w:pPr>
              <w:spacing w:line="360" w:lineRule="auto"/>
              <w:ind w:firstLine="480" w:firstLineChars="200"/>
              <w:rPr>
                <w:rFonts w:hint="default" w:ascii="宋体" w:hAnsi="宋体" w:eastAsia="宋体" w:cs="宋体"/>
                <w:color w:val="auto"/>
                <w:kern w:val="0"/>
                <w:sz w:val="24"/>
                <w:szCs w:val="24"/>
                <w:lang w:bidi="ar"/>
              </w:rPr>
            </w:pPr>
          </w:p>
          <w:p w14:paraId="4802948A">
            <w:pPr>
              <w:spacing w:line="360" w:lineRule="auto"/>
              <w:ind w:firstLine="480" w:firstLineChars="200"/>
              <w:rPr>
                <w:rFonts w:hint="default" w:ascii="宋体" w:hAnsi="宋体" w:eastAsia="宋体" w:cs="宋体"/>
                <w:color w:val="auto"/>
                <w:kern w:val="0"/>
                <w:sz w:val="24"/>
                <w:szCs w:val="24"/>
                <w:lang w:bidi="ar"/>
              </w:rPr>
            </w:pPr>
          </w:p>
          <w:p w14:paraId="414129E7">
            <w:pPr>
              <w:spacing w:line="360" w:lineRule="auto"/>
              <w:jc w:val="center"/>
              <w:rPr>
                <w:rFonts w:hint="default" w:ascii="宋体" w:hAnsi="宋体" w:eastAsia="宋体" w:cs="宋体"/>
                <w:color w:val="auto"/>
                <w:kern w:val="0"/>
                <w:sz w:val="24"/>
                <w:szCs w:val="24"/>
                <w:lang w:bidi="ar"/>
              </w:rPr>
            </w:pPr>
            <w:r>
              <w:rPr>
                <w:rFonts w:hint="default" w:ascii="宋体" w:hAnsi="宋体" w:eastAsia="宋体" w:cs="宋体"/>
                <w:color w:val="auto"/>
                <w:kern w:val="0"/>
                <w:sz w:val="24"/>
                <w:szCs w:val="24"/>
                <w:lang w:bidi="ar"/>
              </w:rPr>
              <w:object>
                <v:shape id="_x0000_i1029" o:spt="75" type="#_x0000_t75" style="height:334.65pt;width:449.2pt;" o:ole="t" filled="f" o:preferrelative="t" stroked="f" coordsize="21600,21600">
                  <v:path/>
                  <v:fill on="f" focussize="0,0"/>
                  <v:stroke on="f"/>
                  <v:imagedata r:id="rId16" o:title=""/>
                  <o:lock v:ext="edit" aspectratio="f"/>
                  <w10:wrap type="none"/>
                  <w10:anchorlock/>
                </v:shape>
                <o:OLEObject Type="Embed" ProgID="Visio.Drawing.11" ShapeID="_x0000_i1029" DrawAspect="Content" ObjectID="_1468075729" r:id="rId15">
                  <o:LockedField>false</o:LockedField>
                </o:OLEObject>
              </w:object>
            </w:r>
            <w:r>
              <w:rPr>
                <w:rFonts w:hint="default" w:ascii="宋体" w:eastAsia="宋体"/>
                <w:b/>
                <w:color w:val="auto"/>
                <w:sz w:val="21"/>
                <w:szCs w:val="21"/>
              </w:rPr>
              <w:t>图3-1  大气特征污染物引用点位图</w:t>
            </w:r>
          </w:p>
          <w:p w14:paraId="39EB763D">
            <w:pPr>
              <w:tabs>
                <w:tab w:val="left" w:pos="1401"/>
                <w:tab w:val="left" w:pos="5853"/>
              </w:tabs>
              <w:spacing w:after="37"/>
              <w:ind w:right="18"/>
              <w:jc w:val="center"/>
              <w:rPr>
                <w:rFonts w:hint="eastAsia"/>
                <w:b/>
                <w:color w:val="auto"/>
                <w:sz w:val="21"/>
                <w:szCs w:val="21"/>
              </w:rPr>
            </w:pPr>
            <w:r>
              <w:rPr>
                <w:rFonts w:hint="default" w:ascii="宋体" w:eastAsia="宋体"/>
                <w:b/>
                <w:color w:val="auto"/>
                <w:sz w:val="21"/>
                <w:szCs w:val="21"/>
              </w:rPr>
              <w:t>表3-2 大气现状监测点布设</w:t>
            </w:r>
          </w:p>
          <w:tbl>
            <w:tblPr>
              <w:tblStyle w:val="25"/>
              <w:tblW w:w="88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44"/>
              <w:gridCol w:w="3252"/>
              <w:gridCol w:w="3991"/>
            </w:tblGrid>
            <w:tr w14:paraId="0FC48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44"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374AC10D">
                  <w:pPr>
                    <w:pStyle w:val="62"/>
                    <w:adjustRightInd w:val="0"/>
                    <w:snapToGrid w:val="0"/>
                    <w:jc w:val="center"/>
                    <w:rPr>
                      <w:rFonts w:hint="default" w:ascii="Times New Roman" w:hAnsi="Times New Roman" w:cs="Times New Roman"/>
                      <w:snapToGrid w:val="0"/>
                      <w:color w:val="auto"/>
                      <w:spacing w:val="-2"/>
                      <w:kern w:val="2"/>
                      <w:sz w:val="21"/>
                      <w:szCs w:val="21"/>
                    </w:rPr>
                  </w:pPr>
                  <w:r>
                    <w:rPr>
                      <w:rFonts w:hint="default" w:ascii="Times New Roman" w:hAnsi="Times New Roman" w:eastAsia="宋体" w:cs="Times New Roman"/>
                      <w:snapToGrid w:val="0"/>
                      <w:color w:val="auto"/>
                      <w:spacing w:val="-2"/>
                      <w:kern w:val="2"/>
                      <w:sz w:val="21"/>
                      <w:szCs w:val="21"/>
                    </w:rPr>
                    <w:t>点位编号</w:t>
                  </w:r>
                </w:p>
              </w:tc>
              <w:tc>
                <w:tcPr>
                  <w:tcW w:w="32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BD3CD6">
                  <w:pPr>
                    <w:pStyle w:val="62"/>
                    <w:adjustRightInd w:val="0"/>
                    <w:snapToGrid w:val="0"/>
                    <w:jc w:val="center"/>
                    <w:rPr>
                      <w:rFonts w:hint="default" w:ascii="Times New Roman" w:hAnsi="Times New Roman" w:cs="Times New Roman"/>
                      <w:snapToGrid w:val="0"/>
                      <w:color w:val="auto"/>
                      <w:spacing w:val="-2"/>
                      <w:kern w:val="2"/>
                      <w:sz w:val="21"/>
                      <w:szCs w:val="21"/>
                    </w:rPr>
                  </w:pPr>
                  <w:r>
                    <w:rPr>
                      <w:rFonts w:hint="default" w:ascii="Times New Roman" w:hAnsi="Times New Roman" w:eastAsia="宋体" w:cs="Times New Roman"/>
                      <w:snapToGrid w:val="0"/>
                      <w:color w:val="auto"/>
                      <w:spacing w:val="-2"/>
                      <w:kern w:val="2"/>
                      <w:sz w:val="21"/>
                      <w:szCs w:val="21"/>
                    </w:rPr>
                    <w:t>距本项目方位及距离</w:t>
                  </w:r>
                </w:p>
              </w:tc>
              <w:tc>
                <w:tcPr>
                  <w:tcW w:w="39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9373BC">
                  <w:pPr>
                    <w:pStyle w:val="62"/>
                    <w:adjustRightInd w:val="0"/>
                    <w:snapToGrid w:val="0"/>
                    <w:jc w:val="center"/>
                    <w:rPr>
                      <w:rFonts w:hint="default" w:ascii="Times New Roman" w:hAnsi="Times New Roman" w:cs="Times New Roman"/>
                      <w:snapToGrid w:val="0"/>
                      <w:color w:val="auto"/>
                      <w:spacing w:val="-2"/>
                      <w:kern w:val="2"/>
                      <w:sz w:val="21"/>
                      <w:szCs w:val="21"/>
                    </w:rPr>
                  </w:pPr>
                  <w:r>
                    <w:rPr>
                      <w:rFonts w:hint="default" w:ascii="Times New Roman" w:hAnsi="Times New Roman" w:eastAsia="宋体" w:cs="Times New Roman"/>
                      <w:snapToGrid w:val="0"/>
                      <w:color w:val="auto"/>
                      <w:spacing w:val="-2"/>
                      <w:kern w:val="2"/>
                      <w:sz w:val="21"/>
                      <w:szCs w:val="21"/>
                    </w:rPr>
                    <w:t>引用监测因子</w:t>
                  </w:r>
                </w:p>
              </w:tc>
            </w:tr>
            <w:tr w14:paraId="09D92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44" w:type="dxa"/>
                  <w:tcBorders>
                    <w:top w:val="single" w:color="000000" w:sz="4" w:space="0"/>
                    <w:left w:val="single" w:color="auto" w:sz="4" w:space="0"/>
                    <w:bottom w:val="single" w:color="000000" w:sz="4" w:space="0"/>
                    <w:right w:val="single" w:color="000000" w:sz="4" w:space="0"/>
                    <w:tl2br w:val="nil"/>
                    <w:tr2bl w:val="nil"/>
                  </w:tcBorders>
                  <w:noWrap w:val="0"/>
                  <w:vAlign w:val="top"/>
                </w:tcPr>
                <w:p w14:paraId="3C5ED423">
                  <w:pPr>
                    <w:spacing w:line="320" w:lineRule="exact"/>
                    <w:jc w:val="center"/>
                    <w:rPr>
                      <w:rFonts w:hint="default" w:ascii="Times New Roman" w:hAnsi="Times New Roman" w:eastAsia="宋体" w:cs="Times New Roman"/>
                      <w:snapToGrid w:val="0"/>
                      <w:color w:val="auto"/>
                      <w:spacing w:val="-2"/>
                      <w:sz w:val="21"/>
                      <w:szCs w:val="21"/>
                    </w:rPr>
                  </w:pPr>
                  <w:r>
                    <w:rPr>
                      <w:rFonts w:hint="default" w:ascii="Times New Roman" w:hAnsi="Times New Roman" w:cs="Times New Roman"/>
                      <w:color w:val="auto"/>
                      <w:sz w:val="21"/>
                      <w:szCs w:val="21"/>
                    </w:rPr>
                    <w:t>G1</w:t>
                  </w:r>
                </w:p>
              </w:tc>
              <w:tc>
                <w:tcPr>
                  <w:tcW w:w="3252" w:type="dxa"/>
                  <w:tcBorders>
                    <w:top w:val="single" w:color="000000" w:sz="4" w:space="0"/>
                    <w:left w:val="single" w:color="000000" w:sz="4" w:space="0"/>
                    <w:bottom w:val="single" w:color="auto" w:sz="4" w:space="0"/>
                    <w:right w:val="single" w:color="000000" w:sz="4" w:space="0"/>
                    <w:tl2br w:val="nil"/>
                    <w:tr2bl w:val="nil"/>
                  </w:tcBorders>
                  <w:noWrap w:val="0"/>
                  <w:vAlign w:val="center"/>
                </w:tcPr>
                <w:p w14:paraId="4EFDEC7A">
                  <w:pPr>
                    <w:pStyle w:val="62"/>
                    <w:adjustRightInd w:val="0"/>
                    <w:snapToGrid w:val="0"/>
                    <w:jc w:val="center"/>
                    <w:rPr>
                      <w:rFonts w:hint="default" w:ascii="Times New Roman" w:hAnsi="Times New Roman" w:cs="Times New Roman"/>
                      <w:snapToGrid w:val="0"/>
                      <w:color w:val="auto"/>
                      <w:spacing w:val="-2"/>
                      <w:kern w:val="2"/>
                      <w:sz w:val="21"/>
                      <w:szCs w:val="21"/>
                    </w:rPr>
                  </w:pPr>
                  <w:r>
                    <w:rPr>
                      <w:rFonts w:hint="default" w:ascii="Times New Roman" w:hAnsi="Times New Roman" w:eastAsia="宋体" w:cs="Times New Roman"/>
                      <w:snapToGrid w:val="0"/>
                      <w:color w:val="auto"/>
                      <w:spacing w:val="-2"/>
                      <w:kern w:val="2"/>
                      <w:sz w:val="21"/>
                      <w:szCs w:val="21"/>
                      <w:lang w:val="en-US" w:eastAsia="zh-CN"/>
                    </w:rPr>
                    <w:t>东</w:t>
                  </w:r>
                  <w:r>
                    <w:rPr>
                      <w:rFonts w:hint="default" w:ascii="Times New Roman" w:hAnsi="Times New Roman" w:eastAsia="宋体" w:cs="Times New Roman"/>
                      <w:snapToGrid w:val="0"/>
                      <w:color w:val="auto"/>
                      <w:spacing w:val="-2"/>
                      <w:kern w:val="2"/>
                      <w:sz w:val="21"/>
                      <w:szCs w:val="21"/>
                    </w:rPr>
                    <w:t>南，</w:t>
                  </w:r>
                  <w:r>
                    <w:rPr>
                      <w:rFonts w:hint="default" w:ascii="Times New Roman" w:hAnsi="Times New Roman" w:eastAsia="宋体" w:cs="Times New Roman"/>
                      <w:snapToGrid w:val="0"/>
                      <w:color w:val="auto"/>
                      <w:spacing w:val="-2"/>
                      <w:kern w:val="2"/>
                      <w:sz w:val="21"/>
                      <w:szCs w:val="21"/>
                      <w:lang w:val="en-US" w:eastAsia="zh-CN"/>
                    </w:rPr>
                    <w:t>985</w:t>
                  </w:r>
                  <w:r>
                    <w:rPr>
                      <w:rFonts w:hint="default" w:ascii="Times New Roman" w:hAnsi="Times New Roman" w:eastAsia="宋体" w:cs="Times New Roman"/>
                      <w:snapToGrid w:val="0"/>
                      <w:color w:val="auto"/>
                      <w:spacing w:val="-2"/>
                      <w:kern w:val="2"/>
                      <w:sz w:val="21"/>
                      <w:szCs w:val="21"/>
                    </w:rPr>
                    <w:t>m</w:t>
                  </w:r>
                </w:p>
              </w:tc>
              <w:tc>
                <w:tcPr>
                  <w:tcW w:w="3991" w:type="dxa"/>
                  <w:tcBorders>
                    <w:top w:val="single" w:color="000000" w:sz="4" w:space="0"/>
                    <w:left w:val="single" w:color="000000" w:sz="4" w:space="0"/>
                    <w:bottom w:val="single" w:color="auto" w:sz="4" w:space="0"/>
                    <w:right w:val="single" w:color="000000" w:sz="4" w:space="0"/>
                    <w:tl2br w:val="nil"/>
                    <w:tr2bl w:val="nil"/>
                  </w:tcBorders>
                  <w:noWrap w:val="0"/>
                  <w:vAlign w:val="center"/>
                </w:tcPr>
                <w:p w14:paraId="684CAFB8">
                  <w:pPr>
                    <w:pStyle w:val="62"/>
                    <w:adjustRightInd w:val="0"/>
                    <w:snapToGrid w:val="0"/>
                    <w:jc w:val="center"/>
                    <w:rPr>
                      <w:rFonts w:hint="default" w:ascii="Times New Roman" w:hAnsi="Times New Roman" w:cs="Times New Roman"/>
                      <w:snapToGrid w:val="0"/>
                      <w:color w:val="auto"/>
                      <w:spacing w:val="-2"/>
                      <w:kern w:val="2"/>
                      <w:sz w:val="21"/>
                      <w:szCs w:val="21"/>
                    </w:rPr>
                  </w:pPr>
                  <w:r>
                    <w:rPr>
                      <w:rFonts w:hint="default" w:ascii="Times New Roman" w:hAnsi="Times New Roman" w:eastAsia="宋体" w:cs="Times New Roman"/>
                      <w:snapToGrid w:val="0"/>
                      <w:color w:val="auto"/>
                      <w:spacing w:val="-2"/>
                      <w:kern w:val="2"/>
                      <w:sz w:val="21"/>
                      <w:szCs w:val="21"/>
                    </w:rPr>
                    <w:t>TSP</w:t>
                  </w:r>
                </w:p>
              </w:tc>
            </w:tr>
          </w:tbl>
          <w:p w14:paraId="161D1B56">
            <w:pPr>
              <w:tabs>
                <w:tab w:val="left" w:pos="1401"/>
                <w:tab w:val="left" w:pos="5853"/>
              </w:tabs>
              <w:spacing w:after="37"/>
              <w:ind w:right="18"/>
              <w:jc w:val="center"/>
              <w:rPr>
                <w:rFonts w:hint="eastAsia"/>
                <w:b/>
                <w:color w:val="auto"/>
                <w:sz w:val="21"/>
                <w:szCs w:val="21"/>
              </w:rPr>
            </w:pPr>
            <w:r>
              <w:rPr>
                <w:rFonts w:hint="default" w:ascii="宋体" w:eastAsia="宋体"/>
                <w:b/>
                <w:color w:val="auto"/>
                <w:sz w:val="21"/>
                <w:szCs w:val="21"/>
              </w:rPr>
              <w:t>表</w:t>
            </w:r>
            <w:r>
              <w:rPr>
                <w:rFonts w:hint="eastAsia"/>
                <w:b/>
                <w:color w:val="auto"/>
                <w:sz w:val="21"/>
                <w:szCs w:val="21"/>
              </w:rPr>
              <w:t xml:space="preserve">3-3  </w:t>
            </w:r>
            <w:r>
              <w:rPr>
                <w:rFonts w:hint="default" w:ascii="宋体" w:eastAsia="宋体"/>
                <w:b/>
                <w:color w:val="auto"/>
                <w:sz w:val="21"/>
                <w:szCs w:val="21"/>
              </w:rPr>
              <w:t>环境空气现状监测评价结果表</w:t>
            </w:r>
            <w:r>
              <w:rPr>
                <w:rFonts w:hint="eastAsia"/>
                <w:b/>
                <w:color w:val="auto"/>
                <w:sz w:val="21"/>
                <w:szCs w:val="21"/>
              </w:rPr>
              <w:t xml:space="preserve">   </w:t>
            </w:r>
            <w:r>
              <w:rPr>
                <w:rFonts w:hint="default" w:ascii="宋体" w:eastAsia="宋体"/>
                <w:b/>
                <w:color w:val="auto"/>
                <w:sz w:val="21"/>
                <w:szCs w:val="21"/>
              </w:rPr>
              <w:t>单位：mg/</w:t>
            </w:r>
            <w:r>
              <w:rPr>
                <w:rFonts w:hint="eastAsia"/>
                <w:b/>
                <w:color w:val="auto"/>
                <w:sz w:val="21"/>
                <w:szCs w:val="21"/>
              </w:rPr>
              <w:t>m</w:t>
            </w:r>
            <w:r>
              <w:rPr>
                <w:rFonts w:hint="eastAsia"/>
                <w:b/>
                <w:color w:val="auto"/>
                <w:sz w:val="21"/>
                <w:szCs w:val="21"/>
                <w:vertAlign w:val="superscript"/>
              </w:rPr>
              <w:t>3</w:t>
            </w:r>
          </w:p>
          <w:tbl>
            <w:tblPr>
              <w:tblStyle w:val="25"/>
              <w:tblW w:w="8887"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483"/>
              <w:gridCol w:w="1257"/>
              <w:gridCol w:w="1506"/>
              <w:gridCol w:w="1480"/>
              <w:gridCol w:w="1288"/>
              <w:gridCol w:w="1005"/>
              <w:gridCol w:w="868"/>
            </w:tblGrid>
            <w:tr w14:paraId="7B80BD6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83" w:type="dxa"/>
                  <w:vMerge w:val="restart"/>
                  <w:tcBorders>
                    <w:top w:val="single" w:color="auto" w:sz="4" w:space="0"/>
                    <w:left w:val="single" w:color="auto" w:sz="4" w:space="0"/>
                    <w:bottom w:val="single" w:color="000000" w:sz="4" w:space="0"/>
                    <w:right w:val="single" w:color="000000" w:sz="4" w:space="0"/>
                    <w:tl2br w:val="nil"/>
                    <w:tr2bl w:val="nil"/>
                  </w:tcBorders>
                  <w:noWrap w:val="0"/>
                  <w:vAlign w:val="center"/>
                </w:tcPr>
                <w:p w14:paraId="3E3735C5">
                  <w:pPr>
                    <w:autoSpaceDE w:val="0"/>
                    <w:spacing w:line="300" w:lineRule="exact"/>
                    <w:ind w:left="-105" w:leftChars="-50" w:right="-105" w:rightChars="-50"/>
                    <w:jc w:val="center"/>
                    <w:rPr>
                      <w:rFonts w:hint="default" w:ascii="Times New Roman" w:hAnsi="Times New Roman" w:cs="Times New Roman"/>
                      <w:color w:val="auto"/>
                      <w:spacing w:val="-2"/>
                      <w:kern w:val="0"/>
                      <w:sz w:val="21"/>
                      <w:szCs w:val="21"/>
                    </w:rPr>
                  </w:pPr>
                  <w:r>
                    <w:rPr>
                      <w:rFonts w:hint="default" w:ascii="Times New Roman" w:hAnsi="Times New Roman" w:eastAsia="宋体" w:cs="Times New Roman"/>
                      <w:color w:val="auto"/>
                      <w:spacing w:val="-2"/>
                      <w:kern w:val="0"/>
                      <w:sz w:val="21"/>
                      <w:szCs w:val="21"/>
                      <w:lang w:bidi="ar"/>
                    </w:rPr>
                    <w:t>监测点位</w:t>
                  </w:r>
                </w:p>
              </w:tc>
              <w:tc>
                <w:tcPr>
                  <w:tcW w:w="1257" w:type="dxa"/>
                  <w:vMerge w:val="restart"/>
                  <w:tcBorders>
                    <w:top w:val="single" w:color="auto" w:sz="4" w:space="0"/>
                    <w:left w:val="nil"/>
                    <w:bottom w:val="single" w:color="000000" w:sz="4" w:space="0"/>
                    <w:right w:val="single" w:color="000000" w:sz="4" w:space="0"/>
                    <w:tl2br w:val="nil"/>
                    <w:tr2bl w:val="nil"/>
                  </w:tcBorders>
                  <w:noWrap w:val="0"/>
                  <w:vAlign w:val="center"/>
                </w:tcPr>
                <w:p w14:paraId="0311777E">
                  <w:pPr>
                    <w:autoSpaceDE w:val="0"/>
                    <w:spacing w:line="300" w:lineRule="exact"/>
                    <w:ind w:left="-105" w:leftChars="-50" w:right="-105" w:rightChars="-50"/>
                    <w:jc w:val="center"/>
                    <w:rPr>
                      <w:rFonts w:hint="default" w:ascii="Times New Roman" w:hAnsi="Times New Roman" w:cs="Times New Roman"/>
                      <w:color w:val="auto"/>
                      <w:spacing w:val="-2"/>
                      <w:kern w:val="0"/>
                      <w:sz w:val="21"/>
                      <w:szCs w:val="21"/>
                    </w:rPr>
                  </w:pPr>
                  <w:r>
                    <w:rPr>
                      <w:rFonts w:hint="default" w:ascii="Times New Roman" w:hAnsi="Times New Roman" w:eastAsia="宋体" w:cs="Times New Roman"/>
                      <w:color w:val="auto"/>
                      <w:spacing w:val="-2"/>
                      <w:kern w:val="0"/>
                      <w:sz w:val="21"/>
                      <w:szCs w:val="21"/>
                      <w:lang w:bidi="ar"/>
                    </w:rPr>
                    <w:t>污染物</w:t>
                  </w:r>
                </w:p>
              </w:tc>
              <w:tc>
                <w:tcPr>
                  <w:tcW w:w="1506" w:type="dxa"/>
                  <w:tcBorders>
                    <w:top w:val="single" w:color="auto" w:sz="4" w:space="0"/>
                    <w:left w:val="single" w:color="auto" w:sz="4" w:space="0"/>
                    <w:bottom w:val="nil"/>
                    <w:right w:val="single" w:color="000000" w:sz="4" w:space="0"/>
                    <w:tl2br w:val="nil"/>
                    <w:tr2bl w:val="nil"/>
                  </w:tcBorders>
                  <w:noWrap w:val="0"/>
                  <w:vAlign w:val="center"/>
                </w:tcPr>
                <w:p w14:paraId="0E861985">
                  <w:pPr>
                    <w:widowControl/>
                    <w:autoSpaceDE w:val="0"/>
                    <w:ind w:left="-105" w:leftChars="-50" w:right="-105" w:rightChars="-5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日均浓度值</w:t>
                  </w:r>
                </w:p>
              </w:tc>
              <w:tc>
                <w:tcPr>
                  <w:tcW w:w="1480" w:type="dxa"/>
                  <w:vMerge w:val="restart"/>
                  <w:tcBorders>
                    <w:top w:val="single" w:color="auto" w:sz="4" w:space="0"/>
                    <w:left w:val="nil"/>
                    <w:bottom w:val="single" w:color="000000" w:sz="4" w:space="0"/>
                    <w:right w:val="single" w:color="000000" w:sz="4" w:space="0"/>
                    <w:tl2br w:val="nil"/>
                    <w:tr2bl w:val="nil"/>
                  </w:tcBorders>
                  <w:noWrap w:val="0"/>
                  <w:vAlign w:val="center"/>
                </w:tcPr>
                <w:p w14:paraId="14D28B44">
                  <w:pPr>
                    <w:autoSpaceDE w:val="0"/>
                    <w:spacing w:line="300" w:lineRule="exact"/>
                    <w:ind w:left="-105" w:leftChars="-50" w:right="-105" w:rightChars="-50"/>
                    <w:jc w:val="center"/>
                    <w:rPr>
                      <w:rFonts w:hint="default" w:ascii="Times New Roman" w:hAnsi="Times New Roman" w:cs="Times New Roman"/>
                      <w:color w:val="auto"/>
                      <w:spacing w:val="-2"/>
                      <w:kern w:val="0"/>
                      <w:sz w:val="21"/>
                      <w:szCs w:val="21"/>
                    </w:rPr>
                  </w:pPr>
                  <w:r>
                    <w:rPr>
                      <w:rFonts w:hint="default" w:ascii="Times New Roman" w:hAnsi="Times New Roman" w:eastAsia="宋体" w:cs="Times New Roman"/>
                      <w:color w:val="auto"/>
                      <w:spacing w:val="-2"/>
                      <w:kern w:val="0"/>
                      <w:sz w:val="21"/>
                      <w:szCs w:val="21"/>
                      <w:lang w:bidi="ar"/>
                    </w:rPr>
                    <w:t>评价标准mg/m</w:t>
                  </w:r>
                  <w:r>
                    <w:rPr>
                      <w:rFonts w:hint="default" w:ascii="Times New Roman" w:hAnsi="Times New Roman" w:cs="Times New Roman"/>
                      <w:color w:val="auto"/>
                      <w:spacing w:val="-2"/>
                      <w:kern w:val="0"/>
                      <w:sz w:val="21"/>
                      <w:szCs w:val="21"/>
                      <w:vertAlign w:val="superscript"/>
                      <w:lang w:bidi="ar"/>
                    </w:rPr>
                    <w:t>3</w:t>
                  </w:r>
                </w:p>
              </w:tc>
              <w:tc>
                <w:tcPr>
                  <w:tcW w:w="1288" w:type="dxa"/>
                  <w:vMerge w:val="restart"/>
                  <w:tcBorders>
                    <w:top w:val="single" w:color="auto" w:sz="4" w:space="0"/>
                    <w:left w:val="nil"/>
                    <w:bottom w:val="single" w:color="000000" w:sz="4" w:space="0"/>
                    <w:right w:val="single" w:color="000000" w:sz="4" w:space="0"/>
                    <w:tl2br w:val="nil"/>
                    <w:tr2bl w:val="nil"/>
                  </w:tcBorders>
                  <w:noWrap w:val="0"/>
                  <w:vAlign w:val="center"/>
                </w:tcPr>
                <w:p w14:paraId="4B0052F4">
                  <w:pPr>
                    <w:autoSpaceDE w:val="0"/>
                    <w:spacing w:line="300" w:lineRule="exact"/>
                    <w:ind w:left="-105" w:leftChars="-50" w:right="-105" w:rightChars="-50"/>
                    <w:jc w:val="center"/>
                    <w:rPr>
                      <w:rFonts w:hint="default" w:ascii="Times New Roman" w:hAnsi="Times New Roman" w:cs="Times New Roman"/>
                      <w:color w:val="auto"/>
                      <w:spacing w:val="-2"/>
                      <w:kern w:val="0"/>
                      <w:sz w:val="21"/>
                      <w:szCs w:val="21"/>
                    </w:rPr>
                  </w:pPr>
                  <w:r>
                    <w:rPr>
                      <w:rFonts w:hint="default" w:ascii="Times New Roman" w:hAnsi="Times New Roman" w:eastAsia="宋体" w:cs="Times New Roman"/>
                      <w:color w:val="auto"/>
                      <w:spacing w:val="-2"/>
                      <w:kern w:val="0"/>
                      <w:sz w:val="21"/>
                      <w:szCs w:val="21"/>
                      <w:lang w:bidi="ar"/>
                    </w:rPr>
                    <w:t>最大浓度占标率%</w:t>
                  </w:r>
                </w:p>
              </w:tc>
              <w:tc>
                <w:tcPr>
                  <w:tcW w:w="1005" w:type="dxa"/>
                  <w:vMerge w:val="restart"/>
                  <w:tcBorders>
                    <w:top w:val="single" w:color="auto" w:sz="4" w:space="0"/>
                    <w:left w:val="nil"/>
                    <w:bottom w:val="single" w:color="000000" w:sz="4" w:space="0"/>
                    <w:right w:val="single" w:color="000000" w:sz="4" w:space="0"/>
                    <w:tl2br w:val="nil"/>
                    <w:tr2bl w:val="nil"/>
                  </w:tcBorders>
                  <w:noWrap w:val="0"/>
                  <w:vAlign w:val="center"/>
                </w:tcPr>
                <w:p w14:paraId="1796749D">
                  <w:pPr>
                    <w:autoSpaceDE w:val="0"/>
                    <w:spacing w:line="300" w:lineRule="exact"/>
                    <w:ind w:left="-105" w:leftChars="-50" w:right="-105" w:rightChars="-50"/>
                    <w:jc w:val="center"/>
                    <w:rPr>
                      <w:rFonts w:hint="default" w:ascii="Times New Roman" w:hAnsi="Times New Roman" w:cs="Times New Roman"/>
                      <w:color w:val="auto"/>
                      <w:spacing w:val="-2"/>
                      <w:kern w:val="0"/>
                      <w:sz w:val="21"/>
                      <w:szCs w:val="21"/>
                    </w:rPr>
                  </w:pPr>
                  <w:r>
                    <w:rPr>
                      <w:rFonts w:hint="default" w:ascii="Times New Roman" w:hAnsi="Times New Roman" w:eastAsia="宋体" w:cs="Times New Roman"/>
                      <w:color w:val="auto"/>
                      <w:spacing w:val="-2"/>
                      <w:kern w:val="0"/>
                      <w:sz w:val="21"/>
                      <w:szCs w:val="21"/>
                      <w:lang w:bidi="ar"/>
                    </w:rPr>
                    <w:t>超标率%</w:t>
                  </w:r>
                </w:p>
              </w:tc>
              <w:tc>
                <w:tcPr>
                  <w:tcW w:w="868" w:type="dxa"/>
                  <w:vMerge w:val="restart"/>
                  <w:tcBorders>
                    <w:top w:val="single" w:color="auto" w:sz="4" w:space="0"/>
                    <w:left w:val="nil"/>
                    <w:bottom w:val="single" w:color="000000" w:sz="4" w:space="0"/>
                    <w:right w:val="single" w:color="auto" w:sz="4" w:space="0"/>
                    <w:tl2br w:val="nil"/>
                    <w:tr2bl w:val="nil"/>
                  </w:tcBorders>
                  <w:noWrap w:val="0"/>
                  <w:vAlign w:val="center"/>
                </w:tcPr>
                <w:p w14:paraId="4B0FC48E">
                  <w:pPr>
                    <w:autoSpaceDE w:val="0"/>
                    <w:spacing w:line="300" w:lineRule="exact"/>
                    <w:ind w:left="-105" w:leftChars="-50" w:right="-105" w:rightChars="-50"/>
                    <w:jc w:val="center"/>
                    <w:rPr>
                      <w:rFonts w:hint="default" w:ascii="Times New Roman" w:hAnsi="Times New Roman" w:cs="Times New Roman"/>
                      <w:color w:val="auto"/>
                      <w:spacing w:val="-2"/>
                      <w:kern w:val="0"/>
                      <w:sz w:val="21"/>
                      <w:szCs w:val="21"/>
                    </w:rPr>
                  </w:pPr>
                  <w:r>
                    <w:rPr>
                      <w:rFonts w:hint="default" w:ascii="Times New Roman" w:hAnsi="Times New Roman" w:eastAsia="宋体" w:cs="Times New Roman"/>
                      <w:color w:val="auto"/>
                      <w:spacing w:val="-2"/>
                      <w:kern w:val="0"/>
                      <w:sz w:val="21"/>
                      <w:szCs w:val="21"/>
                      <w:lang w:bidi="ar"/>
                    </w:rPr>
                    <w:t>达标情况</w:t>
                  </w:r>
                </w:p>
              </w:tc>
            </w:tr>
            <w:tr w14:paraId="4804A0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83" w:type="dxa"/>
                  <w:vMerge w:val="continue"/>
                  <w:tcBorders>
                    <w:top w:val="single" w:color="auto" w:sz="4" w:space="0"/>
                    <w:left w:val="single" w:color="auto" w:sz="4" w:space="0"/>
                    <w:bottom w:val="single" w:color="000000" w:sz="4" w:space="0"/>
                    <w:right w:val="single" w:color="000000" w:sz="4" w:space="0"/>
                    <w:tl2br w:val="nil"/>
                    <w:tr2bl w:val="nil"/>
                  </w:tcBorders>
                  <w:noWrap w:val="0"/>
                  <w:vAlign w:val="center"/>
                </w:tcPr>
                <w:p w14:paraId="724AA7AC">
                  <w:pPr>
                    <w:rPr>
                      <w:rFonts w:hint="default" w:ascii="Times New Roman" w:hAnsi="Times New Roman" w:cs="Times New Roman"/>
                      <w:color w:val="auto"/>
                      <w:sz w:val="21"/>
                      <w:szCs w:val="21"/>
                    </w:rPr>
                  </w:pPr>
                </w:p>
              </w:tc>
              <w:tc>
                <w:tcPr>
                  <w:tcW w:w="1257" w:type="dxa"/>
                  <w:vMerge w:val="continue"/>
                  <w:tcBorders>
                    <w:top w:val="single" w:color="auto" w:sz="4" w:space="0"/>
                    <w:left w:val="nil"/>
                    <w:bottom w:val="single" w:color="000000" w:sz="4" w:space="0"/>
                    <w:right w:val="single" w:color="000000" w:sz="4" w:space="0"/>
                    <w:tl2br w:val="nil"/>
                    <w:tr2bl w:val="nil"/>
                  </w:tcBorders>
                  <w:noWrap w:val="0"/>
                  <w:vAlign w:val="center"/>
                </w:tcPr>
                <w:p w14:paraId="3A94081C">
                  <w:pPr>
                    <w:rPr>
                      <w:rFonts w:hint="default" w:ascii="Times New Roman" w:hAnsi="Times New Roman" w:cs="Times New Roman"/>
                      <w:color w:val="auto"/>
                      <w:sz w:val="21"/>
                      <w:szCs w:val="21"/>
                    </w:rPr>
                  </w:pPr>
                </w:p>
              </w:tc>
              <w:tc>
                <w:tcPr>
                  <w:tcW w:w="1506"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473ACFD9">
                  <w:pPr>
                    <w:autoSpaceDE w:val="0"/>
                    <w:spacing w:line="300" w:lineRule="exact"/>
                    <w:ind w:left="-105" w:leftChars="-50" w:right="-105" w:rightChars="-50"/>
                    <w:jc w:val="center"/>
                    <w:rPr>
                      <w:rFonts w:hint="default" w:ascii="Times New Roman" w:hAnsi="Times New Roman" w:eastAsia="宋体" w:cs="Times New Roman"/>
                      <w:color w:val="auto"/>
                      <w:spacing w:val="-2"/>
                      <w:kern w:val="0"/>
                      <w:sz w:val="21"/>
                      <w:szCs w:val="21"/>
                      <w:lang w:bidi="ar"/>
                    </w:rPr>
                  </w:pPr>
                  <w:r>
                    <w:rPr>
                      <w:rFonts w:hint="default" w:ascii="Times New Roman" w:hAnsi="Times New Roman" w:eastAsia="宋体" w:cs="Times New Roman"/>
                      <w:color w:val="auto"/>
                      <w:spacing w:val="-2"/>
                      <w:kern w:val="0"/>
                      <w:sz w:val="21"/>
                      <w:szCs w:val="21"/>
                      <w:lang w:bidi="ar"/>
                    </w:rPr>
                    <w:t>浓度范围mg/m3</w:t>
                  </w:r>
                </w:p>
              </w:tc>
              <w:tc>
                <w:tcPr>
                  <w:tcW w:w="1480" w:type="dxa"/>
                  <w:vMerge w:val="continue"/>
                  <w:tcBorders>
                    <w:top w:val="single" w:color="auto" w:sz="4" w:space="0"/>
                    <w:left w:val="nil"/>
                    <w:bottom w:val="single" w:color="000000" w:sz="4" w:space="0"/>
                    <w:right w:val="single" w:color="000000" w:sz="4" w:space="0"/>
                    <w:tl2br w:val="nil"/>
                    <w:tr2bl w:val="nil"/>
                  </w:tcBorders>
                  <w:noWrap w:val="0"/>
                  <w:vAlign w:val="center"/>
                </w:tcPr>
                <w:p w14:paraId="33AA19EB">
                  <w:pPr>
                    <w:rPr>
                      <w:rFonts w:hint="default" w:ascii="Times New Roman" w:hAnsi="Times New Roman" w:cs="Times New Roman"/>
                      <w:color w:val="auto"/>
                      <w:sz w:val="21"/>
                      <w:szCs w:val="21"/>
                    </w:rPr>
                  </w:pPr>
                </w:p>
              </w:tc>
              <w:tc>
                <w:tcPr>
                  <w:tcW w:w="1288" w:type="dxa"/>
                  <w:vMerge w:val="continue"/>
                  <w:tcBorders>
                    <w:top w:val="single" w:color="auto" w:sz="4" w:space="0"/>
                    <w:left w:val="nil"/>
                    <w:bottom w:val="single" w:color="000000" w:sz="4" w:space="0"/>
                    <w:right w:val="single" w:color="000000" w:sz="4" w:space="0"/>
                    <w:tl2br w:val="nil"/>
                    <w:tr2bl w:val="nil"/>
                  </w:tcBorders>
                  <w:noWrap w:val="0"/>
                  <w:vAlign w:val="center"/>
                </w:tcPr>
                <w:p w14:paraId="367755F1">
                  <w:pPr>
                    <w:rPr>
                      <w:rFonts w:hint="default" w:ascii="Times New Roman" w:hAnsi="Times New Roman" w:cs="Times New Roman"/>
                      <w:color w:val="auto"/>
                      <w:sz w:val="21"/>
                      <w:szCs w:val="21"/>
                    </w:rPr>
                  </w:pPr>
                </w:p>
              </w:tc>
              <w:tc>
                <w:tcPr>
                  <w:tcW w:w="1005" w:type="dxa"/>
                  <w:vMerge w:val="continue"/>
                  <w:tcBorders>
                    <w:top w:val="single" w:color="auto" w:sz="4" w:space="0"/>
                    <w:left w:val="nil"/>
                    <w:bottom w:val="single" w:color="000000" w:sz="4" w:space="0"/>
                    <w:right w:val="single" w:color="000000" w:sz="4" w:space="0"/>
                    <w:tl2br w:val="nil"/>
                    <w:tr2bl w:val="nil"/>
                  </w:tcBorders>
                  <w:noWrap w:val="0"/>
                  <w:vAlign w:val="center"/>
                </w:tcPr>
                <w:p w14:paraId="6905EF3D">
                  <w:pPr>
                    <w:rPr>
                      <w:rFonts w:hint="default" w:ascii="Times New Roman" w:hAnsi="Times New Roman" w:cs="Times New Roman"/>
                      <w:color w:val="auto"/>
                      <w:sz w:val="21"/>
                      <w:szCs w:val="21"/>
                    </w:rPr>
                  </w:pPr>
                </w:p>
              </w:tc>
              <w:tc>
                <w:tcPr>
                  <w:tcW w:w="868" w:type="dxa"/>
                  <w:vMerge w:val="continue"/>
                  <w:tcBorders>
                    <w:top w:val="single" w:color="auto" w:sz="4" w:space="0"/>
                    <w:left w:val="nil"/>
                    <w:bottom w:val="single" w:color="000000" w:sz="4" w:space="0"/>
                    <w:right w:val="single" w:color="auto" w:sz="4" w:space="0"/>
                    <w:tl2br w:val="nil"/>
                    <w:tr2bl w:val="nil"/>
                  </w:tcBorders>
                  <w:noWrap w:val="0"/>
                  <w:vAlign w:val="center"/>
                </w:tcPr>
                <w:p w14:paraId="2CAB70F7">
                  <w:pPr>
                    <w:rPr>
                      <w:rFonts w:hint="default" w:ascii="Times New Roman" w:hAnsi="Times New Roman" w:cs="Times New Roman"/>
                      <w:color w:val="auto"/>
                      <w:sz w:val="21"/>
                      <w:szCs w:val="21"/>
                    </w:rPr>
                  </w:pPr>
                </w:p>
              </w:tc>
            </w:tr>
            <w:tr w14:paraId="0A997C8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83" w:type="dxa"/>
                  <w:vMerge w:val="continue"/>
                  <w:tcBorders>
                    <w:top w:val="single" w:color="auto" w:sz="4" w:space="0"/>
                    <w:left w:val="single" w:color="auto" w:sz="4" w:space="0"/>
                    <w:bottom w:val="single" w:color="000000" w:sz="4" w:space="0"/>
                    <w:right w:val="single" w:color="000000" w:sz="4" w:space="0"/>
                    <w:tl2br w:val="nil"/>
                    <w:tr2bl w:val="nil"/>
                  </w:tcBorders>
                  <w:noWrap w:val="0"/>
                  <w:vAlign w:val="center"/>
                </w:tcPr>
                <w:p w14:paraId="75779676">
                  <w:pPr>
                    <w:rPr>
                      <w:rFonts w:hint="default" w:ascii="Times New Roman" w:hAnsi="Times New Roman" w:cs="Times New Roman"/>
                      <w:color w:val="auto"/>
                      <w:sz w:val="21"/>
                      <w:szCs w:val="21"/>
                    </w:rPr>
                  </w:pPr>
                </w:p>
              </w:tc>
              <w:tc>
                <w:tcPr>
                  <w:tcW w:w="1257" w:type="dxa"/>
                  <w:vMerge w:val="continue"/>
                  <w:tcBorders>
                    <w:top w:val="single" w:color="auto" w:sz="4" w:space="0"/>
                    <w:left w:val="nil"/>
                    <w:bottom w:val="single" w:color="000000" w:sz="4" w:space="0"/>
                    <w:right w:val="single" w:color="000000" w:sz="4" w:space="0"/>
                    <w:tl2br w:val="nil"/>
                    <w:tr2bl w:val="nil"/>
                  </w:tcBorders>
                  <w:noWrap w:val="0"/>
                  <w:vAlign w:val="center"/>
                </w:tcPr>
                <w:p w14:paraId="1AD87F4D">
                  <w:pPr>
                    <w:rPr>
                      <w:rFonts w:hint="default" w:ascii="Times New Roman" w:hAnsi="Times New Roman" w:cs="Times New Roman"/>
                      <w:color w:val="auto"/>
                      <w:sz w:val="21"/>
                      <w:szCs w:val="21"/>
                    </w:rPr>
                  </w:pPr>
                </w:p>
              </w:tc>
              <w:tc>
                <w:tcPr>
                  <w:tcW w:w="1506"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38C8C188">
                  <w:pPr>
                    <w:autoSpaceDE w:val="0"/>
                    <w:spacing w:line="300" w:lineRule="exact"/>
                    <w:ind w:left="-105" w:leftChars="-50" w:right="-105" w:rightChars="-50"/>
                    <w:jc w:val="center"/>
                    <w:rPr>
                      <w:rFonts w:hint="default" w:ascii="Times New Roman" w:hAnsi="Times New Roman" w:cs="Times New Roman"/>
                      <w:color w:val="auto"/>
                      <w:spacing w:val="-2"/>
                      <w:kern w:val="0"/>
                      <w:sz w:val="21"/>
                      <w:szCs w:val="21"/>
                    </w:rPr>
                  </w:pPr>
                  <w:r>
                    <w:rPr>
                      <w:rFonts w:hint="default" w:ascii="Times New Roman" w:hAnsi="Times New Roman" w:eastAsia="宋体" w:cs="Times New Roman"/>
                      <w:color w:val="auto"/>
                      <w:spacing w:val="-2"/>
                      <w:kern w:val="0"/>
                      <w:sz w:val="21"/>
                      <w:szCs w:val="21"/>
                      <w:lang w:bidi="ar"/>
                    </w:rPr>
                    <w:t>最大值</w:t>
                  </w:r>
                </w:p>
              </w:tc>
              <w:tc>
                <w:tcPr>
                  <w:tcW w:w="1480" w:type="dxa"/>
                  <w:vMerge w:val="continue"/>
                  <w:tcBorders>
                    <w:top w:val="single" w:color="auto" w:sz="4" w:space="0"/>
                    <w:left w:val="nil"/>
                    <w:bottom w:val="single" w:color="000000" w:sz="4" w:space="0"/>
                    <w:right w:val="single" w:color="000000" w:sz="4" w:space="0"/>
                    <w:tl2br w:val="nil"/>
                    <w:tr2bl w:val="nil"/>
                  </w:tcBorders>
                  <w:noWrap w:val="0"/>
                  <w:vAlign w:val="center"/>
                </w:tcPr>
                <w:p w14:paraId="2232E7AA">
                  <w:pPr>
                    <w:rPr>
                      <w:rFonts w:hint="default" w:ascii="Times New Roman" w:hAnsi="Times New Roman" w:cs="Times New Roman"/>
                      <w:color w:val="auto"/>
                      <w:sz w:val="21"/>
                      <w:szCs w:val="21"/>
                    </w:rPr>
                  </w:pPr>
                </w:p>
              </w:tc>
              <w:tc>
                <w:tcPr>
                  <w:tcW w:w="1288" w:type="dxa"/>
                  <w:vMerge w:val="continue"/>
                  <w:tcBorders>
                    <w:top w:val="single" w:color="auto" w:sz="4" w:space="0"/>
                    <w:left w:val="nil"/>
                    <w:bottom w:val="single" w:color="000000" w:sz="4" w:space="0"/>
                    <w:right w:val="single" w:color="000000" w:sz="4" w:space="0"/>
                    <w:tl2br w:val="nil"/>
                    <w:tr2bl w:val="nil"/>
                  </w:tcBorders>
                  <w:noWrap w:val="0"/>
                  <w:vAlign w:val="center"/>
                </w:tcPr>
                <w:p w14:paraId="17EA9825">
                  <w:pPr>
                    <w:rPr>
                      <w:rFonts w:hint="default" w:ascii="Times New Roman" w:hAnsi="Times New Roman" w:cs="Times New Roman"/>
                      <w:color w:val="auto"/>
                      <w:sz w:val="21"/>
                      <w:szCs w:val="21"/>
                    </w:rPr>
                  </w:pPr>
                </w:p>
              </w:tc>
              <w:tc>
                <w:tcPr>
                  <w:tcW w:w="1005" w:type="dxa"/>
                  <w:vMerge w:val="continue"/>
                  <w:tcBorders>
                    <w:top w:val="single" w:color="auto" w:sz="4" w:space="0"/>
                    <w:left w:val="nil"/>
                    <w:bottom w:val="single" w:color="000000" w:sz="4" w:space="0"/>
                    <w:right w:val="single" w:color="000000" w:sz="4" w:space="0"/>
                    <w:tl2br w:val="nil"/>
                    <w:tr2bl w:val="nil"/>
                  </w:tcBorders>
                  <w:noWrap w:val="0"/>
                  <w:vAlign w:val="center"/>
                </w:tcPr>
                <w:p w14:paraId="109F2A4C">
                  <w:pPr>
                    <w:rPr>
                      <w:rFonts w:hint="default" w:ascii="Times New Roman" w:hAnsi="Times New Roman" w:cs="Times New Roman"/>
                      <w:color w:val="auto"/>
                      <w:sz w:val="21"/>
                      <w:szCs w:val="21"/>
                    </w:rPr>
                  </w:pPr>
                </w:p>
              </w:tc>
              <w:tc>
                <w:tcPr>
                  <w:tcW w:w="868" w:type="dxa"/>
                  <w:vMerge w:val="continue"/>
                  <w:tcBorders>
                    <w:top w:val="single" w:color="auto" w:sz="4" w:space="0"/>
                    <w:left w:val="nil"/>
                    <w:bottom w:val="single" w:color="000000" w:sz="4" w:space="0"/>
                    <w:right w:val="single" w:color="auto" w:sz="4" w:space="0"/>
                    <w:tl2br w:val="nil"/>
                    <w:tr2bl w:val="nil"/>
                  </w:tcBorders>
                  <w:noWrap w:val="0"/>
                  <w:vAlign w:val="center"/>
                </w:tcPr>
                <w:p w14:paraId="0982A6F4">
                  <w:pPr>
                    <w:rPr>
                      <w:rFonts w:hint="default" w:ascii="Times New Roman" w:hAnsi="Times New Roman" w:cs="Times New Roman"/>
                      <w:color w:val="auto"/>
                      <w:sz w:val="21"/>
                      <w:szCs w:val="21"/>
                    </w:rPr>
                  </w:pPr>
                </w:p>
              </w:tc>
            </w:tr>
            <w:tr w14:paraId="78F8F3F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83"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4391E4AE">
                  <w:pPr>
                    <w:pStyle w:val="62"/>
                    <w:adjustRightInd w:val="0"/>
                    <w:snapToGrid w:val="0"/>
                    <w:jc w:val="center"/>
                    <w:rPr>
                      <w:rFonts w:hint="default" w:ascii="Times New Roman" w:hAnsi="Times New Roman" w:cs="Times New Roman"/>
                      <w:color w:val="auto"/>
                      <w:spacing w:val="-2"/>
                      <w:sz w:val="21"/>
                      <w:szCs w:val="21"/>
                    </w:rPr>
                  </w:pPr>
                  <w:r>
                    <w:rPr>
                      <w:rFonts w:hint="default" w:ascii="Times New Roman" w:hAnsi="Times New Roman" w:eastAsia="宋体" w:cs="Times New Roman"/>
                      <w:color w:val="auto"/>
                      <w:kern w:val="2"/>
                      <w:sz w:val="24"/>
                      <w:szCs w:val="21"/>
                    </w:rPr>
                    <w:t>G1</w:t>
                  </w:r>
                </w:p>
              </w:tc>
              <w:tc>
                <w:tcPr>
                  <w:tcW w:w="1257" w:type="dxa"/>
                  <w:tcBorders>
                    <w:top w:val="single" w:color="000000" w:sz="4" w:space="0"/>
                    <w:left w:val="nil"/>
                    <w:bottom w:val="single" w:color="000000" w:sz="4" w:space="0"/>
                    <w:right w:val="single" w:color="000000" w:sz="4" w:space="0"/>
                    <w:tl2br w:val="nil"/>
                    <w:tr2bl w:val="nil"/>
                  </w:tcBorders>
                  <w:noWrap w:val="0"/>
                  <w:vAlign w:val="center"/>
                </w:tcPr>
                <w:p w14:paraId="0A663BE2">
                  <w:pPr>
                    <w:autoSpaceDE w:val="0"/>
                    <w:spacing w:line="300" w:lineRule="exact"/>
                    <w:ind w:left="-105" w:leftChars="-50" w:right="-105" w:rightChars="-50"/>
                    <w:jc w:val="center"/>
                    <w:rPr>
                      <w:rFonts w:hint="default" w:ascii="Times New Roman" w:hAnsi="Times New Roman" w:cs="Times New Roman"/>
                      <w:color w:val="auto"/>
                      <w:spacing w:val="-2"/>
                      <w:kern w:val="0"/>
                      <w:sz w:val="21"/>
                      <w:szCs w:val="21"/>
                    </w:rPr>
                  </w:pPr>
                  <w:r>
                    <w:rPr>
                      <w:rFonts w:hint="default" w:ascii="Times New Roman" w:hAnsi="Times New Roman" w:cs="Times New Roman"/>
                      <w:color w:val="auto"/>
                      <w:spacing w:val="-2"/>
                      <w:kern w:val="0"/>
                      <w:sz w:val="21"/>
                      <w:szCs w:val="21"/>
                    </w:rPr>
                    <w:t>TSP</w:t>
                  </w:r>
                </w:p>
              </w:tc>
              <w:tc>
                <w:tcPr>
                  <w:tcW w:w="1506" w:type="dxa"/>
                  <w:tcBorders>
                    <w:top w:val="single" w:color="000000" w:sz="4" w:space="0"/>
                    <w:left w:val="nil"/>
                    <w:bottom w:val="single" w:color="000000" w:sz="4" w:space="0"/>
                    <w:right w:val="single" w:color="000000" w:sz="4" w:space="0"/>
                    <w:tl2br w:val="nil"/>
                    <w:tr2bl w:val="nil"/>
                  </w:tcBorders>
                  <w:noWrap w:val="0"/>
                  <w:vAlign w:val="center"/>
                </w:tcPr>
                <w:p w14:paraId="1647AEC6">
                  <w:pPr>
                    <w:autoSpaceDE w:val="0"/>
                    <w:spacing w:line="300" w:lineRule="exact"/>
                    <w:ind w:left="-105" w:leftChars="-50" w:right="-105" w:rightChars="-50"/>
                    <w:jc w:val="center"/>
                    <w:rPr>
                      <w:rFonts w:hint="default" w:ascii="Times New Roman" w:hAnsi="Times New Roman" w:cs="Times New Roman"/>
                      <w:color w:val="auto"/>
                      <w:spacing w:val="-2"/>
                      <w:kern w:val="0"/>
                      <w:sz w:val="21"/>
                      <w:szCs w:val="21"/>
                    </w:rPr>
                  </w:pPr>
                  <w:r>
                    <w:rPr>
                      <w:rFonts w:hint="default" w:ascii="Times New Roman" w:hAnsi="Times New Roman" w:eastAsia="宋体" w:cs="Times New Roman"/>
                      <w:color w:val="auto"/>
                      <w:spacing w:val="-2"/>
                      <w:kern w:val="0"/>
                      <w:sz w:val="21"/>
                      <w:szCs w:val="21"/>
                      <w:lang w:bidi="ar"/>
                    </w:rPr>
                    <w:t>0.107</w:t>
                  </w:r>
                </w:p>
              </w:tc>
              <w:tc>
                <w:tcPr>
                  <w:tcW w:w="1480" w:type="dxa"/>
                  <w:tcBorders>
                    <w:top w:val="single" w:color="000000" w:sz="4" w:space="0"/>
                    <w:left w:val="nil"/>
                    <w:bottom w:val="single" w:color="000000" w:sz="4" w:space="0"/>
                    <w:right w:val="single" w:color="000000" w:sz="4" w:space="0"/>
                    <w:tl2br w:val="nil"/>
                    <w:tr2bl w:val="nil"/>
                  </w:tcBorders>
                  <w:noWrap w:val="0"/>
                  <w:vAlign w:val="center"/>
                </w:tcPr>
                <w:p w14:paraId="057C3C6E">
                  <w:pPr>
                    <w:autoSpaceDE w:val="0"/>
                    <w:spacing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rPr>
                  </w:pPr>
                  <w:r>
                    <w:rPr>
                      <w:rFonts w:hint="eastAsia" w:cs="Times New Roman"/>
                      <w:color w:val="auto"/>
                      <w:spacing w:val="-2"/>
                      <w:kern w:val="0"/>
                      <w:sz w:val="21"/>
                      <w:szCs w:val="21"/>
                      <w:lang w:val="en-US" w:eastAsia="zh-CN"/>
                    </w:rPr>
                    <w:t>0.3</w:t>
                  </w:r>
                </w:p>
              </w:tc>
              <w:tc>
                <w:tcPr>
                  <w:tcW w:w="1288" w:type="dxa"/>
                  <w:tcBorders>
                    <w:top w:val="single" w:color="000000" w:sz="4" w:space="0"/>
                    <w:left w:val="nil"/>
                    <w:bottom w:val="single" w:color="000000" w:sz="4" w:space="0"/>
                    <w:right w:val="single" w:color="000000" w:sz="4" w:space="0"/>
                    <w:tl2br w:val="nil"/>
                    <w:tr2bl w:val="nil"/>
                  </w:tcBorders>
                  <w:noWrap w:val="0"/>
                  <w:vAlign w:val="center"/>
                </w:tcPr>
                <w:p w14:paraId="0B6C5816">
                  <w:pPr>
                    <w:autoSpaceDE w:val="0"/>
                    <w:spacing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rPr>
                  </w:pPr>
                  <w:r>
                    <w:rPr>
                      <w:rFonts w:hint="eastAsia" w:cs="Times New Roman"/>
                      <w:color w:val="auto"/>
                      <w:spacing w:val="-2"/>
                      <w:kern w:val="0"/>
                      <w:sz w:val="21"/>
                      <w:szCs w:val="21"/>
                      <w:lang w:val="en-US" w:eastAsia="zh-CN" w:bidi="ar"/>
                    </w:rPr>
                    <w:t>35.67</w:t>
                  </w:r>
                </w:p>
              </w:tc>
              <w:tc>
                <w:tcPr>
                  <w:tcW w:w="1005" w:type="dxa"/>
                  <w:tcBorders>
                    <w:top w:val="single" w:color="000000" w:sz="4" w:space="0"/>
                    <w:left w:val="nil"/>
                    <w:bottom w:val="single" w:color="000000" w:sz="4" w:space="0"/>
                    <w:right w:val="single" w:color="000000" w:sz="4" w:space="0"/>
                    <w:tl2br w:val="nil"/>
                    <w:tr2bl w:val="nil"/>
                  </w:tcBorders>
                  <w:noWrap w:val="0"/>
                  <w:vAlign w:val="center"/>
                </w:tcPr>
                <w:p w14:paraId="632AE677">
                  <w:pPr>
                    <w:autoSpaceDE w:val="0"/>
                    <w:spacing w:line="300" w:lineRule="exact"/>
                    <w:ind w:left="-105" w:leftChars="-50" w:right="-105" w:rightChars="-50"/>
                    <w:jc w:val="center"/>
                    <w:rPr>
                      <w:rFonts w:hint="default" w:ascii="Times New Roman" w:hAnsi="Times New Roman" w:cs="Times New Roman"/>
                      <w:color w:val="auto"/>
                      <w:spacing w:val="-2"/>
                      <w:kern w:val="0"/>
                      <w:sz w:val="21"/>
                      <w:szCs w:val="21"/>
                    </w:rPr>
                  </w:pPr>
                  <w:r>
                    <w:rPr>
                      <w:rFonts w:hint="default" w:ascii="Times New Roman" w:hAnsi="Times New Roman" w:cs="Times New Roman"/>
                      <w:color w:val="auto"/>
                      <w:spacing w:val="-2"/>
                      <w:kern w:val="0"/>
                      <w:sz w:val="21"/>
                      <w:szCs w:val="21"/>
                      <w:lang w:bidi="ar"/>
                    </w:rPr>
                    <w:t>0</w:t>
                  </w:r>
                </w:p>
              </w:tc>
              <w:tc>
                <w:tcPr>
                  <w:tcW w:w="868" w:type="dxa"/>
                  <w:tcBorders>
                    <w:top w:val="single" w:color="000000" w:sz="4" w:space="0"/>
                    <w:left w:val="nil"/>
                    <w:bottom w:val="single" w:color="000000" w:sz="4" w:space="0"/>
                    <w:right w:val="single" w:color="auto" w:sz="4" w:space="0"/>
                    <w:tl2br w:val="nil"/>
                    <w:tr2bl w:val="nil"/>
                  </w:tcBorders>
                  <w:noWrap w:val="0"/>
                  <w:vAlign w:val="center"/>
                </w:tcPr>
                <w:p w14:paraId="735B1812">
                  <w:pPr>
                    <w:autoSpaceDE w:val="0"/>
                    <w:spacing w:line="300" w:lineRule="exact"/>
                    <w:ind w:left="-105" w:leftChars="-50" w:right="-105" w:rightChars="-50"/>
                    <w:jc w:val="center"/>
                    <w:rPr>
                      <w:rFonts w:hint="default" w:ascii="Times New Roman" w:hAnsi="Times New Roman" w:cs="Times New Roman"/>
                      <w:color w:val="auto"/>
                      <w:spacing w:val="-2"/>
                      <w:kern w:val="0"/>
                      <w:sz w:val="21"/>
                      <w:szCs w:val="21"/>
                    </w:rPr>
                  </w:pPr>
                  <w:r>
                    <w:rPr>
                      <w:rFonts w:hint="default" w:ascii="Times New Roman" w:hAnsi="Times New Roman" w:eastAsia="宋体" w:cs="Times New Roman"/>
                      <w:color w:val="auto"/>
                      <w:spacing w:val="-2"/>
                      <w:kern w:val="0"/>
                      <w:sz w:val="21"/>
                      <w:szCs w:val="21"/>
                      <w:lang w:bidi="ar"/>
                    </w:rPr>
                    <w:t>达标</w:t>
                  </w:r>
                </w:p>
              </w:tc>
            </w:tr>
          </w:tbl>
          <w:p w14:paraId="0C86EAF1">
            <w:pPr>
              <w:pStyle w:val="19"/>
              <w:spacing w:line="360" w:lineRule="auto"/>
              <w:ind w:right="105" w:rightChars="50" w:firstLine="480"/>
              <w:rPr>
                <w:rFonts w:hint="default" w:ascii="Times New Roman" w:hAnsi="Times New Roman" w:cs="Times New Roman"/>
                <w:b/>
                <w:color w:val="auto"/>
                <w:sz w:val="24"/>
                <w:szCs w:val="24"/>
              </w:rPr>
            </w:pPr>
            <w:r>
              <w:rPr>
                <w:rFonts w:hint="default" w:hAnsi="Times New Roman"/>
                <w:color w:val="auto"/>
                <w:sz w:val="24"/>
                <w:szCs w:val="24"/>
              </w:rPr>
              <w:t>监测及评价结果表明，本项目区域TSP满足《环境空气质量标准》（GB3095-2012）</w:t>
            </w:r>
            <w:r>
              <w:rPr>
                <w:rFonts w:hint="default"/>
                <w:color w:val="auto"/>
                <w:sz w:val="24"/>
                <w:szCs w:val="24"/>
              </w:rPr>
              <w:t>中的二级标准要求</w:t>
            </w:r>
            <w:r>
              <w:rPr>
                <w:rFonts w:hint="default" w:hAnsi="Times New Roman"/>
                <w:color w:val="auto"/>
                <w:sz w:val="24"/>
                <w:szCs w:val="24"/>
              </w:rPr>
              <w:t>，项目所在区域空气环境质量良好。</w:t>
            </w:r>
          </w:p>
          <w:p w14:paraId="7649EF27">
            <w:pPr>
              <w:pStyle w:val="19"/>
              <w:spacing w:line="360" w:lineRule="auto"/>
              <w:ind w:right="105" w:rightChars="50"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2、地表水环境</w:t>
            </w:r>
          </w:p>
          <w:p w14:paraId="203EF994">
            <w:pPr>
              <w:spacing w:line="360" w:lineRule="auto"/>
              <w:ind w:firstLine="480" w:firstLineChars="200"/>
              <w:rPr>
                <w:rFonts w:hint="eastAsia"/>
                <w:color w:val="auto"/>
                <w:kern w:val="0"/>
                <w:sz w:val="24"/>
                <w:szCs w:val="24"/>
              </w:rPr>
            </w:pPr>
            <w:r>
              <w:rPr>
                <w:rFonts w:hint="default" w:ascii="宋体" w:eastAsia="宋体"/>
                <w:color w:val="auto"/>
                <w:sz w:val="24"/>
                <w:szCs w:val="24"/>
              </w:rPr>
              <w:t>项目区域地表水环境引用蚌埠市环境</w:t>
            </w:r>
            <w:r>
              <w:rPr>
                <w:rFonts w:hint="default" w:ascii="宋体" w:eastAsia="宋体"/>
                <w:color w:val="auto"/>
                <w:kern w:val="0"/>
                <w:sz w:val="24"/>
                <w:szCs w:val="24"/>
              </w:rPr>
              <w:t>监测站发布的《2023年蚌埠市生态环境质量状况公报》，具体如下：</w:t>
            </w:r>
          </w:p>
          <w:p w14:paraId="77528D09">
            <w:pPr>
              <w:spacing w:line="360" w:lineRule="auto"/>
              <w:ind w:firstLine="480" w:firstLineChars="200"/>
              <w:rPr>
                <w:rFonts w:hint="eastAsia"/>
                <w:color w:val="auto"/>
                <w:kern w:val="0"/>
                <w:sz w:val="24"/>
                <w:szCs w:val="24"/>
              </w:rPr>
            </w:pPr>
            <w:r>
              <w:rPr>
                <w:rFonts w:hint="default" w:ascii="宋体" w:eastAsia="宋体"/>
                <w:color w:val="auto"/>
                <w:kern w:val="0"/>
                <w:sz w:val="24"/>
                <w:szCs w:val="24"/>
              </w:rPr>
              <w:t>（1）国控断面</w:t>
            </w:r>
          </w:p>
          <w:p w14:paraId="3A927FD2">
            <w:pPr>
              <w:pStyle w:val="22"/>
              <w:autoSpaceDE w:val="0"/>
              <w:spacing w:before="0" w:beforeAutospacing="0" w:after="0" w:afterAutospacing="0" w:line="360" w:lineRule="auto"/>
              <w:ind w:firstLine="480" w:firstLineChars="200"/>
              <w:jc w:val="both"/>
              <w:rPr>
                <w:rFonts w:hint="eastAsia" w:ascii="Times New Roman" w:hAnsi="Times New Roman" w:eastAsia="Times New Roman"/>
                <w:color w:val="auto"/>
                <w:sz w:val="24"/>
                <w:szCs w:val="24"/>
              </w:rPr>
            </w:pPr>
            <w:r>
              <w:rPr>
                <w:rFonts w:hint="eastAsia" w:ascii="Times New Roman" w:hAnsi="Times New Roman" w:eastAsia="Times New Roman"/>
                <w:color w:val="auto"/>
                <w:sz w:val="24"/>
                <w:szCs w:val="24"/>
              </w:rPr>
              <w:t>2023</w:t>
            </w:r>
            <w:r>
              <w:rPr>
                <w:rFonts w:hint="default" w:hAnsi="Times New Roman"/>
                <w:color w:val="auto"/>
                <w:sz w:val="24"/>
                <w:szCs w:val="24"/>
              </w:rPr>
              <w:t>年，蚌埠市“十四五”地表水国控监测断面（点位）包括8个河流断面（2个淮河干流和6个支流断面）和4个湖泊点位。</w:t>
            </w:r>
          </w:p>
          <w:p w14:paraId="3452CDCE">
            <w:pPr>
              <w:pStyle w:val="22"/>
              <w:autoSpaceDE w:val="0"/>
              <w:spacing w:before="0" w:beforeAutospacing="0" w:after="0" w:afterAutospacing="0" w:line="360" w:lineRule="auto"/>
              <w:ind w:firstLine="482" w:firstLineChars="200"/>
              <w:jc w:val="both"/>
              <w:rPr>
                <w:rFonts w:hint="eastAsia" w:ascii="Times New Roman" w:hAnsi="Times New Roman" w:eastAsia="Times New Roman"/>
                <w:color w:val="auto"/>
                <w:sz w:val="24"/>
                <w:szCs w:val="24"/>
              </w:rPr>
            </w:pPr>
            <w:r>
              <w:rPr>
                <w:rFonts w:hint="default" w:hAnsi="Times New Roman"/>
                <w:b/>
                <w:color w:val="auto"/>
                <w:sz w:val="24"/>
                <w:szCs w:val="24"/>
              </w:rPr>
              <w:t>淮河干流蚌埠段：</w:t>
            </w:r>
            <w:r>
              <w:rPr>
                <w:rFonts w:hint="default" w:hAnsi="Times New Roman"/>
                <w:color w:val="auto"/>
                <w:sz w:val="24"/>
                <w:szCs w:val="24"/>
              </w:rPr>
              <w:t>蚌埠闸上、沫河口2个断面水质类别均符合《地表水环境质量标准》（GB3838-2002）中Ⅲ类标准，水质状况良好，同比无明显变化。</w:t>
            </w:r>
          </w:p>
          <w:p w14:paraId="0A77582F">
            <w:pPr>
              <w:pStyle w:val="22"/>
              <w:autoSpaceDE w:val="0"/>
              <w:spacing w:before="0" w:beforeAutospacing="0" w:after="0" w:afterAutospacing="0" w:line="360" w:lineRule="auto"/>
              <w:ind w:firstLine="482" w:firstLineChars="200"/>
              <w:jc w:val="both"/>
              <w:rPr>
                <w:rFonts w:hint="eastAsia" w:ascii="Times New Roman" w:hAnsi="Times New Roman" w:eastAsia="Times New Roman"/>
                <w:color w:val="auto"/>
                <w:sz w:val="24"/>
                <w:szCs w:val="24"/>
              </w:rPr>
            </w:pPr>
            <w:r>
              <w:rPr>
                <w:rFonts w:hint="default" w:hAnsi="Times New Roman"/>
                <w:b/>
                <w:color w:val="auto"/>
                <w:sz w:val="24"/>
                <w:szCs w:val="24"/>
              </w:rPr>
              <w:t>淮河蚌埠段支流：</w:t>
            </w:r>
            <w:r>
              <w:rPr>
                <w:rFonts w:hint="default" w:hAnsi="Times New Roman"/>
                <w:color w:val="auto"/>
                <w:sz w:val="24"/>
                <w:szCs w:val="24"/>
              </w:rPr>
              <w:t>北淝河入淮河口、怀洪新河五河、浍河蚌埠固镇、沱河关咀、茨淮新河上桥闸上、涡河怀远三桥6个断面水质类别均符合Ⅲ类标准，水质状况良好。北淝河入淮河口断面水质状况同比有所好转、首次达到Ⅲ类，其它5个断面水质状况同比均无明显变化。</w:t>
            </w:r>
          </w:p>
          <w:p w14:paraId="49A12ECC">
            <w:pPr>
              <w:pStyle w:val="22"/>
              <w:autoSpaceDE w:val="0"/>
              <w:spacing w:before="0" w:beforeAutospacing="0" w:after="0" w:afterAutospacing="0" w:line="360" w:lineRule="auto"/>
              <w:ind w:firstLine="482" w:firstLineChars="200"/>
              <w:jc w:val="both"/>
              <w:rPr>
                <w:rFonts w:hint="eastAsia" w:ascii="Times New Roman" w:hAnsi="Times New Roman" w:eastAsia="Times New Roman"/>
                <w:color w:val="auto"/>
                <w:sz w:val="24"/>
                <w:szCs w:val="24"/>
              </w:rPr>
            </w:pPr>
            <w:r>
              <w:rPr>
                <w:rFonts w:hint="default" w:hAnsi="Times New Roman"/>
                <w:b/>
                <w:color w:val="auto"/>
                <w:sz w:val="24"/>
                <w:szCs w:val="24"/>
              </w:rPr>
              <w:t>湖泊：</w:t>
            </w:r>
            <w:r>
              <w:rPr>
                <w:rFonts w:hint="default" w:hAnsi="Times New Roman"/>
                <w:color w:val="auto"/>
                <w:sz w:val="24"/>
                <w:szCs w:val="24"/>
              </w:rPr>
              <w:t>天河、沱湖、天井湖、四方湖4个监测点位水质类别均符合Ⅳ类标准，水质状况轻度污染。4个湖泊监测点位水质状况同比均无明显变化。</w:t>
            </w:r>
          </w:p>
          <w:p w14:paraId="4539EB12">
            <w:pPr>
              <w:pStyle w:val="22"/>
              <w:numPr>
                <w:ilvl w:val="0"/>
                <w:numId w:val="0"/>
              </w:numPr>
              <w:autoSpaceDE w:val="0"/>
              <w:spacing w:before="0" w:beforeAutospacing="0" w:after="0" w:afterAutospacing="0" w:line="360" w:lineRule="auto"/>
              <w:ind w:firstLine="480" w:firstLineChars="200"/>
              <w:jc w:val="both"/>
              <w:rPr>
                <w:rFonts w:hint="eastAsia" w:ascii="Times New Roman" w:hAnsi="Times New Roman" w:eastAsia="Times New Roman"/>
                <w:color w:val="auto"/>
                <w:sz w:val="24"/>
                <w:szCs w:val="24"/>
              </w:rPr>
            </w:pPr>
            <w:r>
              <w:rPr>
                <w:rFonts w:hint="default" w:hAnsi="Times New Roman"/>
                <w:color w:val="auto"/>
                <w:sz w:val="24"/>
                <w:szCs w:val="24"/>
              </w:rPr>
              <w:t>（2）省控断面。</w:t>
            </w:r>
          </w:p>
          <w:p w14:paraId="6BD7BE69">
            <w:pPr>
              <w:pStyle w:val="22"/>
              <w:numPr>
                <w:ilvl w:val="0"/>
                <w:numId w:val="0"/>
              </w:numPr>
              <w:autoSpaceDE w:val="0"/>
              <w:spacing w:before="0" w:beforeAutospacing="0" w:after="0" w:afterAutospacing="0" w:line="360" w:lineRule="auto"/>
              <w:ind w:firstLine="480" w:firstLineChars="200"/>
              <w:jc w:val="both"/>
              <w:rPr>
                <w:rFonts w:hint="eastAsia" w:ascii="Times New Roman" w:hAnsi="Times New Roman" w:eastAsia="Times New Roman"/>
                <w:color w:val="auto"/>
                <w:sz w:val="24"/>
                <w:szCs w:val="24"/>
              </w:rPr>
            </w:pPr>
            <w:r>
              <w:rPr>
                <w:rFonts w:hint="eastAsia" w:ascii="Times New Roman" w:hAnsi="Times New Roman" w:eastAsia="Times New Roman"/>
                <w:color w:val="auto"/>
                <w:sz w:val="24"/>
                <w:szCs w:val="24"/>
              </w:rPr>
              <w:t>2023</w:t>
            </w:r>
            <w:r>
              <w:rPr>
                <w:rFonts w:hint="default" w:hAnsi="Times New Roman"/>
                <w:color w:val="auto"/>
                <w:sz w:val="24"/>
                <w:szCs w:val="24"/>
              </w:rPr>
              <w:t>年，蚌埠市“十四五”地表水省控监测断面（点位）包括7个河流断面（3个淮河干流和4个支流）和2个湖泊点位。</w:t>
            </w:r>
          </w:p>
          <w:p w14:paraId="578B352C">
            <w:pPr>
              <w:pStyle w:val="22"/>
              <w:autoSpaceDE w:val="0"/>
              <w:spacing w:before="0" w:beforeAutospacing="0" w:after="0" w:afterAutospacing="0" w:line="360" w:lineRule="auto"/>
              <w:ind w:firstLine="482" w:firstLineChars="200"/>
              <w:jc w:val="both"/>
              <w:rPr>
                <w:rFonts w:hint="eastAsia" w:ascii="Times New Roman" w:hAnsi="Times New Roman" w:eastAsia="Times New Roman"/>
                <w:color w:val="auto"/>
                <w:sz w:val="24"/>
                <w:szCs w:val="24"/>
              </w:rPr>
            </w:pPr>
            <w:r>
              <w:rPr>
                <w:rFonts w:hint="default" w:hAnsi="Times New Roman"/>
                <w:b/>
                <w:color w:val="auto"/>
                <w:sz w:val="24"/>
                <w:szCs w:val="24"/>
              </w:rPr>
              <w:t>淮河干流蚌埠段：</w:t>
            </w:r>
            <w:r>
              <w:rPr>
                <w:rFonts w:hint="default" w:hAnsi="Times New Roman"/>
                <w:color w:val="auto"/>
                <w:sz w:val="24"/>
                <w:szCs w:val="24"/>
              </w:rPr>
              <w:t>黄盆窑、新城、晶源水务取水口3个断面水质类别均符合《地表水环境质量标准》（GB3838-2002）中Ⅲ类标准，水质状况良好，同比均无明显变化。</w:t>
            </w:r>
          </w:p>
          <w:p w14:paraId="281AEE5D">
            <w:pPr>
              <w:pStyle w:val="22"/>
              <w:autoSpaceDE w:val="0"/>
              <w:spacing w:before="0" w:beforeAutospacing="0" w:after="0" w:afterAutospacing="0" w:line="360" w:lineRule="auto"/>
              <w:ind w:firstLine="482" w:firstLineChars="200"/>
              <w:jc w:val="both"/>
              <w:rPr>
                <w:rFonts w:hint="eastAsia" w:ascii="Times New Roman" w:hAnsi="Times New Roman" w:eastAsia="Times New Roman"/>
                <w:color w:val="auto"/>
                <w:sz w:val="24"/>
                <w:szCs w:val="24"/>
              </w:rPr>
            </w:pPr>
            <w:r>
              <w:rPr>
                <w:rFonts w:hint="default" w:hAnsi="Times New Roman"/>
                <w:b/>
                <w:color w:val="auto"/>
                <w:sz w:val="24"/>
                <w:szCs w:val="24"/>
              </w:rPr>
              <w:t>淮河蚌埠段支流：</w:t>
            </w:r>
            <w:r>
              <w:rPr>
                <w:rFonts w:hint="default" w:hAnsi="Times New Roman"/>
                <w:color w:val="auto"/>
                <w:sz w:val="24"/>
                <w:szCs w:val="24"/>
              </w:rPr>
              <w:t xml:space="preserve">怀洪新河取水口、怀洪新河固镇、新开沱河闸、窑河入淮口4个断面水质类别均符合Ⅲ类标准，水质状况良好，同比均无明显变化。 </w:t>
            </w:r>
          </w:p>
          <w:p w14:paraId="224B0ED0">
            <w:pPr>
              <w:pStyle w:val="22"/>
              <w:autoSpaceDE w:val="0"/>
              <w:spacing w:before="0" w:beforeAutospacing="0" w:after="0" w:afterAutospacing="0" w:line="360" w:lineRule="auto"/>
              <w:ind w:firstLine="482" w:firstLineChars="200"/>
              <w:jc w:val="both"/>
              <w:rPr>
                <w:rFonts w:hint="eastAsia" w:ascii="Times New Roman" w:hAnsi="Times New Roman" w:eastAsia="Times New Roman"/>
                <w:color w:val="auto"/>
                <w:sz w:val="24"/>
                <w:szCs w:val="24"/>
              </w:rPr>
            </w:pPr>
            <w:r>
              <w:rPr>
                <w:rFonts w:hint="default" w:hAnsi="Times New Roman"/>
                <w:b/>
                <w:color w:val="auto"/>
                <w:sz w:val="24"/>
                <w:szCs w:val="24"/>
              </w:rPr>
              <w:t>湖泊：</w:t>
            </w:r>
            <w:r>
              <w:rPr>
                <w:rFonts w:hint="default" w:hAnsi="Times New Roman"/>
                <w:color w:val="auto"/>
                <w:sz w:val="24"/>
                <w:szCs w:val="24"/>
              </w:rPr>
              <w:t>龙子湖和芡河湖2个监测点位水质类别符合Ⅳ类标准，水质状况轻度污染。与上年相比，龙子湖监测点位水质状况无明显变化，芡河湖监测点位水质状况有所好转。</w:t>
            </w:r>
          </w:p>
          <w:p w14:paraId="66135824">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3、声环境</w:t>
            </w:r>
          </w:p>
          <w:p w14:paraId="3C507DB6">
            <w:pPr>
              <w:spacing w:beforeLines="0" w:afterLines="0" w:line="360" w:lineRule="auto"/>
              <w:ind w:firstLine="480" w:firstLineChars="200"/>
              <w:rPr>
                <w:rFonts w:hint="default"/>
                <w:color w:val="auto"/>
              </w:rPr>
            </w:pPr>
            <w:r>
              <w:rPr>
                <w:rFonts w:hint="default" w:ascii="Times New Roman" w:hAnsi="Times New Roman" w:cs="Times New Roman"/>
                <w:color w:val="auto"/>
                <w:sz w:val="24"/>
                <w:szCs w:val="24"/>
              </w:rPr>
              <w:t>项目位于安徽省蚌埠市固镇县刘集镇珍珠沟西侧，周边50m范围内</w:t>
            </w:r>
            <w:r>
              <w:rPr>
                <w:rFonts w:hint="eastAsia" w:cs="Times New Roman"/>
                <w:color w:val="auto"/>
                <w:sz w:val="24"/>
                <w:szCs w:val="24"/>
                <w:lang w:val="en-US" w:eastAsia="zh-CN"/>
              </w:rPr>
              <w:t>有</w:t>
            </w:r>
            <w:r>
              <w:rPr>
                <w:rFonts w:hint="default" w:ascii="Times New Roman" w:hAnsi="Times New Roman" w:cs="Times New Roman"/>
                <w:color w:val="auto"/>
                <w:sz w:val="24"/>
                <w:szCs w:val="24"/>
              </w:rPr>
              <w:t>声环境保护目标，根据《建设项目环境影响报告表编制技术指南（污染影响类）（试行）》</w:t>
            </w:r>
            <w:r>
              <w:rPr>
                <w:rFonts w:hint="eastAsia" w:cs="Times New Roman"/>
                <w:color w:val="auto"/>
                <w:sz w:val="24"/>
                <w:szCs w:val="24"/>
                <w:lang w:val="en-US" w:eastAsia="zh-CN"/>
              </w:rPr>
              <w:t>需</w:t>
            </w:r>
            <w:r>
              <w:rPr>
                <w:rFonts w:hint="default" w:ascii="Times New Roman" w:hAnsi="Times New Roman" w:cs="Times New Roman"/>
                <w:color w:val="auto"/>
                <w:sz w:val="24"/>
                <w:szCs w:val="24"/>
              </w:rPr>
              <w:t>对声环境进行监测。</w:t>
            </w:r>
          </w:p>
          <w:p w14:paraId="557F13F3">
            <w:pPr>
              <w:pStyle w:val="8"/>
              <w:spacing w:beforeLines="0" w:afterLines="0" w:line="460" w:lineRule="exact"/>
              <w:ind w:firstLine="0"/>
              <w:jc w:val="center"/>
              <w:rPr>
                <w:rFonts w:hint="default" w:ascii="宋体" w:eastAsia="宋体"/>
                <w:b/>
                <w:color w:val="auto"/>
                <w:sz w:val="21"/>
                <w:szCs w:val="21"/>
              </w:rPr>
            </w:pPr>
            <w:r>
              <w:rPr>
                <w:rFonts w:hint="default" w:ascii="宋体" w:eastAsia="宋体"/>
                <w:b/>
                <w:color w:val="auto"/>
                <w:sz w:val="21"/>
                <w:szCs w:val="21"/>
              </w:rPr>
              <w:t>表3-</w:t>
            </w:r>
            <w:r>
              <w:rPr>
                <w:rFonts w:hint="eastAsia" w:ascii="宋体"/>
                <w:b/>
                <w:color w:val="auto"/>
                <w:sz w:val="21"/>
                <w:szCs w:val="21"/>
                <w:lang w:val="en-US" w:eastAsia="zh-CN"/>
              </w:rPr>
              <w:t>4</w:t>
            </w:r>
            <w:r>
              <w:rPr>
                <w:rFonts w:hint="default" w:ascii="宋体" w:eastAsia="宋体"/>
                <w:b/>
                <w:color w:val="auto"/>
                <w:sz w:val="21"/>
                <w:szCs w:val="21"/>
              </w:rPr>
              <w:t xml:space="preserve">  噪声现状监测结果表    单位 dB(A)</w:t>
            </w:r>
          </w:p>
          <w:tbl>
            <w:tblPr>
              <w:tblStyle w:val="25"/>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61"/>
              <w:gridCol w:w="4026"/>
              <w:gridCol w:w="1543"/>
              <w:gridCol w:w="1552"/>
              <w:gridCol w:w="4"/>
            </w:tblGrid>
            <w:tr w14:paraId="0BFC3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91"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E2CDE4">
                  <w:pPr>
                    <w:pStyle w:val="22"/>
                    <w:kinsoku w:val="0"/>
                    <w:autoSpaceDE w:val="0"/>
                    <w:autoSpaceDN w:val="0"/>
                    <w:adjustRightInd w:val="0"/>
                    <w:snapToGrid w:val="0"/>
                    <w:spacing w:before="284" w:beforeLines="0" w:beforeAutospacing="0" w:after="0" w:afterLines="0" w:afterAutospacing="0"/>
                    <w:jc w:val="center"/>
                    <w:textAlignment w:val="baseline"/>
                    <w:rPr>
                      <w:rFonts w:hint="eastAsia" w:ascii="Times New Roman" w:hAnsi="Times New Roman" w:eastAsia="Times New Roman"/>
                      <w:b/>
                      <w:color w:val="auto"/>
                      <w:sz w:val="21"/>
                      <w:szCs w:val="21"/>
                    </w:rPr>
                  </w:pPr>
                  <w:r>
                    <w:rPr>
                      <w:rFonts w:hint="default" w:hAnsi="Times New Roman"/>
                      <w:b/>
                      <w:color w:val="auto"/>
                      <w:spacing w:val="3"/>
                      <w:sz w:val="21"/>
                      <w:szCs w:val="21"/>
                      <w:lang w:bidi="ar"/>
                    </w:rPr>
                    <w:t>检测日期</w:t>
                  </w:r>
                </w:p>
              </w:tc>
              <w:tc>
                <w:tcPr>
                  <w:tcW w:w="2265"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91E17F">
                  <w:pPr>
                    <w:pStyle w:val="22"/>
                    <w:kinsoku w:val="0"/>
                    <w:autoSpaceDE w:val="0"/>
                    <w:autoSpaceDN w:val="0"/>
                    <w:adjustRightInd w:val="0"/>
                    <w:snapToGrid w:val="0"/>
                    <w:spacing w:before="284" w:beforeLines="0" w:beforeAutospacing="0" w:after="0" w:afterLines="0" w:afterAutospacing="0"/>
                    <w:jc w:val="center"/>
                    <w:textAlignment w:val="baseline"/>
                    <w:rPr>
                      <w:rFonts w:hint="eastAsia" w:ascii="Times New Roman" w:hAnsi="Times New Roman" w:eastAsia="Times New Roman"/>
                      <w:b/>
                      <w:color w:val="auto"/>
                      <w:sz w:val="21"/>
                      <w:szCs w:val="21"/>
                    </w:rPr>
                  </w:pPr>
                  <w:r>
                    <w:rPr>
                      <w:rFonts w:hint="default" w:hAnsi="Times New Roman"/>
                      <w:b/>
                      <w:color w:val="auto"/>
                      <w:spacing w:val="-2"/>
                      <w:sz w:val="21"/>
                      <w:szCs w:val="21"/>
                      <w:lang w:bidi="ar"/>
                    </w:rPr>
                    <w:t>检测点位</w:t>
                  </w:r>
                </w:p>
              </w:tc>
              <w:tc>
                <w:tcPr>
                  <w:tcW w:w="868" w:type="pct"/>
                  <w:tcBorders>
                    <w:top w:val="single" w:color="000000" w:sz="4" w:space="0"/>
                    <w:left w:val="single" w:color="000000" w:sz="4" w:space="0"/>
                    <w:bottom w:val="single" w:color="000000" w:sz="4" w:space="0"/>
                    <w:right w:val="single" w:color="auto" w:sz="4" w:space="0"/>
                    <w:tl2br w:val="nil"/>
                    <w:tr2bl w:val="nil"/>
                  </w:tcBorders>
                  <w:noWrap w:val="0"/>
                  <w:vAlign w:val="center"/>
                </w:tcPr>
                <w:p w14:paraId="67EFDE54">
                  <w:pPr>
                    <w:pStyle w:val="22"/>
                    <w:kinsoku w:val="0"/>
                    <w:autoSpaceDE w:val="0"/>
                    <w:autoSpaceDN w:val="0"/>
                    <w:adjustRightInd w:val="0"/>
                    <w:snapToGrid w:val="0"/>
                    <w:spacing w:before="76" w:beforeLines="0" w:beforeAutospacing="0" w:after="0" w:afterLines="0" w:afterAutospacing="0"/>
                    <w:jc w:val="center"/>
                    <w:textAlignment w:val="baseline"/>
                    <w:rPr>
                      <w:rFonts w:hint="eastAsia" w:ascii="Times New Roman" w:hAnsi="Times New Roman" w:eastAsia="Times New Roman"/>
                      <w:b/>
                      <w:color w:val="auto"/>
                      <w:sz w:val="21"/>
                      <w:szCs w:val="21"/>
                    </w:rPr>
                  </w:pPr>
                  <w:r>
                    <w:rPr>
                      <w:rFonts w:hint="default" w:hAnsi="Times New Roman"/>
                      <w:b/>
                      <w:color w:val="auto"/>
                      <w:spacing w:val="4"/>
                      <w:sz w:val="21"/>
                      <w:szCs w:val="21"/>
                      <w:lang w:bidi="ar"/>
                    </w:rPr>
                    <w:t>检测时间及结果</w:t>
                  </w:r>
                  <w:r>
                    <w:rPr>
                      <w:rFonts w:hint="eastAsia" w:ascii="Times New Roman" w:hAnsi="Times New Roman" w:eastAsia="Times New Roman"/>
                      <w:b/>
                      <w:color w:val="auto"/>
                      <w:sz w:val="21"/>
                      <w:szCs w:val="21"/>
                      <w:lang w:bidi="ar"/>
                    </w:rPr>
                    <w:t>Leg</w:t>
                  </w:r>
                  <w:r>
                    <w:rPr>
                      <w:rFonts w:hint="eastAsia" w:ascii="Times New Roman" w:hAnsi="Times New Roman" w:eastAsia="Times New Roman"/>
                      <w:b/>
                      <w:color w:val="auto"/>
                      <w:spacing w:val="4"/>
                      <w:sz w:val="21"/>
                      <w:szCs w:val="21"/>
                      <w:lang w:bidi="ar"/>
                    </w:rPr>
                    <w:t>{</w:t>
                  </w:r>
                  <w:r>
                    <w:rPr>
                      <w:rFonts w:hint="eastAsia" w:ascii="Times New Roman" w:hAnsi="Times New Roman" w:eastAsia="Times New Roman"/>
                      <w:b/>
                      <w:color w:val="auto"/>
                      <w:sz w:val="21"/>
                      <w:szCs w:val="21"/>
                      <w:lang w:bidi="ar"/>
                    </w:rPr>
                    <w:t>dB</w:t>
                  </w:r>
                  <w:r>
                    <w:rPr>
                      <w:rFonts w:hint="eastAsia" w:ascii="Times New Roman" w:hAnsi="Times New Roman" w:eastAsia="Times New Roman"/>
                      <w:b/>
                      <w:color w:val="auto"/>
                      <w:spacing w:val="4"/>
                      <w:sz w:val="21"/>
                      <w:szCs w:val="21"/>
                      <w:lang w:bidi="ar"/>
                    </w:rPr>
                    <w:t>(A)</w:t>
                  </w:r>
                </w:p>
              </w:tc>
              <w:tc>
                <w:tcPr>
                  <w:tcW w:w="874" w:type="pct"/>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05334861">
                  <w:pPr>
                    <w:pStyle w:val="22"/>
                    <w:kinsoku w:val="0"/>
                    <w:autoSpaceDE w:val="0"/>
                    <w:autoSpaceDN w:val="0"/>
                    <w:adjustRightInd w:val="0"/>
                    <w:snapToGrid w:val="0"/>
                    <w:spacing w:before="76" w:beforeLines="0" w:beforeAutospacing="0" w:after="0" w:afterLines="0" w:afterAutospacing="0"/>
                    <w:jc w:val="center"/>
                    <w:textAlignment w:val="baseline"/>
                    <w:rPr>
                      <w:rFonts w:hint="eastAsia" w:hAnsi="Times New Roman" w:eastAsia="宋体"/>
                      <w:b/>
                      <w:color w:val="auto"/>
                      <w:spacing w:val="4"/>
                      <w:sz w:val="21"/>
                      <w:szCs w:val="21"/>
                      <w:lang w:val="en-US" w:eastAsia="zh-CN" w:bidi="ar"/>
                    </w:rPr>
                  </w:pPr>
                  <w:r>
                    <w:rPr>
                      <w:rFonts w:hint="eastAsia" w:hAnsi="Times New Roman"/>
                      <w:b/>
                      <w:color w:val="auto"/>
                      <w:spacing w:val="4"/>
                      <w:sz w:val="21"/>
                      <w:szCs w:val="21"/>
                      <w:lang w:val="en-US" w:eastAsia="zh-CN" w:bidi="ar"/>
                    </w:rPr>
                    <w:t>标准</w:t>
                  </w:r>
                </w:p>
              </w:tc>
            </w:tr>
            <w:tr w14:paraId="2A0FB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389" w:hRule="atLeast"/>
              </w:trPr>
              <w:tc>
                <w:tcPr>
                  <w:tcW w:w="991"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15A53B">
                  <w:pPr>
                    <w:spacing w:beforeLines="0" w:afterLines="0"/>
                    <w:jc w:val="center"/>
                    <w:rPr>
                      <w:rFonts w:hint="eastAsia"/>
                      <w:b/>
                      <w:color w:val="auto"/>
                      <w:sz w:val="21"/>
                      <w:szCs w:val="21"/>
                    </w:rPr>
                  </w:pPr>
                </w:p>
              </w:tc>
              <w:tc>
                <w:tcPr>
                  <w:tcW w:w="226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966D85">
                  <w:pPr>
                    <w:spacing w:beforeLines="0" w:afterLines="0"/>
                    <w:jc w:val="center"/>
                    <w:rPr>
                      <w:rFonts w:hint="eastAsia"/>
                      <w:b/>
                      <w:color w:val="auto"/>
                      <w:sz w:val="21"/>
                      <w:szCs w:val="21"/>
                    </w:rPr>
                  </w:pPr>
                </w:p>
              </w:tc>
              <w:tc>
                <w:tcPr>
                  <w:tcW w:w="868" w:type="pct"/>
                  <w:tcBorders>
                    <w:top w:val="single" w:color="000000" w:sz="4" w:space="0"/>
                    <w:left w:val="single" w:color="000000" w:sz="4" w:space="0"/>
                    <w:bottom w:val="single" w:color="000000" w:sz="4" w:space="0"/>
                    <w:right w:val="single" w:color="auto" w:sz="4" w:space="0"/>
                    <w:tl2br w:val="nil"/>
                    <w:tr2bl w:val="nil"/>
                  </w:tcBorders>
                  <w:noWrap w:val="0"/>
                  <w:vAlign w:val="center"/>
                </w:tcPr>
                <w:p w14:paraId="0621B4D5">
                  <w:pPr>
                    <w:pStyle w:val="22"/>
                    <w:kinsoku w:val="0"/>
                    <w:autoSpaceDE w:val="0"/>
                    <w:autoSpaceDN w:val="0"/>
                    <w:adjustRightInd w:val="0"/>
                    <w:snapToGrid w:val="0"/>
                    <w:spacing w:before="93" w:beforeLines="0" w:beforeAutospacing="0" w:after="0" w:afterLines="0" w:afterAutospacing="0"/>
                    <w:jc w:val="center"/>
                    <w:textAlignment w:val="baseline"/>
                    <w:rPr>
                      <w:rFonts w:hint="eastAsia" w:ascii="Times New Roman" w:hAnsi="Times New Roman" w:eastAsia="Times New Roman"/>
                      <w:b/>
                      <w:color w:val="auto"/>
                      <w:sz w:val="21"/>
                      <w:szCs w:val="21"/>
                    </w:rPr>
                  </w:pPr>
                  <w:r>
                    <w:rPr>
                      <w:rFonts w:hint="default" w:hAnsi="Times New Roman"/>
                      <w:b/>
                      <w:color w:val="auto"/>
                      <w:spacing w:val="10"/>
                      <w:sz w:val="21"/>
                      <w:szCs w:val="21"/>
                      <w:lang w:bidi="ar"/>
                    </w:rPr>
                    <w:t>昼间</w:t>
                  </w:r>
                </w:p>
              </w:tc>
              <w:tc>
                <w:tcPr>
                  <w:tcW w:w="871" w:type="pct"/>
                  <w:tcBorders>
                    <w:top w:val="single" w:color="000000" w:sz="4" w:space="0"/>
                    <w:left w:val="single" w:color="000000" w:sz="4" w:space="0"/>
                    <w:bottom w:val="single" w:color="000000" w:sz="4" w:space="0"/>
                    <w:right w:val="single" w:color="auto" w:sz="4" w:space="0"/>
                    <w:tl2br w:val="nil"/>
                    <w:tr2bl w:val="nil"/>
                  </w:tcBorders>
                  <w:noWrap w:val="0"/>
                  <w:vAlign w:val="center"/>
                </w:tcPr>
                <w:p w14:paraId="1493B377">
                  <w:pPr>
                    <w:pStyle w:val="22"/>
                    <w:kinsoku w:val="0"/>
                    <w:autoSpaceDE w:val="0"/>
                    <w:autoSpaceDN w:val="0"/>
                    <w:adjustRightInd w:val="0"/>
                    <w:snapToGrid w:val="0"/>
                    <w:spacing w:before="93" w:beforeLines="0" w:beforeAutospacing="0" w:after="0" w:afterLines="0" w:afterAutospacing="0"/>
                    <w:jc w:val="center"/>
                    <w:textAlignment w:val="baseline"/>
                    <w:rPr>
                      <w:rFonts w:hint="default" w:hAnsi="Times New Roman"/>
                      <w:b/>
                      <w:color w:val="auto"/>
                      <w:spacing w:val="10"/>
                      <w:sz w:val="21"/>
                      <w:szCs w:val="21"/>
                      <w:lang w:bidi="ar"/>
                    </w:rPr>
                  </w:pPr>
                  <w:r>
                    <w:rPr>
                      <w:rFonts w:hint="default" w:hAnsi="Times New Roman"/>
                      <w:b/>
                      <w:color w:val="auto"/>
                      <w:spacing w:val="10"/>
                      <w:sz w:val="21"/>
                      <w:szCs w:val="21"/>
                      <w:lang w:bidi="ar"/>
                    </w:rPr>
                    <w:t>昼间</w:t>
                  </w:r>
                </w:p>
              </w:tc>
            </w:tr>
            <w:tr w14:paraId="1C667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366" w:hRule="atLeast"/>
              </w:trPr>
              <w:tc>
                <w:tcPr>
                  <w:tcW w:w="991"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54613E">
                  <w:pPr>
                    <w:pStyle w:val="22"/>
                    <w:kinsoku w:val="0"/>
                    <w:autoSpaceDE w:val="0"/>
                    <w:autoSpaceDN w:val="0"/>
                    <w:adjustRightInd w:val="0"/>
                    <w:snapToGrid w:val="0"/>
                    <w:spacing w:before="71" w:beforeLines="0" w:beforeAutospacing="0" w:after="0" w:afterLines="0" w:afterAutospacing="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Times New Roman"/>
                      <w:color w:val="auto"/>
                      <w:spacing w:val="-1"/>
                      <w:sz w:val="21"/>
                      <w:szCs w:val="21"/>
                      <w:lang w:bidi="ar"/>
                    </w:rPr>
                    <w:t>202</w:t>
                  </w:r>
                  <w:r>
                    <w:rPr>
                      <w:rFonts w:hint="eastAsia" w:ascii="Times New Roman" w:hAnsi="Times New Roman" w:eastAsia="宋体"/>
                      <w:color w:val="auto"/>
                      <w:spacing w:val="-1"/>
                      <w:sz w:val="21"/>
                      <w:szCs w:val="21"/>
                      <w:lang w:val="en-US" w:eastAsia="zh-CN" w:bidi="ar"/>
                    </w:rPr>
                    <w:t>5.3.1</w:t>
                  </w:r>
                </w:p>
              </w:tc>
              <w:tc>
                <w:tcPr>
                  <w:tcW w:w="22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4D178A">
                  <w:pPr>
                    <w:pStyle w:val="22"/>
                    <w:kinsoku w:val="0"/>
                    <w:autoSpaceDE w:val="0"/>
                    <w:autoSpaceDN w:val="0"/>
                    <w:adjustRightInd w:val="0"/>
                    <w:snapToGrid w:val="0"/>
                    <w:spacing w:before="91" w:beforeLines="0" w:beforeAutospacing="0" w:after="0" w:afterLines="0" w:afterAutospacing="0"/>
                    <w:jc w:val="center"/>
                    <w:textAlignment w:val="baseline"/>
                    <w:rPr>
                      <w:rFonts w:hint="default" w:ascii="Times New Roman" w:hAnsi="Times New Roman" w:eastAsia="宋体"/>
                      <w:color w:val="auto"/>
                      <w:sz w:val="21"/>
                      <w:szCs w:val="21"/>
                      <w:lang w:val="en-US" w:eastAsia="zh-CN"/>
                    </w:rPr>
                  </w:pPr>
                  <w:r>
                    <w:rPr>
                      <w:rFonts w:hint="eastAsia" w:hAnsi="Times New Roman" w:eastAsia="宋体"/>
                      <w:color w:val="auto"/>
                      <w:spacing w:val="3"/>
                      <w:sz w:val="21"/>
                      <w:szCs w:val="21"/>
                      <w:lang w:val="en-US" w:eastAsia="zh-CN" w:bidi="ar"/>
                    </w:rPr>
                    <w:t>厂界东侧</w:t>
                  </w:r>
                </w:p>
              </w:tc>
              <w:tc>
                <w:tcPr>
                  <w:tcW w:w="8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3144BD">
                  <w:pPr>
                    <w:pStyle w:val="22"/>
                    <w:kinsoku w:val="0"/>
                    <w:autoSpaceDE w:val="0"/>
                    <w:autoSpaceDN w:val="0"/>
                    <w:adjustRightInd w:val="0"/>
                    <w:snapToGrid w:val="0"/>
                    <w:spacing w:before="147" w:beforeLines="0" w:beforeAutospacing="0" w:after="0" w:afterLines="0" w:afterAutospacing="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w:t>
                  </w:r>
                </w:p>
              </w:tc>
              <w:tc>
                <w:tcPr>
                  <w:tcW w:w="8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DEE7F8">
                  <w:pPr>
                    <w:pStyle w:val="22"/>
                    <w:kinsoku w:val="0"/>
                    <w:autoSpaceDE w:val="0"/>
                    <w:autoSpaceDN w:val="0"/>
                    <w:adjustRightInd w:val="0"/>
                    <w:snapToGrid w:val="0"/>
                    <w:spacing w:before="147" w:beforeLines="0" w:beforeAutospacing="0" w:after="0" w:afterLines="0" w:afterAutospacing="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60</w:t>
                  </w:r>
                </w:p>
              </w:tc>
            </w:tr>
            <w:tr w14:paraId="378F9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389" w:hRule="atLeast"/>
              </w:trPr>
              <w:tc>
                <w:tcPr>
                  <w:tcW w:w="991"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C18949">
                  <w:pPr>
                    <w:spacing w:beforeLines="0" w:afterLines="0"/>
                    <w:jc w:val="center"/>
                    <w:rPr>
                      <w:rFonts w:hint="eastAsia"/>
                      <w:color w:val="auto"/>
                      <w:sz w:val="21"/>
                      <w:szCs w:val="21"/>
                    </w:rPr>
                  </w:pPr>
                </w:p>
              </w:tc>
              <w:tc>
                <w:tcPr>
                  <w:tcW w:w="22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ECF4F0">
                  <w:pPr>
                    <w:pStyle w:val="22"/>
                    <w:kinsoku w:val="0"/>
                    <w:autoSpaceDE w:val="0"/>
                    <w:autoSpaceDN w:val="0"/>
                    <w:adjustRightInd w:val="0"/>
                    <w:snapToGrid w:val="0"/>
                    <w:spacing w:before="94" w:beforeLines="0" w:beforeAutospacing="0" w:after="0" w:afterLines="0" w:afterAutospacing="0"/>
                    <w:jc w:val="center"/>
                    <w:textAlignment w:val="baseline"/>
                    <w:rPr>
                      <w:rFonts w:hint="eastAsia" w:ascii="Times New Roman" w:hAnsi="Times New Roman" w:eastAsia="Times New Roman"/>
                      <w:color w:val="auto"/>
                      <w:sz w:val="21"/>
                      <w:szCs w:val="21"/>
                    </w:rPr>
                  </w:pPr>
                  <w:r>
                    <w:rPr>
                      <w:rFonts w:hint="eastAsia" w:ascii="Times New Roman" w:hAnsi="Times New Roman" w:eastAsia="Times New Roman"/>
                      <w:color w:val="auto"/>
                      <w:spacing w:val="-2"/>
                      <w:sz w:val="21"/>
                      <w:szCs w:val="21"/>
                      <w:lang w:bidi="ar"/>
                    </w:rPr>
                    <w:t>厂界南侧</w:t>
                  </w:r>
                </w:p>
              </w:tc>
              <w:tc>
                <w:tcPr>
                  <w:tcW w:w="8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84D262">
                  <w:pPr>
                    <w:pStyle w:val="22"/>
                    <w:kinsoku w:val="0"/>
                    <w:autoSpaceDE w:val="0"/>
                    <w:autoSpaceDN w:val="0"/>
                    <w:adjustRightInd w:val="0"/>
                    <w:snapToGrid w:val="0"/>
                    <w:spacing w:before="150" w:beforeLines="0" w:beforeAutospacing="0" w:after="0" w:afterLines="0" w:afterAutospacing="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w:t>
                  </w:r>
                  <w:r>
                    <w:rPr>
                      <w:rFonts w:hint="eastAsia" w:ascii="Times New Roman" w:hAnsi="Times New Roman"/>
                      <w:color w:val="auto"/>
                      <w:sz w:val="21"/>
                      <w:szCs w:val="21"/>
                      <w:lang w:val="en-US" w:eastAsia="zh-CN"/>
                    </w:rPr>
                    <w:t>7</w:t>
                  </w:r>
                </w:p>
              </w:tc>
              <w:tc>
                <w:tcPr>
                  <w:tcW w:w="8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4E7ADF">
                  <w:pPr>
                    <w:pStyle w:val="22"/>
                    <w:kinsoku w:val="0"/>
                    <w:autoSpaceDE w:val="0"/>
                    <w:autoSpaceDN w:val="0"/>
                    <w:adjustRightInd w:val="0"/>
                    <w:snapToGrid w:val="0"/>
                    <w:spacing w:before="150" w:beforeLines="0" w:beforeAutospacing="0" w:after="0" w:afterLines="0" w:afterAutospacing="0"/>
                    <w:jc w:val="center"/>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60</w:t>
                  </w:r>
                </w:p>
              </w:tc>
            </w:tr>
            <w:tr w14:paraId="2B0F2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399" w:hRule="atLeast"/>
              </w:trPr>
              <w:tc>
                <w:tcPr>
                  <w:tcW w:w="991"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CBCEAA">
                  <w:pPr>
                    <w:spacing w:beforeLines="0" w:afterLines="0"/>
                    <w:jc w:val="center"/>
                    <w:rPr>
                      <w:rFonts w:hint="eastAsia"/>
                      <w:color w:val="auto"/>
                      <w:sz w:val="21"/>
                      <w:szCs w:val="21"/>
                    </w:rPr>
                  </w:pPr>
                </w:p>
              </w:tc>
              <w:tc>
                <w:tcPr>
                  <w:tcW w:w="22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7CAC22">
                  <w:pPr>
                    <w:pStyle w:val="22"/>
                    <w:kinsoku w:val="0"/>
                    <w:autoSpaceDE w:val="0"/>
                    <w:autoSpaceDN w:val="0"/>
                    <w:adjustRightInd w:val="0"/>
                    <w:snapToGrid w:val="0"/>
                    <w:spacing w:before="95" w:beforeLines="0" w:beforeAutospacing="0" w:after="0" w:afterLines="0" w:afterAutospacing="0"/>
                    <w:jc w:val="center"/>
                    <w:textAlignment w:val="baseline"/>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厂界西侧</w:t>
                  </w:r>
                </w:p>
              </w:tc>
              <w:tc>
                <w:tcPr>
                  <w:tcW w:w="8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612460">
                  <w:pPr>
                    <w:pStyle w:val="22"/>
                    <w:kinsoku w:val="0"/>
                    <w:autoSpaceDE w:val="0"/>
                    <w:autoSpaceDN w:val="0"/>
                    <w:adjustRightInd w:val="0"/>
                    <w:snapToGrid w:val="0"/>
                    <w:spacing w:before="151" w:beforeLines="0" w:beforeAutospacing="0" w:after="0" w:afterLines="0" w:afterAutospacing="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w:t>
                  </w:r>
                  <w:r>
                    <w:rPr>
                      <w:rFonts w:hint="eastAsia" w:ascii="Times New Roman" w:hAnsi="Times New Roman"/>
                      <w:color w:val="auto"/>
                      <w:sz w:val="21"/>
                      <w:szCs w:val="21"/>
                      <w:lang w:val="en-US" w:eastAsia="zh-CN"/>
                    </w:rPr>
                    <w:t>7</w:t>
                  </w:r>
                </w:p>
              </w:tc>
              <w:tc>
                <w:tcPr>
                  <w:tcW w:w="8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45520A">
                  <w:pPr>
                    <w:pStyle w:val="22"/>
                    <w:kinsoku w:val="0"/>
                    <w:autoSpaceDE w:val="0"/>
                    <w:autoSpaceDN w:val="0"/>
                    <w:adjustRightInd w:val="0"/>
                    <w:snapToGrid w:val="0"/>
                    <w:spacing w:before="151" w:beforeLines="0" w:beforeAutospacing="0" w:after="0" w:afterLines="0" w:afterAutospacing="0"/>
                    <w:jc w:val="center"/>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60</w:t>
                  </w:r>
                </w:p>
              </w:tc>
            </w:tr>
            <w:tr w14:paraId="699DA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390" w:hRule="atLeast"/>
              </w:trPr>
              <w:tc>
                <w:tcPr>
                  <w:tcW w:w="991"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076986">
                  <w:pPr>
                    <w:spacing w:beforeLines="0" w:afterLines="0"/>
                    <w:jc w:val="center"/>
                    <w:rPr>
                      <w:rFonts w:hint="eastAsia"/>
                      <w:color w:val="auto"/>
                      <w:sz w:val="21"/>
                      <w:szCs w:val="21"/>
                    </w:rPr>
                  </w:pPr>
                </w:p>
              </w:tc>
              <w:tc>
                <w:tcPr>
                  <w:tcW w:w="22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66D18A">
                  <w:pPr>
                    <w:pStyle w:val="22"/>
                    <w:kinsoku w:val="0"/>
                    <w:autoSpaceDE w:val="0"/>
                    <w:autoSpaceDN w:val="0"/>
                    <w:adjustRightInd w:val="0"/>
                    <w:snapToGrid w:val="0"/>
                    <w:spacing w:before="96" w:beforeLines="0" w:beforeAutospacing="0" w:after="0" w:afterLines="0" w:afterAutospacing="0"/>
                    <w:jc w:val="center"/>
                    <w:textAlignment w:val="baseline"/>
                    <w:rPr>
                      <w:rFonts w:hint="eastAsia" w:ascii="Times New Roman" w:hAnsi="Times New Roman" w:eastAsia="Times New Roman"/>
                      <w:color w:val="auto"/>
                      <w:sz w:val="21"/>
                      <w:szCs w:val="21"/>
                    </w:rPr>
                  </w:pPr>
                  <w:r>
                    <w:rPr>
                      <w:rFonts w:hint="eastAsia" w:ascii="Times New Roman" w:hAnsi="Times New Roman" w:eastAsia="Times New Roman"/>
                      <w:color w:val="auto"/>
                      <w:spacing w:val="1"/>
                      <w:sz w:val="21"/>
                      <w:szCs w:val="21"/>
                      <w:lang w:bidi="ar"/>
                    </w:rPr>
                    <w:t>厂界北侧</w:t>
                  </w:r>
                </w:p>
              </w:tc>
              <w:tc>
                <w:tcPr>
                  <w:tcW w:w="8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FE3F28">
                  <w:pPr>
                    <w:pStyle w:val="22"/>
                    <w:kinsoku w:val="0"/>
                    <w:autoSpaceDE w:val="0"/>
                    <w:autoSpaceDN w:val="0"/>
                    <w:adjustRightInd w:val="0"/>
                    <w:snapToGrid w:val="0"/>
                    <w:spacing w:before="152" w:beforeLines="0" w:beforeAutospacing="0" w:after="0" w:afterLines="0" w:afterAutospacing="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52</w:t>
                  </w:r>
                </w:p>
              </w:tc>
              <w:tc>
                <w:tcPr>
                  <w:tcW w:w="8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D6B1D8">
                  <w:pPr>
                    <w:pStyle w:val="22"/>
                    <w:kinsoku w:val="0"/>
                    <w:autoSpaceDE w:val="0"/>
                    <w:autoSpaceDN w:val="0"/>
                    <w:adjustRightInd w:val="0"/>
                    <w:snapToGrid w:val="0"/>
                    <w:spacing w:before="152" w:beforeLines="0" w:beforeAutospacing="0" w:after="0" w:afterLines="0" w:afterAutospacing="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70</w:t>
                  </w:r>
                </w:p>
              </w:tc>
            </w:tr>
            <w:tr w14:paraId="3C4DE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389" w:hRule="atLeast"/>
              </w:trPr>
              <w:tc>
                <w:tcPr>
                  <w:tcW w:w="991"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217BCE">
                  <w:pPr>
                    <w:spacing w:beforeLines="0" w:afterLines="0"/>
                    <w:jc w:val="center"/>
                    <w:rPr>
                      <w:rFonts w:hint="eastAsia"/>
                      <w:color w:val="auto"/>
                      <w:sz w:val="21"/>
                      <w:szCs w:val="21"/>
                    </w:rPr>
                  </w:pPr>
                </w:p>
              </w:tc>
              <w:tc>
                <w:tcPr>
                  <w:tcW w:w="22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0AC28F">
                  <w:pPr>
                    <w:pStyle w:val="22"/>
                    <w:kinsoku w:val="0"/>
                    <w:autoSpaceDE w:val="0"/>
                    <w:autoSpaceDN w:val="0"/>
                    <w:adjustRightInd w:val="0"/>
                    <w:snapToGrid w:val="0"/>
                    <w:spacing w:before="96" w:beforeLines="0" w:beforeAutospacing="0" w:after="0" w:afterLines="0" w:afterAutospacing="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pacing w:val="1"/>
                      <w:sz w:val="21"/>
                      <w:szCs w:val="21"/>
                      <w:lang w:val="en-US" w:eastAsia="zh-CN" w:bidi="ar"/>
                    </w:rPr>
                    <w:t>左马村</w:t>
                  </w:r>
                </w:p>
              </w:tc>
              <w:tc>
                <w:tcPr>
                  <w:tcW w:w="8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C5B7D4">
                  <w:pPr>
                    <w:pStyle w:val="22"/>
                    <w:kinsoku w:val="0"/>
                    <w:autoSpaceDE w:val="0"/>
                    <w:autoSpaceDN w:val="0"/>
                    <w:adjustRightInd w:val="0"/>
                    <w:snapToGrid w:val="0"/>
                    <w:spacing w:before="152" w:beforeLines="0" w:beforeAutospacing="0" w:after="0" w:afterLines="0" w:afterAutospacing="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66</w:t>
                  </w:r>
                </w:p>
              </w:tc>
              <w:tc>
                <w:tcPr>
                  <w:tcW w:w="8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3E538E">
                  <w:pPr>
                    <w:pStyle w:val="22"/>
                    <w:kinsoku w:val="0"/>
                    <w:autoSpaceDE w:val="0"/>
                    <w:autoSpaceDN w:val="0"/>
                    <w:adjustRightInd w:val="0"/>
                    <w:snapToGrid w:val="0"/>
                    <w:spacing w:before="152" w:beforeLines="0" w:beforeAutospacing="0" w:after="0" w:afterLines="0" w:afterAutospacing="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70</w:t>
                  </w:r>
                </w:p>
              </w:tc>
            </w:tr>
            <w:tr w14:paraId="4D034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389" w:hRule="atLeast"/>
              </w:trPr>
              <w:tc>
                <w:tcPr>
                  <w:tcW w:w="4997"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75D649">
                  <w:pPr>
                    <w:pStyle w:val="22"/>
                    <w:kinsoku w:val="0"/>
                    <w:autoSpaceDE w:val="0"/>
                    <w:autoSpaceDN w:val="0"/>
                    <w:adjustRightInd w:val="0"/>
                    <w:snapToGrid w:val="0"/>
                    <w:spacing w:before="152" w:beforeLines="0" w:beforeAutospacing="0" w:after="0" w:afterLines="0" w:afterAutospacing="0"/>
                    <w:jc w:val="center"/>
                    <w:textAlignment w:val="baseline"/>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备注：敏感点左马村和厂界北侧分别位于五固路道路两侧，执行《声环境质量标准》（GB 3096－2008）中4a类标准</w:t>
                  </w:r>
                </w:p>
              </w:tc>
            </w:tr>
          </w:tbl>
          <w:p w14:paraId="5C489C54">
            <w:pPr>
              <w:spacing w:beforeLines="0" w:afterLines="0"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项目</w:t>
            </w:r>
            <w:r>
              <w:rPr>
                <w:rFonts w:hint="eastAsia" w:cs="Times New Roman"/>
                <w:b w:val="0"/>
                <w:bCs/>
                <w:color w:val="auto"/>
                <w:sz w:val="24"/>
                <w:szCs w:val="24"/>
                <w:lang w:val="en-US" w:eastAsia="zh-CN"/>
              </w:rPr>
              <w:t>厂界东南西侧</w:t>
            </w:r>
            <w:r>
              <w:rPr>
                <w:rFonts w:hint="default" w:ascii="Times New Roman" w:hAnsi="Times New Roman" w:eastAsia="宋体" w:cs="Times New Roman"/>
                <w:b w:val="0"/>
                <w:bCs/>
                <w:color w:val="auto"/>
                <w:sz w:val="24"/>
                <w:szCs w:val="24"/>
              </w:rPr>
              <w:t>声环境质量现状满足《声环境质量标准》（GB3096-2008）中2类标准，</w:t>
            </w:r>
            <w:r>
              <w:rPr>
                <w:rFonts w:hint="eastAsia" w:cs="Times New Roman"/>
                <w:b w:val="0"/>
                <w:bCs/>
                <w:color w:val="auto"/>
                <w:sz w:val="24"/>
                <w:szCs w:val="24"/>
                <w:lang w:val="en-US" w:eastAsia="zh-CN"/>
              </w:rPr>
              <w:t>敏感点和厂界北侧道路一侧声环境质量现状满足《声环境质量标准》（GB 3096－2008）中4a类标准，</w:t>
            </w:r>
            <w:r>
              <w:rPr>
                <w:rFonts w:hint="default" w:ascii="Times New Roman" w:hAnsi="Times New Roman" w:eastAsia="宋体" w:cs="Times New Roman"/>
                <w:b w:val="0"/>
                <w:bCs/>
                <w:color w:val="auto"/>
                <w:sz w:val="24"/>
                <w:szCs w:val="24"/>
              </w:rPr>
              <w:t>项目区域声环境质量良好。</w:t>
            </w:r>
          </w:p>
          <w:p w14:paraId="353A8150">
            <w:pPr>
              <w:spacing w:beforeLines="0" w:afterLines="0"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4</w:t>
            </w:r>
            <w:r>
              <w:rPr>
                <w:rFonts w:hint="eastAsia" w:ascii="Times New Roman" w:hAnsi="Times New Roman" w:eastAsia="宋体" w:cs="Times New Roman"/>
                <w:b/>
                <w:color w:val="auto"/>
                <w:sz w:val="24"/>
                <w:szCs w:val="24"/>
              </w:rPr>
              <w:t>、地下水、土壤环境</w:t>
            </w:r>
          </w:p>
          <w:p w14:paraId="7194C09B">
            <w:pPr>
              <w:spacing w:beforeLines="0" w:afterLines="0" w:line="360" w:lineRule="auto"/>
              <w:ind w:firstLine="480" w:firstLineChars="200"/>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本项目按要求采取分区防渗措施后，不存在地下水、土壤污染途径，根据《建设项目环境影响报告表编制技术指南》（污染影响类）（试行）要求，可不开展土壤、地下水现状监测。</w:t>
            </w:r>
          </w:p>
          <w:p w14:paraId="444D4AA5">
            <w:pPr>
              <w:spacing w:beforeLines="0" w:afterLines="0" w:line="360" w:lineRule="auto"/>
              <w:ind w:firstLine="482" w:firstLineChars="200"/>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5、生态环境</w:t>
            </w:r>
          </w:p>
          <w:p w14:paraId="35EED033">
            <w:pPr>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color w:val="auto"/>
                <w:kern w:val="0"/>
                <w:sz w:val="24"/>
                <w:szCs w:val="24"/>
              </w:rPr>
              <w:t>生态环境：本项目位于安徽省蚌埠市固镇县刘集镇珍珠沟西侧，用地性质为工业用地，项目依托现有厂房建设，周边无生态环境保护目标。</w:t>
            </w:r>
          </w:p>
        </w:tc>
      </w:tr>
      <w:tr w14:paraId="1F94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534" w:type="dxa"/>
            <w:vAlign w:val="center"/>
          </w:tcPr>
          <w:p w14:paraId="1E27FB75">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环境保护目标</w:t>
            </w:r>
          </w:p>
        </w:tc>
        <w:tc>
          <w:tcPr>
            <w:tcW w:w="9037" w:type="dxa"/>
          </w:tcPr>
          <w:p w14:paraId="16C9B9CF">
            <w:pPr>
              <w:pStyle w:val="11"/>
              <w:snapToGrid w:val="0"/>
              <w:spacing w:line="360" w:lineRule="auto"/>
              <w:rPr>
                <w:rFonts w:hint="eastAsia" w:ascii="Times New Roman" w:hAnsi="Times New Roman" w:eastAsia="Times New Roman" w:cs="Times New Roman"/>
                <w:b/>
                <w:color w:val="auto"/>
                <w:kern w:val="2"/>
                <w:sz w:val="24"/>
                <w:szCs w:val="24"/>
                <w:lang w:val="zh-CN"/>
              </w:rPr>
            </w:pPr>
            <w:r>
              <w:rPr>
                <w:rFonts w:hint="eastAsia" w:ascii="Times New Roman" w:hAnsi="Times New Roman" w:eastAsia="Times New Roman" w:cs="Times New Roman"/>
                <w:b/>
                <w:color w:val="auto"/>
                <w:kern w:val="2"/>
                <w:sz w:val="24"/>
                <w:szCs w:val="24"/>
                <w:lang w:val="zh-CN"/>
              </w:rPr>
              <w:t>1</w:t>
            </w:r>
            <w:r>
              <w:rPr>
                <w:rFonts w:hint="default" w:ascii="宋体" w:hAnsi="Times New Roman" w:eastAsia="宋体" w:cs="Times New Roman"/>
                <w:b/>
                <w:color w:val="auto"/>
                <w:kern w:val="2"/>
                <w:sz w:val="24"/>
                <w:szCs w:val="24"/>
                <w:lang w:val="zh-CN"/>
              </w:rPr>
              <w:t>、大气环境</w:t>
            </w:r>
          </w:p>
          <w:p w14:paraId="025FBB2B">
            <w:pPr>
              <w:pStyle w:val="11"/>
              <w:snapToGrid w:val="0"/>
              <w:spacing w:line="360" w:lineRule="auto"/>
              <w:ind w:left="0" w:leftChars="0" w:firstLine="480" w:firstLineChars="200"/>
              <w:jc w:val="left"/>
              <w:rPr>
                <w:rFonts w:hint="default" w:ascii="宋体" w:hAnsi="Times New Roman" w:eastAsia="宋体" w:cs="Times New Roman"/>
                <w:color w:val="auto"/>
                <w:kern w:val="2"/>
                <w:sz w:val="24"/>
                <w:szCs w:val="24"/>
                <w:lang w:val="zh-CN"/>
              </w:rPr>
            </w:pPr>
            <w:r>
              <w:rPr>
                <w:rFonts w:hint="default" w:ascii="宋体" w:hAnsi="Times New Roman" w:eastAsia="宋体" w:cs="Times New Roman"/>
                <w:color w:val="auto"/>
                <w:kern w:val="2"/>
                <w:sz w:val="24"/>
                <w:szCs w:val="24"/>
                <w:lang w:val="zh-CN"/>
              </w:rPr>
              <w:t>根据《建设项目环境影响报告表编制技术指南（污染影响型）》（试行），要求明确厂界外500米范围内的自然保护区、风景名胜区、居住区、文化区和农村地区中人群较集中的区域等保护目标的名称及与建设项目厂界位置关系。据现场踏勘，项目厂界外500米范围内的环境空气保护目标详见下表：</w:t>
            </w:r>
          </w:p>
          <w:p w14:paraId="4074DB23">
            <w:pPr>
              <w:pStyle w:val="11"/>
              <w:snapToGrid w:val="0"/>
              <w:spacing w:line="360" w:lineRule="auto"/>
              <w:ind w:left="0" w:leftChars="0"/>
              <w:jc w:val="center"/>
              <w:rPr>
                <w:rFonts w:hint="eastAsia" w:ascii="Times New Roman" w:hAnsi="Times New Roman" w:eastAsia="Times New Roman" w:cs="Times New Roman"/>
                <w:b/>
                <w:color w:val="auto"/>
                <w:kern w:val="2"/>
                <w:sz w:val="21"/>
                <w:szCs w:val="21"/>
              </w:rPr>
            </w:pPr>
            <w:r>
              <w:rPr>
                <w:rFonts w:hint="default" w:ascii="宋体" w:hAnsi="Times New Roman" w:eastAsia="宋体" w:cs="Times New Roman"/>
                <w:b/>
                <w:color w:val="auto"/>
                <w:kern w:val="2"/>
                <w:sz w:val="21"/>
                <w:szCs w:val="21"/>
              </w:rPr>
              <w:t>表3-</w:t>
            </w:r>
            <w:r>
              <w:rPr>
                <w:rFonts w:hint="eastAsia" w:hAnsi="Times New Roman" w:cs="Times New Roman"/>
                <w:b/>
                <w:color w:val="auto"/>
                <w:kern w:val="2"/>
                <w:sz w:val="21"/>
                <w:szCs w:val="21"/>
                <w:lang w:val="en-US" w:eastAsia="zh-CN"/>
              </w:rPr>
              <w:t>5</w:t>
            </w:r>
            <w:r>
              <w:rPr>
                <w:rFonts w:hint="default" w:ascii="宋体" w:hAnsi="Times New Roman" w:eastAsia="宋体" w:cs="Times New Roman"/>
                <w:b/>
                <w:color w:val="auto"/>
                <w:kern w:val="2"/>
                <w:sz w:val="21"/>
                <w:szCs w:val="21"/>
              </w:rPr>
              <w:t xml:space="preserve">  项目大气环境保护目标一览表</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446"/>
              <w:gridCol w:w="1338"/>
              <w:gridCol w:w="1146"/>
              <w:gridCol w:w="1168"/>
              <w:gridCol w:w="585"/>
              <w:gridCol w:w="1237"/>
              <w:gridCol w:w="1655"/>
              <w:gridCol w:w="652"/>
              <w:gridCol w:w="654"/>
            </w:tblGrid>
            <w:tr w14:paraId="1C1C45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51" w:type="pct"/>
                  <w:vMerge w:val="restart"/>
                  <w:tcBorders>
                    <w:top w:val="single" w:color="auto" w:sz="8" w:space="0"/>
                    <w:left w:val="single" w:color="auto" w:sz="8" w:space="0"/>
                    <w:bottom w:val="single" w:color="auto" w:sz="6" w:space="0"/>
                    <w:right w:val="single" w:color="auto" w:sz="6" w:space="0"/>
                    <w:tl2br w:val="nil"/>
                    <w:tr2bl w:val="nil"/>
                  </w:tcBorders>
                  <w:noWrap w:val="0"/>
                  <w:vAlign w:val="center"/>
                </w:tcPr>
                <w:p w14:paraId="3D6AF1A5">
                  <w:pPr>
                    <w:spacing w:beforeLines="0" w:afterLines="0"/>
                    <w:jc w:val="center"/>
                    <w:rPr>
                      <w:rFonts w:hint="default" w:ascii="Times New Roman" w:hAnsi="Times New Roman" w:eastAsia="Times New Roman" w:cs="Times New Roman"/>
                      <w:b/>
                      <w:color w:val="auto"/>
                      <w:sz w:val="21"/>
                      <w:szCs w:val="21"/>
                    </w:rPr>
                  </w:pPr>
                  <w:r>
                    <w:rPr>
                      <w:rFonts w:hint="default" w:ascii="Times New Roman" w:hAnsi="Times New Roman" w:eastAsia="宋体" w:cs="Times New Roman"/>
                      <w:b/>
                      <w:color w:val="auto"/>
                      <w:sz w:val="21"/>
                      <w:szCs w:val="21"/>
                    </w:rPr>
                    <w:t>环境要素</w:t>
                  </w:r>
                </w:p>
              </w:tc>
              <w:tc>
                <w:tcPr>
                  <w:tcW w:w="753" w:type="pct"/>
                  <w:vMerge w:val="restart"/>
                  <w:tcBorders>
                    <w:top w:val="single" w:color="auto" w:sz="8" w:space="0"/>
                    <w:left w:val="single" w:color="auto" w:sz="6" w:space="0"/>
                    <w:bottom w:val="single" w:color="auto" w:sz="6" w:space="0"/>
                    <w:right w:val="single" w:color="auto" w:sz="6" w:space="0"/>
                    <w:tl2br w:val="nil"/>
                    <w:tr2bl w:val="nil"/>
                  </w:tcBorders>
                  <w:noWrap w:val="0"/>
                  <w:vAlign w:val="center"/>
                </w:tcPr>
                <w:p w14:paraId="47DB46D4">
                  <w:pPr>
                    <w:spacing w:beforeLines="0" w:afterLines="0"/>
                    <w:jc w:val="center"/>
                    <w:rPr>
                      <w:rFonts w:hint="default" w:ascii="Times New Roman" w:hAnsi="Times New Roman" w:eastAsia="Times New Roman" w:cs="Times New Roman"/>
                      <w:b/>
                      <w:color w:val="auto"/>
                      <w:sz w:val="21"/>
                      <w:szCs w:val="21"/>
                    </w:rPr>
                  </w:pPr>
                  <w:r>
                    <w:rPr>
                      <w:rFonts w:hint="default" w:ascii="Times New Roman" w:hAnsi="Times New Roman" w:eastAsia="宋体" w:cs="Times New Roman"/>
                      <w:b/>
                      <w:color w:val="auto"/>
                      <w:sz w:val="21"/>
                      <w:szCs w:val="21"/>
                    </w:rPr>
                    <w:t>名称</w:t>
                  </w:r>
                </w:p>
              </w:tc>
              <w:tc>
                <w:tcPr>
                  <w:tcW w:w="1302" w:type="pct"/>
                  <w:gridSpan w:val="2"/>
                  <w:tcBorders>
                    <w:top w:val="single" w:color="auto" w:sz="8" w:space="0"/>
                    <w:left w:val="single" w:color="auto" w:sz="6" w:space="0"/>
                    <w:bottom w:val="single" w:color="auto" w:sz="6" w:space="0"/>
                    <w:right w:val="single" w:color="auto" w:sz="6" w:space="0"/>
                    <w:tl2br w:val="nil"/>
                    <w:tr2bl w:val="nil"/>
                  </w:tcBorders>
                  <w:noWrap w:val="0"/>
                  <w:vAlign w:val="center"/>
                </w:tcPr>
                <w:p w14:paraId="1563E846">
                  <w:pPr>
                    <w:spacing w:beforeLines="0" w:afterLines="0"/>
                    <w:jc w:val="center"/>
                    <w:rPr>
                      <w:rFonts w:hint="default" w:ascii="Times New Roman" w:hAnsi="Times New Roman" w:eastAsia="Times New Roman" w:cs="Times New Roman"/>
                      <w:b/>
                      <w:color w:val="auto"/>
                      <w:sz w:val="21"/>
                      <w:szCs w:val="21"/>
                    </w:rPr>
                  </w:pPr>
                  <w:r>
                    <w:rPr>
                      <w:rFonts w:hint="default" w:ascii="Times New Roman" w:hAnsi="Times New Roman" w:eastAsia="宋体" w:cs="Times New Roman"/>
                      <w:b/>
                      <w:color w:val="auto"/>
                      <w:sz w:val="21"/>
                      <w:szCs w:val="21"/>
                    </w:rPr>
                    <w:t>坐标</w:t>
                  </w:r>
                </w:p>
              </w:tc>
              <w:tc>
                <w:tcPr>
                  <w:tcW w:w="329" w:type="pct"/>
                  <w:vMerge w:val="restart"/>
                  <w:tcBorders>
                    <w:top w:val="single" w:color="auto" w:sz="8" w:space="0"/>
                    <w:left w:val="single" w:color="auto" w:sz="6" w:space="0"/>
                    <w:bottom w:val="single" w:color="auto" w:sz="6" w:space="0"/>
                    <w:right w:val="single" w:color="auto" w:sz="6" w:space="0"/>
                    <w:tl2br w:val="nil"/>
                    <w:tr2bl w:val="nil"/>
                  </w:tcBorders>
                  <w:noWrap w:val="0"/>
                  <w:vAlign w:val="center"/>
                </w:tcPr>
                <w:p w14:paraId="48669E7B">
                  <w:pPr>
                    <w:spacing w:beforeLines="0" w:afterLines="0"/>
                    <w:jc w:val="center"/>
                    <w:rPr>
                      <w:rFonts w:hint="default" w:ascii="Times New Roman" w:hAnsi="Times New Roman" w:eastAsia="Times New Roman" w:cs="Times New Roman"/>
                      <w:b/>
                      <w:color w:val="auto"/>
                      <w:sz w:val="21"/>
                      <w:szCs w:val="21"/>
                    </w:rPr>
                  </w:pPr>
                  <w:r>
                    <w:rPr>
                      <w:rFonts w:hint="default" w:ascii="Times New Roman" w:hAnsi="Times New Roman" w:eastAsia="宋体" w:cs="Times New Roman"/>
                      <w:b/>
                      <w:color w:val="auto"/>
                      <w:sz w:val="21"/>
                      <w:szCs w:val="21"/>
                    </w:rPr>
                    <w:t>保护</w:t>
                  </w:r>
                </w:p>
                <w:p w14:paraId="3B651512">
                  <w:pPr>
                    <w:spacing w:beforeLines="0" w:afterLines="0"/>
                    <w:jc w:val="center"/>
                    <w:rPr>
                      <w:rFonts w:hint="default" w:ascii="Times New Roman" w:hAnsi="Times New Roman" w:eastAsia="Times New Roman" w:cs="Times New Roman"/>
                      <w:b/>
                      <w:color w:val="auto"/>
                      <w:sz w:val="21"/>
                      <w:szCs w:val="21"/>
                    </w:rPr>
                  </w:pPr>
                  <w:r>
                    <w:rPr>
                      <w:rFonts w:hint="default" w:ascii="Times New Roman" w:hAnsi="Times New Roman" w:eastAsia="宋体" w:cs="Times New Roman"/>
                      <w:b/>
                      <w:color w:val="auto"/>
                      <w:sz w:val="21"/>
                      <w:szCs w:val="21"/>
                    </w:rPr>
                    <w:t>对象</w:t>
                  </w:r>
                </w:p>
              </w:tc>
              <w:tc>
                <w:tcPr>
                  <w:tcW w:w="696" w:type="pct"/>
                  <w:vMerge w:val="restart"/>
                  <w:tcBorders>
                    <w:top w:val="single" w:color="auto" w:sz="8" w:space="0"/>
                    <w:left w:val="single" w:color="auto" w:sz="6" w:space="0"/>
                    <w:bottom w:val="single" w:color="auto" w:sz="6" w:space="0"/>
                    <w:right w:val="single" w:color="auto" w:sz="6" w:space="0"/>
                    <w:tl2br w:val="nil"/>
                    <w:tr2bl w:val="nil"/>
                  </w:tcBorders>
                  <w:noWrap w:val="0"/>
                  <w:vAlign w:val="center"/>
                </w:tcPr>
                <w:p w14:paraId="288902FD">
                  <w:pPr>
                    <w:spacing w:beforeLines="0" w:afterLines="0"/>
                    <w:jc w:val="center"/>
                    <w:rPr>
                      <w:rFonts w:hint="default" w:ascii="Times New Roman" w:hAnsi="Times New Roman" w:eastAsia="Times New Roman" w:cs="Times New Roman"/>
                      <w:b/>
                      <w:color w:val="auto"/>
                      <w:sz w:val="21"/>
                      <w:szCs w:val="21"/>
                    </w:rPr>
                  </w:pPr>
                  <w:r>
                    <w:rPr>
                      <w:rFonts w:hint="default" w:ascii="Times New Roman" w:hAnsi="Times New Roman" w:eastAsia="宋体" w:cs="Times New Roman"/>
                      <w:b/>
                      <w:color w:val="auto"/>
                      <w:sz w:val="21"/>
                      <w:szCs w:val="21"/>
                    </w:rPr>
                    <w:t>保护内容</w:t>
                  </w:r>
                </w:p>
                <w:p w14:paraId="1484CC3D">
                  <w:pPr>
                    <w:pStyle w:val="2"/>
                    <w:spacing w:beforeLines="0" w:afterLines="0" w:line="240" w:lineRule="auto"/>
                    <w:jc w:val="center"/>
                    <w:rPr>
                      <w:rFonts w:hint="default"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w:t>
                  </w:r>
                  <w:r>
                    <w:rPr>
                      <w:rFonts w:hint="default" w:ascii="Times New Roman" w:hAnsi="Times New Roman" w:eastAsia="宋体" w:cs="Times New Roman"/>
                      <w:b/>
                      <w:color w:val="auto"/>
                      <w:sz w:val="21"/>
                      <w:szCs w:val="21"/>
                    </w:rPr>
                    <w:t>人口)</w:t>
                  </w:r>
                </w:p>
              </w:tc>
              <w:tc>
                <w:tcPr>
                  <w:tcW w:w="931" w:type="pct"/>
                  <w:vMerge w:val="restart"/>
                  <w:tcBorders>
                    <w:top w:val="single" w:color="auto" w:sz="8" w:space="0"/>
                    <w:left w:val="single" w:color="auto" w:sz="6" w:space="0"/>
                    <w:bottom w:val="single" w:color="auto" w:sz="6" w:space="0"/>
                    <w:right w:val="single" w:color="auto" w:sz="6" w:space="0"/>
                    <w:tl2br w:val="nil"/>
                    <w:tr2bl w:val="nil"/>
                  </w:tcBorders>
                  <w:noWrap w:val="0"/>
                  <w:vAlign w:val="center"/>
                </w:tcPr>
                <w:p w14:paraId="6649E933">
                  <w:pPr>
                    <w:spacing w:beforeLines="0" w:afterLines="0"/>
                    <w:jc w:val="center"/>
                    <w:rPr>
                      <w:rFonts w:hint="default" w:ascii="Times New Roman" w:hAnsi="Times New Roman" w:eastAsia="Times New Roman" w:cs="Times New Roman"/>
                      <w:b/>
                      <w:color w:val="auto"/>
                      <w:sz w:val="21"/>
                      <w:szCs w:val="21"/>
                    </w:rPr>
                  </w:pPr>
                  <w:r>
                    <w:rPr>
                      <w:rFonts w:hint="default" w:ascii="Times New Roman" w:hAnsi="Times New Roman" w:eastAsia="宋体" w:cs="Times New Roman"/>
                      <w:b/>
                      <w:color w:val="auto"/>
                      <w:sz w:val="21"/>
                      <w:szCs w:val="21"/>
                    </w:rPr>
                    <w:t>环境功能区</w:t>
                  </w:r>
                </w:p>
              </w:tc>
              <w:tc>
                <w:tcPr>
                  <w:tcW w:w="367" w:type="pct"/>
                  <w:vMerge w:val="restart"/>
                  <w:tcBorders>
                    <w:top w:val="single" w:color="auto" w:sz="8" w:space="0"/>
                    <w:left w:val="single" w:color="auto" w:sz="6" w:space="0"/>
                    <w:bottom w:val="single" w:color="auto" w:sz="6" w:space="0"/>
                    <w:right w:val="single" w:color="auto" w:sz="6" w:space="0"/>
                    <w:tl2br w:val="nil"/>
                    <w:tr2bl w:val="nil"/>
                  </w:tcBorders>
                  <w:noWrap w:val="0"/>
                  <w:vAlign w:val="center"/>
                </w:tcPr>
                <w:p w14:paraId="289220E1">
                  <w:pPr>
                    <w:spacing w:beforeLines="0" w:afterLines="0"/>
                    <w:jc w:val="center"/>
                    <w:rPr>
                      <w:rFonts w:hint="default" w:ascii="Times New Roman" w:hAnsi="Times New Roman" w:eastAsia="Times New Roman" w:cs="Times New Roman"/>
                      <w:b/>
                      <w:color w:val="auto"/>
                      <w:sz w:val="21"/>
                      <w:szCs w:val="21"/>
                    </w:rPr>
                  </w:pPr>
                  <w:r>
                    <w:rPr>
                      <w:rFonts w:hint="default" w:ascii="Times New Roman" w:hAnsi="Times New Roman" w:eastAsia="宋体" w:cs="Times New Roman"/>
                      <w:b/>
                      <w:color w:val="auto"/>
                      <w:sz w:val="21"/>
                      <w:szCs w:val="21"/>
                    </w:rPr>
                    <w:t>相对方位</w:t>
                  </w:r>
                </w:p>
              </w:tc>
              <w:tc>
                <w:tcPr>
                  <w:tcW w:w="368" w:type="pct"/>
                  <w:vMerge w:val="restart"/>
                  <w:tcBorders>
                    <w:top w:val="single" w:color="auto" w:sz="8" w:space="0"/>
                    <w:left w:val="single" w:color="auto" w:sz="6" w:space="0"/>
                    <w:bottom w:val="single" w:color="auto" w:sz="6" w:space="0"/>
                    <w:right w:val="single" w:color="auto" w:sz="8" w:space="0"/>
                    <w:tl2br w:val="nil"/>
                    <w:tr2bl w:val="nil"/>
                  </w:tcBorders>
                  <w:noWrap w:val="0"/>
                  <w:vAlign w:val="center"/>
                </w:tcPr>
                <w:p w14:paraId="41719310">
                  <w:pPr>
                    <w:spacing w:beforeLines="0" w:afterLines="0"/>
                    <w:jc w:val="center"/>
                    <w:rPr>
                      <w:rFonts w:hint="default" w:ascii="Times New Roman" w:hAnsi="Times New Roman" w:eastAsia="Times New Roman" w:cs="Times New Roman"/>
                      <w:b/>
                      <w:color w:val="auto"/>
                      <w:sz w:val="21"/>
                      <w:szCs w:val="21"/>
                    </w:rPr>
                  </w:pPr>
                  <w:r>
                    <w:rPr>
                      <w:rFonts w:hint="default" w:ascii="Times New Roman" w:hAnsi="Times New Roman" w:eastAsia="宋体" w:cs="Times New Roman"/>
                      <w:b/>
                      <w:color w:val="auto"/>
                      <w:sz w:val="21"/>
                      <w:szCs w:val="21"/>
                    </w:rPr>
                    <w:t>相对距离/m</w:t>
                  </w:r>
                </w:p>
              </w:tc>
            </w:tr>
            <w:tr w14:paraId="6B5D7C5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51" w:type="pct"/>
                  <w:vMerge w:val="continue"/>
                  <w:tcBorders>
                    <w:top w:val="single" w:color="auto" w:sz="6" w:space="0"/>
                    <w:left w:val="single" w:color="auto" w:sz="8" w:space="0"/>
                    <w:bottom w:val="single" w:color="auto" w:sz="6" w:space="0"/>
                    <w:right w:val="single" w:color="auto" w:sz="6" w:space="0"/>
                    <w:tl2br w:val="nil"/>
                    <w:tr2bl w:val="nil"/>
                  </w:tcBorders>
                  <w:noWrap w:val="0"/>
                  <w:vAlign w:val="center"/>
                </w:tcPr>
                <w:p w14:paraId="4B3296DB">
                  <w:pPr>
                    <w:spacing w:beforeLines="0" w:afterLines="0"/>
                    <w:jc w:val="center"/>
                    <w:rPr>
                      <w:rFonts w:hint="default" w:ascii="Times New Roman" w:hAnsi="Times New Roman" w:eastAsia="Times New Roman" w:cs="Times New Roman"/>
                      <w:color w:val="auto"/>
                      <w:sz w:val="21"/>
                      <w:szCs w:val="21"/>
                    </w:rPr>
                  </w:pPr>
                </w:p>
              </w:tc>
              <w:tc>
                <w:tcPr>
                  <w:tcW w:w="753"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14:paraId="323D314B">
                  <w:pPr>
                    <w:spacing w:beforeLines="0" w:afterLines="0"/>
                    <w:jc w:val="center"/>
                    <w:rPr>
                      <w:rFonts w:hint="default" w:ascii="Times New Roman" w:hAnsi="Times New Roman" w:eastAsia="Times New Roman" w:cs="Times New Roman"/>
                      <w:color w:val="auto"/>
                      <w:sz w:val="21"/>
                      <w:szCs w:val="21"/>
                    </w:rPr>
                  </w:pPr>
                </w:p>
              </w:tc>
              <w:tc>
                <w:tcPr>
                  <w:tcW w:w="64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E84AA51">
                  <w:pPr>
                    <w:spacing w:beforeLines="0" w:afterLines="0"/>
                    <w:jc w:val="center"/>
                    <w:rPr>
                      <w:rFonts w:hint="default"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X</w:t>
                  </w:r>
                </w:p>
              </w:tc>
              <w:tc>
                <w:tcPr>
                  <w:tcW w:w="65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39DF579">
                  <w:pPr>
                    <w:spacing w:beforeLines="0" w:afterLines="0"/>
                    <w:jc w:val="center"/>
                    <w:rPr>
                      <w:rFonts w:hint="default"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Y</w:t>
                  </w:r>
                </w:p>
              </w:tc>
              <w:tc>
                <w:tcPr>
                  <w:tcW w:w="329"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14:paraId="1D08C543">
                  <w:pPr>
                    <w:spacing w:beforeLines="0" w:afterLines="0"/>
                    <w:jc w:val="center"/>
                    <w:rPr>
                      <w:rFonts w:hint="default" w:ascii="Times New Roman" w:hAnsi="Times New Roman" w:eastAsia="Times New Roman" w:cs="Times New Roman"/>
                      <w:color w:val="auto"/>
                      <w:sz w:val="21"/>
                      <w:szCs w:val="21"/>
                    </w:rPr>
                  </w:pPr>
                </w:p>
              </w:tc>
              <w:tc>
                <w:tcPr>
                  <w:tcW w:w="696"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14:paraId="580166D2">
                  <w:pPr>
                    <w:spacing w:beforeLines="0" w:afterLines="0"/>
                    <w:jc w:val="center"/>
                    <w:rPr>
                      <w:rFonts w:hint="default" w:ascii="Times New Roman" w:hAnsi="Times New Roman" w:eastAsia="Times New Roman" w:cs="Times New Roman"/>
                      <w:color w:val="auto"/>
                      <w:sz w:val="21"/>
                      <w:szCs w:val="21"/>
                    </w:rPr>
                  </w:pPr>
                </w:p>
              </w:tc>
              <w:tc>
                <w:tcPr>
                  <w:tcW w:w="931"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14:paraId="0F8118FE">
                  <w:pPr>
                    <w:spacing w:beforeLines="0" w:afterLines="0"/>
                    <w:jc w:val="center"/>
                    <w:rPr>
                      <w:rFonts w:hint="default" w:ascii="Times New Roman" w:hAnsi="Times New Roman" w:eastAsia="Times New Roman" w:cs="Times New Roman"/>
                      <w:color w:val="auto"/>
                      <w:sz w:val="21"/>
                      <w:szCs w:val="21"/>
                    </w:rPr>
                  </w:pPr>
                </w:p>
              </w:tc>
              <w:tc>
                <w:tcPr>
                  <w:tcW w:w="367"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14:paraId="231CD0C7">
                  <w:pPr>
                    <w:spacing w:beforeLines="0" w:afterLines="0"/>
                    <w:jc w:val="center"/>
                    <w:rPr>
                      <w:rFonts w:hint="default" w:ascii="Times New Roman" w:hAnsi="Times New Roman" w:eastAsia="Times New Roman" w:cs="Times New Roman"/>
                      <w:color w:val="auto"/>
                      <w:sz w:val="21"/>
                      <w:szCs w:val="21"/>
                    </w:rPr>
                  </w:pPr>
                </w:p>
              </w:tc>
              <w:tc>
                <w:tcPr>
                  <w:tcW w:w="368" w:type="pct"/>
                  <w:vMerge w:val="continue"/>
                  <w:tcBorders>
                    <w:top w:val="single" w:color="auto" w:sz="6" w:space="0"/>
                    <w:left w:val="single" w:color="auto" w:sz="6" w:space="0"/>
                    <w:bottom w:val="single" w:color="auto" w:sz="6" w:space="0"/>
                    <w:right w:val="single" w:color="auto" w:sz="8" w:space="0"/>
                    <w:tl2br w:val="nil"/>
                    <w:tr2bl w:val="nil"/>
                  </w:tcBorders>
                  <w:noWrap w:val="0"/>
                  <w:vAlign w:val="center"/>
                </w:tcPr>
                <w:p w14:paraId="78DEF074">
                  <w:pPr>
                    <w:spacing w:beforeLines="0" w:afterLines="0"/>
                    <w:jc w:val="center"/>
                    <w:rPr>
                      <w:rFonts w:hint="default" w:ascii="Times New Roman" w:hAnsi="Times New Roman" w:eastAsia="Times New Roman" w:cs="Times New Roman"/>
                      <w:color w:val="auto"/>
                      <w:sz w:val="21"/>
                      <w:szCs w:val="21"/>
                    </w:rPr>
                  </w:pPr>
                </w:p>
              </w:tc>
            </w:tr>
            <w:tr w14:paraId="44C61F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582" w:hRule="atLeast"/>
                <w:jc w:val="center"/>
              </w:trPr>
              <w:tc>
                <w:tcPr>
                  <w:tcW w:w="251" w:type="pct"/>
                  <w:vMerge w:val="restart"/>
                  <w:tcBorders>
                    <w:top w:val="single" w:color="auto" w:sz="4" w:space="0"/>
                    <w:left w:val="single" w:color="auto" w:sz="8" w:space="0"/>
                    <w:right w:val="single" w:color="auto" w:sz="6" w:space="0"/>
                    <w:tl2br w:val="nil"/>
                    <w:tr2bl w:val="nil"/>
                  </w:tcBorders>
                  <w:noWrap w:val="0"/>
                  <w:vAlign w:val="center"/>
                </w:tcPr>
                <w:p w14:paraId="55D91740">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w:t>
                  </w:r>
                </w:p>
                <w:p w14:paraId="4E0686BD">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w:t>
                  </w:r>
                </w:p>
                <w:p w14:paraId="0564C787">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w:t>
                  </w:r>
                </w:p>
                <w:p w14:paraId="05B930AF">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境</w:t>
                  </w:r>
                </w:p>
              </w:tc>
              <w:tc>
                <w:tcPr>
                  <w:tcW w:w="753" w:type="pct"/>
                  <w:tcBorders>
                    <w:top w:val="single" w:color="auto" w:sz="4" w:space="0"/>
                    <w:left w:val="single" w:color="auto" w:sz="6" w:space="0"/>
                    <w:bottom w:val="single" w:color="auto" w:sz="6" w:space="0"/>
                    <w:right w:val="single" w:color="auto" w:sz="6" w:space="0"/>
                    <w:tl2br w:val="nil"/>
                    <w:tr2bl w:val="nil"/>
                  </w:tcBorders>
                  <w:noWrap w:val="0"/>
                  <w:vAlign w:val="center"/>
                </w:tcPr>
                <w:p w14:paraId="42377A23">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左马村</w:t>
                  </w:r>
                </w:p>
              </w:tc>
              <w:tc>
                <w:tcPr>
                  <w:tcW w:w="64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CF55CA8">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5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B92095D">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2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F30BD9F">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居民</w:t>
                  </w:r>
                </w:p>
              </w:tc>
              <w:tc>
                <w:tcPr>
                  <w:tcW w:w="696" w:type="pct"/>
                  <w:tcBorders>
                    <w:top w:val="single" w:color="auto" w:sz="4" w:space="0"/>
                    <w:left w:val="single" w:color="auto" w:sz="6" w:space="0"/>
                    <w:bottom w:val="single" w:color="auto" w:sz="6" w:space="0"/>
                    <w:right w:val="single" w:color="auto" w:sz="6" w:space="0"/>
                    <w:tl2br w:val="nil"/>
                    <w:tr2bl w:val="nil"/>
                  </w:tcBorders>
                  <w:noWrap w:val="0"/>
                  <w:vAlign w:val="center"/>
                </w:tcPr>
                <w:p w14:paraId="010342F0">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931" w:type="pct"/>
                  <w:vMerge w:val="restart"/>
                  <w:tcBorders>
                    <w:top w:val="single" w:color="auto" w:sz="4" w:space="0"/>
                    <w:left w:val="single" w:color="auto" w:sz="6" w:space="0"/>
                    <w:right w:val="single" w:color="auto" w:sz="6" w:space="0"/>
                    <w:tl2br w:val="nil"/>
                    <w:tr2bl w:val="nil"/>
                  </w:tcBorders>
                  <w:noWrap w:val="0"/>
                  <w:vAlign w:val="center"/>
                </w:tcPr>
                <w:p w14:paraId="058945C5">
                  <w:pPr>
                    <w:spacing w:beforeLines="0" w:afterLine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《环境空气质量</w:t>
                  </w:r>
                </w:p>
                <w:p w14:paraId="6889BCAF">
                  <w:pPr>
                    <w:spacing w:beforeLines="0" w:afterLine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标准》（GB3095</w:t>
                  </w:r>
                </w:p>
                <w:p w14:paraId="11628391">
                  <w:pPr>
                    <w:spacing w:beforeLines="0" w:afterLine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-2012）二类区</w:t>
                  </w:r>
                </w:p>
              </w:tc>
              <w:tc>
                <w:tcPr>
                  <w:tcW w:w="36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A488548">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北</w:t>
                  </w:r>
                </w:p>
              </w:tc>
              <w:tc>
                <w:tcPr>
                  <w:tcW w:w="368" w:type="pct"/>
                  <w:tcBorders>
                    <w:top w:val="single" w:color="auto" w:sz="6" w:space="0"/>
                    <w:left w:val="single" w:color="auto" w:sz="6" w:space="0"/>
                    <w:bottom w:val="single" w:color="auto" w:sz="6" w:space="0"/>
                    <w:right w:val="single" w:color="auto" w:sz="8" w:space="0"/>
                    <w:tl2br w:val="nil"/>
                    <w:tr2bl w:val="nil"/>
                  </w:tcBorders>
                  <w:noWrap w:val="0"/>
                  <w:vAlign w:val="center"/>
                </w:tcPr>
                <w:p w14:paraId="25E3C43C">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w:t>
                  </w:r>
                </w:p>
              </w:tc>
            </w:tr>
            <w:tr w14:paraId="2AC60B3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3" w:hRule="atLeast"/>
                <w:jc w:val="center"/>
              </w:trPr>
              <w:tc>
                <w:tcPr>
                  <w:tcW w:w="251" w:type="pct"/>
                  <w:vMerge w:val="continue"/>
                  <w:tcBorders>
                    <w:left w:val="single" w:color="auto" w:sz="8" w:space="0"/>
                    <w:bottom w:val="single" w:color="auto" w:sz="8" w:space="0"/>
                    <w:right w:val="single" w:color="auto" w:sz="6" w:space="0"/>
                    <w:tl2br w:val="nil"/>
                    <w:tr2bl w:val="nil"/>
                  </w:tcBorders>
                  <w:noWrap w:val="0"/>
                  <w:vAlign w:val="center"/>
                </w:tcPr>
                <w:p w14:paraId="1253ACF3">
                  <w:pPr>
                    <w:spacing w:beforeLines="0" w:afterLines="0"/>
                    <w:jc w:val="center"/>
                    <w:rPr>
                      <w:rFonts w:hint="default" w:ascii="Times New Roman" w:hAnsi="Times New Roman" w:eastAsia="宋体" w:cs="Times New Roman"/>
                      <w:color w:val="auto"/>
                      <w:sz w:val="21"/>
                      <w:szCs w:val="21"/>
                    </w:rPr>
                  </w:pPr>
                </w:p>
              </w:tc>
              <w:tc>
                <w:tcPr>
                  <w:tcW w:w="753" w:type="pct"/>
                  <w:tcBorders>
                    <w:top w:val="single" w:color="auto" w:sz="6" w:space="0"/>
                    <w:left w:val="single" w:color="auto" w:sz="6" w:space="0"/>
                    <w:bottom w:val="single" w:color="auto" w:sz="8" w:space="0"/>
                    <w:right w:val="single" w:color="auto" w:sz="6" w:space="0"/>
                    <w:tl2br w:val="nil"/>
                    <w:tr2bl w:val="nil"/>
                  </w:tcBorders>
                  <w:noWrap w:val="0"/>
                  <w:vAlign w:val="center"/>
                </w:tcPr>
                <w:p w14:paraId="4C331164">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前丁村</w:t>
                  </w:r>
                </w:p>
              </w:tc>
              <w:tc>
                <w:tcPr>
                  <w:tcW w:w="645" w:type="pct"/>
                  <w:tcBorders>
                    <w:top w:val="single" w:color="auto" w:sz="6" w:space="0"/>
                    <w:left w:val="single" w:color="auto" w:sz="6" w:space="0"/>
                    <w:bottom w:val="single" w:color="auto" w:sz="8" w:space="0"/>
                    <w:right w:val="single" w:color="auto" w:sz="6" w:space="0"/>
                    <w:tl2br w:val="nil"/>
                    <w:tr2bl w:val="nil"/>
                  </w:tcBorders>
                  <w:noWrap w:val="0"/>
                  <w:vAlign w:val="center"/>
                </w:tcPr>
                <w:p w14:paraId="0490BC46">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656" w:type="pct"/>
                  <w:tcBorders>
                    <w:top w:val="single" w:color="auto" w:sz="6" w:space="0"/>
                    <w:left w:val="single" w:color="auto" w:sz="6" w:space="0"/>
                    <w:bottom w:val="single" w:color="auto" w:sz="8" w:space="0"/>
                    <w:right w:val="single" w:color="auto" w:sz="6" w:space="0"/>
                    <w:tl2br w:val="nil"/>
                    <w:tr2bl w:val="nil"/>
                  </w:tcBorders>
                  <w:noWrap w:val="0"/>
                  <w:vAlign w:val="center"/>
                </w:tcPr>
                <w:p w14:paraId="57C85DB1">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29" w:type="pct"/>
                  <w:tcBorders>
                    <w:top w:val="single" w:color="auto" w:sz="6" w:space="0"/>
                    <w:left w:val="single" w:color="auto" w:sz="6" w:space="0"/>
                    <w:bottom w:val="single" w:color="auto" w:sz="8" w:space="0"/>
                    <w:right w:val="single" w:color="auto" w:sz="6" w:space="0"/>
                    <w:tl2br w:val="nil"/>
                    <w:tr2bl w:val="nil"/>
                  </w:tcBorders>
                  <w:noWrap w:val="0"/>
                  <w:vAlign w:val="center"/>
                </w:tcPr>
                <w:p w14:paraId="1FCF351A">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居民</w:t>
                  </w:r>
                </w:p>
              </w:tc>
              <w:tc>
                <w:tcPr>
                  <w:tcW w:w="696" w:type="pct"/>
                  <w:tcBorders>
                    <w:top w:val="single" w:color="auto" w:sz="6" w:space="0"/>
                    <w:left w:val="single" w:color="auto" w:sz="6" w:space="0"/>
                    <w:bottom w:val="single" w:color="auto" w:sz="8" w:space="0"/>
                    <w:right w:val="single" w:color="auto" w:sz="6" w:space="0"/>
                    <w:tl2br w:val="nil"/>
                    <w:tr2bl w:val="nil"/>
                  </w:tcBorders>
                  <w:noWrap w:val="0"/>
                  <w:vAlign w:val="center"/>
                </w:tcPr>
                <w:p w14:paraId="7CCCAF62">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1500</w:t>
                  </w:r>
                </w:p>
              </w:tc>
              <w:tc>
                <w:tcPr>
                  <w:tcW w:w="931" w:type="pct"/>
                  <w:vMerge w:val="continue"/>
                  <w:tcBorders>
                    <w:left w:val="single" w:color="auto" w:sz="6" w:space="0"/>
                    <w:bottom w:val="single" w:color="auto" w:sz="8" w:space="0"/>
                    <w:right w:val="single" w:color="auto" w:sz="6" w:space="0"/>
                    <w:tl2br w:val="nil"/>
                    <w:tr2bl w:val="nil"/>
                  </w:tcBorders>
                  <w:noWrap w:val="0"/>
                  <w:vAlign w:val="center"/>
                </w:tcPr>
                <w:p w14:paraId="79E54AEE">
                  <w:pPr>
                    <w:spacing w:beforeLines="0" w:afterLines="0"/>
                    <w:jc w:val="center"/>
                    <w:rPr>
                      <w:rFonts w:hint="default" w:ascii="Times New Roman" w:hAnsi="Times New Roman" w:eastAsia="Times New Roman" w:cs="Times New Roman"/>
                      <w:color w:val="auto"/>
                      <w:sz w:val="21"/>
                      <w:szCs w:val="21"/>
                    </w:rPr>
                  </w:pPr>
                </w:p>
              </w:tc>
              <w:tc>
                <w:tcPr>
                  <w:tcW w:w="367" w:type="pct"/>
                  <w:tcBorders>
                    <w:top w:val="single" w:color="auto" w:sz="6" w:space="0"/>
                    <w:left w:val="single" w:color="auto" w:sz="6" w:space="0"/>
                    <w:bottom w:val="single" w:color="auto" w:sz="8" w:space="0"/>
                    <w:right w:val="single" w:color="auto" w:sz="6" w:space="0"/>
                    <w:tl2br w:val="nil"/>
                    <w:tr2bl w:val="nil"/>
                  </w:tcBorders>
                  <w:noWrap w:val="0"/>
                  <w:vAlign w:val="center"/>
                </w:tcPr>
                <w:p w14:paraId="3A6274E1">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东北</w:t>
                  </w:r>
                </w:p>
              </w:tc>
              <w:tc>
                <w:tcPr>
                  <w:tcW w:w="368" w:type="pct"/>
                  <w:tcBorders>
                    <w:top w:val="single" w:color="auto" w:sz="6" w:space="0"/>
                    <w:left w:val="single" w:color="auto" w:sz="6" w:space="0"/>
                    <w:bottom w:val="single" w:color="auto" w:sz="8" w:space="0"/>
                    <w:right w:val="single" w:color="auto" w:sz="8" w:space="0"/>
                    <w:tl2br w:val="nil"/>
                    <w:tr2bl w:val="nil"/>
                  </w:tcBorders>
                  <w:noWrap w:val="0"/>
                  <w:vAlign w:val="center"/>
                </w:tcPr>
                <w:p w14:paraId="791C5F41">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140</w:t>
                  </w:r>
                </w:p>
              </w:tc>
            </w:tr>
          </w:tbl>
          <w:p w14:paraId="69EE4C4E">
            <w:pPr>
              <w:pStyle w:val="11"/>
              <w:snapToGrid w:val="0"/>
              <w:spacing w:line="360" w:lineRule="auto"/>
              <w:ind w:left="0" w:leftChars="0" w:firstLine="480" w:firstLineChars="200"/>
              <w:rPr>
                <w:rFonts w:hint="eastAsia" w:ascii="Times New Roman" w:hAnsi="Times New Roman" w:eastAsia="Times New Roman" w:cs="Times New Roman"/>
                <w:b/>
                <w:color w:val="auto"/>
                <w:kern w:val="2"/>
                <w:sz w:val="24"/>
                <w:szCs w:val="24"/>
                <w:lang w:val="zh-CN"/>
              </w:rPr>
            </w:pPr>
            <w:r>
              <w:rPr>
                <w:rFonts w:hint="eastAsia" w:ascii="Times New Roman" w:hAnsi="Times New Roman" w:eastAsia="Times New Roman" w:cs="Times New Roman"/>
                <w:b/>
                <w:color w:val="auto"/>
                <w:kern w:val="2"/>
                <w:sz w:val="24"/>
                <w:szCs w:val="24"/>
                <w:lang w:val="zh-CN"/>
              </w:rPr>
              <w:t>2</w:t>
            </w:r>
            <w:r>
              <w:rPr>
                <w:rFonts w:hint="default" w:ascii="宋体" w:hAnsi="Times New Roman" w:eastAsia="宋体" w:cs="Times New Roman"/>
                <w:b/>
                <w:color w:val="auto"/>
                <w:kern w:val="2"/>
                <w:sz w:val="24"/>
                <w:szCs w:val="24"/>
                <w:lang w:val="zh-CN"/>
              </w:rPr>
              <w:t>、声环境</w:t>
            </w:r>
          </w:p>
          <w:p w14:paraId="36AAF9E8">
            <w:pPr>
              <w:pStyle w:val="11"/>
              <w:snapToGrid w:val="0"/>
              <w:spacing w:line="360" w:lineRule="auto"/>
              <w:ind w:left="0" w:leftChars="0" w:firstLine="480" w:firstLineChars="200"/>
              <w:rPr>
                <w:rFonts w:hint="default"/>
                <w:color w:val="auto"/>
                <w:lang w:val="zh-CN"/>
              </w:rPr>
            </w:pPr>
            <w:r>
              <w:rPr>
                <w:rFonts w:hint="default" w:ascii="宋体" w:hAnsi="Times New Roman" w:eastAsia="宋体" w:cs="Times New Roman"/>
                <w:color w:val="auto"/>
                <w:kern w:val="2"/>
                <w:sz w:val="24"/>
                <w:szCs w:val="24"/>
                <w:lang w:val="zh-CN"/>
              </w:rPr>
              <w:t>项目位于安徽省蚌埠市固镇县刘集镇珍珠沟西侧，项目周边50m范围内</w:t>
            </w:r>
            <w:r>
              <w:rPr>
                <w:rFonts w:hint="eastAsia" w:hAnsi="Times New Roman" w:cs="Times New Roman"/>
                <w:color w:val="auto"/>
                <w:kern w:val="2"/>
                <w:sz w:val="24"/>
                <w:szCs w:val="24"/>
                <w:lang w:val="en-US" w:eastAsia="zh-CN"/>
              </w:rPr>
              <w:t>有</w:t>
            </w:r>
            <w:r>
              <w:rPr>
                <w:rFonts w:hint="default" w:ascii="宋体" w:hAnsi="Times New Roman" w:eastAsia="宋体" w:cs="Times New Roman"/>
                <w:color w:val="auto"/>
                <w:kern w:val="2"/>
                <w:sz w:val="24"/>
                <w:szCs w:val="24"/>
                <w:lang w:val="zh-CN"/>
              </w:rPr>
              <w:t>声环境保护目标。</w:t>
            </w:r>
          </w:p>
          <w:p w14:paraId="04247E82">
            <w:pPr>
              <w:spacing w:after="120" w:afterLines="50"/>
              <w:ind w:firstLine="105"/>
              <w:jc w:val="center"/>
              <w:rPr>
                <w:rFonts w:hint="default" w:ascii="宋体" w:hAnsi="宋体" w:eastAsia="宋体" w:cs="宋体"/>
                <w:b/>
                <w:color w:val="auto"/>
                <w:sz w:val="24"/>
                <w:szCs w:val="24"/>
                <w:lang w:bidi="ar"/>
              </w:rPr>
            </w:pPr>
            <w:r>
              <w:rPr>
                <w:rFonts w:hint="default" w:ascii="宋体" w:hAnsi="宋体" w:eastAsia="宋体" w:cs="宋体"/>
                <w:b/>
                <w:color w:val="auto"/>
                <w:sz w:val="21"/>
                <w:szCs w:val="21"/>
                <w:lang w:bidi="ar"/>
              </w:rPr>
              <w:t>表</w:t>
            </w:r>
            <w:r>
              <w:rPr>
                <w:rFonts w:hint="eastAsia"/>
                <w:b/>
                <w:color w:val="auto"/>
                <w:sz w:val="21"/>
                <w:szCs w:val="21"/>
                <w:lang w:bidi="ar"/>
              </w:rPr>
              <w:t>3-</w:t>
            </w:r>
            <w:r>
              <w:rPr>
                <w:rFonts w:hint="eastAsia"/>
                <w:b/>
                <w:color w:val="auto"/>
                <w:sz w:val="21"/>
                <w:szCs w:val="21"/>
                <w:lang w:val="en-US" w:eastAsia="zh-CN" w:bidi="ar"/>
              </w:rPr>
              <w:t>6</w:t>
            </w:r>
            <w:r>
              <w:rPr>
                <w:rFonts w:hint="default" w:ascii="宋体" w:eastAsia="宋体"/>
                <w:b/>
                <w:color w:val="auto"/>
                <w:sz w:val="21"/>
                <w:szCs w:val="21"/>
                <w:lang w:bidi="ar"/>
              </w:rPr>
              <w:t xml:space="preserve">  </w:t>
            </w:r>
            <w:r>
              <w:rPr>
                <w:rFonts w:hint="default" w:ascii="宋体" w:hAnsi="宋体" w:eastAsia="宋体" w:cs="宋体"/>
                <w:b/>
                <w:color w:val="auto"/>
                <w:sz w:val="21"/>
                <w:szCs w:val="21"/>
                <w:lang w:bidi="ar"/>
              </w:rPr>
              <w:t>项目</w:t>
            </w:r>
            <w:r>
              <w:rPr>
                <w:rFonts w:hint="eastAsia" w:ascii="宋体" w:hAnsi="宋体" w:eastAsia="宋体" w:cs="宋体"/>
                <w:b/>
                <w:color w:val="auto"/>
                <w:sz w:val="21"/>
                <w:szCs w:val="21"/>
                <w:lang w:val="en-US" w:eastAsia="zh-CN" w:bidi="ar"/>
              </w:rPr>
              <w:t>声</w:t>
            </w:r>
            <w:r>
              <w:rPr>
                <w:rFonts w:hint="default" w:ascii="宋体" w:hAnsi="宋体" w:eastAsia="宋体" w:cs="宋体"/>
                <w:b/>
                <w:color w:val="auto"/>
                <w:sz w:val="21"/>
                <w:szCs w:val="21"/>
                <w:lang w:bidi="ar"/>
              </w:rPr>
              <w:t>环境保护目标一览表</w:t>
            </w:r>
          </w:p>
          <w:tbl>
            <w:tblPr>
              <w:tblStyle w:val="25"/>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370"/>
              <w:gridCol w:w="841"/>
              <w:gridCol w:w="1378"/>
              <w:gridCol w:w="1564"/>
              <w:gridCol w:w="2730"/>
            </w:tblGrid>
            <w:tr w14:paraId="6A42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2C86AA">
                  <w:pPr>
                    <w:spacing w:beforeLines="0" w:afterLines="0" w:line="340" w:lineRule="exact"/>
                    <w:jc w:val="center"/>
                    <w:rPr>
                      <w:rFonts w:hint="default"/>
                      <w:b/>
                      <w:color w:val="auto"/>
                      <w:sz w:val="21"/>
                      <w:szCs w:val="21"/>
                    </w:rPr>
                  </w:pPr>
                  <w:r>
                    <w:rPr>
                      <w:rFonts w:hint="default" w:ascii="宋体"/>
                      <w:b/>
                      <w:color w:val="auto"/>
                      <w:sz w:val="21"/>
                      <w:szCs w:val="21"/>
                    </w:rPr>
                    <w:t>环境要素</w:t>
                  </w:r>
                </w:p>
              </w:tc>
              <w:tc>
                <w:tcPr>
                  <w:tcW w:w="1370" w:type="dxa"/>
                  <w:tcBorders>
                    <w:top w:val="single" w:color="auto" w:sz="4" w:space="0"/>
                    <w:left w:val="nil"/>
                    <w:bottom w:val="single" w:color="auto" w:sz="4" w:space="0"/>
                    <w:right w:val="single" w:color="auto" w:sz="4" w:space="0"/>
                    <w:tl2br w:val="nil"/>
                    <w:tr2bl w:val="nil"/>
                  </w:tcBorders>
                  <w:noWrap w:val="0"/>
                  <w:vAlign w:val="center"/>
                </w:tcPr>
                <w:p w14:paraId="0D3A894F">
                  <w:pPr>
                    <w:spacing w:beforeLines="0" w:afterLines="0" w:line="340" w:lineRule="exact"/>
                    <w:jc w:val="center"/>
                    <w:rPr>
                      <w:rFonts w:hint="default"/>
                      <w:b/>
                      <w:color w:val="auto"/>
                      <w:sz w:val="21"/>
                      <w:szCs w:val="21"/>
                    </w:rPr>
                  </w:pPr>
                  <w:r>
                    <w:rPr>
                      <w:rFonts w:hint="default" w:ascii="宋体"/>
                      <w:b/>
                      <w:color w:val="auto"/>
                      <w:sz w:val="21"/>
                      <w:szCs w:val="21"/>
                    </w:rPr>
                    <w:t>环境保护对象名称</w:t>
                  </w:r>
                </w:p>
              </w:tc>
              <w:tc>
                <w:tcPr>
                  <w:tcW w:w="841" w:type="dxa"/>
                  <w:tcBorders>
                    <w:top w:val="single" w:color="auto" w:sz="4" w:space="0"/>
                    <w:left w:val="nil"/>
                    <w:bottom w:val="single" w:color="auto" w:sz="4" w:space="0"/>
                    <w:right w:val="single" w:color="auto" w:sz="4" w:space="0"/>
                    <w:tl2br w:val="nil"/>
                    <w:tr2bl w:val="nil"/>
                  </w:tcBorders>
                  <w:noWrap w:val="0"/>
                  <w:vAlign w:val="center"/>
                </w:tcPr>
                <w:p w14:paraId="30B6AB28">
                  <w:pPr>
                    <w:spacing w:beforeLines="0" w:afterLines="0" w:line="340" w:lineRule="exact"/>
                    <w:jc w:val="center"/>
                    <w:rPr>
                      <w:rFonts w:hint="default"/>
                      <w:b/>
                      <w:color w:val="auto"/>
                      <w:sz w:val="21"/>
                      <w:szCs w:val="21"/>
                    </w:rPr>
                  </w:pPr>
                  <w:r>
                    <w:rPr>
                      <w:rFonts w:hint="default" w:ascii="宋体"/>
                      <w:b/>
                      <w:color w:val="auto"/>
                      <w:sz w:val="21"/>
                      <w:szCs w:val="21"/>
                    </w:rPr>
                    <w:t>方位</w:t>
                  </w:r>
                </w:p>
              </w:tc>
              <w:tc>
                <w:tcPr>
                  <w:tcW w:w="1378" w:type="dxa"/>
                  <w:tcBorders>
                    <w:top w:val="single" w:color="auto" w:sz="4" w:space="0"/>
                    <w:left w:val="nil"/>
                    <w:bottom w:val="single" w:color="auto" w:sz="4" w:space="0"/>
                    <w:right w:val="single" w:color="auto" w:sz="4" w:space="0"/>
                    <w:tl2br w:val="nil"/>
                    <w:tr2bl w:val="nil"/>
                  </w:tcBorders>
                  <w:noWrap w:val="0"/>
                  <w:vAlign w:val="center"/>
                </w:tcPr>
                <w:p w14:paraId="1AE6CA89">
                  <w:pPr>
                    <w:spacing w:beforeLines="0" w:afterLines="0" w:line="340" w:lineRule="exact"/>
                    <w:jc w:val="center"/>
                    <w:rPr>
                      <w:rFonts w:hint="default"/>
                      <w:b/>
                      <w:color w:val="auto"/>
                      <w:sz w:val="21"/>
                      <w:szCs w:val="21"/>
                    </w:rPr>
                  </w:pPr>
                  <w:r>
                    <w:rPr>
                      <w:rFonts w:hint="default" w:ascii="宋体"/>
                      <w:b/>
                      <w:color w:val="auto"/>
                      <w:sz w:val="21"/>
                      <w:szCs w:val="21"/>
                    </w:rPr>
                    <w:t>距项目边界最近距离m</w:t>
                  </w:r>
                </w:p>
              </w:tc>
              <w:tc>
                <w:tcPr>
                  <w:tcW w:w="1564" w:type="dxa"/>
                  <w:tcBorders>
                    <w:top w:val="single" w:color="auto" w:sz="4" w:space="0"/>
                    <w:left w:val="nil"/>
                    <w:bottom w:val="single" w:color="auto" w:sz="4" w:space="0"/>
                    <w:right w:val="single" w:color="auto" w:sz="4" w:space="0"/>
                    <w:tl2br w:val="nil"/>
                    <w:tr2bl w:val="nil"/>
                  </w:tcBorders>
                  <w:noWrap w:val="0"/>
                  <w:vAlign w:val="center"/>
                </w:tcPr>
                <w:p w14:paraId="49105C41">
                  <w:pPr>
                    <w:spacing w:beforeLines="0" w:afterLines="0" w:line="340" w:lineRule="exact"/>
                    <w:jc w:val="center"/>
                    <w:rPr>
                      <w:rFonts w:hint="default"/>
                      <w:b/>
                      <w:color w:val="auto"/>
                      <w:sz w:val="21"/>
                      <w:szCs w:val="21"/>
                    </w:rPr>
                  </w:pPr>
                  <w:r>
                    <w:rPr>
                      <w:rFonts w:hint="default" w:ascii="宋体"/>
                      <w:b/>
                      <w:color w:val="auto"/>
                      <w:sz w:val="21"/>
                      <w:szCs w:val="21"/>
                    </w:rPr>
                    <w:t>规模</w:t>
                  </w:r>
                </w:p>
              </w:tc>
              <w:tc>
                <w:tcPr>
                  <w:tcW w:w="2730" w:type="dxa"/>
                  <w:tcBorders>
                    <w:top w:val="single" w:color="auto" w:sz="4" w:space="0"/>
                    <w:left w:val="nil"/>
                    <w:bottom w:val="single" w:color="auto" w:sz="4" w:space="0"/>
                    <w:right w:val="single" w:color="auto" w:sz="4" w:space="0"/>
                    <w:tl2br w:val="nil"/>
                    <w:tr2bl w:val="nil"/>
                  </w:tcBorders>
                  <w:noWrap w:val="0"/>
                  <w:vAlign w:val="center"/>
                </w:tcPr>
                <w:p w14:paraId="41107ED1">
                  <w:pPr>
                    <w:spacing w:beforeLines="0" w:afterLines="0" w:line="340" w:lineRule="exact"/>
                    <w:jc w:val="center"/>
                    <w:rPr>
                      <w:rFonts w:hint="default"/>
                      <w:b/>
                      <w:color w:val="auto"/>
                      <w:sz w:val="21"/>
                      <w:szCs w:val="21"/>
                    </w:rPr>
                  </w:pPr>
                  <w:r>
                    <w:rPr>
                      <w:rFonts w:hint="default" w:ascii="宋体"/>
                      <w:b/>
                      <w:color w:val="auto"/>
                      <w:sz w:val="21"/>
                      <w:szCs w:val="21"/>
                    </w:rPr>
                    <w:t>环境功能</w:t>
                  </w:r>
                </w:p>
              </w:tc>
            </w:tr>
            <w:tr w14:paraId="2705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5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D4DDF4">
                  <w:pPr>
                    <w:spacing w:beforeLines="0" w:afterLines="0" w:line="340" w:lineRule="exact"/>
                    <w:jc w:val="center"/>
                    <w:rPr>
                      <w:rFonts w:hint="default"/>
                      <w:color w:val="auto"/>
                      <w:sz w:val="21"/>
                      <w:szCs w:val="21"/>
                    </w:rPr>
                  </w:pPr>
                  <w:r>
                    <w:rPr>
                      <w:rFonts w:hint="default"/>
                      <w:color w:val="auto"/>
                      <w:sz w:val="21"/>
                      <w:szCs w:val="21"/>
                    </w:rPr>
                    <w:t>声环境</w:t>
                  </w:r>
                </w:p>
              </w:tc>
              <w:tc>
                <w:tcPr>
                  <w:tcW w:w="1370" w:type="dxa"/>
                  <w:tcBorders>
                    <w:top w:val="single" w:color="auto" w:sz="4" w:space="0"/>
                    <w:left w:val="nil"/>
                    <w:bottom w:val="single" w:color="auto" w:sz="4" w:space="0"/>
                    <w:right w:val="single" w:color="auto" w:sz="4" w:space="0"/>
                    <w:tl2br w:val="nil"/>
                    <w:tr2bl w:val="nil"/>
                  </w:tcBorders>
                  <w:noWrap w:val="0"/>
                  <w:vAlign w:val="center"/>
                </w:tcPr>
                <w:p w14:paraId="042254F4">
                  <w:pPr>
                    <w:spacing w:beforeLines="0" w:afterLines="0" w:line="360" w:lineRule="exact"/>
                    <w:ind w:left="174" w:hanging="174" w:hangingChars="83"/>
                    <w:jc w:val="center"/>
                    <w:rPr>
                      <w:rFonts w:hint="default"/>
                      <w:color w:val="auto"/>
                      <w:sz w:val="21"/>
                      <w:szCs w:val="21"/>
                    </w:rPr>
                  </w:pPr>
                  <w:r>
                    <w:rPr>
                      <w:rFonts w:hint="default" w:ascii="宋体"/>
                      <w:color w:val="auto"/>
                      <w:sz w:val="21"/>
                      <w:szCs w:val="21"/>
                    </w:rPr>
                    <w:t>左马村</w:t>
                  </w:r>
                </w:p>
              </w:tc>
              <w:tc>
                <w:tcPr>
                  <w:tcW w:w="841" w:type="dxa"/>
                  <w:tcBorders>
                    <w:top w:val="single" w:color="auto" w:sz="4" w:space="0"/>
                    <w:left w:val="nil"/>
                    <w:bottom w:val="single" w:color="auto" w:sz="4" w:space="0"/>
                    <w:right w:val="single" w:color="auto" w:sz="4" w:space="0"/>
                    <w:tl2br w:val="nil"/>
                    <w:tr2bl w:val="nil"/>
                  </w:tcBorders>
                  <w:noWrap w:val="0"/>
                  <w:vAlign w:val="center"/>
                </w:tcPr>
                <w:p w14:paraId="2BD44E05">
                  <w:pPr>
                    <w:spacing w:beforeLines="0" w:afterLines="0"/>
                    <w:jc w:val="center"/>
                    <w:rPr>
                      <w:rFonts w:hint="default"/>
                      <w:color w:val="auto"/>
                      <w:sz w:val="21"/>
                      <w:szCs w:val="21"/>
                    </w:rPr>
                  </w:pPr>
                  <w:r>
                    <w:rPr>
                      <w:rFonts w:hint="default" w:ascii="宋体"/>
                      <w:color w:val="auto"/>
                      <w:sz w:val="21"/>
                      <w:szCs w:val="21"/>
                    </w:rPr>
                    <w:t>北</w:t>
                  </w:r>
                </w:p>
              </w:tc>
              <w:tc>
                <w:tcPr>
                  <w:tcW w:w="1378" w:type="dxa"/>
                  <w:tcBorders>
                    <w:top w:val="single" w:color="auto" w:sz="4" w:space="0"/>
                    <w:left w:val="nil"/>
                    <w:bottom w:val="single" w:color="auto" w:sz="4" w:space="0"/>
                    <w:right w:val="single" w:color="auto" w:sz="4" w:space="0"/>
                    <w:tl2br w:val="nil"/>
                    <w:tr2bl w:val="nil"/>
                  </w:tcBorders>
                  <w:noWrap w:val="0"/>
                  <w:vAlign w:val="center"/>
                </w:tcPr>
                <w:p w14:paraId="4915C6CD">
                  <w:pPr>
                    <w:spacing w:beforeLines="0" w:afterLines="0"/>
                    <w:jc w:val="center"/>
                    <w:rPr>
                      <w:rFonts w:hint="default"/>
                      <w:color w:val="auto"/>
                      <w:sz w:val="21"/>
                      <w:szCs w:val="21"/>
                    </w:rPr>
                  </w:pPr>
                  <w:r>
                    <w:rPr>
                      <w:rFonts w:hint="default"/>
                      <w:color w:val="auto"/>
                      <w:sz w:val="21"/>
                      <w:szCs w:val="21"/>
                    </w:rPr>
                    <w:t>25</w:t>
                  </w:r>
                </w:p>
              </w:tc>
              <w:tc>
                <w:tcPr>
                  <w:tcW w:w="1564" w:type="dxa"/>
                  <w:tcBorders>
                    <w:top w:val="single" w:color="auto" w:sz="4" w:space="0"/>
                    <w:left w:val="nil"/>
                    <w:bottom w:val="single" w:color="auto" w:sz="4" w:space="0"/>
                    <w:right w:val="single" w:color="auto" w:sz="4" w:space="0"/>
                    <w:tl2br w:val="nil"/>
                    <w:tr2bl w:val="nil"/>
                  </w:tcBorders>
                  <w:noWrap w:val="0"/>
                  <w:vAlign w:val="center"/>
                </w:tcPr>
                <w:p w14:paraId="0342FEA7">
                  <w:pPr>
                    <w:spacing w:beforeLines="0" w:afterLines="0" w:line="360" w:lineRule="exact"/>
                    <w:jc w:val="center"/>
                    <w:rPr>
                      <w:rFonts w:hint="default"/>
                      <w:color w:val="auto"/>
                      <w:sz w:val="21"/>
                      <w:szCs w:val="21"/>
                    </w:rPr>
                  </w:pPr>
                  <w:r>
                    <w:rPr>
                      <w:rFonts w:hint="default"/>
                      <w:color w:val="auto"/>
                      <w:sz w:val="21"/>
                      <w:szCs w:val="21"/>
                    </w:rPr>
                    <w:t>400</w:t>
                  </w:r>
                  <w:r>
                    <w:rPr>
                      <w:rFonts w:hint="default" w:ascii="宋体"/>
                      <w:color w:val="auto"/>
                      <w:sz w:val="21"/>
                      <w:szCs w:val="21"/>
                    </w:rPr>
                    <w:t>人</w:t>
                  </w:r>
                </w:p>
              </w:tc>
              <w:tc>
                <w:tcPr>
                  <w:tcW w:w="2730" w:type="dxa"/>
                  <w:tcBorders>
                    <w:top w:val="single" w:color="auto" w:sz="4" w:space="0"/>
                    <w:left w:val="nil"/>
                    <w:bottom w:val="single" w:color="auto" w:sz="4" w:space="0"/>
                    <w:right w:val="single" w:color="auto" w:sz="4" w:space="0"/>
                    <w:tl2br w:val="nil"/>
                    <w:tr2bl w:val="nil"/>
                  </w:tcBorders>
                  <w:noWrap w:val="0"/>
                  <w:vAlign w:val="center"/>
                </w:tcPr>
                <w:p w14:paraId="0011AC2C">
                  <w:pPr>
                    <w:spacing w:beforeLines="0" w:afterLines="0" w:line="340" w:lineRule="exact"/>
                    <w:jc w:val="center"/>
                    <w:rPr>
                      <w:rFonts w:hint="default"/>
                      <w:color w:val="auto"/>
                      <w:sz w:val="21"/>
                      <w:szCs w:val="21"/>
                    </w:rPr>
                  </w:pPr>
                  <w:r>
                    <w:rPr>
                      <w:rFonts w:hint="default" w:ascii="宋体"/>
                      <w:color w:val="auto"/>
                      <w:sz w:val="21"/>
                      <w:szCs w:val="21"/>
                    </w:rPr>
                    <w:t>《声环境质量标准》</w:t>
                  </w:r>
                </w:p>
                <w:p w14:paraId="3D141BAA">
                  <w:pPr>
                    <w:spacing w:beforeLines="0" w:afterLines="0" w:line="340" w:lineRule="exact"/>
                    <w:jc w:val="center"/>
                    <w:rPr>
                      <w:rFonts w:hint="default"/>
                      <w:color w:val="auto"/>
                      <w:sz w:val="21"/>
                      <w:szCs w:val="21"/>
                    </w:rPr>
                  </w:pPr>
                  <w:r>
                    <w:rPr>
                      <w:rFonts w:hint="default" w:ascii="宋体"/>
                      <w:color w:val="auto"/>
                      <w:sz w:val="21"/>
                      <w:szCs w:val="21"/>
                    </w:rPr>
                    <w:t>（</w:t>
                  </w:r>
                  <w:r>
                    <w:rPr>
                      <w:rFonts w:hint="default"/>
                      <w:color w:val="auto"/>
                      <w:sz w:val="21"/>
                      <w:szCs w:val="21"/>
                    </w:rPr>
                    <w:t>GB3096-2008</w:t>
                  </w:r>
                  <w:r>
                    <w:rPr>
                      <w:rFonts w:hint="default" w:ascii="宋体"/>
                      <w:color w:val="auto"/>
                      <w:sz w:val="21"/>
                      <w:szCs w:val="21"/>
                    </w:rPr>
                    <w:t>）</w:t>
                  </w:r>
                  <w:r>
                    <w:rPr>
                      <w:rFonts w:hint="eastAsia"/>
                      <w:color w:val="auto"/>
                      <w:sz w:val="21"/>
                      <w:szCs w:val="21"/>
                      <w:lang w:val="en-US" w:eastAsia="zh-CN"/>
                    </w:rPr>
                    <w:t>2</w:t>
                  </w:r>
                  <w:r>
                    <w:rPr>
                      <w:rFonts w:hint="default" w:ascii="宋体"/>
                      <w:color w:val="auto"/>
                      <w:sz w:val="21"/>
                      <w:szCs w:val="21"/>
                    </w:rPr>
                    <w:t>类标准</w:t>
                  </w:r>
                </w:p>
              </w:tc>
            </w:tr>
          </w:tbl>
          <w:p w14:paraId="128A5AAE">
            <w:pPr>
              <w:spacing w:after="120" w:afterLines="50"/>
              <w:ind w:firstLine="105"/>
              <w:jc w:val="center"/>
              <w:rPr>
                <w:rFonts w:hint="eastAsia" w:ascii="宋体" w:hAnsi="宋体" w:eastAsia="宋体" w:cs="宋体"/>
                <w:b/>
                <w:color w:val="auto"/>
                <w:sz w:val="24"/>
                <w:szCs w:val="24"/>
                <w:lang w:bidi="ar"/>
              </w:rPr>
            </w:pPr>
          </w:p>
          <w:p w14:paraId="520E6D57">
            <w:pPr>
              <w:pStyle w:val="11"/>
              <w:snapToGrid w:val="0"/>
              <w:spacing w:line="360" w:lineRule="auto"/>
              <w:ind w:left="0" w:leftChars="0" w:firstLine="480" w:firstLineChars="200"/>
              <w:rPr>
                <w:rFonts w:hint="eastAsia" w:ascii="Times New Roman" w:hAnsi="Times New Roman" w:eastAsia="Times New Roman" w:cs="Times New Roman"/>
                <w:b/>
                <w:color w:val="auto"/>
                <w:kern w:val="2"/>
                <w:sz w:val="24"/>
                <w:szCs w:val="24"/>
                <w:lang w:val="zh-CN"/>
              </w:rPr>
            </w:pPr>
            <w:r>
              <w:rPr>
                <w:rFonts w:hint="eastAsia" w:ascii="Times New Roman" w:hAnsi="Times New Roman" w:eastAsia="Times New Roman" w:cs="Times New Roman"/>
                <w:b/>
                <w:color w:val="auto"/>
                <w:kern w:val="2"/>
                <w:sz w:val="24"/>
                <w:szCs w:val="24"/>
                <w:lang w:val="zh-CN"/>
              </w:rPr>
              <w:t>3</w:t>
            </w:r>
            <w:r>
              <w:rPr>
                <w:rFonts w:hint="default" w:ascii="宋体" w:hAnsi="Times New Roman" w:eastAsia="宋体" w:cs="Times New Roman"/>
                <w:b/>
                <w:color w:val="auto"/>
                <w:kern w:val="2"/>
                <w:sz w:val="24"/>
                <w:szCs w:val="24"/>
                <w:lang w:val="zh-CN"/>
              </w:rPr>
              <w:t>、地下水环境</w:t>
            </w:r>
          </w:p>
          <w:p w14:paraId="725BD994">
            <w:pPr>
              <w:pStyle w:val="11"/>
              <w:snapToGrid w:val="0"/>
              <w:spacing w:line="360" w:lineRule="auto"/>
              <w:ind w:left="0" w:leftChars="0" w:firstLine="480" w:firstLineChars="200"/>
              <w:rPr>
                <w:rFonts w:hint="eastAsia" w:ascii="Times New Roman" w:hAnsi="Times New Roman" w:eastAsia="Times New Roman" w:cs="Times New Roman"/>
                <w:color w:val="auto"/>
                <w:kern w:val="2"/>
                <w:sz w:val="24"/>
                <w:szCs w:val="24"/>
                <w:lang w:val="zh-CN"/>
              </w:rPr>
            </w:pPr>
            <w:r>
              <w:rPr>
                <w:rFonts w:hint="default" w:ascii="宋体" w:hAnsi="Times New Roman" w:eastAsia="宋体" w:cs="Times New Roman"/>
                <w:color w:val="auto"/>
                <w:kern w:val="2"/>
                <w:sz w:val="24"/>
                <w:szCs w:val="24"/>
                <w:lang w:val="zh-CN"/>
              </w:rPr>
              <w:t>项目位于安徽省蚌埠市固镇县刘集镇珍珠沟西侧，厂界外500米范围内无地下水集中式饮用水水源和热水、矿泉水、温泉等特殊地下水资源。</w:t>
            </w:r>
          </w:p>
          <w:p w14:paraId="3A5C5D89">
            <w:pPr>
              <w:pStyle w:val="11"/>
              <w:snapToGrid w:val="0"/>
              <w:spacing w:line="360" w:lineRule="auto"/>
              <w:rPr>
                <w:rFonts w:hint="eastAsia" w:ascii="Times New Roman" w:hAnsi="Times New Roman" w:eastAsia="Times New Roman" w:cs="Times New Roman"/>
                <w:b/>
                <w:color w:val="auto"/>
                <w:kern w:val="2"/>
                <w:sz w:val="24"/>
                <w:szCs w:val="24"/>
                <w:lang w:val="zh-CN"/>
              </w:rPr>
            </w:pPr>
            <w:r>
              <w:rPr>
                <w:rFonts w:hint="eastAsia" w:ascii="Times New Roman" w:hAnsi="Times New Roman" w:eastAsia="Times New Roman" w:cs="Times New Roman"/>
                <w:b/>
                <w:color w:val="auto"/>
                <w:kern w:val="2"/>
                <w:sz w:val="24"/>
                <w:szCs w:val="24"/>
                <w:lang w:val="zh-CN"/>
              </w:rPr>
              <w:t>4</w:t>
            </w:r>
            <w:r>
              <w:rPr>
                <w:rFonts w:hint="default" w:ascii="宋体" w:hAnsi="Times New Roman" w:eastAsia="宋体" w:cs="Times New Roman"/>
                <w:b/>
                <w:color w:val="auto"/>
                <w:kern w:val="2"/>
                <w:sz w:val="24"/>
                <w:szCs w:val="24"/>
                <w:lang w:val="zh-CN"/>
              </w:rPr>
              <w:t>、生态环境</w:t>
            </w:r>
          </w:p>
          <w:p w14:paraId="378C5555">
            <w:pPr>
              <w:pStyle w:val="3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宋体" w:hAnsi="Times New Roman" w:eastAsia="宋体" w:cs="Times New Roman"/>
                <w:b w:val="0"/>
                <w:bCs/>
                <w:color w:val="auto"/>
                <w:sz w:val="24"/>
                <w:szCs w:val="24"/>
              </w:rPr>
              <w:t>项目位于安徽省蚌埠市固镇县刘集镇珍珠沟西侧，建设项目不新增用地，无生态环境保护目标。</w:t>
            </w:r>
          </w:p>
        </w:tc>
      </w:tr>
      <w:tr w14:paraId="01B3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623CFFDD">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污染物排放控制标准</w:t>
            </w:r>
          </w:p>
        </w:tc>
        <w:tc>
          <w:tcPr>
            <w:tcW w:w="9037" w:type="dxa"/>
          </w:tcPr>
          <w:p w14:paraId="69FEA3E9">
            <w:pPr>
              <w:tabs>
                <w:tab w:val="left" w:pos="540"/>
                <w:tab w:val="left" w:pos="900"/>
                <w:tab w:val="left" w:pos="3780"/>
              </w:tabs>
              <w:adjustRightInd w:val="0"/>
              <w:snapToGrid w:val="0"/>
              <w:spacing w:line="24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1、废气</w:t>
            </w:r>
          </w:p>
          <w:p w14:paraId="1EA26B58">
            <w:pPr>
              <w:adjustRightInd w:val="0"/>
              <w:spacing w:beforeLines="0" w:afterLines="0" w:line="360" w:lineRule="auto"/>
              <w:ind w:firstLine="480"/>
              <w:jc w:val="left"/>
              <w:rPr>
                <w:rFonts w:hint="default" w:ascii="宋体" w:eastAsia="宋体"/>
                <w:color w:val="auto"/>
                <w:sz w:val="24"/>
                <w:szCs w:val="24"/>
                <w:lang w:val="en-US" w:eastAsia="zh-CN"/>
              </w:rPr>
            </w:pPr>
            <w:r>
              <w:rPr>
                <w:rFonts w:hint="default" w:ascii="宋体" w:eastAsia="宋体"/>
                <w:color w:val="auto"/>
                <w:sz w:val="24"/>
                <w:szCs w:val="24"/>
              </w:rPr>
              <w:t>项目</w:t>
            </w:r>
            <w:r>
              <w:rPr>
                <w:rFonts w:hint="eastAsia" w:ascii="宋体"/>
                <w:color w:val="auto"/>
                <w:sz w:val="24"/>
                <w:szCs w:val="24"/>
                <w:lang w:val="en-US" w:eastAsia="zh-CN"/>
              </w:rPr>
              <w:t>配料粉尘</w:t>
            </w:r>
            <w:r>
              <w:rPr>
                <w:rFonts w:hint="default" w:ascii="宋体" w:eastAsia="宋体"/>
                <w:color w:val="auto"/>
                <w:sz w:val="24"/>
                <w:szCs w:val="24"/>
              </w:rPr>
              <w:t>排放执行《大气污染物综合排放标准》（GB16297-1996）表2大气污染物项目排放限值和厂界大气污染物监控点浓度限值。项目污水处理站废水处理过程中有少量H</w:t>
            </w:r>
            <w:r>
              <w:rPr>
                <w:rFonts w:hint="eastAsia"/>
                <w:color w:val="auto"/>
                <w:sz w:val="24"/>
                <w:szCs w:val="24"/>
                <w:vertAlign w:val="subscript"/>
              </w:rPr>
              <w:t>2</w:t>
            </w:r>
            <w:r>
              <w:rPr>
                <w:rFonts w:hint="eastAsia"/>
                <w:color w:val="auto"/>
                <w:sz w:val="24"/>
                <w:szCs w:val="24"/>
              </w:rPr>
              <w:t>S</w:t>
            </w:r>
            <w:r>
              <w:rPr>
                <w:rFonts w:hint="default" w:ascii="宋体" w:eastAsia="宋体"/>
                <w:color w:val="auto"/>
                <w:sz w:val="24"/>
                <w:szCs w:val="24"/>
              </w:rPr>
              <w:t>、NH</w:t>
            </w:r>
            <w:r>
              <w:rPr>
                <w:rFonts w:hint="eastAsia"/>
                <w:color w:val="auto"/>
                <w:sz w:val="24"/>
                <w:szCs w:val="24"/>
                <w:vertAlign w:val="subscript"/>
              </w:rPr>
              <w:t>3</w:t>
            </w:r>
            <w:r>
              <w:rPr>
                <w:rFonts w:hint="default" w:ascii="宋体" w:eastAsia="宋体"/>
                <w:color w:val="auto"/>
                <w:sz w:val="24"/>
                <w:szCs w:val="24"/>
              </w:rPr>
              <w:t>和臭气浓度产生，满足《恶臭污染物排放标准》（GB14554-93）表1恶臭污染物厂界二级标准值（NH</w:t>
            </w:r>
            <w:r>
              <w:rPr>
                <w:rFonts w:hint="eastAsia"/>
                <w:color w:val="auto"/>
                <w:sz w:val="24"/>
                <w:szCs w:val="24"/>
                <w:vertAlign w:val="subscript"/>
              </w:rPr>
              <w:t>3</w:t>
            </w:r>
            <w:r>
              <w:rPr>
                <w:rFonts w:hint="eastAsia"/>
                <w:color w:val="auto"/>
                <w:sz w:val="24"/>
                <w:szCs w:val="24"/>
              </w:rPr>
              <w:t xml:space="preserve"> 1.5mg/m</w:t>
            </w:r>
            <w:r>
              <w:rPr>
                <w:rFonts w:hint="eastAsia"/>
                <w:color w:val="auto"/>
                <w:sz w:val="24"/>
                <w:szCs w:val="24"/>
                <w:vertAlign w:val="superscript"/>
              </w:rPr>
              <w:t>3</w:t>
            </w:r>
            <w:r>
              <w:rPr>
                <w:rFonts w:hint="default" w:ascii="宋体" w:eastAsia="宋体"/>
                <w:color w:val="auto"/>
                <w:sz w:val="24"/>
                <w:szCs w:val="24"/>
              </w:rPr>
              <w:t>、H</w:t>
            </w:r>
            <w:r>
              <w:rPr>
                <w:rFonts w:hint="eastAsia"/>
                <w:color w:val="auto"/>
                <w:sz w:val="24"/>
                <w:szCs w:val="24"/>
                <w:vertAlign w:val="subscript"/>
              </w:rPr>
              <w:t>2</w:t>
            </w:r>
            <w:r>
              <w:rPr>
                <w:rFonts w:hint="eastAsia"/>
                <w:color w:val="auto"/>
                <w:sz w:val="24"/>
                <w:szCs w:val="24"/>
              </w:rPr>
              <w:t>S 0.06 mg/m</w:t>
            </w:r>
            <w:r>
              <w:rPr>
                <w:rFonts w:hint="eastAsia"/>
                <w:color w:val="auto"/>
                <w:sz w:val="24"/>
                <w:szCs w:val="24"/>
                <w:vertAlign w:val="superscript"/>
              </w:rPr>
              <w:t>3</w:t>
            </w:r>
            <w:r>
              <w:rPr>
                <w:rFonts w:hint="default" w:ascii="宋体" w:eastAsia="宋体"/>
                <w:color w:val="auto"/>
                <w:sz w:val="24"/>
                <w:szCs w:val="24"/>
              </w:rPr>
              <w:t>、臭气浓度20）</w:t>
            </w:r>
            <w:r>
              <w:rPr>
                <w:rFonts w:hint="eastAsia" w:ascii="宋体"/>
                <w:color w:val="auto"/>
                <w:sz w:val="24"/>
                <w:szCs w:val="24"/>
                <w:lang w:val="en-US" w:eastAsia="zh-CN"/>
              </w:rPr>
              <w:t>。</w:t>
            </w:r>
          </w:p>
          <w:p w14:paraId="42313A81">
            <w:pPr>
              <w:pStyle w:val="8"/>
              <w:spacing w:beforeLines="0" w:afterLines="0"/>
              <w:ind w:firstLine="0"/>
              <w:jc w:val="center"/>
              <w:rPr>
                <w:rFonts w:hint="default" w:ascii="宋体" w:eastAsia="宋体"/>
                <w:b/>
                <w:color w:val="auto"/>
                <w:sz w:val="21"/>
                <w:szCs w:val="21"/>
              </w:rPr>
            </w:pPr>
            <w:r>
              <w:rPr>
                <w:rFonts w:hint="default" w:ascii="Times New Roman" w:hAnsi="Times New Roman" w:eastAsia="宋体" w:cs="Times New Roman"/>
                <w:b/>
                <w:color w:val="auto"/>
                <w:kern w:val="2"/>
                <w:sz w:val="21"/>
                <w:szCs w:val="21"/>
                <w:lang w:val="en-US" w:eastAsia="zh-CN" w:bidi="ar-SA"/>
              </w:rPr>
              <w:t>表3-</w:t>
            </w:r>
            <w:r>
              <w:rPr>
                <w:rFonts w:hint="eastAsia" w:cs="Times New Roman"/>
                <w:b/>
                <w:color w:val="auto"/>
                <w:kern w:val="2"/>
                <w:sz w:val="21"/>
                <w:szCs w:val="21"/>
                <w:lang w:val="en-US" w:eastAsia="zh-CN" w:bidi="ar-SA"/>
              </w:rPr>
              <w:t xml:space="preserve">7  </w:t>
            </w:r>
            <w:r>
              <w:rPr>
                <w:rFonts w:hint="default" w:ascii="Times New Roman" w:hAnsi="Times New Roman" w:eastAsia="宋体" w:cs="Times New Roman"/>
                <w:b/>
                <w:color w:val="auto"/>
                <w:kern w:val="2"/>
                <w:sz w:val="21"/>
                <w:szCs w:val="21"/>
                <w:lang w:val="en-US" w:eastAsia="zh-CN" w:bidi="ar-SA"/>
              </w:rPr>
              <w:t>大气污染物排放标准</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690"/>
              <w:gridCol w:w="1190"/>
              <w:gridCol w:w="1275"/>
              <w:gridCol w:w="1447"/>
              <w:gridCol w:w="1371"/>
              <w:gridCol w:w="2216"/>
            </w:tblGrid>
            <w:tr w14:paraId="7C25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780" w:type="pct"/>
                  <w:gridSpan w:val="2"/>
                  <w:tcBorders>
                    <w:tl2br w:val="nil"/>
                    <w:tr2bl w:val="nil"/>
                  </w:tcBorders>
                  <w:noWrap w:val="0"/>
                  <w:vAlign w:val="center"/>
                </w:tcPr>
                <w:p w14:paraId="7046A681">
                  <w:pPr>
                    <w:pStyle w:val="24"/>
                    <w:adjustRightInd w:val="0"/>
                    <w:snapToGrid w:val="0"/>
                    <w:spacing w:beforeLines="0" w:after="0" w:afterLines="0"/>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污染物</w:t>
                  </w:r>
                </w:p>
                <w:p w14:paraId="1C70824E">
                  <w:pPr>
                    <w:pStyle w:val="24"/>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669" w:type="pct"/>
                  <w:tcBorders>
                    <w:tl2br w:val="nil"/>
                    <w:tr2bl w:val="nil"/>
                  </w:tcBorders>
                  <w:noWrap w:val="0"/>
                  <w:vAlign w:val="center"/>
                </w:tcPr>
                <w:p w14:paraId="3ADA36B8">
                  <w:pPr>
                    <w:pStyle w:val="24"/>
                    <w:adjustRightInd w:val="0"/>
                    <w:snapToGrid w:val="0"/>
                    <w:spacing w:beforeLines="0" w:after="0" w:afterLines="0"/>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最高允许排放浓度（mg/m³）</w:t>
                  </w:r>
                </w:p>
              </w:tc>
              <w:tc>
                <w:tcPr>
                  <w:tcW w:w="717" w:type="pct"/>
                  <w:tcBorders>
                    <w:tl2br w:val="nil"/>
                    <w:tr2bl w:val="nil"/>
                  </w:tcBorders>
                  <w:noWrap w:val="0"/>
                  <w:vAlign w:val="center"/>
                </w:tcPr>
                <w:p w14:paraId="76F08584">
                  <w:pPr>
                    <w:pStyle w:val="24"/>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排气筒高度</w:t>
                  </w:r>
                </w:p>
                <w:p w14:paraId="607FF763">
                  <w:pPr>
                    <w:pStyle w:val="24"/>
                    <w:adjustRightInd w:val="0"/>
                    <w:snapToGrid w:val="0"/>
                    <w:spacing w:beforeLines="0" w:after="0" w:afterLines="0"/>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（m）</w:t>
                  </w:r>
                </w:p>
              </w:tc>
              <w:tc>
                <w:tcPr>
                  <w:tcW w:w="814" w:type="pct"/>
                  <w:tcBorders>
                    <w:tl2br w:val="nil"/>
                    <w:tr2bl w:val="nil"/>
                  </w:tcBorders>
                  <w:noWrap w:val="0"/>
                  <w:vAlign w:val="center"/>
                </w:tcPr>
                <w:p w14:paraId="171E8697">
                  <w:pPr>
                    <w:pStyle w:val="24"/>
                    <w:adjustRightInd w:val="0"/>
                    <w:snapToGrid w:val="0"/>
                    <w:spacing w:beforeLines="0" w:after="0" w:afterLines="0"/>
                    <w:ind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最高允许排放</w:t>
                  </w:r>
                  <w:r>
                    <w:rPr>
                      <w:rFonts w:hint="eastAsia" w:cs="Times New Roman"/>
                      <w:color w:val="auto"/>
                      <w:sz w:val="21"/>
                      <w:szCs w:val="21"/>
                      <w:lang w:val="en-US" w:eastAsia="zh-CN"/>
                    </w:rPr>
                    <w:t>速率（kg/h）</w:t>
                  </w:r>
                </w:p>
              </w:tc>
              <w:tc>
                <w:tcPr>
                  <w:tcW w:w="771" w:type="pct"/>
                  <w:tcBorders>
                    <w:tl2br w:val="nil"/>
                    <w:tr2bl w:val="nil"/>
                  </w:tcBorders>
                  <w:noWrap w:val="0"/>
                  <w:vAlign w:val="center"/>
                </w:tcPr>
                <w:p w14:paraId="503E2F21">
                  <w:pPr>
                    <w:pStyle w:val="24"/>
                    <w:adjustRightInd w:val="0"/>
                    <w:snapToGrid w:val="0"/>
                    <w:spacing w:beforeLines="0" w:after="0" w:afterLines="0"/>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无组织排放监控限值（mg/m³）</w:t>
                  </w:r>
                </w:p>
              </w:tc>
              <w:tc>
                <w:tcPr>
                  <w:tcW w:w="1246" w:type="pct"/>
                  <w:tcBorders>
                    <w:tl2br w:val="nil"/>
                    <w:tr2bl w:val="nil"/>
                  </w:tcBorders>
                  <w:noWrap w:val="0"/>
                  <w:vAlign w:val="center"/>
                </w:tcPr>
                <w:p w14:paraId="4D878661">
                  <w:pPr>
                    <w:pStyle w:val="24"/>
                    <w:adjustRightInd w:val="0"/>
                    <w:snapToGrid w:val="0"/>
                    <w:spacing w:beforeLines="0" w:after="0" w:afterLines="0"/>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标准</w:t>
                  </w:r>
                </w:p>
              </w:tc>
            </w:tr>
            <w:tr w14:paraId="270D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2" w:type="pct"/>
                  <w:tcBorders>
                    <w:tl2br w:val="nil"/>
                    <w:tr2bl w:val="nil"/>
                  </w:tcBorders>
                  <w:noWrap w:val="0"/>
                  <w:vAlign w:val="center"/>
                </w:tcPr>
                <w:p w14:paraId="3711A078">
                  <w:pPr>
                    <w:pStyle w:val="24"/>
                    <w:adjustRightInd w:val="0"/>
                    <w:snapToGrid w:val="0"/>
                    <w:spacing w:beforeLines="0" w:after="0" w:afterLines="0"/>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配料粉尘</w:t>
                  </w:r>
                </w:p>
              </w:tc>
              <w:tc>
                <w:tcPr>
                  <w:tcW w:w="388" w:type="pct"/>
                  <w:tcBorders>
                    <w:tl2br w:val="nil"/>
                    <w:tr2bl w:val="nil"/>
                  </w:tcBorders>
                  <w:noWrap w:val="0"/>
                  <w:vAlign w:val="center"/>
                </w:tcPr>
                <w:p w14:paraId="508A1B3D">
                  <w:pPr>
                    <w:pStyle w:val="24"/>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669" w:type="pct"/>
                  <w:tcBorders>
                    <w:tl2br w:val="nil"/>
                    <w:tr2bl w:val="nil"/>
                  </w:tcBorders>
                  <w:noWrap w:val="0"/>
                  <w:vAlign w:val="center"/>
                </w:tcPr>
                <w:p w14:paraId="5D1D955D">
                  <w:pPr>
                    <w:pStyle w:val="24"/>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120</w:t>
                  </w:r>
                </w:p>
              </w:tc>
              <w:tc>
                <w:tcPr>
                  <w:tcW w:w="717" w:type="pct"/>
                  <w:tcBorders>
                    <w:tl2br w:val="nil"/>
                    <w:tr2bl w:val="nil"/>
                  </w:tcBorders>
                  <w:noWrap w:val="0"/>
                  <w:vAlign w:val="center"/>
                </w:tcPr>
                <w:p w14:paraId="4981D629">
                  <w:pPr>
                    <w:pStyle w:val="24"/>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17</w:t>
                  </w:r>
                </w:p>
              </w:tc>
              <w:tc>
                <w:tcPr>
                  <w:tcW w:w="814" w:type="pct"/>
                  <w:tcBorders>
                    <w:tl2br w:val="nil"/>
                    <w:tr2bl w:val="nil"/>
                  </w:tcBorders>
                  <w:noWrap w:val="0"/>
                  <w:vAlign w:val="center"/>
                </w:tcPr>
                <w:p w14:paraId="25DA3375">
                  <w:pPr>
                    <w:pStyle w:val="24"/>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4.46</w:t>
                  </w:r>
                </w:p>
              </w:tc>
              <w:tc>
                <w:tcPr>
                  <w:tcW w:w="771" w:type="pct"/>
                  <w:tcBorders>
                    <w:tl2br w:val="nil"/>
                    <w:tr2bl w:val="nil"/>
                  </w:tcBorders>
                  <w:noWrap w:val="0"/>
                  <w:vAlign w:val="center"/>
                </w:tcPr>
                <w:p w14:paraId="6F9ED48A">
                  <w:pPr>
                    <w:pStyle w:val="24"/>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1246" w:type="pct"/>
                  <w:tcBorders>
                    <w:top w:val="single" w:color="000000" w:sz="4" w:space="0"/>
                    <w:tl2br w:val="nil"/>
                    <w:tr2bl w:val="nil"/>
                  </w:tcBorders>
                  <w:noWrap w:val="0"/>
                  <w:vAlign w:val="center"/>
                </w:tcPr>
                <w:p w14:paraId="13F9D189">
                  <w:pPr>
                    <w:pStyle w:val="24"/>
                    <w:adjustRightInd w:val="0"/>
                    <w:snapToGrid w:val="0"/>
                    <w:spacing w:beforeLines="0" w:after="0" w:afterLines="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《大气污染物综合排放标准》（GB16297-1996）</w:t>
                  </w:r>
                </w:p>
              </w:tc>
            </w:tr>
            <w:tr w14:paraId="7015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392" w:type="pct"/>
                  <w:vMerge w:val="restart"/>
                  <w:tcBorders>
                    <w:tl2br w:val="nil"/>
                    <w:tr2bl w:val="nil"/>
                  </w:tcBorders>
                  <w:noWrap w:val="0"/>
                  <w:vAlign w:val="center"/>
                </w:tcPr>
                <w:p w14:paraId="61F31ABA">
                  <w:pPr>
                    <w:pStyle w:val="68"/>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污水处理站废气</w:t>
                  </w:r>
                </w:p>
              </w:tc>
              <w:tc>
                <w:tcPr>
                  <w:tcW w:w="388" w:type="pct"/>
                  <w:tcBorders>
                    <w:tl2br w:val="nil"/>
                    <w:tr2bl w:val="nil"/>
                  </w:tcBorders>
                  <w:noWrap w:val="0"/>
                  <w:vAlign w:val="center"/>
                </w:tcPr>
                <w:p w14:paraId="165DE747">
                  <w:pPr>
                    <w:pStyle w:val="49"/>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rPr>
                  </w:pPr>
                  <w:r>
                    <w:rPr>
                      <w:rFonts w:hint="default" w:ascii="宋体" w:eastAsia="宋体"/>
                      <w:color w:val="auto"/>
                      <w:sz w:val="21"/>
                      <w:szCs w:val="21"/>
                    </w:rPr>
                    <w:t>氨气</w:t>
                  </w:r>
                </w:p>
              </w:tc>
              <w:tc>
                <w:tcPr>
                  <w:tcW w:w="669" w:type="pct"/>
                  <w:tcBorders>
                    <w:tl2br w:val="nil"/>
                    <w:tr2bl w:val="nil"/>
                  </w:tcBorders>
                  <w:noWrap w:val="0"/>
                  <w:vAlign w:val="center"/>
                </w:tcPr>
                <w:p w14:paraId="6CF9EC34">
                  <w:pPr>
                    <w:pStyle w:val="24"/>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rPr>
                    <w:t>/</w:t>
                  </w:r>
                </w:p>
              </w:tc>
              <w:tc>
                <w:tcPr>
                  <w:tcW w:w="717" w:type="pct"/>
                  <w:tcBorders>
                    <w:tl2br w:val="nil"/>
                    <w:tr2bl w:val="nil"/>
                  </w:tcBorders>
                  <w:noWrap w:val="0"/>
                  <w:vAlign w:val="center"/>
                </w:tcPr>
                <w:p w14:paraId="472E815B">
                  <w:pPr>
                    <w:pStyle w:val="24"/>
                    <w:adjustRightInd w:val="0"/>
                    <w:snapToGrid w:val="0"/>
                    <w:spacing w:beforeLines="0" w:after="0" w:afterLines="0"/>
                    <w:ind w:firstLine="0" w:firstLineChars="0"/>
                    <w:jc w:val="center"/>
                    <w:rPr>
                      <w:rFonts w:hint="default" w:ascii="Times New Roman" w:hAnsi="Times New Roman" w:cs="Times New Roman"/>
                      <w:color w:val="auto"/>
                      <w:sz w:val="21"/>
                      <w:szCs w:val="21"/>
                    </w:rPr>
                  </w:pPr>
                  <w:r>
                    <w:rPr>
                      <w:rFonts w:hint="eastAsia"/>
                      <w:color w:val="auto"/>
                    </w:rPr>
                    <w:t>/</w:t>
                  </w:r>
                </w:p>
              </w:tc>
              <w:tc>
                <w:tcPr>
                  <w:tcW w:w="814" w:type="pct"/>
                  <w:tcBorders>
                    <w:tl2br w:val="nil"/>
                    <w:tr2bl w:val="nil"/>
                  </w:tcBorders>
                  <w:noWrap w:val="0"/>
                  <w:vAlign w:val="center"/>
                </w:tcPr>
                <w:p w14:paraId="10A0F663">
                  <w:pPr>
                    <w:pStyle w:val="49"/>
                    <w:adjustRightInd w:val="0"/>
                    <w:snapToGrid w:val="0"/>
                    <w:spacing w:after="0"/>
                    <w:ind w:firstLine="0" w:firstLineChars="0"/>
                    <w:jc w:val="center"/>
                    <w:rPr>
                      <w:rFonts w:hint="default" w:ascii="Times New Roman" w:hAnsi="Times New Roman" w:cs="Times New Roman"/>
                      <w:color w:val="auto"/>
                      <w:sz w:val="21"/>
                      <w:szCs w:val="21"/>
                    </w:rPr>
                  </w:pPr>
                </w:p>
              </w:tc>
              <w:tc>
                <w:tcPr>
                  <w:tcW w:w="771" w:type="pct"/>
                  <w:tcBorders>
                    <w:tl2br w:val="nil"/>
                    <w:tr2bl w:val="nil"/>
                  </w:tcBorders>
                  <w:noWrap w:val="0"/>
                  <w:vAlign w:val="center"/>
                </w:tcPr>
                <w:p w14:paraId="01DAB0C2">
                  <w:pPr>
                    <w:pStyle w:val="49"/>
                    <w:adjustRightInd w:val="0"/>
                    <w:snapToGrid w:val="0"/>
                    <w:spacing w:after="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246" w:type="pct"/>
                  <w:vMerge w:val="restart"/>
                  <w:tcBorders>
                    <w:tl2br w:val="nil"/>
                    <w:tr2bl w:val="nil"/>
                  </w:tcBorders>
                  <w:noWrap w:val="0"/>
                  <w:vAlign w:val="center"/>
                </w:tcPr>
                <w:p w14:paraId="179CEE02">
                  <w:pPr>
                    <w:pStyle w:val="24"/>
                    <w:adjustRightInd w:val="0"/>
                    <w:snapToGrid w:val="0"/>
                    <w:spacing w:beforeLines="0" w:afterLines="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《恶臭污染物排放标准》（GB14554-93）表1恶臭污染物厂界二级标准值</w:t>
                  </w:r>
                </w:p>
              </w:tc>
            </w:tr>
            <w:tr w14:paraId="291C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392" w:type="pct"/>
                  <w:vMerge w:val="continue"/>
                  <w:tcBorders>
                    <w:tl2br w:val="nil"/>
                    <w:tr2bl w:val="nil"/>
                  </w:tcBorders>
                  <w:noWrap w:val="0"/>
                  <w:vAlign w:val="center"/>
                </w:tcPr>
                <w:p w14:paraId="6919044A">
                  <w:pPr>
                    <w:widowControl/>
                    <w:tabs>
                      <w:tab w:val="left" w:pos="630"/>
                      <w:tab w:val="left" w:pos="1260"/>
                    </w:tabs>
                    <w:adjustRightInd w:val="0"/>
                    <w:jc w:val="center"/>
                    <w:rPr>
                      <w:rFonts w:hint="default" w:ascii="Times New Roman" w:hAnsi="Times New Roman" w:cs="Times New Roman"/>
                      <w:color w:val="auto"/>
                      <w:sz w:val="21"/>
                      <w:szCs w:val="21"/>
                    </w:rPr>
                  </w:pPr>
                </w:p>
              </w:tc>
              <w:tc>
                <w:tcPr>
                  <w:tcW w:w="388" w:type="pct"/>
                  <w:tcBorders>
                    <w:tl2br w:val="nil"/>
                    <w:tr2bl w:val="nil"/>
                  </w:tcBorders>
                  <w:noWrap w:val="0"/>
                  <w:vAlign w:val="center"/>
                </w:tcPr>
                <w:p w14:paraId="12311FE0">
                  <w:pPr>
                    <w:widowControl/>
                    <w:tabs>
                      <w:tab w:val="left" w:pos="630"/>
                      <w:tab w:val="left" w:pos="1260"/>
                    </w:tabs>
                    <w:adjustRightInd w:val="0"/>
                    <w:spacing w:beforeLines="0" w:afterLines="0"/>
                    <w:jc w:val="center"/>
                    <w:rPr>
                      <w:rFonts w:hint="default" w:ascii="Times New Roman" w:hAnsi="Times New Roman" w:eastAsia="宋体" w:cs="Times New Roman"/>
                      <w:snapToGrid w:val="0"/>
                      <w:color w:val="auto"/>
                      <w:sz w:val="21"/>
                      <w:szCs w:val="21"/>
                    </w:rPr>
                  </w:pPr>
                  <w:r>
                    <w:rPr>
                      <w:rFonts w:hint="default" w:ascii="宋体" w:eastAsia="宋体"/>
                      <w:snapToGrid w:val="0"/>
                      <w:color w:val="auto"/>
                      <w:sz w:val="21"/>
                      <w:szCs w:val="21"/>
                    </w:rPr>
                    <w:t>硫化氢</w:t>
                  </w:r>
                </w:p>
              </w:tc>
              <w:tc>
                <w:tcPr>
                  <w:tcW w:w="669" w:type="pct"/>
                  <w:tcBorders>
                    <w:tl2br w:val="nil"/>
                    <w:tr2bl w:val="nil"/>
                  </w:tcBorders>
                  <w:noWrap w:val="0"/>
                  <w:vAlign w:val="center"/>
                </w:tcPr>
                <w:p w14:paraId="76EB76D5">
                  <w:pPr>
                    <w:pStyle w:val="24"/>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rPr>
                    <w:t>/</w:t>
                  </w:r>
                </w:p>
              </w:tc>
              <w:tc>
                <w:tcPr>
                  <w:tcW w:w="717" w:type="pct"/>
                  <w:tcBorders>
                    <w:tl2br w:val="nil"/>
                    <w:tr2bl w:val="nil"/>
                  </w:tcBorders>
                  <w:noWrap w:val="0"/>
                  <w:vAlign w:val="center"/>
                </w:tcPr>
                <w:p w14:paraId="6B952DD6">
                  <w:pPr>
                    <w:pStyle w:val="24"/>
                    <w:adjustRightInd w:val="0"/>
                    <w:snapToGrid w:val="0"/>
                    <w:spacing w:beforeLines="0" w:after="0" w:afterLines="0"/>
                    <w:ind w:firstLine="0" w:firstLineChars="0"/>
                    <w:jc w:val="center"/>
                    <w:rPr>
                      <w:rFonts w:hint="default" w:ascii="Times New Roman" w:hAnsi="Times New Roman" w:cs="Times New Roman"/>
                      <w:color w:val="auto"/>
                      <w:sz w:val="21"/>
                      <w:szCs w:val="21"/>
                    </w:rPr>
                  </w:pPr>
                  <w:r>
                    <w:rPr>
                      <w:rFonts w:hint="eastAsia"/>
                      <w:color w:val="auto"/>
                    </w:rPr>
                    <w:t>/</w:t>
                  </w:r>
                </w:p>
              </w:tc>
              <w:tc>
                <w:tcPr>
                  <w:tcW w:w="814" w:type="pct"/>
                  <w:tcBorders>
                    <w:tl2br w:val="nil"/>
                    <w:tr2bl w:val="nil"/>
                  </w:tcBorders>
                  <w:noWrap w:val="0"/>
                  <w:vAlign w:val="center"/>
                </w:tcPr>
                <w:p w14:paraId="0BA0DE1D">
                  <w:pPr>
                    <w:pStyle w:val="49"/>
                    <w:adjustRightInd w:val="0"/>
                    <w:snapToGrid w:val="0"/>
                    <w:spacing w:after="0"/>
                    <w:ind w:firstLine="0" w:firstLineChars="0"/>
                    <w:jc w:val="center"/>
                    <w:rPr>
                      <w:rFonts w:hint="default" w:ascii="Times New Roman" w:hAnsi="Times New Roman" w:cs="Times New Roman"/>
                      <w:color w:val="auto"/>
                      <w:sz w:val="21"/>
                      <w:szCs w:val="21"/>
                    </w:rPr>
                  </w:pPr>
                </w:p>
              </w:tc>
              <w:tc>
                <w:tcPr>
                  <w:tcW w:w="771" w:type="pct"/>
                  <w:tcBorders>
                    <w:tl2br w:val="nil"/>
                    <w:tr2bl w:val="nil"/>
                  </w:tcBorders>
                  <w:noWrap w:val="0"/>
                  <w:vAlign w:val="center"/>
                </w:tcPr>
                <w:p w14:paraId="08751E2A">
                  <w:pPr>
                    <w:pStyle w:val="49"/>
                    <w:adjustRightInd w:val="0"/>
                    <w:snapToGrid w:val="0"/>
                    <w:spacing w:after="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0.06</w:t>
                  </w:r>
                </w:p>
              </w:tc>
              <w:tc>
                <w:tcPr>
                  <w:tcW w:w="1246" w:type="pct"/>
                  <w:vMerge w:val="continue"/>
                  <w:tcBorders>
                    <w:tl2br w:val="nil"/>
                    <w:tr2bl w:val="nil"/>
                  </w:tcBorders>
                  <w:noWrap w:val="0"/>
                  <w:vAlign w:val="center"/>
                </w:tcPr>
                <w:p w14:paraId="2155D990">
                  <w:pPr>
                    <w:pStyle w:val="24"/>
                    <w:adjustRightInd w:val="0"/>
                    <w:snapToGrid w:val="0"/>
                    <w:spacing w:beforeLines="0" w:afterLines="0"/>
                    <w:ind w:firstLine="0" w:firstLineChars="0"/>
                    <w:jc w:val="center"/>
                    <w:rPr>
                      <w:rFonts w:hint="default" w:ascii="Times New Roman" w:hAnsi="Times New Roman" w:cs="Times New Roman"/>
                      <w:color w:val="auto"/>
                      <w:sz w:val="21"/>
                      <w:szCs w:val="21"/>
                    </w:rPr>
                  </w:pPr>
                </w:p>
              </w:tc>
            </w:tr>
            <w:tr w14:paraId="5113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392" w:type="pct"/>
                  <w:vMerge w:val="continue"/>
                  <w:tcBorders>
                    <w:tl2br w:val="nil"/>
                    <w:tr2bl w:val="nil"/>
                  </w:tcBorders>
                  <w:noWrap w:val="0"/>
                  <w:vAlign w:val="center"/>
                </w:tcPr>
                <w:p w14:paraId="1B5F6177">
                  <w:pPr>
                    <w:pStyle w:val="68"/>
                    <w:ind w:firstLine="0" w:firstLineChars="0"/>
                    <w:jc w:val="center"/>
                    <w:rPr>
                      <w:rFonts w:hint="default" w:ascii="Times New Roman" w:hAnsi="Times New Roman" w:cs="Times New Roman"/>
                      <w:color w:val="auto"/>
                      <w:sz w:val="21"/>
                      <w:szCs w:val="21"/>
                    </w:rPr>
                  </w:pPr>
                </w:p>
              </w:tc>
              <w:tc>
                <w:tcPr>
                  <w:tcW w:w="388" w:type="pct"/>
                  <w:tcBorders>
                    <w:tl2br w:val="nil"/>
                    <w:tr2bl w:val="nil"/>
                  </w:tcBorders>
                  <w:noWrap w:val="0"/>
                  <w:vAlign w:val="center"/>
                </w:tcPr>
                <w:p w14:paraId="1B9CED95">
                  <w:pPr>
                    <w:pStyle w:val="68"/>
                    <w:spacing w:beforeLines="0" w:afterLines="0"/>
                    <w:ind w:firstLine="0" w:firstLineChars="0"/>
                    <w:jc w:val="center"/>
                    <w:rPr>
                      <w:rFonts w:hint="default" w:ascii="Times New Roman" w:hAnsi="Times New Roman" w:eastAsia="宋体" w:cs="Times New Roman"/>
                      <w:color w:val="auto"/>
                      <w:sz w:val="21"/>
                      <w:szCs w:val="21"/>
                    </w:rPr>
                  </w:pPr>
                  <w:r>
                    <w:rPr>
                      <w:rFonts w:hint="default" w:ascii="宋体" w:eastAsia="宋体"/>
                      <w:color w:val="auto"/>
                      <w:sz w:val="21"/>
                      <w:szCs w:val="21"/>
                    </w:rPr>
                    <w:t>臭气浓度</w:t>
                  </w:r>
                </w:p>
              </w:tc>
              <w:tc>
                <w:tcPr>
                  <w:tcW w:w="669" w:type="pct"/>
                  <w:tcBorders>
                    <w:tl2br w:val="nil"/>
                    <w:tr2bl w:val="nil"/>
                  </w:tcBorders>
                  <w:noWrap w:val="0"/>
                  <w:vAlign w:val="center"/>
                </w:tcPr>
                <w:p w14:paraId="506BD8E3">
                  <w:pPr>
                    <w:pStyle w:val="24"/>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rPr>
                    <w:t>/</w:t>
                  </w:r>
                </w:p>
              </w:tc>
              <w:tc>
                <w:tcPr>
                  <w:tcW w:w="717" w:type="pct"/>
                  <w:tcBorders>
                    <w:tl2br w:val="nil"/>
                    <w:tr2bl w:val="nil"/>
                  </w:tcBorders>
                  <w:noWrap w:val="0"/>
                  <w:vAlign w:val="center"/>
                </w:tcPr>
                <w:p w14:paraId="681D712F">
                  <w:pPr>
                    <w:pStyle w:val="24"/>
                    <w:adjustRightInd w:val="0"/>
                    <w:snapToGrid w:val="0"/>
                    <w:spacing w:beforeLines="0" w:after="0" w:afterLines="0"/>
                    <w:ind w:firstLine="0" w:firstLineChars="0"/>
                    <w:jc w:val="center"/>
                    <w:rPr>
                      <w:rFonts w:hint="default" w:ascii="Times New Roman" w:hAnsi="Times New Roman" w:cs="Times New Roman"/>
                      <w:color w:val="auto"/>
                      <w:sz w:val="21"/>
                      <w:szCs w:val="21"/>
                    </w:rPr>
                  </w:pPr>
                  <w:r>
                    <w:rPr>
                      <w:rFonts w:hint="eastAsia"/>
                      <w:color w:val="auto"/>
                    </w:rPr>
                    <w:t>/</w:t>
                  </w:r>
                </w:p>
              </w:tc>
              <w:tc>
                <w:tcPr>
                  <w:tcW w:w="814" w:type="pct"/>
                  <w:tcBorders>
                    <w:tl2br w:val="nil"/>
                    <w:tr2bl w:val="nil"/>
                  </w:tcBorders>
                  <w:noWrap w:val="0"/>
                  <w:vAlign w:val="center"/>
                </w:tcPr>
                <w:p w14:paraId="681711F9">
                  <w:pPr>
                    <w:pStyle w:val="49"/>
                    <w:adjustRightInd w:val="0"/>
                    <w:snapToGrid w:val="0"/>
                    <w:spacing w:after="0"/>
                    <w:ind w:firstLine="0" w:firstLineChars="0"/>
                    <w:jc w:val="center"/>
                    <w:rPr>
                      <w:rFonts w:hint="default" w:ascii="Times New Roman" w:hAnsi="Times New Roman" w:cs="Times New Roman"/>
                      <w:color w:val="auto"/>
                      <w:sz w:val="21"/>
                      <w:szCs w:val="21"/>
                    </w:rPr>
                  </w:pPr>
                </w:p>
              </w:tc>
              <w:tc>
                <w:tcPr>
                  <w:tcW w:w="771" w:type="pct"/>
                  <w:tcBorders>
                    <w:tl2br w:val="nil"/>
                    <w:tr2bl w:val="nil"/>
                  </w:tcBorders>
                  <w:noWrap w:val="0"/>
                  <w:vAlign w:val="center"/>
                </w:tcPr>
                <w:p w14:paraId="249CCBF6">
                  <w:pPr>
                    <w:pStyle w:val="49"/>
                    <w:adjustRightInd w:val="0"/>
                    <w:snapToGrid w:val="0"/>
                    <w:spacing w:after="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1246" w:type="pct"/>
                  <w:vMerge w:val="continue"/>
                  <w:tcBorders>
                    <w:tl2br w:val="nil"/>
                    <w:tr2bl w:val="nil"/>
                  </w:tcBorders>
                  <w:noWrap w:val="0"/>
                  <w:vAlign w:val="center"/>
                </w:tcPr>
                <w:p w14:paraId="7DC7D58D">
                  <w:pPr>
                    <w:pStyle w:val="24"/>
                    <w:adjustRightInd w:val="0"/>
                    <w:snapToGrid w:val="0"/>
                    <w:spacing w:beforeLines="0" w:afterLines="0"/>
                    <w:ind w:firstLine="0" w:firstLineChars="0"/>
                    <w:jc w:val="center"/>
                    <w:rPr>
                      <w:rFonts w:hint="default" w:ascii="Times New Roman" w:hAnsi="Times New Roman" w:cs="Times New Roman"/>
                      <w:color w:val="auto"/>
                      <w:sz w:val="21"/>
                      <w:szCs w:val="21"/>
                    </w:rPr>
                  </w:pPr>
                </w:p>
              </w:tc>
            </w:tr>
          </w:tbl>
          <w:p w14:paraId="24E97A7F">
            <w:pPr>
              <w:spacing w:beforeLines="0" w:afterLines="0" w:line="360" w:lineRule="auto"/>
              <w:ind w:firstLine="480"/>
              <w:rPr>
                <w:rFonts w:hint="eastAsia"/>
                <w:b/>
                <w:color w:val="auto"/>
                <w:sz w:val="21"/>
                <w:szCs w:val="21"/>
              </w:rPr>
            </w:pPr>
            <w:r>
              <w:rPr>
                <w:rFonts w:hint="default" w:ascii="宋体" w:eastAsia="宋体"/>
                <w:color w:val="auto"/>
                <w:sz w:val="24"/>
                <w:szCs w:val="24"/>
              </w:rPr>
              <w:t>项目天然气燃烧废气中颗粒物、</w:t>
            </w:r>
            <w:r>
              <w:rPr>
                <w:rFonts w:hint="eastAsia"/>
                <w:snapToGrid w:val="0"/>
                <w:color w:val="auto"/>
                <w:kern w:val="0"/>
                <w:sz w:val="24"/>
                <w:szCs w:val="24"/>
              </w:rPr>
              <w:t>SO</w:t>
            </w:r>
            <w:r>
              <w:rPr>
                <w:rFonts w:hint="eastAsia"/>
                <w:snapToGrid w:val="0"/>
                <w:color w:val="auto"/>
                <w:kern w:val="0"/>
                <w:sz w:val="24"/>
                <w:szCs w:val="24"/>
                <w:vertAlign w:val="subscript"/>
              </w:rPr>
              <w:t>2</w:t>
            </w:r>
            <w:r>
              <w:rPr>
                <w:rFonts w:hint="default" w:ascii="宋体" w:eastAsia="宋体"/>
                <w:color w:val="auto"/>
                <w:sz w:val="21"/>
                <w:szCs w:val="24"/>
              </w:rPr>
              <w:t>、</w:t>
            </w:r>
            <w:r>
              <w:rPr>
                <w:rFonts w:hint="default" w:ascii="宋体" w:eastAsia="宋体"/>
                <w:snapToGrid w:val="0"/>
                <w:color w:val="auto"/>
                <w:kern w:val="0"/>
                <w:sz w:val="24"/>
                <w:szCs w:val="24"/>
              </w:rPr>
              <w:t>NOx、烟气黑度执行《锅炉大气污染物排放标准》（GB13271-2014）表3中燃气锅炉特别排放限值要求，NOx 需同时满足</w:t>
            </w:r>
            <w:r>
              <w:rPr>
                <w:rFonts w:hint="default" w:ascii="宋体" w:eastAsia="宋体"/>
                <w:color w:val="auto"/>
                <w:sz w:val="24"/>
                <w:szCs w:val="24"/>
              </w:rPr>
              <w:t>皖大气办[2020]2号 安徽省大气办关于印发《安徽省2020年大气污染防治重点工作任务》的通知中不高于50mg/m</w:t>
            </w:r>
            <w:r>
              <w:rPr>
                <w:rFonts w:hint="default" w:ascii="宋体" w:eastAsia="宋体"/>
                <w:color w:val="auto"/>
                <w:sz w:val="24"/>
                <w:szCs w:val="24"/>
                <w:vertAlign w:val="superscript"/>
              </w:rPr>
              <w:t>3</w:t>
            </w:r>
            <w:r>
              <w:rPr>
                <w:rFonts w:hint="default" w:ascii="宋体" w:eastAsia="宋体"/>
                <w:color w:val="auto"/>
                <w:sz w:val="24"/>
                <w:szCs w:val="24"/>
              </w:rPr>
              <w:t>的标准限值</w:t>
            </w:r>
            <w:r>
              <w:rPr>
                <w:rFonts w:hint="default" w:ascii="宋体" w:eastAsia="宋体"/>
                <w:snapToGrid w:val="0"/>
                <w:color w:val="auto"/>
                <w:kern w:val="0"/>
                <w:sz w:val="24"/>
                <w:szCs w:val="24"/>
              </w:rPr>
              <w:t>。</w:t>
            </w:r>
          </w:p>
          <w:p w14:paraId="411E7862">
            <w:pPr>
              <w:adjustRightInd w:val="0"/>
              <w:spacing w:beforeLines="0" w:afterLines="0"/>
              <w:jc w:val="center"/>
              <w:rPr>
                <w:rFonts w:hint="eastAsia"/>
                <w:b/>
                <w:color w:val="auto"/>
                <w:sz w:val="21"/>
                <w:szCs w:val="21"/>
              </w:rPr>
            </w:pPr>
            <w:r>
              <w:rPr>
                <w:rFonts w:hint="default" w:ascii="宋体" w:eastAsia="宋体"/>
                <w:b/>
                <w:color w:val="auto"/>
                <w:sz w:val="21"/>
                <w:szCs w:val="21"/>
              </w:rPr>
              <w:t>表3-</w:t>
            </w:r>
            <w:r>
              <w:rPr>
                <w:rFonts w:hint="eastAsia" w:ascii="宋体" w:eastAsia="宋体"/>
                <w:b/>
                <w:color w:val="auto"/>
                <w:sz w:val="21"/>
                <w:szCs w:val="21"/>
                <w:lang w:val="en-US" w:eastAsia="zh-CN"/>
              </w:rPr>
              <w:t xml:space="preserve">8 </w:t>
            </w:r>
            <w:r>
              <w:rPr>
                <w:rFonts w:hint="default" w:ascii="宋体" w:eastAsia="宋体"/>
                <w:b/>
                <w:color w:val="auto"/>
                <w:sz w:val="21"/>
                <w:szCs w:val="21"/>
              </w:rPr>
              <w:t xml:space="preserve"> 锅炉大气污染物排放标准</w:t>
            </w:r>
          </w:p>
          <w:tbl>
            <w:tblPr>
              <w:tblStyle w:val="25"/>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2876"/>
              <w:gridCol w:w="1440"/>
              <w:gridCol w:w="1440"/>
              <w:gridCol w:w="1448"/>
              <w:gridCol w:w="1677"/>
            </w:tblGrid>
            <w:tr w14:paraId="70BF15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619" w:type="pct"/>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14:paraId="6EE70DD3">
                  <w:pPr>
                    <w:adjustRightInd w:val="0"/>
                    <w:snapToGrid w:val="0"/>
                    <w:spacing w:beforeLines="0" w:afterLines="0"/>
                    <w:jc w:val="center"/>
                    <w:rPr>
                      <w:rFonts w:hint="default" w:ascii="宋体" w:eastAsia="宋体"/>
                      <w:snapToGrid w:val="0"/>
                      <w:color w:val="auto"/>
                      <w:sz w:val="21"/>
                      <w:szCs w:val="21"/>
                    </w:rPr>
                  </w:pPr>
                  <w:r>
                    <w:rPr>
                      <w:rFonts w:hint="default" w:ascii="宋体" w:eastAsia="宋体"/>
                      <w:snapToGrid w:val="0"/>
                      <w:color w:val="auto"/>
                      <w:sz w:val="21"/>
                      <w:szCs w:val="21"/>
                    </w:rPr>
                    <w:t>污染物项目</w:t>
                  </w:r>
                </w:p>
              </w:tc>
              <w:tc>
                <w:tcPr>
                  <w:tcW w:w="2437" w:type="pct"/>
                  <w:gridSpan w:val="3"/>
                  <w:tcBorders>
                    <w:top w:val="single" w:color="000000" w:sz="8" w:space="0"/>
                    <w:left w:val="single" w:color="000000" w:sz="8" w:space="0"/>
                    <w:bottom w:val="single" w:color="000000" w:sz="8" w:space="0"/>
                    <w:right w:val="single" w:color="000000" w:sz="8" w:space="0"/>
                    <w:tl2br w:val="nil"/>
                    <w:tr2bl w:val="nil"/>
                  </w:tcBorders>
                  <w:noWrap w:val="0"/>
                  <w:vAlign w:val="center"/>
                </w:tcPr>
                <w:p w14:paraId="2925D33D">
                  <w:pPr>
                    <w:adjustRightInd w:val="0"/>
                    <w:snapToGrid w:val="0"/>
                    <w:spacing w:beforeLines="0" w:afterLines="0"/>
                    <w:ind w:firstLine="520"/>
                    <w:jc w:val="center"/>
                    <w:rPr>
                      <w:rFonts w:hint="eastAsia"/>
                      <w:snapToGrid w:val="0"/>
                      <w:color w:val="auto"/>
                      <w:sz w:val="21"/>
                      <w:szCs w:val="21"/>
                    </w:rPr>
                  </w:pPr>
                  <w:r>
                    <w:rPr>
                      <w:rFonts w:hint="default" w:ascii="宋体" w:eastAsia="宋体"/>
                      <w:snapToGrid w:val="0"/>
                      <w:color w:val="auto"/>
                      <w:sz w:val="21"/>
                      <w:szCs w:val="21"/>
                    </w:rPr>
                    <w:t>限值</w:t>
                  </w:r>
                </w:p>
              </w:tc>
              <w:tc>
                <w:tcPr>
                  <w:tcW w:w="943" w:type="pct"/>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14:paraId="73069176">
                  <w:pPr>
                    <w:adjustRightInd w:val="0"/>
                    <w:snapToGrid w:val="0"/>
                    <w:spacing w:beforeLines="0" w:afterLines="0"/>
                    <w:jc w:val="center"/>
                    <w:rPr>
                      <w:rFonts w:hint="eastAsia"/>
                      <w:snapToGrid w:val="0"/>
                      <w:color w:val="auto"/>
                      <w:sz w:val="21"/>
                      <w:szCs w:val="21"/>
                    </w:rPr>
                  </w:pPr>
                  <w:r>
                    <w:rPr>
                      <w:rFonts w:hint="default" w:ascii="宋体" w:eastAsia="宋体"/>
                      <w:snapToGrid w:val="0"/>
                      <w:color w:val="auto"/>
                      <w:sz w:val="21"/>
                      <w:szCs w:val="21"/>
                    </w:rPr>
                    <w:t>污染物排放</w:t>
                  </w:r>
                </w:p>
                <w:p w14:paraId="7B979416">
                  <w:pPr>
                    <w:adjustRightInd w:val="0"/>
                    <w:snapToGrid w:val="0"/>
                    <w:spacing w:beforeLines="0" w:afterLines="0"/>
                    <w:jc w:val="center"/>
                    <w:rPr>
                      <w:rFonts w:hint="eastAsia"/>
                      <w:snapToGrid w:val="0"/>
                      <w:color w:val="auto"/>
                      <w:sz w:val="21"/>
                      <w:szCs w:val="21"/>
                    </w:rPr>
                  </w:pPr>
                  <w:r>
                    <w:rPr>
                      <w:rFonts w:hint="default" w:ascii="宋体" w:eastAsia="宋体"/>
                      <w:snapToGrid w:val="0"/>
                      <w:color w:val="auto"/>
                      <w:sz w:val="21"/>
                      <w:szCs w:val="21"/>
                    </w:rPr>
                    <w:t>监控位置</w:t>
                  </w:r>
                </w:p>
              </w:tc>
            </w:tr>
            <w:tr w14:paraId="4D2144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619" w:type="pct"/>
                  <w:vMerge w:val="continue"/>
                  <w:tcBorders>
                    <w:top w:val="single" w:color="000000" w:sz="8" w:space="0"/>
                    <w:left w:val="single" w:color="000000" w:sz="8" w:space="0"/>
                    <w:bottom w:val="single" w:color="000000" w:sz="8" w:space="0"/>
                    <w:right w:val="single" w:color="000000" w:sz="8" w:space="0"/>
                    <w:tl2br w:val="nil"/>
                    <w:tr2bl w:val="nil"/>
                  </w:tcBorders>
                  <w:shd w:val="clear" w:color="auto" w:fill="auto"/>
                  <w:noWrap w:val="0"/>
                  <w:vAlign w:val="center"/>
                </w:tcPr>
                <w:p w14:paraId="609FFEFA">
                  <w:pPr>
                    <w:adjustRightInd w:val="0"/>
                    <w:snapToGrid w:val="0"/>
                    <w:spacing w:beforeLines="0" w:afterLines="0"/>
                    <w:jc w:val="center"/>
                    <w:rPr>
                      <w:rFonts w:hint="eastAsia"/>
                      <w:snapToGrid w:val="0"/>
                      <w:color w:val="auto"/>
                      <w:sz w:val="21"/>
                      <w:szCs w:val="21"/>
                    </w:rPr>
                  </w:pPr>
                </w:p>
              </w:tc>
              <w:tc>
                <w:tcPr>
                  <w:tcW w:w="811" w:type="pct"/>
                  <w:tcBorders>
                    <w:top w:val="single" w:color="000000" w:sz="8" w:space="0"/>
                    <w:left w:val="single" w:color="000000" w:sz="8" w:space="0"/>
                    <w:bottom w:val="single" w:color="000000" w:sz="8" w:space="0"/>
                    <w:right w:val="single" w:color="000000" w:sz="8" w:space="0"/>
                    <w:tl2br w:val="nil"/>
                    <w:tr2bl w:val="nil"/>
                  </w:tcBorders>
                  <w:shd w:val="clear" w:color="auto" w:fill="auto"/>
                  <w:noWrap w:val="0"/>
                  <w:vAlign w:val="center"/>
                </w:tcPr>
                <w:p w14:paraId="417DE7A2">
                  <w:pPr>
                    <w:adjustRightInd w:val="0"/>
                    <w:snapToGrid w:val="0"/>
                    <w:spacing w:beforeLines="0" w:afterLines="0"/>
                    <w:jc w:val="center"/>
                    <w:rPr>
                      <w:rFonts w:hint="eastAsia"/>
                      <w:snapToGrid w:val="0"/>
                      <w:color w:val="auto"/>
                      <w:sz w:val="21"/>
                      <w:szCs w:val="21"/>
                    </w:rPr>
                  </w:pPr>
                  <w:r>
                    <w:rPr>
                      <w:rFonts w:hint="default" w:ascii="宋体" w:eastAsia="宋体"/>
                      <w:snapToGrid w:val="0"/>
                      <w:color w:val="auto"/>
                      <w:sz w:val="21"/>
                      <w:szCs w:val="21"/>
                    </w:rPr>
                    <w:t>燃煤锅炉</w:t>
                  </w:r>
                </w:p>
              </w:tc>
              <w:tc>
                <w:tcPr>
                  <w:tcW w:w="811" w:type="pct"/>
                  <w:tcBorders>
                    <w:top w:val="single" w:color="000000" w:sz="8" w:space="0"/>
                    <w:left w:val="single" w:color="000000" w:sz="8" w:space="0"/>
                    <w:bottom w:val="single" w:color="000000" w:sz="8" w:space="0"/>
                    <w:right w:val="single" w:color="000000" w:sz="8" w:space="0"/>
                    <w:tl2br w:val="nil"/>
                    <w:tr2bl w:val="nil"/>
                  </w:tcBorders>
                  <w:shd w:val="clear" w:color="auto" w:fill="auto"/>
                  <w:noWrap w:val="0"/>
                  <w:vAlign w:val="center"/>
                </w:tcPr>
                <w:p w14:paraId="6A58DED3">
                  <w:pPr>
                    <w:adjustRightInd w:val="0"/>
                    <w:snapToGrid w:val="0"/>
                    <w:spacing w:beforeLines="0" w:afterLines="0"/>
                    <w:jc w:val="center"/>
                    <w:rPr>
                      <w:rFonts w:hint="eastAsia"/>
                      <w:snapToGrid w:val="0"/>
                      <w:color w:val="auto"/>
                      <w:sz w:val="21"/>
                      <w:szCs w:val="21"/>
                    </w:rPr>
                  </w:pPr>
                  <w:r>
                    <w:rPr>
                      <w:rFonts w:hint="default" w:ascii="宋体" w:eastAsia="宋体"/>
                      <w:snapToGrid w:val="0"/>
                      <w:color w:val="auto"/>
                      <w:sz w:val="21"/>
                      <w:szCs w:val="21"/>
                    </w:rPr>
                    <w:t>燃油锅炉</w:t>
                  </w:r>
                </w:p>
              </w:tc>
              <w:tc>
                <w:tcPr>
                  <w:tcW w:w="814" w:type="pct"/>
                  <w:tcBorders>
                    <w:top w:val="single" w:color="000000" w:sz="8" w:space="0"/>
                    <w:left w:val="single" w:color="000000" w:sz="8" w:space="0"/>
                    <w:bottom w:val="single" w:color="000000" w:sz="8" w:space="0"/>
                    <w:right w:val="single" w:color="000000" w:sz="8" w:space="0"/>
                    <w:tl2br w:val="nil"/>
                    <w:tr2bl w:val="nil"/>
                  </w:tcBorders>
                  <w:shd w:val="clear" w:color="auto" w:fill="BFBFBF"/>
                  <w:noWrap w:val="0"/>
                  <w:vAlign w:val="center"/>
                </w:tcPr>
                <w:p w14:paraId="1549093E">
                  <w:pPr>
                    <w:adjustRightInd w:val="0"/>
                    <w:snapToGrid w:val="0"/>
                    <w:spacing w:beforeLines="0" w:afterLines="0"/>
                    <w:jc w:val="center"/>
                    <w:rPr>
                      <w:rFonts w:hint="eastAsia"/>
                      <w:snapToGrid w:val="0"/>
                      <w:color w:val="auto"/>
                      <w:sz w:val="21"/>
                      <w:szCs w:val="21"/>
                    </w:rPr>
                  </w:pPr>
                  <w:r>
                    <w:rPr>
                      <w:rFonts w:hint="default" w:ascii="宋体" w:eastAsia="宋体"/>
                      <w:snapToGrid w:val="0"/>
                      <w:color w:val="auto"/>
                      <w:sz w:val="21"/>
                      <w:szCs w:val="21"/>
                    </w:rPr>
                    <w:t>燃气锅炉</w:t>
                  </w:r>
                </w:p>
              </w:tc>
              <w:tc>
                <w:tcPr>
                  <w:tcW w:w="943" w:type="pct"/>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14:paraId="68473B24">
                  <w:pPr>
                    <w:adjustRightInd w:val="0"/>
                    <w:snapToGrid w:val="0"/>
                    <w:spacing w:beforeLines="0" w:afterLines="0"/>
                    <w:jc w:val="center"/>
                    <w:rPr>
                      <w:rFonts w:hint="eastAsia"/>
                      <w:snapToGrid w:val="0"/>
                      <w:color w:val="auto"/>
                      <w:sz w:val="21"/>
                      <w:szCs w:val="21"/>
                    </w:rPr>
                  </w:pPr>
                </w:p>
              </w:tc>
            </w:tr>
            <w:tr w14:paraId="1DB131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619" w:type="pct"/>
                  <w:tcBorders>
                    <w:top w:val="single" w:color="000000" w:sz="8" w:space="0"/>
                    <w:left w:val="single" w:color="000000" w:sz="8" w:space="0"/>
                    <w:bottom w:val="single" w:color="000000" w:sz="8" w:space="0"/>
                    <w:right w:val="single" w:color="000000" w:sz="8" w:space="0"/>
                    <w:tl2br w:val="nil"/>
                    <w:tr2bl w:val="nil"/>
                  </w:tcBorders>
                  <w:shd w:val="clear" w:color="auto" w:fill="auto"/>
                  <w:noWrap w:val="0"/>
                  <w:vAlign w:val="center"/>
                </w:tcPr>
                <w:p w14:paraId="64D5D219">
                  <w:pPr>
                    <w:adjustRightInd w:val="0"/>
                    <w:snapToGrid w:val="0"/>
                    <w:spacing w:beforeLines="0" w:afterLines="0"/>
                    <w:jc w:val="center"/>
                    <w:rPr>
                      <w:rFonts w:hint="eastAsia"/>
                      <w:snapToGrid w:val="0"/>
                      <w:color w:val="auto"/>
                      <w:sz w:val="21"/>
                      <w:szCs w:val="21"/>
                    </w:rPr>
                  </w:pPr>
                  <w:r>
                    <w:rPr>
                      <w:rFonts w:hint="default" w:ascii="宋体" w:eastAsia="宋体"/>
                      <w:snapToGrid w:val="0"/>
                      <w:color w:val="auto"/>
                      <w:sz w:val="21"/>
                      <w:szCs w:val="21"/>
                    </w:rPr>
                    <w:t>颗粒物</w:t>
                  </w:r>
                </w:p>
              </w:tc>
              <w:tc>
                <w:tcPr>
                  <w:tcW w:w="811" w:type="pct"/>
                  <w:tcBorders>
                    <w:top w:val="single" w:color="000000" w:sz="8" w:space="0"/>
                    <w:left w:val="single" w:color="000000" w:sz="8" w:space="0"/>
                    <w:bottom w:val="single" w:color="000000" w:sz="8" w:space="0"/>
                    <w:right w:val="single" w:color="000000" w:sz="8" w:space="0"/>
                    <w:tl2br w:val="nil"/>
                    <w:tr2bl w:val="nil"/>
                  </w:tcBorders>
                  <w:shd w:val="clear" w:color="auto" w:fill="auto"/>
                  <w:noWrap w:val="0"/>
                  <w:vAlign w:val="center"/>
                </w:tcPr>
                <w:p w14:paraId="1B7B786C">
                  <w:pPr>
                    <w:adjustRightInd w:val="0"/>
                    <w:snapToGrid w:val="0"/>
                    <w:spacing w:beforeLines="0" w:afterLines="0"/>
                    <w:jc w:val="center"/>
                    <w:rPr>
                      <w:rFonts w:hint="default" w:ascii="宋体" w:eastAsia="宋体"/>
                      <w:snapToGrid w:val="0"/>
                      <w:color w:val="auto"/>
                      <w:sz w:val="21"/>
                      <w:szCs w:val="21"/>
                    </w:rPr>
                  </w:pPr>
                  <w:r>
                    <w:rPr>
                      <w:rFonts w:hint="default" w:ascii="宋体" w:eastAsia="宋体"/>
                      <w:snapToGrid w:val="0"/>
                      <w:color w:val="auto"/>
                      <w:sz w:val="21"/>
                      <w:szCs w:val="21"/>
                    </w:rPr>
                    <w:t>3</w:t>
                  </w:r>
                  <w:r>
                    <w:rPr>
                      <w:rFonts w:hint="eastAsia"/>
                      <w:snapToGrid w:val="0"/>
                      <w:color w:val="auto"/>
                      <w:sz w:val="21"/>
                      <w:szCs w:val="21"/>
                    </w:rPr>
                    <w:t>0</w:t>
                  </w:r>
                </w:p>
              </w:tc>
              <w:tc>
                <w:tcPr>
                  <w:tcW w:w="811" w:type="pct"/>
                  <w:tcBorders>
                    <w:top w:val="single" w:color="000000" w:sz="8" w:space="0"/>
                    <w:left w:val="single" w:color="000000" w:sz="8" w:space="0"/>
                    <w:bottom w:val="single" w:color="000000" w:sz="8" w:space="0"/>
                    <w:right w:val="single" w:color="000000" w:sz="8" w:space="0"/>
                    <w:tl2br w:val="nil"/>
                    <w:tr2bl w:val="nil"/>
                  </w:tcBorders>
                  <w:shd w:val="clear" w:color="auto" w:fill="auto"/>
                  <w:noWrap w:val="0"/>
                  <w:vAlign w:val="center"/>
                </w:tcPr>
                <w:p w14:paraId="37B8E9BD">
                  <w:pPr>
                    <w:adjustRightInd w:val="0"/>
                    <w:snapToGrid w:val="0"/>
                    <w:spacing w:beforeLines="0" w:afterLines="0"/>
                    <w:jc w:val="center"/>
                    <w:rPr>
                      <w:rFonts w:hint="default" w:ascii="宋体" w:eastAsia="宋体"/>
                      <w:snapToGrid w:val="0"/>
                      <w:color w:val="auto"/>
                      <w:sz w:val="21"/>
                      <w:szCs w:val="21"/>
                    </w:rPr>
                  </w:pPr>
                  <w:r>
                    <w:rPr>
                      <w:rFonts w:hint="default" w:ascii="宋体" w:eastAsia="宋体"/>
                      <w:snapToGrid w:val="0"/>
                      <w:color w:val="auto"/>
                      <w:sz w:val="21"/>
                      <w:szCs w:val="21"/>
                    </w:rPr>
                    <w:t>3</w:t>
                  </w:r>
                  <w:r>
                    <w:rPr>
                      <w:rFonts w:hint="eastAsia"/>
                      <w:snapToGrid w:val="0"/>
                      <w:color w:val="auto"/>
                      <w:sz w:val="21"/>
                      <w:szCs w:val="21"/>
                    </w:rPr>
                    <w:t>0</w:t>
                  </w:r>
                </w:p>
              </w:tc>
              <w:tc>
                <w:tcPr>
                  <w:tcW w:w="814" w:type="pct"/>
                  <w:tcBorders>
                    <w:top w:val="single" w:color="000000" w:sz="8" w:space="0"/>
                    <w:left w:val="single" w:color="000000" w:sz="8" w:space="0"/>
                    <w:bottom w:val="single" w:color="000000" w:sz="8" w:space="0"/>
                    <w:right w:val="single" w:color="000000" w:sz="8" w:space="0"/>
                    <w:tl2br w:val="nil"/>
                    <w:tr2bl w:val="nil"/>
                  </w:tcBorders>
                  <w:shd w:val="clear" w:color="auto" w:fill="BFBFBF"/>
                  <w:noWrap w:val="0"/>
                  <w:vAlign w:val="center"/>
                </w:tcPr>
                <w:p w14:paraId="7283F0BA">
                  <w:pPr>
                    <w:adjustRightInd w:val="0"/>
                    <w:snapToGrid w:val="0"/>
                    <w:spacing w:beforeLines="0" w:afterLines="0"/>
                    <w:jc w:val="center"/>
                    <w:rPr>
                      <w:rFonts w:hint="default" w:ascii="宋体" w:eastAsia="宋体"/>
                      <w:snapToGrid w:val="0"/>
                      <w:color w:val="auto"/>
                      <w:sz w:val="21"/>
                      <w:szCs w:val="21"/>
                    </w:rPr>
                  </w:pPr>
                  <w:r>
                    <w:rPr>
                      <w:rFonts w:hint="default" w:ascii="宋体" w:eastAsia="宋体"/>
                      <w:snapToGrid w:val="0"/>
                      <w:color w:val="auto"/>
                      <w:sz w:val="21"/>
                      <w:szCs w:val="21"/>
                    </w:rPr>
                    <w:t>2</w:t>
                  </w:r>
                  <w:r>
                    <w:rPr>
                      <w:rFonts w:hint="eastAsia"/>
                      <w:snapToGrid w:val="0"/>
                      <w:color w:val="auto"/>
                      <w:sz w:val="21"/>
                      <w:szCs w:val="21"/>
                    </w:rPr>
                    <w:t>0</w:t>
                  </w:r>
                </w:p>
              </w:tc>
              <w:tc>
                <w:tcPr>
                  <w:tcW w:w="943" w:type="pct"/>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14:paraId="7BC95CA7">
                  <w:pPr>
                    <w:adjustRightInd w:val="0"/>
                    <w:snapToGrid w:val="0"/>
                    <w:spacing w:beforeLines="0" w:afterLines="0"/>
                    <w:jc w:val="center"/>
                    <w:rPr>
                      <w:rFonts w:hint="eastAsia"/>
                      <w:snapToGrid w:val="0"/>
                      <w:color w:val="auto"/>
                      <w:sz w:val="21"/>
                      <w:szCs w:val="21"/>
                    </w:rPr>
                  </w:pPr>
                  <w:r>
                    <w:rPr>
                      <w:rFonts w:hint="default" w:ascii="宋体" w:eastAsia="宋体"/>
                      <w:snapToGrid w:val="0"/>
                      <w:color w:val="auto"/>
                      <w:sz w:val="21"/>
                      <w:szCs w:val="21"/>
                    </w:rPr>
                    <w:t>烟囱或烟道</w:t>
                  </w:r>
                </w:p>
              </w:tc>
            </w:tr>
            <w:tr w14:paraId="130D76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0" w:hRule="atLeast"/>
                <w:jc w:val="center"/>
              </w:trPr>
              <w:tc>
                <w:tcPr>
                  <w:tcW w:w="1619" w:type="pct"/>
                  <w:tcBorders>
                    <w:top w:val="single" w:color="000000" w:sz="8" w:space="0"/>
                    <w:left w:val="single" w:color="000000" w:sz="8" w:space="0"/>
                    <w:bottom w:val="single" w:color="000000" w:sz="8" w:space="0"/>
                    <w:right w:val="single" w:color="000000" w:sz="8" w:space="0"/>
                    <w:tl2br w:val="nil"/>
                    <w:tr2bl w:val="nil"/>
                  </w:tcBorders>
                  <w:shd w:val="clear" w:color="auto" w:fill="auto"/>
                  <w:noWrap w:val="0"/>
                  <w:vAlign w:val="center"/>
                </w:tcPr>
                <w:p w14:paraId="6C8CD0B7">
                  <w:pPr>
                    <w:adjustRightInd w:val="0"/>
                    <w:snapToGrid w:val="0"/>
                    <w:spacing w:beforeLines="0" w:afterLines="0"/>
                    <w:jc w:val="center"/>
                    <w:rPr>
                      <w:rFonts w:hint="eastAsia"/>
                      <w:snapToGrid w:val="0"/>
                      <w:color w:val="auto"/>
                      <w:sz w:val="21"/>
                      <w:szCs w:val="21"/>
                    </w:rPr>
                  </w:pPr>
                  <w:r>
                    <w:rPr>
                      <w:rFonts w:hint="default" w:ascii="宋体" w:eastAsia="宋体"/>
                      <w:snapToGrid w:val="0"/>
                      <w:color w:val="auto"/>
                      <w:sz w:val="21"/>
                      <w:szCs w:val="21"/>
                    </w:rPr>
                    <w:t>二氧化硫</w:t>
                  </w:r>
                </w:p>
              </w:tc>
              <w:tc>
                <w:tcPr>
                  <w:tcW w:w="811" w:type="pct"/>
                  <w:tcBorders>
                    <w:top w:val="single" w:color="000000" w:sz="8" w:space="0"/>
                    <w:left w:val="single" w:color="000000" w:sz="8" w:space="0"/>
                    <w:bottom w:val="single" w:color="000000" w:sz="8" w:space="0"/>
                    <w:right w:val="single" w:color="000000" w:sz="8" w:space="0"/>
                    <w:tl2br w:val="nil"/>
                    <w:tr2bl w:val="nil"/>
                  </w:tcBorders>
                  <w:shd w:val="clear" w:color="auto" w:fill="auto"/>
                  <w:noWrap w:val="0"/>
                  <w:vAlign w:val="center"/>
                </w:tcPr>
                <w:p w14:paraId="19442851">
                  <w:pPr>
                    <w:adjustRightInd w:val="0"/>
                    <w:snapToGrid w:val="0"/>
                    <w:spacing w:beforeLines="0" w:afterLines="0"/>
                    <w:jc w:val="center"/>
                    <w:rPr>
                      <w:rFonts w:hint="default" w:ascii="宋体" w:eastAsia="宋体"/>
                      <w:snapToGrid w:val="0"/>
                      <w:color w:val="auto"/>
                      <w:sz w:val="21"/>
                      <w:szCs w:val="21"/>
                    </w:rPr>
                  </w:pPr>
                  <w:r>
                    <w:rPr>
                      <w:rFonts w:hint="default" w:ascii="宋体" w:eastAsia="宋体"/>
                      <w:snapToGrid w:val="0"/>
                      <w:color w:val="auto"/>
                      <w:sz w:val="21"/>
                      <w:szCs w:val="21"/>
                    </w:rPr>
                    <w:t>2</w:t>
                  </w:r>
                  <w:r>
                    <w:rPr>
                      <w:rFonts w:hint="eastAsia"/>
                      <w:snapToGrid w:val="0"/>
                      <w:color w:val="auto"/>
                      <w:sz w:val="21"/>
                      <w:szCs w:val="21"/>
                    </w:rPr>
                    <w:t>00</w:t>
                  </w:r>
                </w:p>
              </w:tc>
              <w:tc>
                <w:tcPr>
                  <w:tcW w:w="811" w:type="pct"/>
                  <w:tcBorders>
                    <w:top w:val="single" w:color="000000" w:sz="8" w:space="0"/>
                    <w:left w:val="single" w:color="000000" w:sz="8" w:space="0"/>
                    <w:bottom w:val="single" w:color="000000" w:sz="8" w:space="0"/>
                    <w:right w:val="single" w:color="000000" w:sz="8" w:space="0"/>
                    <w:tl2br w:val="nil"/>
                    <w:tr2bl w:val="nil"/>
                  </w:tcBorders>
                  <w:shd w:val="clear" w:color="auto" w:fill="auto"/>
                  <w:noWrap w:val="0"/>
                  <w:vAlign w:val="center"/>
                </w:tcPr>
                <w:p w14:paraId="3B871F59">
                  <w:pPr>
                    <w:adjustRightInd w:val="0"/>
                    <w:snapToGrid w:val="0"/>
                    <w:spacing w:beforeLines="0" w:afterLines="0"/>
                    <w:jc w:val="center"/>
                    <w:rPr>
                      <w:rFonts w:hint="default" w:ascii="宋体" w:eastAsia="宋体"/>
                      <w:snapToGrid w:val="0"/>
                      <w:color w:val="auto"/>
                      <w:sz w:val="21"/>
                      <w:szCs w:val="21"/>
                    </w:rPr>
                  </w:pPr>
                  <w:r>
                    <w:rPr>
                      <w:rFonts w:hint="default" w:ascii="宋体" w:eastAsia="宋体"/>
                      <w:snapToGrid w:val="0"/>
                      <w:color w:val="auto"/>
                      <w:sz w:val="21"/>
                      <w:szCs w:val="21"/>
                    </w:rPr>
                    <w:t>1</w:t>
                  </w:r>
                  <w:r>
                    <w:rPr>
                      <w:rFonts w:hint="eastAsia"/>
                      <w:snapToGrid w:val="0"/>
                      <w:color w:val="auto"/>
                      <w:sz w:val="21"/>
                      <w:szCs w:val="21"/>
                    </w:rPr>
                    <w:t>00</w:t>
                  </w:r>
                </w:p>
              </w:tc>
              <w:tc>
                <w:tcPr>
                  <w:tcW w:w="814" w:type="pct"/>
                  <w:tcBorders>
                    <w:top w:val="single" w:color="000000" w:sz="8" w:space="0"/>
                    <w:left w:val="single" w:color="000000" w:sz="8" w:space="0"/>
                    <w:bottom w:val="single" w:color="000000" w:sz="8" w:space="0"/>
                    <w:right w:val="single" w:color="000000" w:sz="8" w:space="0"/>
                    <w:tl2br w:val="nil"/>
                    <w:tr2bl w:val="nil"/>
                  </w:tcBorders>
                  <w:shd w:val="clear" w:color="auto" w:fill="BFBFBF"/>
                  <w:noWrap w:val="0"/>
                  <w:vAlign w:val="center"/>
                </w:tcPr>
                <w:p w14:paraId="21F88590">
                  <w:pPr>
                    <w:adjustRightInd w:val="0"/>
                    <w:snapToGrid w:val="0"/>
                    <w:spacing w:beforeLines="0" w:afterLines="0"/>
                    <w:jc w:val="center"/>
                    <w:rPr>
                      <w:rFonts w:hint="default" w:ascii="宋体" w:eastAsia="宋体"/>
                      <w:snapToGrid w:val="0"/>
                      <w:color w:val="auto"/>
                      <w:sz w:val="21"/>
                      <w:szCs w:val="21"/>
                    </w:rPr>
                  </w:pPr>
                  <w:r>
                    <w:rPr>
                      <w:rFonts w:hint="default" w:ascii="宋体" w:eastAsia="宋体"/>
                      <w:snapToGrid w:val="0"/>
                      <w:color w:val="auto"/>
                      <w:sz w:val="21"/>
                      <w:szCs w:val="21"/>
                    </w:rPr>
                    <w:t>5</w:t>
                  </w:r>
                  <w:r>
                    <w:rPr>
                      <w:rFonts w:hint="eastAsia"/>
                      <w:snapToGrid w:val="0"/>
                      <w:color w:val="auto"/>
                      <w:sz w:val="21"/>
                      <w:szCs w:val="21"/>
                    </w:rPr>
                    <w:t>0</w:t>
                  </w:r>
                </w:p>
              </w:tc>
              <w:tc>
                <w:tcPr>
                  <w:tcW w:w="943" w:type="pct"/>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14:paraId="68E5B206">
                  <w:pPr>
                    <w:widowControl/>
                    <w:adjustRightInd w:val="0"/>
                    <w:snapToGrid w:val="0"/>
                    <w:spacing w:beforeLines="0" w:afterLines="0"/>
                    <w:jc w:val="center"/>
                    <w:rPr>
                      <w:rFonts w:hint="eastAsia"/>
                      <w:snapToGrid w:val="0"/>
                      <w:color w:val="auto"/>
                      <w:sz w:val="21"/>
                      <w:szCs w:val="21"/>
                    </w:rPr>
                  </w:pPr>
                </w:p>
              </w:tc>
            </w:tr>
            <w:tr w14:paraId="0429CB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619" w:type="pct"/>
                  <w:tcBorders>
                    <w:top w:val="single" w:color="000000" w:sz="8" w:space="0"/>
                    <w:left w:val="single" w:color="000000" w:sz="8" w:space="0"/>
                    <w:bottom w:val="single" w:color="000000" w:sz="8" w:space="0"/>
                    <w:right w:val="single" w:color="000000" w:sz="8" w:space="0"/>
                    <w:tl2br w:val="nil"/>
                    <w:tr2bl w:val="nil"/>
                  </w:tcBorders>
                  <w:shd w:val="clear" w:color="auto" w:fill="auto"/>
                  <w:noWrap w:val="0"/>
                  <w:vAlign w:val="center"/>
                </w:tcPr>
                <w:p w14:paraId="76B2B8F1">
                  <w:pPr>
                    <w:adjustRightInd w:val="0"/>
                    <w:snapToGrid w:val="0"/>
                    <w:spacing w:beforeLines="0" w:afterLines="0"/>
                    <w:jc w:val="center"/>
                    <w:rPr>
                      <w:rFonts w:hint="eastAsia"/>
                      <w:snapToGrid w:val="0"/>
                      <w:color w:val="auto"/>
                      <w:sz w:val="21"/>
                      <w:szCs w:val="21"/>
                    </w:rPr>
                  </w:pPr>
                  <w:r>
                    <w:rPr>
                      <w:rFonts w:hint="default" w:ascii="宋体" w:eastAsia="宋体"/>
                      <w:snapToGrid w:val="0"/>
                      <w:color w:val="auto"/>
                      <w:sz w:val="21"/>
                      <w:szCs w:val="21"/>
                    </w:rPr>
                    <w:t>氮氧化物</w:t>
                  </w:r>
                </w:p>
              </w:tc>
              <w:tc>
                <w:tcPr>
                  <w:tcW w:w="811" w:type="pct"/>
                  <w:tcBorders>
                    <w:top w:val="single" w:color="000000" w:sz="8" w:space="0"/>
                    <w:left w:val="single" w:color="000000" w:sz="8" w:space="0"/>
                    <w:bottom w:val="single" w:color="000000" w:sz="8" w:space="0"/>
                    <w:right w:val="single" w:color="000000" w:sz="8" w:space="0"/>
                    <w:tl2br w:val="nil"/>
                    <w:tr2bl w:val="nil"/>
                  </w:tcBorders>
                  <w:shd w:val="clear" w:color="auto" w:fill="auto"/>
                  <w:noWrap w:val="0"/>
                  <w:vAlign w:val="center"/>
                </w:tcPr>
                <w:p w14:paraId="289153BE">
                  <w:pPr>
                    <w:adjustRightInd w:val="0"/>
                    <w:snapToGrid w:val="0"/>
                    <w:spacing w:beforeLines="0" w:afterLines="0"/>
                    <w:jc w:val="center"/>
                    <w:rPr>
                      <w:rFonts w:hint="default" w:ascii="宋体" w:eastAsia="宋体"/>
                      <w:snapToGrid w:val="0"/>
                      <w:color w:val="auto"/>
                      <w:sz w:val="21"/>
                      <w:szCs w:val="21"/>
                    </w:rPr>
                  </w:pPr>
                  <w:r>
                    <w:rPr>
                      <w:rFonts w:hint="default" w:ascii="宋体" w:eastAsia="宋体"/>
                      <w:snapToGrid w:val="0"/>
                      <w:color w:val="auto"/>
                      <w:sz w:val="21"/>
                      <w:szCs w:val="21"/>
                    </w:rPr>
                    <w:t>2</w:t>
                  </w:r>
                  <w:r>
                    <w:rPr>
                      <w:rFonts w:hint="eastAsia"/>
                      <w:snapToGrid w:val="0"/>
                      <w:color w:val="auto"/>
                      <w:sz w:val="21"/>
                      <w:szCs w:val="21"/>
                    </w:rPr>
                    <w:t>00</w:t>
                  </w:r>
                </w:p>
              </w:tc>
              <w:tc>
                <w:tcPr>
                  <w:tcW w:w="811" w:type="pct"/>
                  <w:tcBorders>
                    <w:top w:val="single" w:color="000000" w:sz="8" w:space="0"/>
                    <w:left w:val="single" w:color="000000" w:sz="8" w:space="0"/>
                    <w:bottom w:val="single" w:color="000000" w:sz="8" w:space="0"/>
                    <w:right w:val="single" w:color="000000" w:sz="8" w:space="0"/>
                    <w:tl2br w:val="nil"/>
                    <w:tr2bl w:val="nil"/>
                  </w:tcBorders>
                  <w:shd w:val="clear" w:color="auto" w:fill="auto"/>
                  <w:noWrap w:val="0"/>
                  <w:vAlign w:val="center"/>
                </w:tcPr>
                <w:p w14:paraId="2514264B">
                  <w:pPr>
                    <w:adjustRightInd w:val="0"/>
                    <w:snapToGrid w:val="0"/>
                    <w:spacing w:beforeLines="0" w:afterLines="0"/>
                    <w:jc w:val="center"/>
                    <w:rPr>
                      <w:rFonts w:hint="default" w:ascii="宋体" w:eastAsia="宋体"/>
                      <w:snapToGrid w:val="0"/>
                      <w:color w:val="auto"/>
                      <w:sz w:val="21"/>
                      <w:szCs w:val="21"/>
                    </w:rPr>
                  </w:pPr>
                  <w:r>
                    <w:rPr>
                      <w:rFonts w:hint="default" w:ascii="宋体" w:eastAsia="宋体"/>
                      <w:snapToGrid w:val="0"/>
                      <w:color w:val="auto"/>
                      <w:sz w:val="21"/>
                      <w:szCs w:val="21"/>
                    </w:rPr>
                    <w:t>2</w:t>
                  </w:r>
                  <w:r>
                    <w:rPr>
                      <w:rFonts w:hint="eastAsia"/>
                      <w:snapToGrid w:val="0"/>
                      <w:color w:val="auto"/>
                      <w:sz w:val="21"/>
                      <w:szCs w:val="21"/>
                    </w:rPr>
                    <w:t>00</w:t>
                  </w:r>
                </w:p>
              </w:tc>
              <w:tc>
                <w:tcPr>
                  <w:tcW w:w="814" w:type="pct"/>
                  <w:tcBorders>
                    <w:top w:val="single" w:color="000000" w:sz="8" w:space="0"/>
                    <w:left w:val="single" w:color="000000" w:sz="8" w:space="0"/>
                    <w:bottom w:val="single" w:color="000000" w:sz="8" w:space="0"/>
                    <w:right w:val="single" w:color="000000" w:sz="8" w:space="0"/>
                    <w:tl2br w:val="nil"/>
                    <w:tr2bl w:val="nil"/>
                  </w:tcBorders>
                  <w:shd w:val="clear" w:color="auto" w:fill="BFBFBF"/>
                  <w:noWrap w:val="0"/>
                  <w:vAlign w:val="center"/>
                </w:tcPr>
                <w:p w14:paraId="6D64AE81">
                  <w:pPr>
                    <w:adjustRightInd w:val="0"/>
                    <w:snapToGrid w:val="0"/>
                    <w:spacing w:beforeLines="0" w:afterLines="0"/>
                    <w:jc w:val="center"/>
                    <w:rPr>
                      <w:rFonts w:hint="default" w:ascii="宋体" w:eastAsia="宋体"/>
                      <w:snapToGrid w:val="0"/>
                      <w:color w:val="auto"/>
                      <w:sz w:val="21"/>
                      <w:szCs w:val="21"/>
                    </w:rPr>
                  </w:pPr>
                  <w:r>
                    <w:rPr>
                      <w:rFonts w:hint="default" w:ascii="宋体" w:eastAsia="宋体"/>
                      <w:snapToGrid w:val="0"/>
                      <w:color w:val="auto"/>
                      <w:sz w:val="21"/>
                      <w:szCs w:val="21"/>
                    </w:rPr>
                    <w:t>1</w:t>
                  </w:r>
                  <w:r>
                    <w:rPr>
                      <w:rFonts w:hint="eastAsia"/>
                      <w:snapToGrid w:val="0"/>
                      <w:color w:val="auto"/>
                      <w:sz w:val="21"/>
                      <w:szCs w:val="21"/>
                    </w:rPr>
                    <w:t>50</w:t>
                  </w:r>
                </w:p>
              </w:tc>
              <w:tc>
                <w:tcPr>
                  <w:tcW w:w="943" w:type="pct"/>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14:paraId="4A6EAE90">
                  <w:pPr>
                    <w:widowControl/>
                    <w:adjustRightInd w:val="0"/>
                    <w:snapToGrid w:val="0"/>
                    <w:spacing w:beforeLines="0" w:afterLines="0"/>
                    <w:jc w:val="center"/>
                    <w:rPr>
                      <w:rFonts w:hint="eastAsia"/>
                      <w:snapToGrid w:val="0"/>
                      <w:color w:val="auto"/>
                      <w:sz w:val="21"/>
                      <w:szCs w:val="21"/>
                    </w:rPr>
                  </w:pPr>
                </w:p>
              </w:tc>
            </w:tr>
            <w:tr w14:paraId="165CF2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61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14:paraId="2673B09B">
                  <w:pPr>
                    <w:adjustRightInd w:val="0"/>
                    <w:snapToGrid w:val="0"/>
                    <w:spacing w:beforeLines="0" w:afterLines="0"/>
                    <w:jc w:val="center"/>
                    <w:rPr>
                      <w:rFonts w:hint="eastAsia"/>
                      <w:snapToGrid w:val="0"/>
                      <w:color w:val="auto"/>
                      <w:sz w:val="21"/>
                      <w:szCs w:val="21"/>
                    </w:rPr>
                  </w:pPr>
                  <w:r>
                    <w:rPr>
                      <w:rFonts w:hint="default" w:ascii="宋体" w:eastAsia="宋体"/>
                      <w:snapToGrid w:val="0"/>
                      <w:color w:val="auto"/>
                      <w:sz w:val="21"/>
                      <w:szCs w:val="21"/>
                    </w:rPr>
                    <w:t>烟气黑度（林格曼黑度，级）</w:t>
                  </w:r>
                </w:p>
              </w:tc>
              <w:tc>
                <w:tcPr>
                  <w:tcW w:w="2437" w:type="pct"/>
                  <w:gridSpan w:val="3"/>
                  <w:tcBorders>
                    <w:top w:val="single" w:color="000000" w:sz="8" w:space="0"/>
                    <w:left w:val="single" w:color="000000" w:sz="8" w:space="0"/>
                    <w:bottom w:val="single" w:color="000000" w:sz="8" w:space="0"/>
                    <w:right w:val="single" w:color="000000" w:sz="8" w:space="0"/>
                    <w:tl2br w:val="nil"/>
                    <w:tr2bl w:val="nil"/>
                  </w:tcBorders>
                  <w:noWrap w:val="0"/>
                  <w:vAlign w:val="center"/>
                </w:tcPr>
                <w:p w14:paraId="5AEE776A">
                  <w:pPr>
                    <w:adjustRightInd w:val="0"/>
                    <w:snapToGrid w:val="0"/>
                    <w:spacing w:beforeLines="0" w:afterLines="0"/>
                    <w:ind w:firstLine="520"/>
                    <w:jc w:val="center"/>
                    <w:rPr>
                      <w:rFonts w:hint="eastAsia"/>
                      <w:snapToGrid w:val="0"/>
                      <w:color w:val="auto"/>
                      <w:sz w:val="21"/>
                      <w:szCs w:val="21"/>
                    </w:rPr>
                  </w:pPr>
                  <w:r>
                    <w:rPr>
                      <w:rFonts w:hint="eastAsia"/>
                      <w:snapToGrid w:val="0"/>
                      <w:color w:val="auto"/>
                      <w:sz w:val="21"/>
                      <w:szCs w:val="21"/>
                    </w:rPr>
                    <w:t>≤1</w:t>
                  </w:r>
                </w:p>
              </w:tc>
              <w:tc>
                <w:tcPr>
                  <w:tcW w:w="943" w:type="pct"/>
                  <w:tcBorders>
                    <w:top w:val="single" w:color="000000" w:sz="8" w:space="0"/>
                    <w:left w:val="single" w:color="000000" w:sz="8" w:space="0"/>
                    <w:bottom w:val="single" w:color="000000" w:sz="8" w:space="0"/>
                    <w:right w:val="single" w:color="000000" w:sz="8" w:space="0"/>
                    <w:tl2br w:val="nil"/>
                    <w:tr2bl w:val="nil"/>
                  </w:tcBorders>
                  <w:noWrap w:val="0"/>
                  <w:vAlign w:val="center"/>
                </w:tcPr>
                <w:p w14:paraId="7810A48C">
                  <w:pPr>
                    <w:adjustRightInd w:val="0"/>
                    <w:snapToGrid w:val="0"/>
                    <w:spacing w:beforeLines="0" w:afterLines="0"/>
                    <w:jc w:val="center"/>
                    <w:rPr>
                      <w:rFonts w:hint="eastAsia"/>
                      <w:snapToGrid w:val="0"/>
                      <w:color w:val="auto"/>
                      <w:sz w:val="21"/>
                      <w:szCs w:val="21"/>
                    </w:rPr>
                  </w:pPr>
                  <w:r>
                    <w:rPr>
                      <w:rFonts w:hint="default" w:ascii="宋体" w:eastAsia="宋体"/>
                      <w:snapToGrid w:val="0"/>
                      <w:color w:val="auto"/>
                      <w:sz w:val="21"/>
                      <w:szCs w:val="21"/>
                    </w:rPr>
                    <w:t>烟囱排放口</w:t>
                  </w:r>
                </w:p>
              </w:tc>
            </w:tr>
            <w:tr w14:paraId="57519C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000" w:type="pct"/>
                  <w:gridSpan w:val="5"/>
                  <w:tcBorders>
                    <w:top w:val="single" w:color="000000" w:sz="8" w:space="0"/>
                    <w:left w:val="single" w:color="000000" w:sz="8" w:space="0"/>
                    <w:bottom w:val="single" w:color="000000" w:sz="8" w:space="0"/>
                    <w:right w:val="single" w:color="000000" w:sz="8" w:space="0"/>
                    <w:tl2br w:val="nil"/>
                    <w:tr2bl w:val="nil"/>
                  </w:tcBorders>
                  <w:noWrap w:val="0"/>
                  <w:vAlign w:val="center"/>
                </w:tcPr>
                <w:p w14:paraId="129340BC">
                  <w:pPr>
                    <w:adjustRightInd w:val="0"/>
                    <w:snapToGrid w:val="0"/>
                    <w:spacing w:beforeLines="0" w:afterLines="0"/>
                    <w:jc w:val="left"/>
                    <w:rPr>
                      <w:rFonts w:hint="default" w:ascii="宋体" w:eastAsia="宋体"/>
                      <w:snapToGrid w:val="0"/>
                      <w:color w:val="auto"/>
                      <w:sz w:val="21"/>
                      <w:szCs w:val="21"/>
                    </w:rPr>
                  </w:pPr>
                  <w:r>
                    <w:rPr>
                      <w:rFonts w:hint="default" w:ascii="宋体" w:eastAsia="宋体"/>
                      <w:snapToGrid w:val="0"/>
                      <w:color w:val="auto"/>
                      <w:sz w:val="21"/>
                      <w:szCs w:val="21"/>
                    </w:rPr>
                    <w:t>注：表中颗粒物、二氧化硫执行《锅炉大气污染物排放标准》（G</w:t>
                  </w:r>
                  <w:r>
                    <w:rPr>
                      <w:rFonts w:hint="eastAsia"/>
                      <w:snapToGrid w:val="0"/>
                      <w:color w:val="auto"/>
                      <w:sz w:val="21"/>
                      <w:szCs w:val="21"/>
                    </w:rPr>
                    <w:t>B13271-2014</w:t>
                  </w:r>
                  <w:r>
                    <w:rPr>
                      <w:rFonts w:hint="default" w:ascii="宋体" w:eastAsia="宋体"/>
                      <w:snapToGrid w:val="0"/>
                      <w:color w:val="auto"/>
                      <w:sz w:val="21"/>
                      <w:szCs w:val="21"/>
                    </w:rPr>
                    <w:t>）中“燃气锅炉”表3中特别排放限值，N</w:t>
                  </w:r>
                  <w:r>
                    <w:rPr>
                      <w:rFonts w:hint="eastAsia"/>
                      <w:snapToGrid w:val="0"/>
                      <w:color w:val="auto"/>
                      <w:sz w:val="21"/>
                      <w:szCs w:val="21"/>
                    </w:rPr>
                    <w:t>Ox</w:t>
                  </w:r>
                  <w:r>
                    <w:rPr>
                      <w:rFonts w:hint="default" w:ascii="宋体" w:eastAsia="宋体"/>
                      <w:snapToGrid w:val="0"/>
                      <w:color w:val="auto"/>
                      <w:sz w:val="21"/>
                      <w:szCs w:val="21"/>
                    </w:rPr>
                    <w:t>执行皖大气办[2020]2号 安徽省大气办关于印发《安徽省2020年大气污染防治重点工作任务》的通知中不高于50</w:t>
                  </w:r>
                  <w:r>
                    <w:rPr>
                      <w:rFonts w:hint="eastAsia"/>
                      <w:snapToGrid w:val="0"/>
                      <w:color w:val="auto"/>
                      <w:sz w:val="21"/>
                      <w:szCs w:val="21"/>
                    </w:rPr>
                    <w:t>mg/m</w:t>
                  </w:r>
                  <w:r>
                    <w:rPr>
                      <w:rFonts w:hint="eastAsia"/>
                      <w:snapToGrid w:val="0"/>
                      <w:color w:val="auto"/>
                      <w:sz w:val="21"/>
                      <w:szCs w:val="21"/>
                      <w:vertAlign w:val="superscript"/>
                    </w:rPr>
                    <w:t>3</w:t>
                  </w:r>
                  <w:r>
                    <w:rPr>
                      <w:rFonts w:hint="default" w:ascii="宋体" w:eastAsia="宋体"/>
                      <w:snapToGrid w:val="0"/>
                      <w:color w:val="auto"/>
                      <w:sz w:val="21"/>
                      <w:szCs w:val="21"/>
                    </w:rPr>
                    <w:t>的排放限值要求。</w:t>
                  </w:r>
                </w:p>
              </w:tc>
            </w:tr>
          </w:tbl>
          <w:p w14:paraId="01160C47">
            <w:pPr>
              <w:pStyle w:val="8"/>
              <w:spacing w:beforeLines="0" w:afterLines="0" w:line="360" w:lineRule="auto"/>
              <w:ind w:left="0" w:leftChars="0" w:firstLine="480" w:firstLineChars="200"/>
              <w:rPr>
                <w:rFonts w:hint="default"/>
                <w:color w:val="auto"/>
                <w:sz w:val="24"/>
                <w:szCs w:val="24"/>
              </w:rPr>
            </w:pPr>
            <w:r>
              <w:rPr>
                <w:rFonts w:hint="eastAsia"/>
                <w:color w:val="auto"/>
                <w:sz w:val="24"/>
                <w:szCs w:val="24"/>
              </w:rPr>
              <w:t>油烟废气参照执行《饮食业油烟排放标准（试行）》（GB18483-2001）中相关规定，具体见下表。</w:t>
            </w:r>
          </w:p>
          <w:p w14:paraId="70410995">
            <w:pPr>
              <w:pStyle w:val="58"/>
              <w:tabs>
                <w:tab w:val="left" w:pos="803"/>
              </w:tabs>
              <w:spacing w:before="1" w:beforeLines="0" w:afterLines="0"/>
              <w:ind w:left="23"/>
              <w:jc w:val="center"/>
              <w:rPr>
                <w:rFonts w:hint="default" w:eastAsia="宋体"/>
                <w:b/>
                <w:color w:val="auto"/>
                <w:sz w:val="24"/>
                <w:szCs w:val="24"/>
              </w:rPr>
            </w:pPr>
            <w:r>
              <w:rPr>
                <w:rFonts w:hint="eastAsia" w:eastAsia="宋体"/>
                <w:b/>
                <w:color w:val="auto"/>
                <w:sz w:val="21"/>
                <w:szCs w:val="21"/>
              </w:rPr>
              <w:t>表</w:t>
            </w:r>
            <w:r>
              <w:rPr>
                <w:rFonts w:hint="default" w:eastAsia="宋体"/>
                <w:b/>
                <w:color w:val="auto"/>
                <w:sz w:val="21"/>
                <w:szCs w:val="21"/>
                <w:lang w:val="en-US"/>
              </w:rPr>
              <w:t>3-</w:t>
            </w:r>
            <w:r>
              <w:rPr>
                <w:rFonts w:hint="eastAsia"/>
                <w:b/>
                <w:color w:val="auto"/>
                <w:sz w:val="21"/>
                <w:szCs w:val="21"/>
                <w:lang w:val="en-US" w:eastAsia="zh-CN"/>
              </w:rPr>
              <w:t>9</w:t>
            </w:r>
            <w:r>
              <w:rPr>
                <w:rFonts w:hint="default" w:eastAsia="宋体"/>
                <w:b/>
                <w:color w:val="auto"/>
                <w:sz w:val="21"/>
                <w:szCs w:val="21"/>
                <w:lang w:val="en-US"/>
              </w:rPr>
              <w:t xml:space="preserve">  </w:t>
            </w:r>
            <w:r>
              <w:rPr>
                <w:rFonts w:hint="eastAsia" w:eastAsia="宋体"/>
                <w:b/>
                <w:color w:val="auto"/>
                <w:sz w:val="21"/>
                <w:szCs w:val="21"/>
              </w:rPr>
              <w:t>饮食业油烟排放标准（试行）</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0"/>
              <w:gridCol w:w="1548"/>
              <w:gridCol w:w="1774"/>
              <w:gridCol w:w="2065"/>
            </w:tblGrid>
            <w:tr w14:paraId="6026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9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E331BE">
                  <w:pPr>
                    <w:pStyle w:val="68"/>
                    <w:spacing w:beforeLines="0" w:afterLines="0"/>
                    <w:ind w:firstLine="0"/>
                    <w:jc w:val="center"/>
                    <w:rPr>
                      <w:rFonts w:hint="default"/>
                      <w:color w:val="auto"/>
                      <w:sz w:val="21"/>
                      <w:szCs w:val="24"/>
                    </w:rPr>
                  </w:pPr>
                  <w:r>
                    <w:rPr>
                      <w:rFonts w:hint="eastAsia" w:eastAsia="宋体"/>
                      <w:color w:val="auto"/>
                      <w:sz w:val="21"/>
                      <w:szCs w:val="24"/>
                    </w:rPr>
                    <w:t>规模</w:t>
                  </w:r>
                </w:p>
              </w:tc>
              <w:tc>
                <w:tcPr>
                  <w:tcW w:w="8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87050F">
                  <w:pPr>
                    <w:pStyle w:val="68"/>
                    <w:spacing w:beforeLines="0" w:afterLines="0"/>
                    <w:ind w:firstLine="0"/>
                    <w:jc w:val="center"/>
                    <w:rPr>
                      <w:rFonts w:hint="default"/>
                      <w:color w:val="auto"/>
                      <w:sz w:val="21"/>
                      <w:szCs w:val="24"/>
                    </w:rPr>
                  </w:pPr>
                  <w:r>
                    <w:rPr>
                      <w:rFonts w:hint="eastAsia" w:eastAsia="宋体"/>
                      <w:color w:val="auto"/>
                      <w:sz w:val="21"/>
                      <w:szCs w:val="24"/>
                    </w:rPr>
                    <w:t>小型</w:t>
                  </w:r>
                </w:p>
              </w:tc>
              <w:tc>
                <w:tcPr>
                  <w:tcW w:w="9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020D0E">
                  <w:pPr>
                    <w:pStyle w:val="68"/>
                    <w:spacing w:beforeLines="0" w:afterLines="0"/>
                    <w:ind w:firstLine="0"/>
                    <w:jc w:val="center"/>
                    <w:rPr>
                      <w:rFonts w:hint="default"/>
                      <w:color w:val="auto"/>
                      <w:sz w:val="21"/>
                      <w:szCs w:val="24"/>
                    </w:rPr>
                  </w:pPr>
                  <w:r>
                    <w:rPr>
                      <w:rFonts w:hint="eastAsia" w:eastAsia="宋体"/>
                      <w:color w:val="auto"/>
                      <w:sz w:val="21"/>
                      <w:szCs w:val="24"/>
                    </w:rPr>
                    <w:t>中型</w:t>
                  </w:r>
                </w:p>
              </w:tc>
              <w:tc>
                <w:tcPr>
                  <w:tcW w:w="11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56B62C">
                  <w:pPr>
                    <w:pStyle w:val="68"/>
                    <w:spacing w:beforeLines="0" w:afterLines="0"/>
                    <w:ind w:firstLine="0"/>
                    <w:jc w:val="center"/>
                    <w:rPr>
                      <w:rFonts w:hint="default"/>
                      <w:color w:val="auto"/>
                      <w:sz w:val="21"/>
                      <w:szCs w:val="24"/>
                    </w:rPr>
                  </w:pPr>
                  <w:r>
                    <w:rPr>
                      <w:rFonts w:hint="eastAsia" w:eastAsia="宋体"/>
                      <w:color w:val="auto"/>
                      <w:sz w:val="21"/>
                      <w:szCs w:val="24"/>
                    </w:rPr>
                    <w:t>大型</w:t>
                  </w:r>
                </w:p>
              </w:tc>
            </w:tr>
            <w:tr w14:paraId="22B2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9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B7D7DF">
                  <w:pPr>
                    <w:pStyle w:val="68"/>
                    <w:spacing w:beforeLines="0" w:afterLines="0"/>
                    <w:ind w:firstLine="0"/>
                    <w:jc w:val="center"/>
                    <w:rPr>
                      <w:rFonts w:hint="default"/>
                      <w:color w:val="auto"/>
                      <w:sz w:val="21"/>
                      <w:szCs w:val="24"/>
                    </w:rPr>
                  </w:pPr>
                  <w:r>
                    <w:rPr>
                      <w:rFonts w:hint="eastAsia" w:eastAsia="宋体"/>
                      <w:color w:val="auto"/>
                      <w:sz w:val="21"/>
                      <w:szCs w:val="24"/>
                    </w:rPr>
                    <w:t>基准灶头数</w:t>
                  </w:r>
                </w:p>
              </w:tc>
              <w:tc>
                <w:tcPr>
                  <w:tcW w:w="8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A420A0">
                  <w:pPr>
                    <w:pStyle w:val="68"/>
                    <w:spacing w:beforeLines="0" w:afterLines="0"/>
                    <w:ind w:firstLine="0"/>
                    <w:jc w:val="center"/>
                    <w:rPr>
                      <w:rFonts w:hint="default"/>
                      <w:color w:val="auto"/>
                      <w:sz w:val="21"/>
                      <w:szCs w:val="24"/>
                    </w:rPr>
                  </w:pPr>
                  <w:r>
                    <w:rPr>
                      <w:rFonts w:hint="default"/>
                      <w:color w:val="auto"/>
                      <w:sz w:val="21"/>
                      <w:szCs w:val="24"/>
                    </w:rPr>
                    <w:t>≥1</w:t>
                  </w:r>
                  <w:r>
                    <w:rPr>
                      <w:rFonts w:hint="eastAsia" w:eastAsia="宋体"/>
                      <w:color w:val="auto"/>
                      <w:sz w:val="21"/>
                      <w:szCs w:val="24"/>
                    </w:rPr>
                    <w:t>，＜3</w:t>
                  </w:r>
                </w:p>
              </w:tc>
              <w:tc>
                <w:tcPr>
                  <w:tcW w:w="9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A4DAC4">
                  <w:pPr>
                    <w:pStyle w:val="68"/>
                    <w:spacing w:beforeLines="0" w:afterLines="0"/>
                    <w:ind w:firstLine="0"/>
                    <w:jc w:val="center"/>
                    <w:rPr>
                      <w:rFonts w:hint="default"/>
                      <w:color w:val="auto"/>
                      <w:sz w:val="21"/>
                      <w:szCs w:val="24"/>
                    </w:rPr>
                  </w:pPr>
                  <w:r>
                    <w:rPr>
                      <w:rFonts w:hint="default"/>
                      <w:color w:val="auto"/>
                      <w:sz w:val="21"/>
                      <w:szCs w:val="24"/>
                    </w:rPr>
                    <w:t>≥3</w:t>
                  </w:r>
                  <w:r>
                    <w:rPr>
                      <w:rFonts w:hint="eastAsia" w:eastAsia="宋体"/>
                      <w:color w:val="auto"/>
                      <w:sz w:val="21"/>
                      <w:szCs w:val="24"/>
                    </w:rPr>
                    <w:t>，＜6</w:t>
                  </w:r>
                </w:p>
              </w:tc>
              <w:tc>
                <w:tcPr>
                  <w:tcW w:w="11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895AE0">
                  <w:pPr>
                    <w:pStyle w:val="68"/>
                    <w:spacing w:beforeLines="0" w:afterLines="0"/>
                    <w:ind w:firstLine="0"/>
                    <w:jc w:val="center"/>
                    <w:rPr>
                      <w:rFonts w:hint="default"/>
                      <w:color w:val="auto"/>
                      <w:sz w:val="21"/>
                      <w:szCs w:val="24"/>
                    </w:rPr>
                  </w:pPr>
                  <w:r>
                    <w:rPr>
                      <w:rFonts w:hint="default"/>
                      <w:color w:val="auto"/>
                      <w:sz w:val="21"/>
                      <w:szCs w:val="24"/>
                    </w:rPr>
                    <w:t>≥6</w:t>
                  </w:r>
                </w:p>
              </w:tc>
            </w:tr>
            <w:tr w14:paraId="308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9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11CEE1">
                  <w:pPr>
                    <w:pStyle w:val="68"/>
                    <w:spacing w:beforeLines="0" w:afterLines="0"/>
                    <w:ind w:firstLine="0"/>
                    <w:jc w:val="center"/>
                    <w:rPr>
                      <w:rFonts w:hint="default"/>
                      <w:color w:val="auto"/>
                      <w:sz w:val="21"/>
                      <w:szCs w:val="24"/>
                    </w:rPr>
                  </w:pPr>
                  <w:r>
                    <w:rPr>
                      <w:rFonts w:hint="eastAsia" w:eastAsia="宋体"/>
                      <w:color w:val="auto"/>
                      <w:sz w:val="21"/>
                      <w:szCs w:val="24"/>
                    </w:rPr>
                    <w:t>最高允许排放浓度(mg/m</w:t>
                  </w:r>
                  <w:r>
                    <w:rPr>
                      <w:rFonts w:hint="default"/>
                      <w:color w:val="auto"/>
                      <w:sz w:val="21"/>
                      <w:szCs w:val="24"/>
                      <w:vertAlign w:val="superscript"/>
                    </w:rPr>
                    <w:t>3</w:t>
                  </w:r>
                  <w:r>
                    <w:rPr>
                      <w:rFonts w:hint="default"/>
                      <w:color w:val="auto"/>
                      <w:sz w:val="21"/>
                      <w:szCs w:val="24"/>
                    </w:rPr>
                    <w:t>)</w:t>
                  </w:r>
                </w:p>
              </w:tc>
              <w:tc>
                <w:tcPr>
                  <w:tcW w:w="303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396A010">
                  <w:pPr>
                    <w:pStyle w:val="68"/>
                    <w:spacing w:beforeLines="0" w:afterLines="0"/>
                    <w:ind w:firstLine="0"/>
                    <w:jc w:val="center"/>
                    <w:rPr>
                      <w:rFonts w:hint="default"/>
                      <w:color w:val="auto"/>
                      <w:sz w:val="21"/>
                      <w:szCs w:val="24"/>
                    </w:rPr>
                  </w:pPr>
                  <w:r>
                    <w:rPr>
                      <w:rFonts w:hint="default"/>
                      <w:color w:val="auto"/>
                      <w:sz w:val="21"/>
                      <w:szCs w:val="24"/>
                    </w:rPr>
                    <w:t>2.0</w:t>
                  </w:r>
                </w:p>
              </w:tc>
            </w:tr>
            <w:tr w14:paraId="2CD6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9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B4D02A">
                  <w:pPr>
                    <w:pStyle w:val="68"/>
                    <w:spacing w:beforeLines="0" w:afterLines="0"/>
                    <w:ind w:firstLine="0"/>
                    <w:jc w:val="center"/>
                    <w:rPr>
                      <w:rFonts w:hint="default"/>
                      <w:color w:val="auto"/>
                      <w:sz w:val="21"/>
                      <w:szCs w:val="24"/>
                    </w:rPr>
                  </w:pPr>
                  <w:r>
                    <w:rPr>
                      <w:rFonts w:hint="eastAsia" w:eastAsia="宋体"/>
                      <w:color w:val="auto"/>
                      <w:sz w:val="21"/>
                      <w:szCs w:val="24"/>
                    </w:rPr>
                    <w:t>净化设施最低去除率(%)</w:t>
                  </w:r>
                </w:p>
              </w:tc>
              <w:tc>
                <w:tcPr>
                  <w:tcW w:w="8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D63B1C">
                  <w:pPr>
                    <w:pStyle w:val="68"/>
                    <w:spacing w:beforeLines="0" w:afterLines="0"/>
                    <w:ind w:firstLine="0"/>
                    <w:jc w:val="center"/>
                    <w:rPr>
                      <w:rFonts w:hint="default"/>
                      <w:color w:val="auto"/>
                      <w:sz w:val="21"/>
                      <w:szCs w:val="24"/>
                    </w:rPr>
                  </w:pPr>
                  <w:r>
                    <w:rPr>
                      <w:rFonts w:hint="default"/>
                      <w:color w:val="auto"/>
                      <w:sz w:val="21"/>
                      <w:szCs w:val="24"/>
                    </w:rPr>
                    <w:t>60</w:t>
                  </w:r>
                </w:p>
              </w:tc>
              <w:tc>
                <w:tcPr>
                  <w:tcW w:w="9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F6D9A0">
                  <w:pPr>
                    <w:pStyle w:val="68"/>
                    <w:spacing w:beforeLines="0" w:afterLines="0"/>
                    <w:ind w:firstLine="0"/>
                    <w:jc w:val="center"/>
                    <w:rPr>
                      <w:rFonts w:hint="default"/>
                      <w:color w:val="auto"/>
                      <w:sz w:val="21"/>
                      <w:szCs w:val="24"/>
                    </w:rPr>
                  </w:pPr>
                  <w:r>
                    <w:rPr>
                      <w:rFonts w:hint="default"/>
                      <w:color w:val="auto"/>
                      <w:sz w:val="21"/>
                      <w:szCs w:val="24"/>
                    </w:rPr>
                    <w:t>75</w:t>
                  </w:r>
                </w:p>
              </w:tc>
              <w:tc>
                <w:tcPr>
                  <w:tcW w:w="11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F6A034">
                  <w:pPr>
                    <w:pStyle w:val="68"/>
                    <w:spacing w:beforeLines="0" w:afterLines="0"/>
                    <w:ind w:firstLine="0"/>
                    <w:jc w:val="center"/>
                    <w:rPr>
                      <w:rFonts w:hint="default"/>
                      <w:color w:val="auto"/>
                      <w:sz w:val="21"/>
                      <w:szCs w:val="24"/>
                    </w:rPr>
                  </w:pPr>
                  <w:r>
                    <w:rPr>
                      <w:rFonts w:hint="default"/>
                      <w:color w:val="auto"/>
                      <w:sz w:val="21"/>
                      <w:szCs w:val="24"/>
                    </w:rPr>
                    <w:t>85</w:t>
                  </w:r>
                </w:p>
              </w:tc>
            </w:tr>
          </w:tbl>
          <w:p w14:paraId="587DFBB8">
            <w:pPr>
              <w:tabs>
                <w:tab w:val="left" w:pos="540"/>
                <w:tab w:val="left" w:pos="900"/>
                <w:tab w:val="left" w:pos="3780"/>
              </w:tabs>
              <w:adjustRightInd w:val="0"/>
              <w:snapToGrid w:val="0"/>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2、废水</w:t>
            </w:r>
          </w:p>
          <w:p w14:paraId="2EF138B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本项目废水</w:t>
            </w:r>
            <w:r>
              <w:rPr>
                <w:rFonts w:hint="eastAsia" w:cs="Times New Roman"/>
                <w:color w:val="auto"/>
                <w:sz w:val="24"/>
                <w:szCs w:val="24"/>
                <w:lang w:val="en-US" w:eastAsia="zh-CN"/>
              </w:rPr>
              <w:t>为</w:t>
            </w:r>
            <w:r>
              <w:rPr>
                <w:rFonts w:hint="default" w:ascii="Times New Roman" w:hAnsi="Times New Roman" w:eastAsia="宋体" w:cs="Times New Roman"/>
                <w:color w:val="auto"/>
                <w:sz w:val="24"/>
                <w:szCs w:val="24"/>
              </w:rPr>
              <w:t>生活污水</w:t>
            </w:r>
            <w:r>
              <w:rPr>
                <w:rFonts w:hint="eastAsia" w:cs="Times New Roman"/>
                <w:color w:val="auto"/>
                <w:sz w:val="24"/>
                <w:szCs w:val="24"/>
                <w:lang w:val="en-US" w:eastAsia="zh-CN"/>
              </w:rPr>
              <w:t>和生产废水</w:t>
            </w:r>
            <w:r>
              <w:rPr>
                <w:rFonts w:hint="default" w:ascii="Times New Roman" w:hAnsi="Times New Roman" w:eastAsia="宋体" w:cs="Times New Roman"/>
                <w:color w:val="auto"/>
                <w:sz w:val="24"/>
                <w:szCs w:val="24"/>
              </w:rPr>
              <w:t>，生活污水经隔油池、化粪池处理后用于农田堆肥，生产废水经自建污水处理站预处理后用于厂区绿化。</w:t>
            </w:r>
          </w:p>
          <w:p w14:paraId="2F4C8E3D">
            <w:pPr>
              <w:adjustRightInd w:val="0"/>
              <w:snapToGrid w:val="0"/>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3、噪声</w:t>
            </w:r>
          </w:p>
          <w:p w14:paraId="1B36F1B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营运期</w:t>
            </w:r>
            <w:r>
              <w:rPr>
                <w:rFonts w:hint="default" w:ascii="Times New Roman" w:hAnsi="Times New Roman" w:cs="Times New Roman"/>
                <w:color w:val="auto"/>
                <w:sz w:val="24"/>
                <w:szCs w:val="24"/>
                <w:lang w:eastAsia="zh-CN"/>
              </w:rPr>
              <w:t>厂界</w:t>
            </w:r>
            <w:r>
              <w:rPr>
                <w:rFonts w:hint="eastAsia" w:cs="Times New Roman"/>
                <w:color w:val="auto"/>
                <w:sz w:val="24"/>
                <w:szCs w:val="24"/>
                <w:lang w:val="en-US" w:eastAsia="zh-CN"/>
              </w:rPr>
              <w:t>东南西侧</w:t>
            </w:r>
            <w:r>
              <w:rPr>
                <w:rFonts w:hint="default" w:ascii="Times New Roman" w:hAnsi="Times New Roman" w:cs="Times New Roman"/>
                <w:color w:val="auto"/>
                <w:sz w:val="24"/>
                <w:szCs w:val="24"/>
              </w:rPr>
              <w:t>噪声执行《工业企业厂界环境噪声排放标准》（GB12348-2008）中</w:t>
            </w:r>
            <w:r>
              <w:rPr>
                <w:rFonts w:hint="eastAsia" w:cs="Times New Roman"/>
                <w:color w:val="auto"/>
                <w:sz w:val="24"/>
                <w:szCs w:val="24"/>
                <w:lang w:val="en-US" w:eastAsia="zh-CN"/>
              </w:rPr>
              <w:t>2</w:t>
            </w:r>
            <w:r>
              <w:rPr>
                <w:rFonts w:hint="default" w:ascii="Times New Roman" w:hAnsi="Times New Roman" w:cs="Times New Roman"/>
                <w:color w:val="auto"/>
                <w:sz w:val="24"/>
                <w:szCs w:val="24"/>
              </w:rPr>
              <w:t>类标准</w:t>
            </w:r>
            <w:r>
              <w:rPr>
                <w:rFonts w:hint="eastAsia" w:cs="Times New Roman"/>
                <w:color w:val="auto"/>
                <w:sz w:val="24"/>
                <w:szCs w:val="24"/>
                <w:lang w:eastAsia="zh-CN"/>
              </w:rPr>
              <w:t>，厂界</w:t>
            </w:r>
            <w:r>
              <w:rPr>
                <w:rFonts w:hint="eastAsia" w:cs="Times New Roman"/>
                <w:color w:val="auto"/>
                <w:sz w:val="24"/>
                <w:szCs w:val="24"/>
                <w:lang w:val="en-US" w:eastAsia="zh-CN"/>
              </w:rPr>
              <w:t>北</w:t>
            </w:r>
            <w:r>
              <w:rPr>
                <w:rFonts w:hint="eastAsia" w:cs="Times New Roman"/>
                <w:color w:val="auto"/>
                <w:sz w:val="24"/>
                <w:szCs w:val="24"/>
                <w:lang w:eastAsia="zh-CN"/>
              </w:rPr>
              <w:t>侧噪声执行《工业企业厂界环境噪声排放标准》（GB12348-2008）中</w:t>
            </w:r>
            <w:r>
              <w:rPr>
                <w:rFonts w:hint="eastAsia" w:cs="Times New Roman"/>
                <w:color w:val="auto"/>
                <w:sz w:val="24"/>
                <w:szCs w:val="24"/>
                <w:lang w:val="en-US" w:eastAsia="zh-CN"/>
              </w:rPr>
              <w:t>4a</w:t>
            </w:r>
            <w:r>
              <w:rPr>
                <w:rFonts w:hint="eastAsia" w:cs="Times New Roman"/>
                <w:color w:val="auto"/>
                <w:sz w:val="24"/>
                <w:szCs w:val="24"/>
                <w:lang w:eastAsia="zh-CN"/>
              </w:rPr>
              <w:t>类标准</w:t>
            </w:r>
            <w:r>
              <w:rPr>
                <w:rFonts w:hint="default" w:ascii="Times New Roman" w:hAnsi="Times New Roman" w:cs="Times New Roman"/>
                <w:color w:val="auto"/>
                <w:sz w:val="24"/>
                <w:szCs w:val="24"/>
              </w:rPr>
              <w:t>。</w:t>
            </w:r>
          </w:p>
          <w:p w14:paraId="0C381429">
            <w:pPr>
              <w:adjustRightInd w:val="0"/>
              <w:spacing w:line="240" w:lineRule="auto"/>
              <w:ind w:left="40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表3-</w:t>
            </w:r>
            <w:r>
              <w:rPr>
                <w:rFonts w:hint="eastAsia" w:cs="Times New Roman"/>
                <w:b/>
                <w:color w:val="auto"/>
                <w:sz w:val="21"/>
                <w:szCs w:val="21"/>
                <w:lang w:val="en-US" w:eastAsia="zh-CN"/>
              </w:rPr>
              <w:t xml:space="preserve">10  </w:t>
            </w:r>
            <w:r>
              <w:rPr>
                <w:rFonts w:hint="default" w:ascii="Times New Roman" w:hAnsi="Times New Roman" w:cs="Times New Roman"/>
                <w:b/>
                <w:color w:val="auto"/>
                <w:sz w:val="21"/>
                <w:szCs w:val="21"/>
              </w:rPr>
              <w:t>工业企业厂界环境噪声排放标准  单位：dB（A）</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3"/>
              <w:gridCol w:w="2221"/>
              <w:gridCol w:w="2223"/>
            </w:tblGrid>
            <w:tr w14:paraId="2F82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vAlign w:val="center"/>
                </w:tcPr>
                <w:p w14:paraId="15A78749">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w:t>
                  </w:r>
                </w:p>
              </w:tc>
              <w:tc>
                <w:tcPr>
                  <w:tcW w:w="1249" w:type="pct"/>
                  <w:vAlign w:val="center"/>
                </w:tcPr>
                <w:p w14:paraId="0BF853D0">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1250" w:type="pct"/>
                  <w:vAlign w:val="center"/>
                </w:tcPr>
                <w:p w14:paraId="02D0C9D3">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231C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vAlign w:val="center"/>
                </w:tcPr>
                <w:p w14:paraId="33E3CCE1">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w:t>
                  </w:r>
                  <w:r>
                    <w:rPr>
                      <w:rFonts w:hint="eastAsia" w:cs="Times New Roman"/>
                      <w:color w:val="auto"/>
                      <w:sz w:val="21"/>
                      <w:szCs w:val="21"/>
                      <w:lang w:val="en-US" w:eastAsia="zh-CN"/>
                    </w:rPr>
                    <w:t>2</w:t>
                  </w:r>
                  <w:r>
                    <w:rPr>
                      <w:rFonts w:hint="default" w:ascii="Times New Roman" w:hAnsi="Times New Roman" w:cs="Times New Roman"/>
                      <w:color w:val="auto"/>
                      <w:sz w:val="21"/>
                      <w:szCs w:val="21"/>
                    </w:rPr>
                    <w:t>类</w:t>
                  </w:r>
                </w:p>
              </w:tc>
              <w:tc>
                <w:tcPr>
                  <w:tcW w:w="1249" w:type="pct"/>
                  <w:vAlign w:val="center"/>
                </w:tcPr>
                <w:p w14:paraId="2D6768E4">
                  <w:pPr>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6</w:t>
                  </w:r>
                  <w:r>
                    <w:rPr>
                      <w:rFonts w:hint="eastAsia" w:cs="Times New Roman"/>
                      <w:color w:val="auto"/>
                      <w:sz w:val="21"/>
                      <w:szCs w:val="21"/>
                      <w:lang w:val="en-US" w:eastAsia="zh-CN"/>
                    </w:rPr>
                    <w:t>0</w:t>
                  </w:r>
                </w:p>
              </w:tc>
              <w:tc>
                <w:tcPr>
                  <w:tcW w:w="1250" w:type="pct"/>
                  <w:vAlign w:val="center"/>
                </w:tcPr>
                <w:p w14:paraId="13FF6E32">
                  <w:pPr>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5</w:t>
                  </w:r>
                  <w:r>
                    <w:rPr>
                      <w:rFonts w:hint="eastAsia" w:cs="Times New Roman"/>
                      <w:color w:val="auto"/>
                      <w:sz w:val="21"/>
                      <w:szCs w:val="21"/>
                      <w:lang w:val="en-US" w:eastAsia="zh-CN"/>
                    </w:rPr>
                    <w:t>0</w:t>
                  </w:r>
                </w:p>
              </w:tc>
            </w:tr>
            <w:tr w14:paraId="20C9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vAlign w:val="center"/>
                </w:tcPr>
                <w:p w14:paraId="6524701C">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w:t>
                  </w:r>
                  <w:r>
                    <w:rPr>
                      <w:rFonts w:hint="eastAsia" w:cs="Times New Roman"/>
                      <w:color w:val="auto"/>
                      <w:sz w:val="21"/>
                      <w:szCs w:val="21"/>
                      <w:lang w:val="en-US" w:eastAsia="zh-CN"/>
                    </w:rPr>
                    <w:t>4a</w:t>
                  </w:r>
                  <w:r>
                    <w:rPr>
                      <w:rFonts w:hint="default" w:ascii="Times New Roman" w:hAnsi="Times New Roman" w:cs="Times New Roman"/>
                      <w:color w:val="auto"/>
                      <w:sz w:val="21"/>
                      <w:szCs w:val="21"/>
                    </w:rPr>
                    <w:t>类</w:t>
                  </w:r>
                </w:p>
              </w:tc>
              <w:tc>
                <w:tcPr>
                  <w:tcW w:w="1249" w:type="pct"/>
                  <w:vAlign w:val="center"/>
                </w:tcPr>
                <w:p w14:paraId="7542AB6F">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1250" w:type="pct"/>
                  <w:vAlign w:val="center"/>
                </w:tcPr>
                <w:p w14:paraId="29027093">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r>
          </w:tbl>
          <w:p w14:paraId="6ED7CFDB">
            <w:pPr>
              <w:adjustRightInd w:val="0"/>
              <w:snapToGrid w:val="0"/>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4、固体废物</w:t>
            </w:r>
          </w:p>
          <w:p w14:paraId="798D7E2A">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一般固废处理处置执行《一般工业固体废物贮存和填埋污染控制标准》(GB 18599-2020)的有关规定，危险固体废物须委托有相应资质的单位按照国家有关规定妥善处理处置，危险废物暂存设施需符合《危险废物贮存污染控制标准》（GB18597-2023）。</w:t>
            </w:r>
          </w:p>
          <w:p w14:paraId="155A4E98">
            <w:pPr>
              <w:pStyle w:val="31"/>
              <w:rPr>
                <w:rFonts w:hint="default" w:ascii="Times New Roman" w:hAnsi="Times New Roman" w:eastAsia="宋体" w:cs="Times New Roman"/>
                <w:color w:val="auto"/>
                <w:sz w:val="24"/>
                <w:szCs w:val="24"/>
              </w:rPr>
            </w:pPr>
          </w:p>
          <w:p w14:paraId="56004A64">
            <w:pPr>
              <w:rPr>
                <w:rFonts w:hint="default" w:ascii="Times New Roman" w:hAnsi="Times New Roman" w:eastAsia="宋体" w:cs="Times New Roman"/>
                <w:color w:val="auto"/>
                <w:sz w:val="24"/>
                <w:szCs w:val="24"/>
              </w:rPr>
            </w:pPr>
          </w:p>
          <w:p w14:paraId="50CE3DD4">
            <w:pPr>
              <w:pStyle w:val="31"/>
              <w:rPr>
                <w:rFonts w:hint="default" w:ascii="Times New Roman" w:hAnsi="Times New Roman" w:eastAsia="宋体" w:cs="Times New Roman"/>
                <w:color w:val="auto"/>
                <w:sz w:val="24"/>
                <w:szCs w:val="24"/>
              </w:rPr>
            </w:pPr>
          </w:p>
          <w:p w14:paraId="27C031D7">
            <w:pPr>
              <w:rPr>
                <w:rFonts w:hint="default" w:ascii="Times New Roman" w:hAnsi="Times New Roman" w:eastAsia="宋体" w:cs="Times New Roman"/>
                <w:color w:val="auto"/>
                <w:sz w:val="24"/>
                <w:szCs w:val="24"/>
              </w:rPr>
            </w:pPr>
          </w:p>
          <w:p w14:paraId="25044E74">
            <w:pPr>
              <w:pStyle w:val="31"/>
              <w:rPr>
                <w:rFonts w:hint="default" w:ascii="Times New Roman" w:hAnsi="Times New Roman" w:eastAsia="宋体" w:cs="Times New Roman"/>
                <w:color w:val="auto"/>
                <w:sz w:val="24"/>
                <w:szCs w:val="24"/>
              </w:rPr>
            </w:pPr>
          </w:p>
          <w:p w14:paraId="52A6E04B">
            <w:pPr>
              <w:rPr>
                <w:rFonts w:hint="default" w:ascii="Times New Roman" w:hAnsi="Times New Roman" w:eastAsia="宋体" w:cs="Times New Roman"/>
                <w:color w:val="auto"/>
                <w:sz w:val="24"/>
                <w:szCs w:val="24"/>
              </w:rPr>
            </w:pPr>
          </w:p>
          <w:p w14:paraId="43F832E2">
            <w:pPr>
              <w:pStyle w:val="31"/>
              <w:rPr>
                <w:rFonts w:hint="default" w:ascii="Times New Roman" w:hAnsi="Times New Roman" w:eastAsia="宋体" w:cs="Times New Roman"/>
                <w:color w:val="auto"/>
                <w:sz w:val="24"/>
                <w:szCs w:val="24"/>
              </w:rPr>
            </w:pPr>
          </w:p>
          <w:p w14:paraId="09F416C2">
            <w:pPr>
              <w:rPr>
                <w:rFonts w:hint="default" w:ascii="Times New Roman" w:hAnsi="Times New Roman" w:eastAsia="宋体" w:cs="Times New Roman"/>
                <w:color w:val="auto"/>
                <w:sz w:val="24"/>
                <w:szCs w:val="24"/>
              </w:rPr>
            </w:pPr>
          </w:p>
          <w:p w14:paraId="1011565D">
            <w:pPr>
              <w:pStyle w:val="31"/>
              <w:rPr>
                <w:rFonts w:hint="default"/>
                <w:color w:val="auto"/>
              </w:rPr>
            </w:pPr>
          </w:p>
        </w:tc>
      </w:tr>
      <w:tr w14:paraId="5C3F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2" w:hRule="atLeast"/>
        </w:trPr>
        <w:tc>
          <w:tcPr>
            <w:tcW w:w="534" w:type="dxa"/>
            <w:vAlign w:val="center"/>
          </w:tcPr>
          <w:p w14:paraId="154783E5">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总量控制指标</w:t>
            </w:r>
          </w:p>
        </w:tc>
        <w:tc>
          <w:tcPr>
            <w:tcW w:w="9037" w:type="dxa"/>
          </w:tcPr>
          <w:p w14:paraId="6B9EC265">
            <w:pPr>
              <w:adjustRightInd w:val="0"/>
              <w:snapToGrid w:val="0"/>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1、总量控制原则</w:t>
            </w:r>
          </w:p>
          <w:p w14:paraId="16688180">
            <w:pPr>
              <w:keepNext w:val="0"/>
              <w:keepLines w:val="0"/>
              <w:pageBreakBefore w:val="0"/>
              <w:widowControl w:val="0"/>
              <w:kinsoku/>
              <w:wordWrap/>
              <w:overflowPunct/>
              <w:topLinePunct w:val="0"/>
              <w:autoSpaceDE/>
              <w:autoSpaceDN/>
              <w:bidi w:val="0"/>
              <w:adjustRightInd/>
              <w:snapToGrid w:val="0"/>
              <w:spacing w:before="60" w:beforeLines="0" w:afterLines="0"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十三五”生态环境保护规划》（国发[2016]65号），“十三五”期间国家对化学需氧量、二氧化硫、氮氧化物、氨氮四种主要污染物实行排放总量控制计划管理。根据《大气污染防治行动计划》(国发[2013]37号)，自2013年起国家对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、烟(粉)尘和挥发性有机物(VOC</w:t>
            </w:r>
            <w:r>
              <w:rPr>
                <w:rFonts w:hint="default" w:ascii="Times New Roman" w:hAnsi="Times New Roman" w:cs="Times New Roman"/>
                <w:color w:val="auto"/>
                <w:sz w:val="24"/>
                <w:szCs w:val="24"/>
                <w:vertAlign w:val="baseline"/>
              </w:rPr>
              <w:t>s</w:t>
            </w:r>
            <w:r>
              <w:rPr>
                <w:rFonts w:hint="default" w:ascii="Times New Roman" w:hAnsi="Times New Roman" w:cs="Times New Roman"/>
                <w:color w:val="auto"/>
                <w:sz w:val="24"/>
                <w:szCs w:val="24"/>
              </w:rPr>
              <w:t>)严格实施污染物排放总量控制。</w:t>
            </w:r>
          </w:p>
          <w:p w14:paraId="323EE579">
            <w:pPr>
              <w:keepNext w:val="0"/>
              <w:keepLines w:val="0"/>
              <w:pageBreakBefore w:val="0"/>
              <w:widowControl w:val="0"/>
              <w:kinsoku/>
              <w:wordWrap/>
              <w:overflowPunct/>
              <w:topLinePunct w:val="0"/>
              <w:autoSpaceDE/>
              <w:autoSpaceDN/>
              <w:bidi w:val="0"/>
              <w:adjustRightInd/>
              <w:spacing w:beforeLines="0" w:afterLines="0"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结合国家、地方文件《关于加强和规范建设项目主要污染物总量管理工作的通知》（环发〔2020〕84号）和当地环境状况，水污染总量替代指标为化学需氧量、氨氮；大气污染物总量替代指标为二氧化硫、氮氧化物、VOC</w:t>
            </w:r>
            <w:r>
              <w:rPr>
                <w:rFonts w:hint="default" w:ascii="Times New Roman" w:hAnsi="Times New Roman" w:cs="Times New Roman"/>
                <w:color w:val="auto"/>
                <w:sz w:val="24"/>
                <w:szCs w:val="24"/>
                <w:vertAlign w:val="subscript"/>
              </w:rPr>
              <w:t>S</w:t>
            </w:r>
            <w:r>
              <w:rPr>
                <w:rFonts w:hint="default" w:ascii="Times New Roman" w:hAnsi="Times New Roman" w:cs="Times New Roman"/>
                <w:color w:val="auto"/>
                <w:sz w:val="24"/>
                <w:szCs w:val="24"/>
              </w:rPr>
              <w:t>、烟粉尘；重金属总量替代指标按照国家和省相应文件执行。</w:t>
            </w:r>
          </w:p>
          <w:p w14:paraId="2C1A99F0">
            <w:pPr>
              <w:keepNext w:val="0"/>
              <w:keepLines w:val="0"/>
              <w:pageBreakBefore w:val="0"/>
              <w:widowControl w:val="0"/>
              <w:kinsoku/>
              <w:wordWrap/>
              <w:overflowPunct/>
              <w:topLinePunct w:val="0"/>
              <w:autoSpaceDE/>
              <w:autoSpaceDN/>
              <w:bidi w:val="0"/>
              <w:adjustRightInd/>
              <w:spacing w:before="60" w:beforeLines="0" w:afterLines="0"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结合国家、地方文件和当地环境状况，确定本项目总量控制因子为：COD、NH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-N。总量控制应立足于清洁生产、污染物治理达标排放及区域污染物总量控制等基本原则。</w:t>
            </w:r>
          </w:p>
          <w:p w14:paraId="23163991">
            <w:pPr>
              <w:spacing w:beforeLines="0" w:afterLines="0" w:line="360" w:lineRule="auto"/>
              <w:ind w:firstLine="480" w:firstLineChars="200"/>
              <w:rPr>
                <w:rFonts w:hint="default"/>
                <w:color w:val="auto"/>
                <w:sz w:val="24"/>
                <w:szCs w:val="24"/>
              </w:rPr>
            </w:pPr>
            <w:r>
              <w:rPr>
                <w:rFonts w:hint="default" w:ascii="宋体"/>
                <w:color w:val="auto"/>
                <w:sz w:val="24"/>
                <w:szCs w:val="24"/>
              </w:rPr>
              <w:t>（</w:t>
            </w:r>
            <w:r>
              <w:rPr>
                <w:rFonts w:hint="default"/>
                <w:color w:val="auto"/>
                <w:sz w:val="24"/>
                <w:szCs w:val="24"/>
              </w:rPr>
              <w:t>1</w:t>
            </w:r>
            <w:r>
              <w:rPr>
                <w:rFonts w:hint="default" w:ascii="宋体"/>
                <w:color w:val="auto"/>
                <w:sz w:val="24"/>
                <w:szCs w:val="24"/>
              </w:rPr>
              <w:t>）废水总量</w:t>
            </w:r>
          </w:p>
          <w:p w14:paraId="5B59527A">
            <w:pPr>
              <w:spacing w:beforeLines="0" w:afterLines="0" w:line="360" w:lineRule="auto"/>
              <w:ind w:firstLine="480" w:firstLineChars="200"/>
              <w:rPr>
                <w:rFonts w:hint="default"/>
                <w:color w:val="auto"/>
                <w:sz w:val="24"/>
                <w:szCs w:val="24"/>
              </w:rPr>
            </w:pPr>
            <w:r>
              <w:rPr>
                <w:rFonts w:hint="default" w:ascii="宋体"/>
                <w:color w:val="auto"/>
                <w:sz w:val="24"/>
                <w:szCs w:val="24"/>
              </w:rPr>
              <w:t>生活污水经隔油池、化粪池处理后用于农田堆肥，生产废水经自建污水处理站预处理后用于厂区绿化，废水不申请总量。</w:t>
            </w:r>
          </w:p>
          <w:p w14:paraId="76DE8545">
            <w:pPr>
              <w:pStyle w:val="64"/>
              <w:adjustRightInd w:val="0"/>
              <w:spacing w:beforeLines="0" w:afterLines="0" w:line="360" w:lineRule="auto"/>
              <w:ind w:firstLine="480" w:firstLineChars="200"/>
              <w:rPr>
                <w:rFonts w:hint="default"/>
                <w:color w:val="auto"/>
                <w:sz w:val="24"/>
                <w:szCs w:val="24"/>
              </w:rPr>
            </w:pPr>
            <w:r>
              <w:rPr>
                <w:rFonts w:hint="default" w:ascii="宋体"/>
                <w:color w:val="auto"/>
                <w:sz w:val="24"/>
                <w:szCs w:val="24"/>
              </w:rPr>
              <w:t>（</w:t>
            </w:r>
            <w:r>
              <w:rPr>
                <w:rFonts w:hint="default"/>
                <w:color w:val="auto"/>
                <w:sz w:val="24"/>
                <w:szCs w:val="24"/>
              </w:rPr>
              <w:t>2</w:t>
            </w:r>
            <w:r>
              <w:rPr>
                <w:rFonts w:hint="default" w:ascii="宋体"/>
                <w:color w:val="auto"/>
                <w:sz w:val="24"/>
                <w:szCs w:val="24"/>
              </w:rPr>
              <w:t>）废气总量</w:t>
            </w:r>
          </w:p>
          <w:p w14:paraId="6F7D8696">
            <w:pPr>
              <w:widowControl/>
              <w:spacing w:beforeLines="0" w:afterLines="0" w:line="360" w:lineRule="auto"/>
              <w:ind w:firstLine="480" w:firstLineChars="200"/>
              <w:jc w:val="left"/>
              <w:rPr>
                <w:rFonts w:hint="eastAsia" w:ascii="Times New Roman" w:hAnsi="Times New Roman" w:eastAsia="宋体" w:cs="Times New Roman"/>
                <w:b w:val="0"/>
                <w:color w:val="auto"/>
                <w:kern w:val="2"/>
                <w:sz w:val="24"/>
                <w:szCs w:val="24"/>
                <w:lang w:val="en-US" w:eastAsia="zh-CN" w:bidi="ar-SA"/>
              </w:rPr>
            </w:pPr>
            <w:r>
              <w:rPr>
                <w:rFonts w:hint="default" w:ascii="Times New Roman" w:hAnsi="Times New Roman" w:cs="Times New Roman"/>
                <w:color w:val="auto"/>
                <w:sz w:val="24"/>
                <w:szCs w:val="24"/>
              </w:rPr>
              <w:t>项目大气总量涉及污染物为烟（粉）尘</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。项目申请总量为烟（粉）尘：</w:t>
            </w:r>
            <w:r>
              <w:rPr>
                <w:rFonts w:hint="eastAsia" w:cs="Times New Roman"/>
                <w:color w:val="auto"/>
                <w:sz w:val="24"/>
                <w:szCs w:val="24"/>
                <w:lang w:val="en-US" w:eastAsia="zh-CN"/>
              </w:rPr>
              <w:t>0.046</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，SO</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vertAlign w:val="baseline"/>
                <w:lang w:val="en-US" w:eastAsia="zh-CN"/>
              </w:rPr>
              <w:t>0.</w:t>
            </w:r>
            <w:r>
              <w:rPr>
                <w:rFonts w:hint="eastAsia" w:cs="Times New Roman"/>
                <w:color w:val="auto"/>
                <w:sz w:val="24"/>
                <w:szCs w:val="24"/>
                <w:vertAlign w:val="baseline"/>
                <w:lang w:val="en-US" w:eastAsia="zh-CN"/>
              </w:rPr>
              <w:t>2</w:t>
            </w:r>
            <w:r>
              <w:rPr>
                <w:rFonts w:hint="default" w:ascii="Times New Roman" w:hAnsi="Times New Roman" w:cs="Times New Roman"/>
                <w:color w:val="auto"/>
                <w:sz w:val="24"/>
                <w:szCs w:val="24"/>
                <w:vertAlign w:val="baseline"/>
                <w:lang w:val="en-US" w:eastAsia="zh-CN"/>
              </w:rPr>
              <w:t>t/a，</w:t>
            </w:r>
            <w:r>
              <w:rPr>
                <w:rFonts w:hint="default" w:ascii="Times New Roman" w:hAnsi="Times New Roman" w:cs="Times New Roman"/>
                <w:color w:val="auto"/>
                <w:sz w:val="24"/>
                <w:szCs w:val="24"/>
                <w:lang w:eastAsia="zh-CN"/>
              </w:rPr>
              <w:t>NO</w:t>
            </w:r>
            <w:r>
              <w:rPr>
                <w:rFonts w:hint="default" w:ascii="Times New Roman" w:hAnsi="Times New Roman" w:cs="Times New Roman"/>
                <w:color w:val="auto"/>
                <w:sz w:val="24"/>
                <w:szCs w:val="24"/>
                <w:vertAlign w:val="subscript"/>
                <w:lang w:eastAsia="zh-CN"/>
              </w:rPr>
              <w:t>x</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0.</w:t>
            </w:r>
            <w:r>
              <w:rPr>
                <w:rFonts w:hint="eastAsia" w:cs="Times New Roman"/>
                <w:color w:val="auto"/>
                <w:sz w:val="24"/>
                <w:szCs w:val="24"/>
                <w:lang w:val="en-US" w:eastAsia="zh-CN"/>
              </w:rPr>
              <w:t>5</w:t>
            </w:r>
            <w:r>
              <w:rPr>
                <w:rFonts w:hint="default" w:ascii="Times New Roman" w:hAnsi="Times New Roman" w:cs="Times New Roman"/>
                <w:color w:val="auto"/>
                <w:sz w:val="24"/>
                <w:szCs w:val="24"/>
                <w:lang w:val="en-US" w:eastAsia="zh-CN"/>
              </w:rPr>
              <w:t>t/a</w:t>
            </w:r>
            <w:r>
              <w:rPr>
                <w:rFonts w:hint="default" w:ascii="宋体"/>
                <w:color w:val="auto"/>
                <w:sz w:val="24"/>
                <w:szCs w:val="24"/>
              </w:rPr>
              <w:t>。</w:t>
            </w:r>
          </w:p>
          <w:p w14:paraId="7B213B4B">
            <w:pPr>
              <w:pStyle w:val="75"/>
              <w:keepNext w:val="0"/>
              <w:keepLines w:val="0"/>
              <w:pageBreakBefore w:val="0"/>
              <w:widowControl w:val="0"/>
              <w:kinsoku/>
              <w:wordWrap/>
              <w:overflowPunct/>
              <w:topLinePunct w:val="0"/>
              <w:autoSpaceDE/>
              <w:autoSpaceDN/>
              <w:bidi w:val="0"/>
              <w:adjustRightInd/>
              <w:spacing w:beforeLines="0" w:afterLines="0"/>
              <w:ind w:firstLine="480" w:firstLineChars="200"/>
              <w:textAlignment w:val="auto"/>
              <w:rPr>
                <w:rFonts w:hint="eastAsia" w:ascii="Times New Roman" w:hAnsi="Times New Roman" w:eastAsia="宋体" w:cs="Times New Roman"/>
                <w:b w:val="0"/>
                <w:color w:val="auto"/>
                <w:kern w:val="2"/>
                <w:sz w:val="24"/>
                <w:szCs w:val="24"/>
                <w:lang w:val="en-US" w:eastAsia="zh-CN" w:bidi="ar-SA"/>
              </w:rPr>
            </w:pPr>
          </w:p>
          <w:p w14:paraId="2C26AC18">
            <w:pPr>
              <w:pStyle w:val="75"/>
              <w:keepNext w:val="0"/>
              <w:keepLines w:val="0"/>
              <w:pageBreakBefore w:val="0"/>
              <w:widowControl w:val="0"/>
              <w:kinsoku/>
              <w:wordWrap/>
              <w:overflowPunct/>
              <w:topLinePunct w:val="0"/>
              <w:autoSpaceDE/>
              <w:autoSpaceDN/>
              <w:bidi w:val="0"/>
              <w:adjustRightInd/>
              <w:spacing w:beforeLines="0" w:afterLines="0"/>
              <w:ind w:firstLine="480" w:firstLineChars="200"/>
              <w:textAlignment w:val="auto"/>
              <w:rPr>
                <w:rFonts w:hint="eastAsia" w:ascii="Times New Roman" w:hAnsi="Times New Roman" w:eastAsia="宋体" w:cs="Times New Roman"/>
                <w:b w:val="0"/>
                <w:color w:val="auto"/>
                <w:kern w:val="2"/>
                <w:sz w:val="24"/>
                <w:szCs w:val="24"/>
                <w:lang w:val="en-US" w:eastAsia="zh-CN" w:bidi="ar-SA"/>
              </w:rPr>
            </w:pPr>
          </w:p>
          <w:p w14:paraId="4D70DA6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rPr>
            </w:pPr>
          </w:p>
          <w:p w14:paraId="4FE0EAA5">
            <w:pPr>
              <w:pStyle w:val="31"/>
              <w:rPr>
                <w:rFonts w:hint="default" w:ascii="Times New Roman" w:hAnsi="Times New Roman" w:cs="Times New Roman"/>
                <w:color w:val="auto"/>
                <w:sz w:val="24"/>
                <w:szCs w:val="24"/>
              </w:rPr>
            </w:pPr>
          </w:p>
          <w:p w14:paraId="0D50DF05">
            <w:pPr>
              <w:pStyle w:val="34"/>
              <w:rPr>
                <w:rFonts w:hint="default" w:ascii="Times New Roman" w:hAnsi="Times New Roman" w:cs="Times New Roman"/>
                <w:color w:val="auto"/>
                <w:sz w:val="24"/>
                <w:szCs w:val="24"/>
              </w:rPr>
            </w:pPr>
          </w:p>
          <w:p w14:paraId="06D32250">
            <w:pPr>
              <w:pStyle w:val="35"/>
              <w:rPr>
                <w:rFonts w:hint="default" w:ascii="Times New Roman" w:hAnsi="Times New Roman" w:cs="Times New Roman"/>
                <w:color w:val="auto"/>
                <w:sz w:val="24"/>
                <w:szCs w:val="24"/>
              </w:rPr>
            </w:pPr>
          </w:p>
          <w:p w14:paraId="52CDB6A3">
            <w:pPr>
              <w:rPr>
                <w:rFonts w:hint="default" w:ascii="Times New Roman" w:hAnsi="Times New Roman" w:cs="Times New Roman"/>
                <w:color w:val="auto"/>
                <w:sz w:val="24"/>
                <w:szCs w:val="24"/>
              </w:rPr>
            </w:pPr>
          </w:p>
          <w:p w14:paraId="5E2BF34B">
            <w:pPr>
              <w:pStyle w:val="31"/>
              <w:rPr>
                <w:rFonts w:hint="default" w:ascii="Times New Roman" w:hAnsi="Times New Roman" w:cs="Times New Roman"/>
                <w:color w:val="auto"/>
                <w:sz w:val="24"/>
                <w:szCs w:val="24"/>
              </w:rPr>
            </w:pPr>
          </w:p>
          <w:p w14:paraId="7F994D8F">
            <w:pPr>
              <w:pStyle w:val="34"/>
              <w:rPr>
                <w:rFonts w:hint="default" w:ascii="Times New Roman" w:hAnsi="Times New Roman" w:cs="Times New Roman"/>
                <w:color w:val="auto"/>
                <w:sz w:val="24"/>
                <w:szCs w:val="24"/>
              </w:rPr>
            </w:pPr>
          </w:p>
          <w:p w14:paraId="71AC34A3">
            <w:pPr>
              <w:pStyle w:val="35"/>
              <w:rPr>
                <w:rFonts w:hint="default" w:ascii="Times New Roman" w:hAnsi="Times New Roman" w:cs="Times New Roman"/>
                <w:color w:val="auto"/>
                <w:sz w:val="24"/>
                <w:szCs w:val="24"/>
              </w:rPr>
            </w:pPr>
          </w:p>
          <w:p w14:paraId="3A09272A">
            <w:pPr>
              <w:rPr>
                <w:rFonts w:hint="default" w:ascii="Times New Roman" w:hAnsi="Times New Roman" w:cs="Times New Roman"/>
                <w:color w:val="auto"/>
                <w:sz w:val="24"/>
                <w:szCs w:val="24"/>
              </w:rPr>
            </w:pPr>
          </w:p>
          <w:p w14:paraId="54673026">
            <w:pPr>
              <w:pStyle w:val="31"/>
              <w:rPr>
                <w:rFonts w:hint="default" w:ascii="Times New Roman" w:hAnsi="Times New Roman" w:cs="Times New Roman"/>
                <w:color w:val="auto"/>
                <w:sz w:val="24"/>
                <w:szCs w:val="24"/>
              </w:rPr>
            </w:pPr>
          </w:p>
          <w:p w14:paraId="07A6F277">
            <w:pPr>
              <w:pStyle w:val="35"/>
              <w:ind w:left="0" w:leftChars="0" w:firstLine="0" w:firstLineChars="0"/>
              <w:rPr>
                <w:rFonts w:hint="default" w:ascii="Times New Roman" w:hAnsi="Times New Roman" w:cs="Times New Roman"/>
                <w:color w:val="auto"/>
                <w:sz w:val="24"/>
                <w:szCs w:val="24"/>
              </w:rPr>
            </w:pPr>
          </w:p>
          <w:p w14:paraId="47E8B696">
            <w:pPr>
              <w:rPr>
                <w:rFonts w:hint="default"/>
                <w:color w:val="auto"/>
              </w:rPr>
            </w:pPr>
          </w:p>
        </w:tc>
      </w:tr>
    </w:tbl>
    <w:p w14:paraId="01F0FAB3">
      <w:pPr>
        <w:pStyle w:val="23"/>
        <w:jc w:val="both"/>
        <w:outlineLvl w:val="9"/>
        <w:rPr>
          <w:rFonts w:hint="eastAsia"/>
          <w:snapToGrid w:val="0"/>
        </w:rPr>
        <w:sectPr>
          <w:pgSz w:w="11906" w:h="16838"/>
          <w:pgMar w:top="1440" w:right="1134"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8" w:name="_Toc6367"/>
    </w:p>
    <w:p w14:paraId="36BEE2A3">
      <w:pPr>
        <w:pStyle w:val="23"/>
        <w:ind w:firstLine="2570" w:firstLineChars="800"/>
        <w:jc w:val="both"/>
        <w:rPr>
          <w:snapToGrid w:val="0"/>
        </w:rPr>
      </w:pPr>
      <w:bookmarkStart w:id="9" w:name="_Toc21325"/>
      <w:r>
        <w:rPr>
          <w:rFonts w:hint="eastAsia"/>
          <w:snapToGrid w:val="0"/>
        </w:rPr>
        <w:t>四、主要环境影响和保护措施</w:t>
      </w:r>
      <w:bookmarkEnd w:id="8"/>
      <w:bookmarkEnd w:id="9"/>
    </w:p>
    <w:tbl>
      <w:tblPr>
        <w:tblStyle w:val="25"/>
        <w:tblW w:w="97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9329"/>
      </w:tblGrid>
      <w:tr w14:paraId="03F28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4" w:hRule="atLeast"/>
          <w:jc w:val="center"/>
        </w:trPr>
        <w:tc>
          <w:tcPr>
            <w:tcW w:w="555" w:type="dxa"/>
            <w:tcMar>
              <w:left w:w="28" w:type="dxa"/>
              <w:right w:w="28" w:type="dxa"/>
            </w:tcMar>
            <w:vAlign w:val="center"/>
          </w:tcPr>
          <w:p w14:paraId="370E0D37">
            <w:pPr>
              <w:pStyle w:val="22"/>
              <w:adjustRightInd w:val="0"/>
              <w:snapToGrid w:val="0"/>
              <w:spacing w:before="0" w:beforeAutospacing="0" w:after="0" w:afterAutospacing="0"/>
              <w:jc w:val="center"/>
              <w:rPr>
                <w:rFonts w:hint="default" w:ascii="Times New Roman" w:hAnsi="Times New Roman" w:cs="Times New Roman"/>
                <w:bCs/>
                <w:color w:val="auto"/>
                <w:kern w:val="2"/>
                <w:sz w:val="24"/>
                <w:szCs w:val="24"/>
              </w:rPr>
            </w:pPr>
            <w:r>
              <w:rPr>
                <w:rFonts w:hint="default" w:ascii="Times New Roman" w:hAnsi="Times New Roman" w:cs="Times New Roman"/>
                <w:color w:val="auto"/>
                <w:kern w:val="2"/>
                <w:sz w:val="24"/>
                <w:szCs w:val="24"/>
              </w:rPr>
              <w:t>施工期环境保护措施</w:t>
            </w:r>
          </w:p>
        </w:tc>
        <w:tc>
          <w:tcPr>
            <w:tcW w:w="9223" w:type="dxa"/>
            <w:vAlign w:val="center"/>
          </w:tcPr>
          <w:p w14:paraId="46C1829F">
            <w:pPr>
              <w:adjustRightInd w:val="0"/>
              <w:snapToGri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eastAsia="宋体" w:cs="Times New Roman"/>
                <w:color w:val="auto"/>
                <w:sz w:val="24"/>
                <w:szCs w:val="24"/>
              </w:rPr>
              <w:t>项目</w:t>
            </w:r>
            <w:r>
              <w:rPr>
                <w:rFonts w:hint="eastAsia" w:cs="Times New Roman"/>
                <w:color w:val="auto"/>
                <w:sz w:val="24"/>
                <w:szCs w:val="24"/>
                <w:lang w:val="en-US" w:eastAsia="zh-CN"/>
              </w:rPr>
              <w:t>租赁厂房</w:t>
            </w:r>
            <w:r>
              <w:rPr>
                <w:rFonts w:hint="default" w:ascii="Times New Roman" w:hAnsi="Times New Roman" w:eastAsia="宋体" w:cs="Times New Roman"/>
                <w:color w:val="auto"/>
                <w:sz w:val="24"/>
                <w:szCs w:val="24"/>
              </w:rPr>
              <w:t>，只进行厂房装修和设备安装调试</w:t>
            </w:r>
            <w:r>
              <w:rPr>
                <w:rFonts w:hint="eastAsia" w:cs="Times New Roman"/>
                <w:color w:val="auto"/>
                <w:sz w:val="24"/>
                <w:szCs w:val="24"/>
                <w:lang w:val="en-US" w:eastAsia="zh-CN"/>
              </w:rPr>
              <w:t>，</w:t>
            </w:r>
            <w:r>
              <w:rPr>
                <w:rFonts w:hint="default" w:ascii="Times New Roman" w:hAnsi="Times New Roman" w:cs="Times New Roman"/>
                <w:bCs/>
                <w:color w:val="auto"/>
                <w:spacing w:val="-10"/>
                <w:sz w:val="24"/>
                <w:szCs w:val="24"/>
              </w:rPr>
              <w:t>由于工程量较小，施工时间较短。在采取选用低噪声施工设备，加强施工活动管理等措施后，施工期环境影响较小。随着施工活动的结束，施工期环境影响也将逐渐消失。</w:t>
            </w:r>
          </w:p>
        </w:tc>
      </w:tr>
      <w:tr w14:paraId="752D3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64" w:hRule="atLeast"/>
          <w:jc w:val="center"/>
        </w:trPr>
        <w:tc>
          <w:tcPr>
            <w:tcW w:w="555" w:type="dxa"/>
            <w:tcMar>
              <w:left w:w="28" w:type="dxa"/>
              <w:right w:w="28" w:type="dxa"/>
            </w:tcMar>
            <w:vAlign w:val="center"/>
          </w:tcPr>
          <w:p w14:paraId="7B3B3034">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运营期环境影响和保护措施</w:t>
            </w:r>
          </w:p>
        </w:tc>
        <w:tc>
          <w:tcPr>
            <w:tcW w:w="9223" w:type="dxa"/>
            <w:vAlign w:val="center"/>
          </w:tcPr>
          <w:p w14:paraId="4259A538">
            <w:pPr>
              <w:adjustRightInd w:val="0"/>
              <w:snapToGrid w:val="0"/>
              <w:spacing w:line="240" w:lineRule="auto"/>
              <w:ind w:firstLine="482" w:firstLineChars="200"/>
              <w:jc w:val="left"/>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1、废气</w:t>
            </w:r>
          </w:p>
          <w:p w14:paraId="5ECDCBEC">
            <w:pPr>
              <w:adjustRightInd w:val="0"/>
              <w:spacing w:line="360" w:lineRule="auto"/>
              <w:ind w:firstLine="482" w:firstLineChars="200"/>
              <w:jc w:val="left"/>
              <w:rPr>
                <w:rFonts w:hint="default" w:ascii="Times New Roman" w:hAnsi="Times New Roman" w:cs="Times New Roman"/>
                <w:b/>
                <w:color w:val="auto"/>
                <w:kern w:val="0"/>
                <w:sz w:val="24"/>
                <w:szCs w:val="24"/>
              </w:rPr>
            </w:pPr>
            <w:r>
              <w:rPr>
                <w:rFonts w:hint="eastAsia" w:cs="Times New Roman"/>
                <w:b/>
                <w:color w:val="auto"/>
                <w:kern w:val="0"/>
                <w:sz w:val="24"/>
                <w:szCs w:val="24"/>
                <w:lang w:eastAsia="zh-CN"/>
              </w:rPr>
              <w:t>（</w:t>
            </w:r>
            <w:r>
              <w:rPr>
                <w:rFonts w:hint="eastAsia" w:cs="Times New Roman"/>
                <w:b/>
                <w:color w:val="auto"/>
                <w:kern w:val="0"/>
                <w:sz w:val="24"/>
                <w:szCs w:val="24"/>
                <w:lang w:val="en-US" w:eastAsia="zh-CN"/>
              </w:rPr>
              <w:t>1</w:t>
            </w:r>
            <w:r>
              <w:rPr>
                <w:rFonts w:hint="eastAsia" w:cs="Times New Roman"/>
                <w:b/>
                <w:color w:val="auto"/>
                <w:kern w:val="0"/>
                <w:sz w:val="24"/>
                <w:szCs w:val="24"/>
                <w:lang w:eastAsia="zh-CN"/>
              </w:rPr>
              <w:t>）</w:t>
            </w:r>
            <w:r>
              <w:rPr>
                <w:rFonts w:hint="default" w:ascii="Times New Roman" w:hAnsi="Times New Roman" w:cs="Times New Roman"/>
                <w:b/>
                <w:color w:val="auto"/>
                <w:kern w:val="0"/>
                <w:sz w:val="24"/>
                <w:szCs w:val="24"/>
              </w:rPr>
              <w:t>废气源强</w:t>
            </w:r>
          </w:p>
          <w:p w14:paraId="1C11E4A4">
            <w:pPr>
              <w:spacing w:beforeLines="0" w:afterLines="0" w:line="360" w:lineRule="auto"/>
              <w:ind w:firstLine="482" w:firstLineChars="200"/>
              <w:jc w:val="left"/>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配料粉尘：</w:t>
            </w:r>
          </w:p>
          <w:p w14:paraId="46B7A32C">
            <w:pPr>
              <w:spacing w:beforeLines="0" w:afterLines="0"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配料工序会产生颗粒物，本次评价颗粒物产生源强参照《逸散性工业粉尘控制技术》中逸散尘排放因子系数并结合企业实际，配料工序颗粒物产污系数取值 1.5kg/t-原料，项目配料工序红薯淀粉用量为500t/a，则配料工序颗粒物产生量为 0.75t/a。配料工序年工作</w:t>
            </w:r>
            <w:r>
              <w:rPr>
                <w:rFonts w:hint="eastAsia" w:cs="Times New Roman"/>
                <w:color w:val="auto"/>
                <w:kern w:val="0"/>
                <w:sz w:val="24"/>
                <w:szCs w:val="24"/>
                <w:lang w:val="en-US" w:eastAsia="zh-CN"/>
              </w:rPr>
              <w:t>1200</w:t>
            </w:r>
            <w:r>
              <w:rPr>
                <w:rFonts w:hint="default" w:ascii="Times New Roman" w:hAnsi="Times New Roman" w:cs="Times New Roman"/>
                <w:color w:val="auto"/>
                <w:kern w:val="0"/>
                <w:sz w:val="24"/>
                <w:szCs w:val="24"/>
              </w:rPr>
              <w:t xml:space="preserve">h，配料粉尘，经集气罩收集，由1套布袋除尘器处理后通过1根 </w:t>
            </w:r>
            <w:r>
              <w:rPr>
                <w:rFonts w:hint="eastAsia" w:cs="Times New Roman"/>
                <w:color w:val="auto"/>
                <w:kern w:val="0"/>
                <w:sz w:val="24"/>
                <w:szCs w:val="24"/>
                <w:lang w:val="en-US" w:eastAsia="zh-CN"/>
              </w:rPr>
              <w:t>17</w:t>
            </w:r>
            <w:r>
              <w:rPr>
                <w:rFonts w:hint="default" w:ascii="Times New Roman" w:hAnsi="Times New Roman" w:cs="Times New Roman"/>
                <w:color w:val="auto"/>
                <w:kern w:val="0"/>
                <w:sz w:val="24"/>
                <w:szCs w:val="24"/>
              </w:rPr>
              <w:t>m高排气简(DA001)排放。集气罩收集效率为 90%，布袋除尘器对颗粒物的去除效率为 95%，风机风量</w:t>
            </w:r>
            <w:r>
              <w:rPr>
                <w:rFonts w:hint="eastAsia" w:cs="Times New Roman"/>
                <w:color w:val="auto"/>
                <w:kern w:val="0"/>
                <w:sz w:val="24"/>
                <w:szCs w:val="24"/>
                <w:lang w:val="en-US" w:eastAsia="zh-CN"/>
              </w:rPr>
              <w:t>5</w:t>
            </w:r>
            <w:r>
              <w:rPr>
                <w:rFonts w:hint="default" w:ascii="Times New Roman" w:hAnsi="Times New Roman" w:cs="Times New Roman"/>
                <w:color w:val="auto"/>
                <w:kern w:val="0"/>
                <w:sz w:val="24"/>
                <w:szCs w:val="24"/>
              </w:rPr>
              <w:t>000m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kern w:val="0"/>
                <w:sz w:val="24"/>
                <w:szCs w:val="24"/>
              </w:rPr>
              <w:t>/h。年工作2</w:t>
            </w:r>
            <w:r>
              <w:rPr>
                <w:rFonts w:hint="eastAsia" w:cs="Times New Roman"/>
                <w:color w:val="auto"/>
                <w:kern w:val="0"/>
                <w:sz w:val="24"/>
                <w:szCs w:val="24"/>
                <w:lang w:val="en-US" w:eastAsia="zh-CN"/>
              </w:rPr>
              <w:t>4</w:t>
            </w:r>
            <w:r>
              <w:rPr>
                <w:rFonts w:hint="default" w:ascii="Times New Roman" w:hAnsi="Times New Roman" w:cs="Times New Roman"/>
                <w:color w:val="auto"/>
                <w:kern w:val="0"/>
                <w:sz w:val="24"/>
                <w:szCs w:val="24"/>
              </w:rPr>
              <w:t>00h。</w:t>
            </w:r>
          </w:p>
          <w:p w14:paraId="7450C5C3">
            <w:pPr>
              <w:spacing w:beforeLines="0" w:afterLines="0" w:line="360" w:lineRule="auto"/>
              <w:ind w:firstLine="482" w:firstLineChars="200"/>
              <w:jc w:val="left"/>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油炸油烟：</w:t>
            </w:r>
          </w:p>
          <w:p w14:paraId="27305861">
            <w:pPr>
              <w:spacing w:beforeLines="0" w:afterLines="0" w:line="360" w:lineRule="auto"/>
              <w:ind w:firstLine="480" w:firstLineChars="200"/>
              <w:jc w:val="left"/>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在油炸过程中会产生油烟，本项目采用电加热油锅的方法，年耗油量为5t。根据类比调查，一般油烟挥发量总占耗油量的2~4%，平均为2.83%，则油烟的产生量为0.14t/a。评价要求通过集气罩收集至油烟净化装置中进行处理后通过排气筒排放，油烟净化设施的处理效率85%，风机设计风量5000m</w:t>
            </w:r>
            <w:r>
              <w:rPr>
                <w:rFonts w:hint="default" w:ascii="Times New Roman" w:hAnsi="Times New Roman" w:cs="Times New Roman"/>
                <w:color w:val="auto"/>
                <w:kern w:val="0"/>
                <w:sz w:val="24"/>
                <w:szCs w:val="24"/>
                <w:vertAlign w:val="superscript"/>
                <w:lang w:val="en-US" w:eastAsia="zh-CN"/>
              </w:rPr>
              <w:t>3</w:t>
            </w:r>
            <w:r>
              <w:rPr>
                <w:rFonts w:hint="default" w:ascii="Times New Roman" w:hAnsi="Times New Roman" w:cs="Times New Roman"/>
                <w:color w:val="auto"/>
                <w:kern w:val="0"/>
                <w:sz w:val="24"/>
                <w:szCs w:val="24"/>
                <w:lang w:val="en-US" w:eastAsia="zh-CN"/>
              </w:rPr>
              <w:t>/h，油炸时间2</w:t>
            </w:r>
            <w:r>
              <w:rPr>
                <w:rFonts w:hint="eastAsia" w:cs="Times New Roman"/>
                <w:color w:val="auto"/>
                <w:kern w:val="0"/>
                <w:sz w:val="24"/>
                <w:szCs w:val="24"/>
                <w:lang w:val="en-US" w:eastAsia="zh-CN"/>
              </w:rPr>
              <w:t>4</w:t>
            </w:r>
            <w:r>
              <w:rPr>
                <w:rFonts w:hint="default" w:ascii="Times New Roman" w:hAnsi="Times New Roman" w:cs="Times New Roman"/>
                <w:color w:val="auto"/>
                <w:kern w:val="0"/>
                <w:sz w:val="24"/>
                <w:szCs w:val="24"/>
                <w:lang w:val="en-US" w:eastAsia="zh-CN"/>
              </w:rPr>
              <w:t>00h/a 计算。油炸油烟经油烟净化器处理后外墙烟道排放</w:t>
            </w:r>
            <w:r>
              <w:rPr>
                <w:rFonts w:hint="eastAsia" w:cs="Times New Roman"/>
                <w:color w:val="auto"/>
                <w:kern w:val="0"/>
                <w:sz w:val="24"/>
                <w:szCs w:val="24"/>
                <w:lang w:val="en-US" w:eastAsia="zh-CN"/>
              </w:rPr>
              <w:t>。</w:t>
            </w:r>
          </w:p>
          <w:p w14:paraId="4DEF1003">
            <w:pPr>
              <w:spacing w:beforeLines="0" w:afterLines="0" w:line="360" w:lineRule="auto"/>
              <w:ind w:firstLine="482" w:firstLineChars="200"/>
              <w:jc w:val="left"/>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食堂油烟：</w:t>
            </w:r>
          </w:p>
          <w:p w14:paraId="6F0082FE">
            <w:pPr>
              <w:spacing w:beforeLines="0" w:afterLines="0" w:line="360" w:lineRule="auto"/>
              <w:ind w:firstLine="480" w:firstLineChars="200"/>
              <w:jc w:val="left"/>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建成后，食堂就餐规模约为6人次/日，食堂厨房在烹炒菜过程中会产生一定量的动植物油烟废气。经类比调查，食用油用量约15g/人.d，则项目食堂日消耗食用油0.09kg，年消耗食用油0.027t，一般油烟挥发量总占耗油量的2~4%，平均为2.83%，则日油烟产生量为0.0025kg，年产生量约0.00076t。食堂灶头数为1个，每个灶台基准排风量按200m</w:t>
            </w:r>
            <w:r>
              <w:rPr>
                <w:rFonts w:hint="default" w:ascii="Times New Roman" w:hAnsi="Times New Roman" w:cs="Times New Roman"/>
                <w:color w:val="auto"/>
                <w:kern w:val="0"/>
                <w:sz w:val="24"/>
                <w:szCs w:val="24"/>
                <w:vertAlign w:val="superscript"/>
                <w:lang w:val="en-US" w:eastAsia="zh-CN"/>
              </w:rPr>
              <w:t>3</w:t>
            </w:r>
            <w:r>
              <w:rPr>
                <w:rFonts w:hint="default" w:ascii="Times New Roman" w:hAnsi="Times New Roman" w:cs="Times New Roman"/>
                <w:color w:val="auto"/>
                <w:kern w:val="0"/>
                <w:sz w:val="24"/>
                <w:szCs w:val="24"/>
                <w:lang w:val="en-US" w:eastAsia="zh-CN"/>
              </w:rPr>
              <w:t>/h计，每天加工4小时，则油烟废气产生量约800m</w:t>
            </w:r>
            <w:r>
              <w:rPr>
                <w:rFonts w:hint="default" w:ascii="Times New Roman" w:hAnsi="Times New Roman" w:cs="Times New Roman"/>
                <w:color w:val="auto"/>
                <w:kern w:val="0"/>
                <w:sz w:val="24"/>
                <w:szCs w:val="24"/>
                <w:vertAlign w:val="superscript"/>
                <w:lang w:val="en-US" w:eastAsia="zh-CN"/>
              </w:rPr>
              <w:t>3</w:t>
            </w:r>
            <w:r>
              <w:rPr>
                <w:rFonts w:hint="default" w:ascii="Times New Roman" w:hAnsi="Times New Roman" w:cs="Times New Roman"/>
                <w:color w:val="auto"/>
                <w:kern w:val="0"/>
                <w:sz w:val="24"/>
                <w:szCs w:val="24"/>
                <w:lang w:val="en-US" w:eastAsia="zh-CN"/>
              </w:rPr>
              <w:t>/d。食堂厨房油烟废气应采用油烟净化装置净化，去除率要求达到</w:t>
            </w:r>
            <w:r>
              <w:rPr>
                <w:rFonts w:hint="eastAsia" w:cs="Times New Roman"/>
                <w:color w:val="auto"/>
                <w:kern w:val="0"/>
                <w:sz w:val="24"/>
                <w:szCs w:val="24"/>
                <w:lang w:val="en-US" w:eastAsia="zh-CN"/>
              </w:rPr>
              <w:t>60</w:t>
            </w:r>
            <w:r>
              <w:rPr>
                <w:rFonts w:hint="default" w:ascii="Times New Roman" w:hAnsi="Times New Roman" w:cs="Times New Roman"/>
                <w:color w:val="auto"/>
                <w:kern w:val="0"/>
                <w:sz w:val="24"/>
                <w:szCs w:val="24"/>
                <w:lang w:val="en-US" w:eastAsia="zh-CN"/>
              </w:rPr>
              <w:t>％以上，食堂油烟经净化处理后至外墙烟道排放。</w:t>
            </w:r>
          </w:p>
          <w:p w14:paraId="35E96868">
            <w:pPr>
              <w:spacing w:beforeLines="0" w:afterLines="0" w:line="360" w:lineRule="auto"/>
              <w:ind w:firstLine="482" w:firstLineChars="200"/>
              <w:jc w:val="left"/>
              <w:rPr>
                <w:rFonts w:hint="eastAsia" w:ascii="Times New Roman" w:hAnsi="Times New Roman" w:eastAsia="宋体" w:cs="Times New Roman"/>
                <w:b/>
                <w:snapToGrid/>
                <w:color w:val="auto"/>
                <w:sz w:val="24"/>
                <w:szCs w:val="24"/>
                <w:vertAlign w:val="baseline"/>
                <w:lang w:eastAsia="zh-CN"/>
              </w:rPr>
            </w:pPr>
            <w:r>
              <w:rPr>
                <w:rFonts w:hint="eastAsia" w:ascii="Times New Roman" w:hAnsi="Times New Roman" w:eastAsia="宋体" w:cs="Times New Roman"/>
                <w:b/>
                <w:snapToGrid/>
                <w:color w:val="auto"/>
                <w:sz w:val="24"/>
                <w:szCs w:val="24"/>
                <w:vertAlign w:val="baseline"/>
                <w:lang w:val="en-US" w:eastAsia="zh-CN"/>
              </w:rPr>
              <w:t>污水处理站恶臭</w:t>
            </w:r>
            <w:r>
              <w:rPr>
                <w:rFonts w:hint="eastAsia" w:ascii="Times New Roman" w:hAnsi="Times New Roman" w:eastAsia="宋体" w:cs="Times New Roman"/>
                <w:b/>
                <w:snapToGrid/>
                <w:color w:val="auto"/>
                <w:sz w:val="24"/>
                <w:szCs w:val="24"/>
                <w:vertAlign w:val="baseline"/>
                <w:lang w:eastAsia="zh-CN"/>
              </w:rPr>
              <w:t>：</w:t>
            </w:r>
          </w:p>
          <w:p w14:paraId="1F5E581C">
            <w:pPr>
              <w:spacing w:beforeLines="0" w:afterLines="0" w:line="360" w:lineRule="auto"/>
              <w:ind w:firstLine="480" w:firstLineChars="200"/>
              <w:jc w:val="left"/>
              <w:rPr>
                <w:rFonts w:hint="eastAsia" w:ascii="Times New Roman" w:hAnsi="Times New Roman" w:eastAsia="宋体" w:cs="Times New Roman"/>
                <w:snapToGrid/>
                <w:color w:val="auto"/>
                <w:sz w:val="24"/>
                <w:szCs w:val="24"/>
                <w:vertAlign w:val="baseline"/>
                <w:lang w:val="en-US" w:eastAsia="zh-CN"/>
              </w:rPr>
            </w:pPr>
            <w:r>
              <w:rPr>
                <w:rFonts w:hint="eastAsia" w:cs="Times New Roman"/>
                <w:snapToGrid/>
                <w:color w:val="auto"/>
                <w:sz w:val="24"/>
                <w:szCs w:val="24"/>
                <w:vertAlign w:val="baseline"/>
                <w:lang w:val="en-US" w:eastAsia="zh-CN"/>
              </w:rPr>
              <w:t>本项目自建污水处理站，位于厂区中部偏西侧</w:t>
            </w:r>
            <w:r>
              <w:rPr>
                <w:rFonts w:hint="eastAsia" w:ascii="Times New Roman" w:hAnsi="Times New Roman" w:eastAsia="宋体" w:cs="Times New Roman"/>
                <w:snapToGrid/>
                <w:color w:val="auto"/>
                <w:sz w:val="24"/>
                <w:szCs w:val="24"/>
                <w:vertAlign w:val="baseline"/>
                <w:lang w:eastAsia="zh-CN"/>
              </w:rPr>
              <w:t>，</w:t>
            </w:r>
            <w:r>
              <w:rPr>
                <w:rFonts w:hint="eastAsia" w:ascii="Times New Roman" w:hAnsi="Times New Roman" w:eastAsia="宋体" w:cs="Times New Roman"/>
                <w:snapToGrid/>
                <w:color w:val="auto"/>
                <w:sz w:val="24"/>
                <w:szCs w:val="24"/>
                <w:vertAlign w:val="baseline"/>
                <w:lang w:val="en-US" w:eastAsia="zh-CN"/>
              </w:rPr>
              <w:t>废水最高处理规模为</w:t>
            </w:r>
            <w:r>
              <w:rPr>
                <w:rFonts w:hint="eastAsia" w:cs="Times New Roman"/>
                <w:snapToGrid/>
                <w:color w:val="auto"/>
                <w:sz w:val="24"/>
                <w:szCs w:val="24"/>
                <w:vertAlign w:val="baseline"/>
                <w:lang w:val="en-US" w:eastAsia="zh-CN"/>
              </w:rPr>
              <w:t>3</w:t>
            </w:r>
            <w:r>
              <w:rPr>
                <w:rFonts w:hint="eastAsia" w:ascii="Times New Roman" w:hAnsi="Times New Roman" w:eastAsia="宋体" w:cs="Times New Roman"/>
                <w:snapToGrid/>
                <w:color w:val="auto"/>
                <w:sz w:val="24"/>
                <w:szCs w:val="24"/>
                <w:vertAlign w:val="baseline"/>
                <w:lang w:val="en-US" w:eastAsia="zh-CN"/>
              </w:rPr>
              <w:t>t/d</w:t>
            </w:r>
            <w:r>
              <w:rPr>
                <w:rFonts w:hint="eastAsia" w:cs="Times New Roman"/>
                <w:snapToGrid/>
                <w:color w:val="auto"/>
                <w:sz w:val="24"/>
                <w:szCs w:val="24"/>
                <w:vertAlign w:val="baseline"/>
                <w:lang w:val="en-US" w:eastAsia="zh-CN"/>
              </w:rPr>
              <w:t>，</w:t>
            </w:r>
            <w:r>
              <w:rPr>
                <w:rFonts w:hint="eastAsia" w:ascii="Times New Roman" w:hAnsi="Times New Roman" w:eastAsia="宋体" w:cs="Times New Roman"/>
                <w:snapToGrid/>
                <w:color w:val="auto"/>
                <w:sz w:val="24"/>
                <w:szCs w:val="24"/>
                <w:vertAlign w:val="baseline"/>
                <w:lang w:eastAsia="zh-CN"/>
              </w:rPr>
              <w:t>采用调节+缺氧+接触氧化+二沉池+清水池，本项目一体化污水处理设施</w:t>
            </w:r>
            <w:r>
              <w:rPr>
                <w:rFonts w:hint="eastAsia" w:cs="Times New Roman"/>
                <w:snapToGrid/>
                <w:color w:val="auto"/>
                <w:sz w:val="24"/>
                <w:szCs w:val="24"/>
                <w:vertAlign w:val="baseline"/>
                <w:lang w:eastAsia="zh-CN"/>
              </w:rPr>
              <w:t>，</w:t>
            </w:r>
            <w:r>
              <w:rPr>
                <w:rFonts w:hint="eastAsia" w:ascii="Times New Roman" w:hAnsi="Times New Roman" w:eastAsia="宋体" w:cs="Times New Roman"/>
                <w:snapToGrid/>
                <w:color w:val="auto"/>
                <w:sz w:val="24"/>
                <w:szCs w:val="24"/>
                <w:vertAlign w:val="baseline"/>
                <w:lang w:eastAsia="zh-CN"/>
              </w:rPr>
              <w:t>工程规模较小，恶臭气体产生量较小，恶臭单元密闭，定期添加除臭剂</w:t>
            </w:r>
            <w:r>
              <w:rPr>
                <w:rFonts w:hint="eastAsia" w:cs="Times New Roman"/>
                <w:snapToGrid/>
                <w:color w:val="auto"/>
                <w:sz w:val="24"/>
                <w:szCs w:val="24"/>
                <w:vertAlign w:val="baseline"/>
                <w:lang w:eastAsia="zh-CN"/>
              </w:rPr>
              <w:t>（</w:t>
            </w:r>
            <w:r>
              <w:rPr>
                <w:rFonts w:hint="eastAsia" w:cs="Times New Roman"/>
                <w:snapToGrid/>
                <w:color w:val="auto"/>
                <w:sz w:val="24"/>
                <w:szCs w:val="24"/>
                <w:vertAlign w:val="baseline"/>
                <w:lang w:val="en-US" w:eastAsia="zh-CN"/>
              </w:rPr>
              <w:t>污水除臭剂：是一种由微生物混合发酵制成的产品，含有多种有益细菌。这种除臭剂不仅能迅速去除异味，还能彻底消除各种令人不适的气味。其工作原理是通过与气体中的硫化氢、氨等气味分子快速反应，分解并消除空气中的不良气味。当污水经过处理后仍然散发臭味时，可以按照每吨水2-5公斤的比例直接在水中投加污水除臭剂</w:t>
            </w:r>
            <w:r>
              <w:rPr>
                <w:rFonts w:hint="eastAsia" w:cs="Times New Roman"/>
                <w:snapToGrid/>
                <w:color w:val="auto"/>
                <w:sz w:val="24"/>
                <w:szCs w:val="24"/>
                <w:vertAlign w:val="baseline"/>
                <w:lang w:eastAsia="zh-CN"/>
              </w:rPr>
              <w:t>）</w:t>
            </w:r>
            <w:r>
              <w:rPr>
                <w:rFonts w:hint="eastAsia" w:ascii="Times New Roman" w:hAnsi="Times New Roman" w:eastAsia="宋体" w:cs="Times New Roman"/>
                <w:snapToGrid/>
                <w:color w:val="auto"/>
                <w:sz w:val="24"/>
                <w:szCs w:val="24"/>
                <w:vertAlign w:val="baseline"/>
                <w:lang w:eastAsia="zh-CN"/>
              </w:rPr>
              <w:t>，</w:t>
            </w:r>
            <w:r>
              <w:rPr>
                <w:rFonts w:hint="eastAsia" w:ascii="Times New Roman" w:hAnsi="Times New Roman" w:eastAsia="宋体" w:cs="Times New Roman"/>
                <w:snapToGrid/>
                <w:color w:val="auto"/>
                <w:sz w:val="24"/>
                <w:szCs w:val="24"/>
                <w:vertAlign w:val="baseline"/>
                <w:lang w:val="en-US" w:eastAsia="zh-CN"/>
              </w:rPr>
              <w:t>对周围环境影响较小。</w:t>
            </w:r>
          </w:p>
          <w:p w14:paraId="002E0A78">
            <w:pPr>
              <w:numPr>
                <w:ilvl w:val="0"/>
                <w:numId w:val="0"/>
              </w:numPr>
              <w:spacing w:line="360" w:lineRule="auto"/>
              <w:ind w:firstLine="482" w:firstLineChars="200"/>
              <w:rPr>
                <w:rFonts w:hint="default" w:ascii="宋体"/>
                <w:b/>
                <w:color w:val="auto"/>
                <w:kern w:val="0"/>
                <w:sz w:val="24"/>
                <w:szCs w:val="24"/>
              </w:rPr>
            </w:pPr>
            <w:r>
              <w:rPr>
                <w:rFonts w:hint="default" w:ascii="宋体"/>
                <w:b/>
                <w:color w:val="auto"/>
                <w:kern w:val="0"/>
                <w:sz w:val="24"/>
                <w:szCs w:val="24"/>
              </w:rPr>
              <w:t>天然气燃烧废气：</w:t>
            </w:r>
          </w:p>
          <w:p w14:paraId="421321BD">
            <w:pPr>
              <w:widowControl/>
              <w:spacing w:beforeLines="0" w:afterLines="0" w:line="360" w:lineRule="auto"/>
              <w:ind w:firstLine="480" w:firstLineChars="200"/>
              <w:jc w:val="left"/>
              <w:rPr>
                <w:rFonts w:hint="eastAsia"/>
                <w:color w:val="auto"/>
                <w:sz w:val="24"/>
                <w:szCs w:val="24"/>
              </w:rPr>
            </w:pPr>
            <w:r>
              <w:rPr>
                <w:rFonts w:hint="eastAsia" w:ascii="宋体" w:hAnsi="宋体" w:eastAsia="宋体" w:cs="宋体"/>
                <w:color w:val="auto"/>
                <w:sz w:val="24"/>
                <w:szCs w:val="24"/>
                <w:lang w:bidi="ar"/>
              </w:rPr>
              <w:t>①</w:t>
            </w:r>
            <w:r>
              <w:rPr>
                <w:rFonts w:hint="default" w:ascii="宋体" w:eastAsia="宋体"/>
                <w:color w:val="auto"/>
                <w:sz w:val="24"/>
                <w:szCs w:val="24"/>
                <w:lang w:bidi="ar"/>
              </w:rPr>
              <w:t>锅炉烟气</w:t>
            </w:r>
          </w:p>
          <w:p w14:paraId="436C6329">
            <w:pPr>
              <w:adjustRightInd w:val="0"/>
              <w:snapToGrid w:val="0"/>
              <w:spacing w:beforeLines="0" w:afterLines="0" w:line="360" w:lineRule="auto"/>
              <w:ind w:firstLine="480" w:firstLineChars="200"/>
              <w:rPr>
                <w:rFonts w:hint="default" w:ascii="宋体" w:eastAsia="宋体"/>
                <w:color w:val="auto"/>
                <w:sz w:val="24"/>
                <w:szCs w:val="24"/>
              </w:rPr>
            </w:pPr>
            <w:r>
              <w:rPr>
                <w:rFonts w:hint="default" w:ascii="宋体" w:hAnsi="宋体" w:eastAsia="宋体"/>
                <w:color w:val="auto"/>
                <w:sz w:val="24"/>
                <w:szCs w:val="24"/>
                <w:lang w:bidi="ar"/>
              </w:rPr>
              <w:t>根据《污染源源强核算技术指南 锅炉》（</w:t>
            </w:r>
            <w:r>
              <w:rPr>
                <w:rFonts w:hint="eastAsia" w:ascii="TimesNewRomanPSMT" w:hAnsi="TimesNewRomanPSMT" w:eastAsia="TimesNewRomanPSMT"/>
                <w:color w:val="auto"/>
                <w:sz w:val="24"/>
                <w:szCs w:val="24"/>
                <w:lang w:bidi="ar"/>
              </w:rPr>
              <w:t>HJ991-2018</w:t>
            </w:r>
            <w:r>
              <w:rPr>
                <w:rFonts w:hint="default" w:ascii="宋体" w:hAnsi="宋体" w:eastAsia="宋体"/>
                <w:color w:val="auto"/>
                <w:sz w:val="24"/>
                <w:szCs w:val="24"/>
                <w:lang w:bidi="ar"/>
              </w:rPr>
              <w:t>），</w:t>
            </w:r>
            <w:r>
              <w:rPr>
                <w:rFonts w:hint="default" w:ascii="宋体" w:eastAsia="宋体"/>
                <w:color w:val="auto"/>
                <w:sz w:val="24"/>
                <w:szCs w:val="24"/>
              </w:rPr>
              <w:t>没有元素分析时，干烟气排放量的经验公式计算参照</w:t>
            </w:r>
            <w:r>
              <w:rPr>
                <w:rFonts w:hint="eastAsia"/>
                <w:color w:val="auto"/>
                <w:sz w:val="24"/>
                <w:szCs w:val="24"/>
                <w:lang w:bidi="ar"/>
              </w:rPr>
              <w:t>HJ953</w:t>
            </w:r>
            <w:r>
              <w:rPr>
                <w:rFonts w:hint="default" w:ascii="宋体" w:eastAsia="宋体"/>
                <w:color w:val="auto"/>
                <w:sz w:val="24"/>
                <w:szCs w:val="24"/>
                <w:lang w:bidi="ar"/>
              </w:rPr>
              <w:t>，根据</w:t>
            </w:r>
            <w:r>
              <w:rPr>
                <w:rFonts w:hint="default" w:ascii="宋体" w:hAnsi="宋体" w:eastAsia="宋体"/>
                <w:color w:val="auto"/>
                <w:sz w:val="24"/>
                <w:szCs w:val="24"/>
                <w:lang w:bidi="ar"/>
              </w:rPr>
              <w:t>《排污许可证申请与核发技术规范 锅炉》（</w:t>
            </w:r>
            <w:r>
              <w:rPr>
                <w:rFonts w:hint="eastAsia" w:ascii="TimesNewRomanPSMT" w:hAnsi="TimesNewRomanPSMT" w:eastAsia="TimesNewRomanPSMT"/>
                <w:color w:val="auto"/>
                <w:sz w:val="24"/>
                <w:szCs w:val="24"/>
                <w:lang w:bidi="ar"/>
              </w:rPr>
              <w:t>HJ</w:t>
            </w:r>
            <w:r>
              <w:rPr>
                <w:rFonts w:hint="default" w:ascii="宋体" w:hAnsi="TimesNewRomanPSMT" w:eastAsia="宋体"/>
                <w:color w:val="auto"/>
                <w:sz w:val="24"/>
                <w:szCs w:val="24"/>
                <w:lang w:bidi="ar"/>
              </w:rPr>
              <w:t>953</w:t>
            </w:r>
            <w:r>
              <w:rPr>
                <w:rFonts w:hint="eastAsia" w:ascii="TimesNewRomanPSMT" w:hAnsi="TimesNewRomanPSMT" w:eastAsia="TimesNewRomanPSMT"/>
                <w:color w:val="auto"/>
                <w:sz w:val="24"/>
                <w:szCs w:val="24"/>
                <w:lang w:bidi="ar"/>
              </w:rPr>
              <w:t>-2018</w:t>
            </w:r>
            <w:r>
              <w:rPr>
                <w:rFonts w:hint="default" w:ascii="宋体" w:hAnsi="宋体" w:eastAsia="宋体"/>
                <w:color w:val="auto"/>
                <w:sz w:val="24"/>
                <w:szCs w:val="24"/>
                <w:lang w:bidi="ar"/>
              </w:rPr>
              <w:t>），</w:t>
            </w:r>
            <w:r>
              <w:rPr>
                <w:rFonts w:hint="default" w:ascii="宋体" w:eastAsia="宋体"/>
                <w:color w:val="auto"/>
                <w:sz w:val="24"/>
                <w:szCs w:val="24"/>
              </w:rPr>
              <w:t>基准烟气量公式如下：</w:t>
            </w:r>
          </w:p>
          <w:p w14:paraId="709518C5">
            <w:pPr>
              <w:adjustRightInd w:val="0"/>
              <w:snapToGrid w:val="0"/>
              <w:spacing w:beforeLines="0" w:afterLines="0" w:line="360" w:lineRule="auto"/>
              <w:ind w:firstLine="480" w:firstLineChars="200"/>
              <w:rPr>
                <w:rFonts w:hint="eastAsia"/>
                <w:color w:val="auto"/>
                <w:sz w:val="24"/>
                <w:szCs w:val="24"/>
              </w:rPr>
            </w:pPr>
            <w:r>
              <w:rPr>
                <w:rFonts w:hint="default" w:ascii="宋体" w:eastAsia="宋体"/>
                <w:color w:val="auto"/>
                <w:sz w:val="24"/>
                <w:szCs w:val="24"/>
              </w:rPr>
              <w:t>Vgy=</w:t>
            </w:r>
            <w:r>
              <w:rPr>
                <w:rFonts w:hint="eastAsia"/>
                <w:color w:val="auto"/>
                <w:sz w:val="24"/>
                <w:szCs w:val="24"/>
              </w:rPr>
              <w:t>0.285Qnet+0.343</w:t>
            </w:r>
          </w:p>
          <w:p w14:paraId="63165F75">
            <w:pPr>
              <w:widowControl/>
              <w:spacing w:beforeLines="0" w:afterLines="0" w:line="360" w:lineRule="auto"/>
              <w:ind w:firstLine="480" w:firstLineChars="200"/>
              <w:jc w:val="left"/>
              <w:rPr>
                <w:rFonts w:hint="eastAsia"/>
                <w:color w:val="auto"/>
                <w:sz w:val="24"/>
                <w:szCs w:val="24"/>
              </w:rPr>
            </w:pPr>
            <w:r>
              <w:rPr>
                <w:rFonts w:hint="default" w:ascii="宋体" w:hAnsi="宋体" w:eastAsia="宋体"/>
                <w:color w:val="auto"/>
                <w:sz w:val="24"/>
                <w:szCs w:val="24"/>
                <w:lang w:bidi="ar"/>
              </w:rPr>
              <w:t>式中：</w:t>
            </w:r>
            <w:r>
              <w:rPr>
                <w:rFonts w:hint="default" w:ascii="宋体" w:eastAsia="宋体"/>
                <w:color w:val="auto"/>
                <w:sz w:val="24"/>
                <w:szCs w:val="24"/>
              </w:rPr>
              <w:t>Vgy</w:t>
            </w:r>
            <w:r>
              <w:rPr>
                <w:rFonts w:hint="eastAsia"/>
                <w:color w:val="auto"/>
                <w:kern w:val="0"/>
                <w:sz w:val="24"/>
                <w:szCs w:val="24"/>
                <w:lang w:bidi="ar"/>
              </w:rPr>
              <w:t>——</w:t>
            </w:r>
            <w:r>
              <w:rPr>
                <w:rFonts w:hint="default" w:ascii="宋体" w:eastAsia="宋体"/>
                <w:color w:val="auto"/>
                <w:sz w:val="24"/>
                <w:szCs w:val="24"/>
              </w:rPr>
              <w:t>基准烟气量，</w:t>
            </w:r>
            <w:r>
              <w:rPr>
                <w:rFonts w:hint="eastAsia"/>
                <w:color w:val="auto"/>
                <w:sz w:val="24"/>
                <w:szCs w:val="24"/>
              </w:rPr>
              <w:t>Nm</w:t>
            </w:r>
            <w:r>
              <w:rPr>
                <w:rFonts w:hint="eastAsia"/>
                <w:color w:val="auto"/>
                <w:sz w:val="24"/>
                <w:szCs w:val="24"/>
                <w:vertAlign w:val="superscript"/>
              </w:rPr>
              <w:t>3</w:t>
            </w:r>
            <w:r>
              <w:rPr>
                <w:rFonts w:hint="eastAsia"/>
                <w:color w:val="auto"/>
                <w:sz w:val="24"/>
                <w:szCs w:val="24"/>
              </w:rPr>
              <w:t>/m</w:t>
            </w:r>
            <w:r>
              <w:rPr>
                <w:rFonts w:hint="eastAsia"/>
                <w:color w:val="auto"/>
                <w:sz w:val="24"/>
                <w:szCs w:val="24"/>
                <w:vertAlign w:val="superscript"/>
              </w:rPr>
              <w:t>3</w:t>
            </w:r>
            <w:r>
              <w:rPr>
                <w:rFonts w:hint="default" w:ascii="宋体" w:eastAsia="宋体"/>
                <w:color w:val="auto"/>
                <w:kern w:val="0"/>
                <w:sz w:val="24"/>
                <w:szCs w:val="24"/>
                <w:lang w:bidi="ar"/>
              </w:rPr>
              <w:t>；</w:t>
            </w:r>
          </w:p>
          <w:p w14:paraId="6A9AB87E">
            <w:pPr>
              <w:adjustRightInd w:val="0"/>
              <w:snapToGrid w:val="0"/>
              <w:spacing w:beforeLines="0" w:afterLines="0" w:line="360" w:lineRule="auto"/>
              <w:ind w:firstLine="480" w:firstLineChars="200"/>
              <w:rPr>
                <w:rFonts w:hint="default" w:ascii="宋体" w:eastAsia="宋体"/>
                <w:color w:val="auto"/>
                <w:sz w:val="24"/>
                <w:szCs w:val="24"/>
                <w:lang w:bidi="ar"/>
              </w:rPr>
            </w:pPr>
            <w:r>
              <w:rPr>
                <w:rFonts w:hint="eastAsia"/>
                <w:color w:val="auto"/>
                <w:sz w:val="24"/>
                <w:szCs w:val="24"/>
                <w:lang w:bidi="ar"/>
              </w:rPr>
              <w:t xml:space="preserve">      </w:t>
            </w:r>
            <w:r>
              <w:rPr>
                <w:rFonts w:hint="eastAsia"/>
                <w:color w:val="auto"/>
                <w:sz w:val="24"/>
                <w:szCs w:val="24"/>
              </w:rPr>
              <w:t>Qnet</w:t>
            </w:r>
            <w:r>
              <w:rPr>
                <w:rFonts w:hint="eastAsia"/>
                <w:color w:val="auto"/>
                <w:kern w:val="0"/>
                <w:sz w:val="24"/>
                <w:szCs w:val="24"/>
                <w:lang w:bidi="ar"/>
              </w:rPr>
              <w:t>——</w:t>
            </w:r>
            <w:r>
              <w:rPr>
                <w:rFonts w:hint="default" w:ascii="宋体" w:eastAsia="宋体"/>
                <w:color w:val="auto"/>
                <w:kern w:val="0"/>
                <w:sz w:val="24"/>
                <w:szCs w:val="24"/>
                <w:lang w:bidi="ar"/>
              </w:rPr>
              <w:t>气体燃料低位发热量，</w:t>
            </w:r>
            <w:r>
              <w:rPr>
                <w:rFonts w:hint="eastAsia"/>
                <w:color w:val="auto"/>
                <w:sz w:val="24"/>
                <w:szCs w:val="24"/>
              </w:rPr>
              <w:t>MJ/m</w:t>
            </w:r>
            <w:r>
              <w:rPr>
                <w:rFonts w:hint="eastAsia"/>
                <w:color w:val="auto"/>
                <w:sz w:val="24"/>
                <w:szCs w:val="24"/>
                <w:vertAlign w:val="superscript"/>
              </w:rPr>
              <w:t>3</w:t>
            </w:r>
            <w:r>
              <w:rPr>
                <w:rFonts w:hint="default" w:ascii="宋体" w:eastAsia="宋体"/>
                <w:color w:val="auto"/>
                <w:sz w:val="24"/>
                <w:szCs w:val="24"/>
              </w:rPr>
              <w:t>，取33.5MJ/</w:t>
            </w:r>
            <w:r>
              <w:rPr>
                <w:rFonts w:hint="eastAsia"/>
                <w:color w:val="auto"/>
                <w:sz w:val="24"/>
                <w:szCs w:val="24"/>
              </w:rPr>
              <w:t>m</w:t>
            </w:r>
            <w:r>
              <w:rPr>
                <w:rFonts w:hint="eastAsia"/>
                <w:color w:val="auto"/>
                <w:sz w:val="24"/>
                <w:szCs w:val="24"/>
                <w:vertAlign w:val="superscript"/>
              </w:rPr>
              <w:t>3</w:t>
            </w:r>
            <w:r>
              <w:rPr>
                <w:rFonts w:hint="default" w:ascii="宋体" w:eastAsia="宋体"/>
                <w:color w:val="auto"/>
                <w:sz w:val="24"/>
                <w:szCs w:val="24"/>
              </w:rPr>
              <w:t>进行计算。</w:t>
            </w:r>
          </w:p>
          <w:p w14:paraId="61883027">
            <w:pPr>
              <w:adjustRightInd w:val="0"/>
              <w:snapToGrid w:val="0"/>
              <w:spacing w:beforeLines="0" w:afterLines="0" w:line="360" w:lineRule="auto"/>
              <w:ind w:firstLine="480" w:firstLineChars="200"/>
              <w:rPr>
                <w:rFonts w:hint="default" w:ascii="宋体" w:eastAsia="宋体"/>
                <w:color w:val="auto"/>
                <w:sz w:val="24"/>
                <w:szCs w:val="24"/>
                <w:lang w:val="zh-CN"/>
              </w:rPr>
            </w:pPr>
            <w:r>
              <w:rPr>
                <w:rFonts w:hint="default" w:ascii="宋体" w:hAnsi="宋体" w:eastAsia="宋体"/>
                <w:color w:val="auto"/>
                <w:sz w:val="24"/>
                <w:szCs w:val="24"/>
                <w:lang w:bidi="ar"/>
              </w:rPr>
              <w:t>根据上式计算，</w:t>
            </w:r>
            <w:r>
              <w:rPr>
                <w:rFonts w:hint="default" w:ascii="宋体" w:eastAsia="宋体"/>
                <w:color w:val="auto"/>
                <w:sz w:val="24"/>
                <w:szCs w:val="24"/>
              </w:rPr>
              <w:t>Vgy=</w:t>
            </w:r>
            <w:r>
              <w:rPr>
                <w:rFonts w:hint="eastAsia"/>
                <w:color w:val="auto"/>
                <w:sz w:val="24"/>
                <w:szCs w:val="24"/>
              </w:rPr>
              <w:t>9.89Nm</w:t>
            </w:r>
            <w:r>
              <w:rPr>
                <w:rFonts w:hint="eastAsia"/>
                <w:color w:val="auto"/>
                <w:sz w:val="24"/>
                <w:szCs w:val="24"/>
                <w:vertAlign w:val="superscript"/>
              </w:rPr>
              <w:t>3</w:t>
            </w:r>
            <w:r>
              <w:rPr>
                <w:rFonts w:hint="eastAsia"/>
                <w:color w:val="auto"/>
                <w:sz w:val="24"/>
                <w:szCs w:val="24"/>
              </w:rPr>
              <w:t>/m</w:t>
            </w:r>
            <w:r>
              <w:rPr>
                <w:rFonts w:hint="eastAsia"/>
                <w:color w:val="auto"/>
                <w:sz w:val="24"/>
                <w:szCs w:val="24"/>
                <w:vertAlign w:val="superscript"/>
              </w:rPr>
              <w:t>3</w:t>
            </w:r>
            <w:r>
              <w:rPr>
                <w:rFonts w:hint="default" w:ascii="宋体" w:eastAsia="宋体"/>
                <w:color w:val="auto"/>
                <w:sz w:val="24"/>
                <w:szCs w:val="24"/>
              </w:rPr>
              <w:t>，</w:t>
            </w:r>
            <w:r>
              <w:rPr>
                <w:rFonts w:hint="default" w:ascii="宋体" w:hAnsi="宋体" w:eastAsia="宋体"/>
                <w:color w:val="auto"/>
                <w:sz w:val="24"/>
                <w:szCs w:val="24"/>
                <w:lang w:bidi="ar"/>
              </w:rPr>
              <w:t>则锅炉烟气量为</w:t>
            </w:r>
            <w:r>
              <w:rPr>
                <w:rFonts w:hint="eastAsia" w:ascii="宋体" w:eastAsia="宋体"/>
                <w:color w:val="auto"/>
                <w:kern w:val="0"/>
                <w:sz w:val="24"/>
                <w:szCs w:val="24"/>
                <w:lang w:val="en-US" w:eastAsia="zh-CN" w:bidi="ar"/>
              </w:rPr>
              <w:t>4120</w:t>
            </w:r>
            <w:r>
              <w:rPr>
                <w:rFonts w:hint="eastAsia"/>
                <w:color w:val="auto"/>
                <w:sz w:val="24"/>
                <w:szCs w:val="24"/>
                <w:lang w:val="zh-CN"/>
              </w:rPr>
              <w:t>m</w:t>
            </w:r>
            <w:r>
              <w:rPr>
                <w:rFonts w:hint="eastAsia"/>
                <w:color w:val="auto"/>
                <w:sz w:val="24"/>
                <w:szCs w:val="24"/>
                <w:vertAlign w:val="superscript"/>
                <w:lang w:val="zh-CN"/>
              </w:rPr>
              <w:t>3</w:t>
            </w:r>
            <w:r>
              <w:rPr>
                <w:rFonts w:hint="eastAsia"/>
                <w:color w:val="auto"/>
                <w:sz w:val="24"/>
                <w:szCs w:val="24"/>
                <w:lang w:val="zh-CN"/>
              </w:rPr>
              <w:t>/h</w:t>
            </w:r>
            <w:r>
              <w:rPr>
                <w:rFonts w:hint="default" w:ascii="宋体" w:eastAsia="宋体"/>
                <w:color w:val="auto"/>
                <w:sz w:val="24"/>
                <w:szCs w:val="24"/>
                <w:lang w:val="zh-CN"/>
              </w:rPr>
              <w:t>（</w:t>
            </w:r>
            <w:r>
              <w:rPr>
                <w:rFonts w:hint="default" w:ascii="宋体" w:eastAsia="宋体"/>
                <w:color w:val="auto"/>
                <w:sz w:val="24"/>
                <w:szCs w:val="24"/>
              </w:rPr>
              <w:t>989万</w:t>
            </w:r>
            <w:r>
              <w:rPr>
                <w:rFonts w:hint="eastAsia"/>
                <w:color w:val="auto"/>
                <w:sz w:val="24"/>
                <w:szCs w:val="24"/>
                <w:lang w:val="zh-CN"/>
              </w:rPr>
              <w:t>m</w:t>
            </w:r>
            <w:r>
              <w:rPr>
                <w:rFonts w:hint="eastAsia"/>
                <w:color w:val="auto"/>
                <w:sz w:val="24"/>
                <w:szCs w:val="24"/>
                <w:vertAlign w:val="superscript"/>
                <w:lang w:val="zh-CN"/>
              </w:rPr>
              <w:t>3</w:t>
            </w:r>
            <w:r>
              <w:rPr>
                <w:rFonts w:hint="eastAsia"/>
                <w:color w:val="auto"/>
                <w:sz w:val="24"/>
                <w:szCs w:val="24"/>
                <w:lang w:val="zh-CN"/>
              </w:rPr>
              <w:t>/</w:t>
            </w:r>
            <w:r>
              <w:rPr>
                <w:rFonts w:hint="default" w:ascii="宋体" w:eastAsia="宋体"/>
                <w:color w:val="auto"/>
                <w:sz w:val="24"/>
                <w:szCs w:val="24"/>
              </w:rPr>
              <w:t>a</w:t>
            </w:r>
            <w:r>
              <w:rPr>
                <w:rFonts w:hint="default" w:ascii="宋体" w:eastAsia="宋体"/>
                <w:color w:val="auto"/>
                <w:sz w:val="24"/>
                <w:szCs w:val="24"/>
                <w:lang w:val="zh-CN"/>
              </w:rPr>
              <w:t>）。</w:t>
            </w:r>
          </w:p>
          <w:p w14:paraId="05614AD6">
            <w:pPr>
              <w:adjustRightInd w:val="0"/>
              <w:snapToGrid w:val="0"/>
              <w:spacing w:beforeLines="0" w:afterLines="0" w:line="360" w:lineRule="auto"/>
              <w:ind w:firstLine="480" w:firstLineChars="200"/>
              <w:rPr>
                <w:rFonts w:hint="default" w:ascii="宋体" w:hAnsi="宋体" w:eastAsia="宋体"/>
                <w:color w:val="auto"/>
                <w:sz w:val="24"/>
                <w:szCs w:val="24"/>
                <w:lang w:bidi="ar"/>
              </w:rPr>
            </w:pPr>
            <w:r>
              <w:rPr>
                <w:rFonts w:hint="eastAsia" w:ascii="宋体" w:hAnsi="宋体" w:eastAsia="宋体" w:cs="宋体"/>
                <w:color w:val="auto"/>
                <w:sz w:val="24"/>
                <w:szCs w:val="24"/>
                <w:lang w:bidi="ar"/>
              </w:rPr>
              <w:t>②</w:t>
            </w:r>
            <w:r>
              <w:rPr>
                <w:rFonts w:hint="default" w:ascii="宋体" w:eastAsia="宋体"/>
                <w:color w:val="auto"/>
                <w:sz w:val="24"/>
                <w:szCs w:val="24"/>
                <w:lang w:bidi="ar"/>
              </w:rPr>
              <w:t>颗</w:t>
            </w:r>
            <w:r>
              <w:rPr>
                <w:rFonts w:hint="default" w:ascii="宋体" w:hAnsi="宋体" w:eastAsia="宋体"/>
                <w:color w:val="auto"/>
                <w:sz w:val="24"/>
                <w:szCs w:val="24"/>
                <w:lang w:bidi="ar"/>
              </w:rPr>
              <w:t>粒物排放量</w:t>
            </w:r>
          </w:p>
          <w:p w14:paraId="629AF167">
            <w:pPr>
              <w:adjustRightInd w:val="0"/>
              <w:snapToGrid w:val="0"/>
              <w:spacing w:beforeLines="0" w:afterLines="0" w:line="360" w:lineRule="auto"/>
              <w:ind w:firstLine="480" w:firstLineChars="200"/>
              <w:rPr>
                <w:rFonts w:hint="default" w:ascii="宋体" w:hAnsi="宋体" w:eastAsia="宋体"/>
                <w:color w:val="auto"/>
                <w:sz w:val="24"/>
                <w:szCs w:val="24"/>
                <w:lang w:bidi="ar"/>
              </w:rPr>
            </w:pPr>
            <w:r>
              <w:rPr>
                <w:rFonts w:hint="default" w:ascii="宋体" w:hAnsi="宋体" w:eastAsia="宋体"/>
                <w:color w:val="auto"/>
                <w:sz w:val="24"/>
                <w:szCs w:val="24"/>
                <w:lang w:bidi="ar"/>
              </w:rPr>
              <w:t>根据《污染源源强核算技术指南 锅炉》（</w:t>
            </w:r>
            <w:r>
              <w:rPr>
                <w:rFonts w:hint="eastAsia" w:ascii="TimesNewRomanPSMT" w:hAnsi="TimesNewRomanPSMT" w:eastAsia="TimesNewRomanPSMT"/>
                <w:color w:val="auto"/>
                <w:sz w:val="24"/>
                <w:szCs w:val="24"/>
                <w:lang w:bidi="ar"/>
              </w:rPr>
              <w:t>HJ991-2018</w:t>
            </w:r>
            <w:r>
              <w:rPr>
                <w:rFonts w:hint="default" w:ascii="宋体" w:hAnsi="宋体" w:eastAsia="宋体"/>
                <w:color w:val="auto"/>
                <w:sz w:val="24"/>
                <w:szCs w:val="24"/>
                <w:lang w:bidi="ar"/>
              </w:rPr>
              <w:t>），颗粒物浓度采用类比法，类比《宁夏启元国药有限公司天然气蒸汽锅炉建设项目竣工环境保护验收监测报告表》，该项目使用</w:t>
            </w:r>
            <w:r>
              <w:rPr>
                <w:rFonts w:hint="eastAsia" w:eastAsia="宋体"/>
                <w:color w:val="auto"/>
                <w:sz w:val="24"/>
                <w:szCs w:val="24"/>
                <w:lang w:val="en-US" w:eastAsia="zh-CN" w:bidi="ar"/>
              </w:rPr>
              <w:t>2</w:t>
            </w:r>
            <w:r>
              <w:rPr>
                <w:rFonts w:hint="eastAsia"/>
                <w:color w:val="auto"/>
                <w:sz w:val="24"/>
                <w:szCs w:val="24"/>
                <w:lang w:bidi="ar"/>
              </w:rPr>
              <w:t>t/h</w:t>
            </w:r>
            <w:r>
              <w:rPr>
                <w:rFonts w:hint="default" w:ascii="宋体" w:eastAsia="宋体"/>
                <w:color w:val="auto"/>
                <w:sz w:val="24"/>
                <w:szCs w:val="24"/>
                <w:lang w:bidi="ar"/>
              </w:rPr>
              <w:t>天然</w:t>
            </w:r>
            <w:r>
              <w:rPr>
                <w:rFonts w:hint="default" w:ascii="宋体" w:hAnsi="宋体" w:eastAsia="宋体"/>
                <w:color w:val="auto"/>
                <w:sz w:val="24"/>
                <w:szCs w:val="24"/>
                <w:lang w:bidi="ar"/>
              </w:rPr>
              <w:t>气锅炉，</w:t>
            </w:r>
            <w:r>
              <w:rPr>
                <w:rFonts w:hint="eastAsia" w:ascii="宋体" w:hAnsi="宋体" w:eastAsia="宋体"/>
                <w:color w:val="auto"/>
                <w:sz w:val="24"/>
                <w:szCs w:val="24"/>
                <w:lang w:val="en-US" w:eastAsia="zh-CN" w:bidi="ar"/>
              </w:rPr>
              <w:t>与本项目使用的1t/h天然气锅炉规模等级相近</w:t>
            </w:r>
            <w:r>
              <w:rPr>
                <w:rFonts w:hint="default" w:ascii="宋体" w:hAnsi="宋体" w:eastAsia="宋体"/>
                <w:color w:val="auto"/>
                <w:sz w:val="24"/>
                <w:szCs w:val="24"/>
                <w:lang w:bidi="ar"/>
              </w:rPr>
              <w:t>，监测数据具有可类比性。</w:t>
            </w:r>
          </w:p>
          <w:p w14:paraId="63A3E092">
            <w:pPr>
              <w:adjustRightInd w:val="0"/>
              <w:snapToGrid w:val="0"/>
              <w:spacing w:beforeLines="0" w:afterLines="0" w:line="360" w:lineRule="auto"/>
              <w:ind w:firstLine="480" w:firstLineChars="200"/>
              <w:rPr>
                <w:rFonts w:hint="default" w:ascii="宋体" w:hAnsi="宋体" w:eastAsia="宋体"/>
                <w:color w:val="auto"/>
                <w:sz w:val="24"/>
                <w:szCs w:val="24"/>
                <w:lang w:bidi="ar"/>
              </w:rPr>
            </w:pPr>
            <w:r>
              <w:rPr>
                <w:rFonts w:hint="default" w:ascii="宋体" w:hAnsi="宋体" w:eastAsia="宋体"/>
                <w:color w:val="auto"/>
                <w:sz w:val="24"/>
                <w:szCs w:val="24"/>
                <w:lang w:bidi="ar"/>
              </w:rPr>
              <w:t>根据监测数据，宁夏启元国药有限公司天然气蒸汽锅炉建设项目</w:t>
            </w:r>
            <w:r>
              <w:rPr>
                <w:rFonts w:hint="default" w:ascii="宋体" w:eastAsia="宋体"/>
                <w:color w:val="auto"/>
                <w:sz w:val="24"/>
                <w:szCs w:val="24"/>
                <w:lang w:bidi="ar"/>
              </w:rPr>
              <w:t>锅炉烟囱排口处</w:t>
            </w:r>
            <w:r>
              <w:rPr>
                <w:rFonts w:hint="eastAsia" w:ascii="宋体" w:eastAsia="宋体"/>
                <w:color w:val="auto"/>
                <w:sz w:val="24"/>
                <w:szCs w:val="24"/>
                <w:lang w:val="en-US" w:eastAsia="zh-CN" w:bidi="ar"/>
              </w:rPr>
              <w:t>实测</w:t>
            </w:r>
            <w:r>
              <w:rPr>
                <w:rFonts w:hint="default" w:ascii="宋体" w:eastAsia="宋体"/>
                <w:color w:val="auto"/>
                <w:sz w:val="24"/>
                <w:szCs w:val="24"/>
                <w:lang w:bidi="ar"/>
              </w:rPr>
              <w:t>颗粒物排放浓度为</w:t>
            </w:r>
            <w:r>
              <w:rPr>
                <w:rFonts w:hint="eastAsia" w:ascii="宋体" w:eastAsia="宋体"/>
                <w:color w:val="auto"/>
                <w:sz w:val="24"/>
                <w:szCs w:val="24"/>
                <w:lang w:val="en-US" w:eastAsia="zh-CN" w:bidi="ar"/>
              </w:rPr>
              <w:t>1.0</w:t>
            </w:r>
            <w:r>
              <w:rPr>
                <w:rFonts w:hint="default" w:ascii="宋体" w:eastAsia="宋体"/>
                <w:color w:val="auto"/>
                <w:sz w:val="24"/>
                <w:szCs w:val="24"/>
                <w:lang w:bidi="ar"/>
              </w:rPr>
              <w:t>~</w:t>
            </w:r>
            <w:r>
              <w:rPr>
                <w:rFonts w:hint="eastAsia" w:ascii="宋体" w:eastAsia="宋体"/>
                <w:color w:val="auto"/>
                <w:sz w:val="24"/>
                <w:szCs w:val="24"/>
                <w:lang w:val="en-US" w:eastAsia="zh-CN" w:bidi="ar"/>
              </w:rPr>
              <w:t>1.4</w:t>
            </w:r>
            <w:r>
              <w:rPr>
                <w:rFonts w:hint="eastAsia"/>
                <w:color w:val="auto"/>
                <w:sz w:val="24"/>
                <w:szCs w:val="24"/>
              </w:rPr>
              <w:t>mg/m</w:t>
            </w:r>
            <w:r>
              <w:rPr>
                <w:rFonts w:hint="eastAsia"/>
                <w:color w:val="auto"/>
                <w:sz w:val="24"/>
                <w:szCs w:val="24"/>
                <w:vertAlign w:val="superscript"/>
              </w:rPr>
              <w:t>3</w:t>
            </w:r>
            <w:r>
              <w:rPr>
                <w:rFonts w:hint="default" w:ascii="宋体" w:eastAsia="宋体"/>
                <w:color w:val="auto"/>
                <w:sz w:val="24"/>
                <w:szCs w:val="24"/>
              </w:rPr>
              <w:t>，确定本项目锅炉颗粒物浓度为</w:t>
            </w:r>
            <w:r>
              <w:rPr>
                <w:rFonts w:hint="eastAsia" w:ascii="宋体" w:eastAsia="宋体"/>
                <w:color w:val="auto"/>
                <w:sz w:val="24"/>
                <w:szCs w:val="24"/>
                <w:lang w:val="en-US" w:eastAsia="zh-CN"/>
              </w:rPr>
              <w:t>1.2</w:t>
            </w:r>
            <w:r>
              <w:rPr>
                <w:rFonts w:hint="eastAsia"/>
                <w:color w:val="auto"/>
                <w:sz w:val="24"/>
                <w:szCs w:val="24"/>
              </w:rPr>
              <w:t>mg/m</w:t>
            </w:r>
            <w:r>
              <w:rPr>
                <w:rFonts w:hint="eastAsia"/>
                <w:color w:val="auto"/>
                <w:sz w:val="24"/>
                <w:szCs w:val="24"/>
                <w:vertAlign w:val="superscript"/>
              </w:rPr>
              <w:t>3</w:t>
            </w:r>
            <w:r>
              <w:rPr>
                <w:rFonts w:hint="default" w:ascii="宋体" w:eastAsia="宋体"/>
                <w:color w:val="auto"/>
                <w:sz w:val="24"/>
                <w:szCs w:val="24"/>
              </w:rPr>
              <w:t>，排放速率为</w:t>
            </w:r>
            <w:r>
              <w:rPr>
                <w:rFonts w:hint="eastAsia" w:ascii="宋体" w:eastAsia="宋体"/>
                <w:color w:val="auto"/>
                <w:sz w:val="24"/>
                <w:szCs w:val="24"/>
                <w:lang w:val="en-US" w:eastAsia="zh-CN"/>
              </w:rPr>
              <w:t>0.005</w:t>
            </w:r>
            <w:r>
              <w:rPr>
                <w:rFonts w:hint="default" w:ascii="宋体" w:eastAsia="宋体"/>
                <w:color w:val="auto"/>
                <w:sz w:val="24"/>
                <w:szCs w:val="24"/>
              </w:rPr>
              <w:t>kg/h，</w:t>
            </w:r>
            <w:r>
              <w:rPr>
                <w:rFonts w:hint="default" w:ascii="宋体" w:hAnsi="宋体" w:eastAsia="宋体"/>
                <w:color w:val="auto"/>
                <w:sz w:val="24"/>
                <w:szCs w:val="24"/>
                <w:lang w:bidi="ar"/>
              </w:rPr>
              <w:t>排</w:t>
            </w:r>
            <w:r>
              <w:rPr>
                <w:rFonts w:hint="default" w:ascii="宋体" w:eastAsia="宋体"/>
                <w:color w:val="auto"/>
                <w:sz w:val="24"/>
                <w:szCs w:val="24"/>
                <w:lang w:bidi="ar"/>
              </w:rPr>
              <w:t>放量为</w:t>
            </w:r>
            <w:r>
              <w:rPr>
                <w:rFonts w:hint="eastAsia" w:ascii="宋体" w:eastAsia="宋体"/>
                <w:color w:val="auto"/>
                <w:sz w:val="24"/>
                <w:szCs w:val="24"/>
                <w:lang w:val="en-US" w:eastAsia="zh-CN" w:bidi="ar"/>
              </w:rPr>
              <w:t>0.012</w:t>
            </w:r>
            <w:r>
              <w:rPr>
                <w:rFonts w:hint="eastAsia"/>
                <w:color w:val="auto"/>
                <w:kern w:val="0"/>
                <w:sz w:val="24"/>
                <w:szCs w:val="24"/>
              </w:rPr>
              <w:t>t/a</w:t>
            </w:r>
            <w:r>
              <w:rPr>
                <w:rFonts w:hint="default" w:ascii="宋体" w:eastAsia="宋体"/>
                <w:color w:val="auto"/>
                <w:kern w:val="0"/>
                <w:sz w:val="24"/>
                <w:szCs w:val="24"/>
              </w:rPr>
              <w:t>。</w:t>
            </w:r>
          </w:p>
          <w:p w14:paraId="6578A17C">
            <w:pPr>
              <w:adjustRightInd w:val="0"/>
              <w:snapToGrid w:val="0"/>
              <w:spacing w:beforeLines="0" w:afterLines="0" w:line="360" w:lineRule="auto"/>
              <w:ind w:firstLine="480" w:firstLineChars="200"/>
              <w:rPr>
                <w:rFonts w:hint="default" w:ascii="宋体" w:hAnsi="宋体" w:eastAsia="宋体"/>
                <w:color w:val="auto"/>
                <w:sz w:val="24"/>
                <w:szCs w:val="24"/>
                <w:lang w:bidi="ar"/>
              </w:rPr>
            </w:pPr>
            <w:r>
              <w:rPr>
                <w:rFonts w:hint="eastAsia" w:ascii="宋体" w:hAnsi="宋体" w:eastAsia="宋体" w:cs="宋体"/>
                <w:color w:val="auto"/>
                <w:sz w:val="24"/>
                <w:szCs w:val="24"/>
                <w:lang w:bidi="ar"/>
              </w:rPr>
              <w:t>③</w:t>
            </w:r>
            <w:r>
              <w:rPr>
                <w:rFonts w:hint="default" w:ascii="宋体" w:eastAsia="宋体"/>
                <w:color w:val="auto"/>
                <w:sz w:val="24"/>
                <w:szCs w:val="24"/>
                <w:lang w:bidi="ar"/>
              </w:rPr>
              <w:t>二氧化硫</w:t>
            </w:r>
            <w:r>
              <w:rPr>
                <w:rFonts w:hint="default" w:ascii="宋体" w:hAnsi="宋体" w:eastAsia="宋体"/>
                <w:color w:val="auto"/>
                <w:sz w:val="24"/>
                <w:szCs w:val="24"/>
                <w:lang w:bidi="ar"/>
              </w:rPr>
              <w:t>排放量</w:t>
            </w:r>
          </w:p>
          <w:p w14:paraId="01BC2FB0">
            <w:pPr>
              <w:adjustRightInd w:val="0"/>
              <w:snapToGrid w:val="0"/>
              <w:spacing w:beforeLines="0" w:afterLines="0" w:line="360" w:lineRule="auto"/>
              <w:ind w:firstLine="480" w:firstLineChars="200"/>
              <w:rPr>
                <w:rFonts w:hint="default" w:ascii="宋体" w:eastAsia="宋体"/>
                <w:color w:val="auto"/>
                <w:sz w:val="24"/>
                <w:szCs w:val="24"/>
              </w:rPr>
            </w:pPr>
            <w:r>
              <w:rPr>
                <w:rFonts w:hint="default" w:ascii="宋体" w:hAnsi="宋体" w:eastAsia="宋体"/>
                <w:color w:val="auto"/>
                <w:sz w:val="24"/>
                <w:szCs w:val="24"/>
                <w:lang w:bidi="ar"/>
              </w:rPr>
              <w:t>根据《污染源源强核算技术指南 锅炉》（</w:t>
            </w:r>
            <w:r>
              <w:rPr>
                <w:rFonts w:hint="eastAsia" w:ascii="TimesNewRomanPSMT" w:hAnsi="TimesNewRomanPSMT" w:eastAsia="TimesNewRomanPSMT"/>
                <w:color w:val="auto"/>
                <w:sz w:val="24"/>
                <w:szCs w:val="24"/>
                <w:lang w:bidi="ar"/>
              </w:rPr>
              <w:t>HJ991-2018</w:t>
            </w:r>
            <w:r>
              <w:rPr>
                <w:rFonts w:hint="default" w:ascii="宋体" w:hAnsi="宋体" w:eastAsia="宋体"/>
                <w:color w:val="auto"/>
                <w:sz w:val="24"/>
                <w:szCs w:val="24"/>
                <w:lang w:bidi="ar"/>
              </w:rPr>
              <w:t>），天</w:t>
            </w:r>
            <w:r>
              <w:rPr>
                <w:rFonts w:hint="eastAsia" w:ascii="宋体" w:hAnsi="宋体"/>
                <w:color w:val="auto"/>
                <w:sz w:val="24"/>
                <w:szCs w:val="24"/>
                <w:lang w:eastAsia="zh-CN" w:bidi="ar"/>
              </w:rPr>
              <w:t>然</w:t>
            </w:r>
            <w:r>
              <w:rPr>
                <w:rFonts w:hint="default" w:ascii="宋体" w:hAnsi="宋体" w:eastAsia="宋体"/>
                <w:color w:val="auto"/>
                <w:sz w:val="24"/>
                <w:szCs w:val="24"/>
                <w:lang w:bidi="ar"/>
              </w:rPr>
              <w:t>气锅炉二氧化硫排放量按照下式计算：</w:t>
            </w:r>
          </w:p>
          <w:p w14:paraId="197D57AC">
            <w:pPr>
              <w:adjustRightInd w:val="0"/>
              <w:snapToGrid w:val="0"/>
              <w:spacing w:beforeLines="0" w:afterLines="0" w:line="360" w:lineRule="auto"/>
              <w:jc w:val="center"/>
              <w:rPr>
                <w:rFonts w:hint="default" w:ascii="宋体" w:hAnsi="宋体" w:eastAsia="宋体"/>
                <w:color w:val="auto"/>
                <w:sz w:val="24"/>
                <w:szCs w:val="24"/>
                <w:lang w:bidi="ar"/>
              </w:rPr>
            </w:pPr>
            <w:r>
              <w:rPr>
                <w:rFonts w:hint="default" w:ascii="宋体" w:hAnsi="宋体" w:eastAsia="宋体"/>
                <w:color w:val="auto"/>
                <w:sz w:val="24"/>
                <w:szCs w:val="24"/>
                <w:lang w:bidi="ar"/>
              </w:rPr>
              <w:drawing>
                <wp:inline distT="0" distB="0" distL="114300" distR="114300">
                  <wp:extent cx="2219325" cy="437515"/>
                  <wp:effectExtent l="0" t="0" r="5715" b="4445"/>
                  <wp:docPr id="2" name="图片 15" descr="1165a0c1624b527c966163660c3b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1165a0c1624b527c966163660c3bb52"/>
                          <pic:cNvPicPr>
                            <a:picLocks noChangeAspect="1"/>
                          </pic:cNvPicPr>
                        </pic:nvPicPr>
                        <pic:blipFill>
                          <a:blip r:embed="rId17"/>
                          <a:stretch>
                            <a:fillRect/>
                          </a:stretch>
                        </pic:blipFill>
                        <pic:spPr>
                          <a:xfrm>
                            <a:off x="0" y="0"/>
                            <a:ext cx="2219325" cy="437515"/>
                          </a:xfrm>
                          <a:prstGeom prst="rect">
                            <a:avLst/>
                          </a:prstGeom>
                          <a:noFill/>
                          <a:ln>
                            <a:noFill/>
                          </a:ln>
                        </pic:spPr>
                      </pic:pic>
                    </a:graphicData>
                  </a:graphic>
                </wp:inline>
              </w:drawing>
            </w:r>
          </w:p>
          <w:p w14:paraId="7E8AB5DE">
            <w:pPr>
              <w:widowControl/>
              <w:spacing w:beforeLines="0" w:afterLines="0" w:line="360" w:lineRule="auto"/>
              <w:ind w:firstLine="480" w:firstLineChars="200"/>
              <w:jc w:val="left"/>
              <w:rPr>
                <w:rFonts w:hint="eastAsia"/>
                <w:color w:val="auto"/>
                <w:sz w:val="24"/>
                <w:szCs w:val="24"/>
              </w:rPr>
            </w:pPr>
            <w:r>
              <w:rPr>
                <w:rFonts w:hint="default" w:ascii="宋体" w:hAnsi="宋体" w:eastAsia="宋体"/>
                <w:color w:val="auto"/>
                <w:sz w:val="24"/>
                <w:szCs w:val="24"/>
                <w:lang w:bidi="ar"/>
              </w:rPr>
              <w:t>式中：</w:t>
            </w:r>
            <w:r>
              <w:rPr>
                <w:rFonts w:hint="eastAsia"/>
                <w:color w:val="auto"/>
                <w:sz w:val="24"/>
                <w:szCs w:val="24"/>
                <w:lang w:bidi="ar"/>
              </w:rPr>
              <w:t>E</w:t>
            </w:r>
            <w:r>
              <w:rPr>
                <w:rFonts w:hint="eastAsia"/>
                <w:color w:val="auto"/>
                <w:sz w:val="24"/>
                <w:szCs w:val="24"/>
                <w:vertAlign w:val="subscript"/>
                <w:lang w:bidi="ar"/>
              </w:rPr>
              <w:t>SO2</w:t>
            </w:r>
            <w:r>
              <w:rPr>
                <w:rFonts w:hint="eastAsia"/>
                <w:color w:val="auto"/>
                <w:kern w:val="0"/>
                <w:sz w:val="24"/>
                <w:szCs w:val="24"/>
                <w:lang w:bidi="ar"/>
              </w:rPr>
              <w:t>——</w:t>
            </w:r>
            <w:r>
              <w:rPr>
                <w:rFonts w:hint="default" w:ascii="宋体" w:eastAsia="宋体"/>
                <w:color w:val="auto"/>
                <w:kern w:val="0"/>
                <w:sz w:val="24"/>
                <w:szCs w:val="24"/>
                <w:lang w:bidi="ar"/>
              </w:rPr>
              <w:t>核算时段内二氧化硫排放量，t；</w:t>
            </w:r>
          </w:p>
          <w:p w14:paraId="3CC95FDF">
            <w:pPr>
              <w:adjustRightInd w:val="0"/>
              <w:snapToGrid w:val="0"/>
              <w:spacing w:beforeLines="0" w:afterLines="0" w:line="360" w:lineRule="auto"/>
              <w:ind w:firstLine="480" w:firstLineChars="200"/>
              <w:rPr>
                <w:rFonts w:hint="eastAsia"/>
                <w:color w:val="auto"/>
                <w:sz w:val="24"/>
                <w:szCs w:val="24"/>
                <w:lang w:bidi="ar"/>
              </w:rPr>
            </w:pPr>
            <w:r>
              <w:rPr>
                <w:rFonts w:hint="eastAsia"/>
                <w:color w:val="auto"/>
                <w:sz w:val="24"/>
                <w:szCs w:val="24"/>
                <w:lang w:bidi="ar"/>
              </w:rPr>
              <w:t xml:space="preserve">      R</w:t>
            </w:r>
            <w:r>
              <w:rPr>
                <w:rFonts w:hint="eastAsia"/>
                <w:color w:val="auto"/>
                <w:kern w:val="0"/>
                <w:sz w:val="24"/>
                <w:szCs w:val="24"/>
                <w:lang w:bidi="ar"/>
              </w:rPr>
              <w:t>——</w:t>
            </w:r>
            <w:r>
              <w:rPr>
                <w:rFonts w:hint="default" w:ascii="宋体" w:eastAsia="宋体"/>
                <w:color w:val="auto"/>
                <w:kern w:val="0"/>
                <w:sz w:val="24"/>
                <w:szCs w:val="24"/>
                <w:lang w:bidi="ar"/>
              </w:rPr>
              <w:t>核算时段内锅炉燃料耗量，</w:t>
            </w:r>
            <w:r>
              <w:rPr>
                <w:rFonts w:hint="default" w:ascii="宋体" w:eastAsia="宋体"/>
                <w:color w:val="auto"/>
                <w:sz w:val="24"/>
                <w:szCs w:val="24"/>
              </w:rPr>
              <w:t>万</w:t>
            </w:r>
            <w:r>
              <w:rPr>
                <w:rFonts w:hint="eastAsia"/>
                <w:color w:val="auto"/>
                <w:sz w:val="24"/>
                <w:szCs w:val="24"/>
              </w:rPr>
              <w:t>m</w:t>
            </w:r>
            <w:r>
              <w:rPr>
                <w:rFonts w:hint="eastAsia"/>
                <w:color w:val="auto"/>
                <w:sz w:val="24"/>
                <w:szCs w:val="24"/>
                <w:vertAlign w:val="superscript"/>
              </w:rPr>
              <w:t>3</w:t>
            </w:r>
            <w:r>
              <w:rPr>
                <w:rFonts w:hint="default" w:ascii="宋体" w:eastAsia="宋体"/>
                <w:color w:val="auto"/>
                <w:sz w:val="24"/>
                <w:szCs w:val="24"/>
              </w:rPr>
              <w:t>，</w:t>
            </w:r>
            <w:r>
              <w:rPr>
                <w:rFonts w:hint="eastAsia"/>
                <w:color w:val="auto"/>
                <w:sz w:val="24"/>
                <w:szCs w:val="24"/>
              </w:rPr>
              <w:t>100</w:t>
            </w:r>
            <w:r>
              <w:rPr>
                <w:rFonts w:hint="default" w:ascii="宋体" w:eastAsia="宋体"/>
                <w:color w:val="auto"/>
                <w:sz w:val="24"/>
                <w:szCs w:val="24"/>
              </w:rPr>
              <w:t>万</w:t>
            </w:r>
            <w:r>
              <w:rPr>
                <w:rFonts w:hint="eastAsia"/>
                <w:color w:val="auto"/>
                <w:sz w:val="24"/>
                <w:szCs w:val="24"/>
              </w:rPr>
              <w:t>m</w:t>
            </w:r>
            <w:r>
              <w:rPr>
                <w:rFonts w:hint="eastAsia"/>
                <w:color w:val="auto"/>
                <w:sz w:val="24"/>
                <w:szCs w:val="24"/>
                <w:vertAlign w:val="superscript"/>
              </w:rPr>
              <w:t>3</w:t>
            </w:r>
            <w:r>
              <w:rPr>
                <w:rFonts w:hint="default" w:ascii="宋体" w:eastAsia="宋体"/>
                <w:color w:val="auto"/>
                <w:sz w:val="24"/>
                <w:szCs w:val="24"/>
              </w:rPr>
              <w:t>；</w:t>
            </w:r>
          </w:p>
          <w:p w14:paraId="29985C8C">
            <w:pPr>
              <w:adjustRightInd w:val="0"/>
              <w:snapToGrid w:val="0"/>
              <w:spacing w:beforeLines="0" w:afterLines="0" w:line="360" w:lineRule="auto"/>
              <w:ind w:firstLine="480" w:firstLineChars="200"/>
              <w:rPr>
                <w:rFonts w:hint="eastAsia"/>
                <w:color w:val="auto"/>
                <w:sz w:val="24"/>
                <w:szCs w:val="24"/>
                <w:lang w:bidi="ar"/>
              </w:rPr>
            </w:pPr>
            <w:r>
              <w:rPr>
                <w:rFonts w:hint="eastAsia"/>
                <w:color w:val="auto"/>
                <w:sz w:val="24"/>
                <w:szCs w:val="24"/>
                <w:lang w:bidi="ar"/>
              </w:rPr>
              <w:t xml:space="preserve">      S</w:t>
            </w:r>
            <w:r>
              <w:rPr>
                <w:rFonts w:hint="eastAsia"/>
                <w:color w:val="auto"/>
                <w:sz w:val="24"/>
                <w:szCs w:val="24"/>
                <w:vertAlign w:val="subscript"/>
                <w:lang w:bidi="ar"/>
              </w:rPr>
              <w:t>t</w:t>
            </w:r>
            <w:r>
              <w:rPr>
                <w:rFonts w:hint="eastAsia"/>
                <w:color w:val="auto"/>
                <w:kern w:val="0"/>
                <w:sz w:val="24"/>
                <w:szCs w:val="24"/>
                <w:lang w:bidi="ar"/>
              </w:rPr>
              <w:t>——</w:t>
            </w:r>
            <w:r>
              <w:rPr>
                <w:rFonts w:hint="default" w:ascii="宋体" w:eastAsia="宋体"/>
                <w:color w:val="auto"/>
                <w:kern w:val="0"/>
                <w:sz w:val="24"/>
                <w:szCs w:val="24"/>
                <w:lang w:bidi="ar"/>
              </w:rPr>
              <w:t>燃料总硫的质量浓度，</w:t>
            </w:r>
            <w:r>
              <w:rPr>
                <w:rFonts w:hint="eastAsia"/>
                <w:color w:val="auto"/>
                <w:sz w:val="24"/>
                <w:szCs w:val="24"/>
              </w:rPr>
              <w:t>mg/m</w:t>
            </w:r>
            <w:r>
              <w:rPr>
                <w:rFonts w:hint="eastAsia"/>
                <w:color w:val="auto"/>
                <w:sz w:val="24"/>
                <w:szCs w:val="24"/>
                <w:vertAlign w:val="superscript"/>
              </w:rPr>
              <w:t>3</w:t>
            </w:r>
            <w:r>
              <w:rPr>
                <w:rFonts w:hint="default" w:ascii="宋体" w:eastAsia="宋体"/>
                <w:color w:val="auto"/>
                <w:sz w:val="24"/>
                <w:szCs w:val="24"/>
              </w:rPr>
              <w:t>，取</w:t>
            </w:r>
            <w:r>
              <w:rPr>
                <w:rFonts w:hint="eastAsia"/>
                <w:color w:val="auto"/>
                <w:sz w:val="24"/>
                <w:szCs w:val="24"/>
              </w:rPr>
              <w:t>100mg/m</w:t>
            </w:r>
            <w:r>
              <w:rPr>
                <w:rFonts w:hint="eastAsia"/>
                <w:color w:val="auto"/>
                <w:sz w:val="24"/>
                <w:szCs w:val="24"/>
                <w:vertAlign w:val="superscript"/>
              </w:rPr>
              <w:t>3</w:t>
            </w:r>
            <w:r>
              <w:rPr>
                <w:rFonts w:hint="default" w:ascii="宋体" w:eastAsia="宋体"/>
                <w:color w:val="auto"/>
                <w:sz w:val="24"/>
                <w:szCs w:val="24"/>
              </w:rPr>
              <w:t>；</w:t>
            </w:r>
          </w:p>
          <w:p w14:paraId="24346484">
            <w:pPr>
              <w:adjustRightInd w:val="0"/>
              <w:snapToGrid w:val="0"/>
              <w:spacing w:beforeLines="0" w:afterLines="0" w:line="360" w:lineRule="auto"/>
              <w:ind w:firstLine="480" w:firstLineChars="200"/>
              <w:rPr>
                <w:rFonts w:hint="eastAsia"/>
                <w:color w:val="auto"/>
                <w:sz w:val="24"/>
                <w:szCs w:val="24"/>
                <w:lang w:bidi="ar"/>
              </w:rPr>
            </w:pPr>
            <w:r>
              <w:rPr>
                <w:rFonts w:hint="eastAsia"/>
                <w:color w:val="auto"/>
                <w:sz w:val="24"/>
                <w:szCs w:val="24"/>
                <w:lang w:bidi="ar"/>
              </w:rPr>
              <w:t xml:space="preserve">      </w:t>
            </w:r>
            <w:r>
              <w:rPr>
                <w:rFonts w:hint="eastAsia"/>
                <w:color w:val="auto"/>
                <w:sz w:val="24"/>
                <w:szCs w:val="24"/>
              </w:rPr>
              <w:t>η</w:t>
            </w:r>
            <w:r>
              <w:rPr>
                <w:rFonts w:hint="eastAsia"/>
                <w:color w:val="auto"/>
                <w:sz w:val="24"/>
                <w:szCs w:val="24"/>
                <w:vertAlign w:val="subscript"/>
              </w:rPr>
              <w:t>x</w:t>
            </w:r>
            <w:r>
              <w:rPr>
                <w:rFonts w:hint="eastAsia"/>
                <w:color w:val="auto"/>
                <w:kern w:val="0"/>
                <w:sz w:val="24"/>
                <w:szCs w:val="24"/>
                <w:lang w:bidi="ar"/>
              </w:rPr>
              <w:t>——</w:t>
            </w:r>
            <w:r>
              <w:rPr>
                <w:rFonts w:hint="default" w:ascii="宋体" w:eastAsia="宋体"/>
                <w:color w:val="auto"/>
                <w:kern w:val="0"/>
                <w:sz w:val="24"/>
                <w:szCs w:val="24"/>
                <w:lang w:bidi="ar"/>
              </w:rPr>
              <w:t>脱硫效率</w:t>
            </w:r>
            <w:r>
              <w:rPr>
                <w:rFonts w:hint="default" w:ascii="宋体" w:eastAsia="宋体"/>
                <w:color w:val="auto"/>
                <w:sz w:val="24"/>
                <w:szCs w:val="24"/>
              </w:rPr>
              <w:t>，%，</w:t>
            </w:r>
            <w:r>
              <w:rPr>
                <w:rFonts w:hint="eastAsia"/>
                <w:color w:val="auto"/>
                <w:sz w:val="24"/>
                <w:szCs w:val="24"/>
              </w:rPr>
              <w:t>0</w:t>
            </w:r>
            <w:r>
              <w:rPr>
                <w:rFonts w:hint="default" w:ascii="宋体" w:eastAsia="宋体"/>
                <w:color w:val="auto"/>
                <w:sz w:val="24"/>
                <w:szCs w:val="24"/>
              </w:rPr>
              <w:t>；</w:t>
            </w:r>
          </w:p>
          <w:p w14:paraId="61235DDD">
            <w:pPr>
              <w:adjustRightInd w:val="0"/>
              <w:snapToGrid w:val="0"/>
              <w:spacing w:beforeLines="0" w:afterLines="0" w:line="360" w:lineRule="auto"/>
              <w:ind w:firstLine="480" w:firstLineChars="200"/>
              <w:rPr>
                <w:rFonts w:hint="eastAsia"/>
                <w:color w:val="auto"/>
                <w:sz w:val="24"/>
                <w:szCs w:val="24"/>
                <w:lang w:bidi="ar"/>
              </w:rPr>
            </w:pPr>
            <w:r>
              <w:rPr>
                <w:rFonts w:hint="eastAsia"/>
                <w:color w:val="auto"/>
                <w:sz w:val="24"/>
                <w:szCs w:val="24"/>
                <w:lang w:bidi="ar"/>
              </w:rPr>
              <w:t xml:space="preserve">      K</w:t>
            </w:r>
            <w:r>
              <w:rPr>
                <w:rFonts w:hint="eastAsia"/>
                <w:color w:val="auto"/>
                <w:kern w:val="0"/>
                <w:sz w:val="24"/>
                <w:szCs w:val="24"/>
                <w:lang w:bidi="ar"/>
              </w:rPr>
              <w:t>——</w:t>
            </w:r>
            <w:r>
              <w:rPr>
                <w:rFonts w:hint="default" w:ascii="宋体" w:eastAsia="宋体"/>
                <w:color w:val="auto"/>
                <w:kern w:val="0"/>
                <w:sz w:val="24"/>
                <w:szCs w:val="24"/>
                <w:lang w:bidi="ar"/>
              </w:rPr>
              <w:t>燃料中的硫燃烧后氧化成二氧化硫的份额，量纲一的量，1.00。</w:t>
            </w:r>
          </w:p>
          <w:p w14:paraId="7AFDFAF8">
            <w:pPr>
              <w:adjustRightInd w:val="0"/>
              <w:snapToGrid w:val="0"/>
              <w:spacing w:beforeLines="0" w:afterLines="0" w:line="360" w:lineRule="auto"/>
              <w:ind w:firstLine="480" w:firstLineChars="200"/>
              <w:rPr>
                <w:rFonts w:hint="default" w:ascii="宋体" w:hAnsi="宋体" w:eastAsia="宋体"/>
                <w:color w:val="auto"/>
                <w:sz w:val="24"/>
                <w:szCs w:val="24"/>
                <w:lang w:bidi="ar"/>
              </w:rPr>
            </w:pPr>
            <w:r>
              <w:rPr>
                <w:rFonts w:hint="default" w:ascii="宋体" w:hAnsi="宋体" w:eastAsia="宋体"/>
                <w:color w:val="auto"/>
                <w:sz w:val="24"/>
                <w:szCs w:val="24"/>
                <w:lang w:bidi="ar"/>
              </w:rPr>
              <w:t>根据上式计算，二氧化硫排放量</w:t>
            </w:r>
            <w:r>
              <w:rPr>
                <w:rFonts w:hint="default" w:ascii="宋体" w:eastAsia="宋体"/>
                <w:color w:val="auto"/>
                <w:sz w:val="24"/>
                <w:szCs w:val="24"/>
                <w:lang w:bidi="ar"/>
              </w:rPr>
              <w:t>为</w:t>
            </w:r>
            <w:r>
              <w:rPr>
                <w:rFonts w:hint="eastAsia"/>
                <w:color w:val="auto"/>
                <w:sz w:val="24"/>
                <w:szCs w:val="24"/>
                <w:lang w:bidi="ar"/>
              </w:rPr>
              <w:t>0.2t/a</w:t>
            </w:r>
            <w:r>
              <w:rPr>
                <w:rFonts w:hint="default" w:ascii="宋体" w:eastAsia="宋体"/>
                <w:color w:val="auto"/>
                <w:sz w:val="24"/>
                <w:szCs w:val="24"/>
                <w:lang w:bidi="ar"/>
              </w:rPr>
              <w:t>，年工作</w:t>
            </w:r>
            <w:r>
              <w:rPr>
                <w:rFonts w:hint="eastAsia" w:ascii="宋体" w:eastAsia="宋体"/>
                <w:color w:val="auto"/>
                <w:sz w:val="24"/>
                <w:szCs w:val="24"/>
                <w:lang w:val="en-US" w:eastAsia="zh-CN" w:bidi="ar"/>
              </w:rPr>
              <w:t>2400</w:t>
            </w:r>
            <w:r>
              <w:rPr>
                <w:rFonts w:hint="default" w:ascii="宋体" w:eastAsia="宋体"/>
                <w:color w:val="auto"/>
                <w:sz w:val="24"/>
                <w:szCs w:val="24"/>
                <w:lang w:bidi="ar"/>
              </w:rPr>
              <w:t>h，</w:t>
            </w:r>
            <w:r>
              <w:rPr>
                <w:rFonts w:hint="default" w:ascii="宋体" w:eastAsia="宋体"/>
                <w:color w:val="auto"/>
                <w:sz w:val="24"/>
                <w:szCs w:val="24"/>
              </w:rPr>
              <w:t>排放速率为</w:t>
            </w:r>
            <w:r>
              <w:rPr>
                <w:rFonts w:hint="eastAsia" w:ascii="宋体" w:eastAsia="宋体"/>
                <w:color w:val="auto"/>
                <w:sz w:val="24"/>
                <w:szCs w:val="24"/>
                <w:lang w:val="en-US" w:eastAsia="zh-CN"/>
              </w:rPr>
              <w:t>0.0083</w:t>
            </w:r>
            <w:r>
              <w:rPr>
                <w:rFonts w:hint="default" w:ascii="宋体" w:eastAsia="宋体"/>
                <w:color w:val="auto"/>
                <w:sz w:val="24"/>
                <w:szCs w:val="24"/>
              </w:rPr>
              <w:t>kg/h，</w:t>
            </w:r>
            <w:r>
              <w:rPr>
                <w:rFonts w:hint="default" w:ascii="宋体" w:hAnsi="宋体" w:eastAsia="宋体"/>
                <w:color w:val="auto"/>
                <w:sz w:val="24"/>
                <w:szCs w:val="24"/>
                <w:lang w:bidi="ar"/>
              </w:rPr>
              <w:t>烟气量为</w:t>
            </w:r>
            <w:r>
              <w:rPr>
                <w:rFonts w:hint="eastAsia" w:ascii="宋体" w:hAnsi="宋体" w:eastAsia="宋体"/>
                <w:color w:val="auto"/>
                <w:sz w:val="24"/>
                <w:szCs w:val="24"/>
                <w:lang w:val="en-US" w:eastAsia="zh-CN" w:bidi="ar"/>
              </w:rPr>
              <w:t>4120</w:t>
            </w:r>
            <w:r>
              <w:rPr>
                <w:rFonts w:hint="eastAsia"/>
                <w:color w:val="auto"/>
                <w:sz w:val="24"/>
                <w:szCs w:val="24"/>
                <w:lang w:val="zh-CN"/>
              </w:rPr>
              <w:t>m</w:t>
            </w:r>
            <w:r>
              <w:rPr>
                <w:rFonts w:hint="eastAsia"/>
                <w:color w:val="auto"/>
                <w:sz w:val="24"/>
                <w:szCs w:val="24"/>
                <w:vertAlign w:val="superscript"/>
                <w:lang w:val="zh-CN"/>
              </w:rPr>
              <w:t>3</w:t>
            </w:r>
            <w:r>
              <w:rPr>
                <w:rFonts w:hint="eastAsia"/>
                <w:color w:val="auto"/>
                <w:sz w:val="24"/>
                <w:szCs w:val="24"/>
                <w:lang w:val="zh-CN"/>
              </w:rPr>
              <w:t>/h</w:t>
            </w:r>
            <w:r>
              <w:rPr>
                <w:rFonts w:hint="default" w:ascii="宋体" w:eastAsia="宋体"/>
                <w:color w:val="auto"/>
                <w:sz w:val="24"/>
                <w:szCs w:val="24"/>
                <w:lang w:val="zh-CN"/>
              </w:rPr>
              <w:t>，则</w:t>
            </w:r>
            <w:r>
              <w:rPr>
                <w:rFonts w:hint="default" w:ascii="宋体" w:hAnsi="宋体" w:eastAsia="宋体"/>
                <w:color w:val="auto"/>
                <w:sz w:val="24"/>
                <w:szCs w:val="24"/>
                <w:lang w:bidi="ar"/>
              </w:rPr>
              <w:t>排放浓度为</w:t>
            </w:r>
            <w:r>
              <w:rPr>
                <w:rFonts w:hint="eastAsia" w:ascii="宋体" w:eastAsia="宋体"/>
                <w:color w:val="auto"/>
                <w:sz w:val="24"/>
                <w:szCs w:val="24"/>
                <w:lang w:val="en-US" w:eastAsia="zh-CN"/>
              </w:rPr>
              <w:t>20.23</w:t>
            </w:r>
            <w:r>
              <w:rPr>
                <w:rFonts w:hint="eastAsia"/>
                <w:color w:val="auto"/>
                <w:sz w:val="24"/>
                <w:szCs w:val="24"/>
              </w:rPr>
              <w:t>mg/m</w:t>
            </w:r>
            <w:r>
              <w:rPr>
                <w:rFonts w:hint="eastAsia"/>
                <w:color w:val="auto"/>
                <w:sz w:val="24"/>
                <w:szCs w:val="24"/>
                <w:vertAlign w:val="superscript"/>
              </w:rPr>
              <w:t>3</w:t>
            </w:r>
            <w:r>
              <w:rPr>
                <w:rFonts w:hint="default" w:ascii="宋体" w:eastAsia="宋体"/>
                <w:color w:val="auto"/>
                <w:kern w:val="0"/>
                <w:sz w:val="24"/>
                <w:szCs w:val="24"/>
              </w:rPr>
              <w:t>。</w:t>
            </w:r>
          </w:p>
          <w:p w14:paraId="2E051BAB">
            <w:pPr>
              <w:adjustRightInd w:val="0"/>
              <w:snapToGrid w:val="0"/>
              <w:spacing w:beforeLines="0" w:afterLines="0" w:line="360" w:lineRule="auto"/>
              <w:ind w:firstLine="480" w:firstLineChars="200"/>
              <w:rPr>
                <w:rFonts w:hint="default" w:ascii="宋体" w:hAnsi="宋体" w:eastAsia="宋体"/>
                <w:color w:val="auto"/>
                <w:sz w:val="24"/>
                <w:szCs w:val="24"/>
                <w:lang w:bidi="ar"/>
              </w:rPr>
            </w:pPr>
            <w:r>
              <w:rPr>
                <w:rFonts w:hint="eastAsia" w:ascii="宋体" w:hAnsi="宋体" w:eastAsia="宋体" w:cs="宋体"/>
                <w:color w:val="auto"/>
                <w:sz w:val="24"/>
                <w:szCs w:val="24"/>
                <w:lang w:bidi="ar"/>
              </w:rPr>
              <w:t>④</w:t>
            </w:r>
            <w:r>
              <w:rPr>
                <w:rFonts w:hint="default" w:ascii="宋体" w:eastAsia="宋体"/>
                <w:color w:val="auto"/>
                <w:sz w:val="24"/>
                <w:szCs w:val="24"/>
                <w:lang w:bidi="ar"/>
              </w:rPr>
              <w:t>氮氧化物</w:t>
            </w:r>
            <w:r>
              <w:rPr>
                <w:rFonts w:hint="default" w:ascii="宋体" w:hAnsi="宋体" w:eastAsia="宋体"/>
                <w:color w:val="auto"/>
                <w:sz w:val="24"/>
                <w:szCs w:val="24"/>
                <w:lang w:bidi="ar"/>
              </w:rPr>
              <w:t>排放量</w:t>
            </w:r>
          </w:p>
          <w:p w14:paraId="1B10F8F1">
            <w:pPr>
              <w:adjustRightInd w:val="0"/>
              <w:snapToGrid w:val="0"/>
              <w:spacing w:beforeLines="0" w:afterLines="0" w:line="360" w:lineRule="auto"/>
              <w:ind w:firstLine="480" w:firstLineChars="200"/>
              <w:rPr>
                <w:rFonts w:hint="default" w:ascii="宋体" w:eastAsia="宋体"/>
                <w:color w:val="auto"/>
                <w:sz w:val="24"/>
                <w:szCs w:val="24"/>
              </w:rPr>
            </w:pPr>
            <w:r>
              <w:rPr>
                <w:rFonts w:hint="default" w:ascii="宋体" w:hAnsi="宋体" w:eastAsia="宋体"/>
                <w:color w:val="auto"/>
                <w:sz w:val="24"/>
                <w:szCs w:val="24"/>
                <w:lang w:bidi="ar"/>
              </w:rPr>
              <w:t>根据《污染源源强核算技术指南 锅炉》（</w:t>
            </w:r>
            <w:r>
              <w:rPr>
                <w:rFonts w:hint="eastAsia" w:ascii="TimesNewRomanPSMT" w:hAnsi="TimesNewRomanPSMT" w:eastAsia="TimesNewRomanPSMT"/>
                <w:color w:val="auto"/>
                <w:sz w:val="24"/>
                <w:szCs w:val="24"/>
                <w:lang w:bidi="ar"/>
              </w:rPr>
              <w:t>HJ991-2018</w:t>
            </w:r>
            <w:r>
              <w:rPr>
                <w:rFonts w:hint="default" w:ascii="宋体" w:hAnsi="宋体" w:eastAsia="宋体"/>
                <w:color w:val="auto"/>
                <w:sz w:val="24"/>
                <w:szCs w:val="24"/>
                <w:lang w:bidi="ar"/>
              </w:rPr>
              <w:t>），“氮氧化物排放量采用锅炉生产商提供的氮氧化物控制保证浓度值或类别同类锅炉氮氧化物浓度值按（</w:t>
            </w:r>
            <w:r>
              <w:rPr>
                <w:rFonts w:hint="eastAsia" w:ascii="TimesNewRomanPSMT" w:hAnsi="TimesNewRomanPSMT" w:eastAsia="TimesNewRomanPSMT"/>
                <w:color w:val="auto"/>
                <w:sz w:val="24"/>
                <w:szCs w:val="24"/>
                <w:lang w:bidi="ar"/>
              </w:rPr>
              <w:t>5</w:t>
            </w:r>
            <w:r>
              <w:rPr>
                <w:rFonts w:hint="default" w:ascii="宋体" w:hAnsi="宋体" w:eastAsia="宋体"/>
                <w:color w:val="auto"/>
                <w:sz w:val="24"/>
                <w:szCs w:val="24"/>
                <w:lang w:bidi="ar"/>
              </w:rPr>
              <w:t>）计算”，根据本项目锅炉厂商提供资料，项目安装低氮燃烧器后锅炉出口氮氧化物浓度保证值为低于</w:t>
            </w:r>
            <w:r>
              <w:rPr>
                <w:rFonts w:hint="default" w:ascii="宋体" w:eastAsia="宋体"/>
                <w:color w:val="auto"/>
                <w:sz w:val="24"/>
                <w:szCs w:val="24"/>
              </w:rPr>
              <w:t>5</w:t>
            </w:r>
            <w:r>
              <w:rPr>
                <w:rFonts w:hint="eastAsia"/>
                <w:color w:val="auto"/>
                <w:sz w:val="24"/>
                <w:szCs w:val="24"/>
              </w:rPr>
              <w:t>0mg/m</w:t>
            </w:r>
            <w:r>
              <w:rPr>
                <w:rFonts w:hint="eastAsia"/>
                <w:color w:val="auto"/>
                <w:sz w:val="24"/>
                <w:szCs w:val="24"/>
                <w:vertAlign w:val="superscript"/>
              </w:rPr>
              <w:t>3</w:t>
            </w:r>
            <w:r>
              <w:rPr>
                <w:rFonts w:hint="default" w:ascii="宋体" w:eastAsia="宋体"/>
                <w:color w:val="auto"/>
                <w:sz w:val="24"/>
                <w:szCs w:val="24"/>
              </w:rPr>
              <w:t>。</w:t>
            </w:r>
          </w:p>
          <w:p w14:paraId="2C2F7060">
            <w:pPr>
              <w:adjustRightInd w:val="0"/>
              <w:snapToGrid w:val="0"/>
              <w:spacing w:beforeLines="0" w:afterLines="0" w:line="360" w:lineRule="auto"/>
              <w:ind w:firstLine="480" w:firstLineChars="200"/>
              <w:rPr>
                <w:rFonts w:hint="default" w:ascii="宋体" w:eastAsia="宋体"/>
                <w:color w:val="auto"/>
                <w:sz w:val="24"/>
                <w:szCs w:val="24"/>
              </w:rPr>
            </w:pPr>
            <w:r>
              <w:rPr>
                <w:rFonts w:hint="default" w:ascii="宋体" w:hAnsi="宋体" w:eastAsia="宋体"/>
                <w:color w:val="auto"/>
                <w:sz w:val="24"/>
                <w:szCs w:val="24"/>
                <w:lang w:bidi="ar"/>
              </w:rPr>
              <w:t>天</w:t>
            </w:r>
            <w:r>
              <w:rPr>
                <w:rFonts w:hint="eastAsia" w:ascii="宋体" w:hAnsi="宋体"/>
                <w:color w:val="auto"/>
                <w:sz w:val="24"/>
                <w:szCs w:val="24"/>
                <w:lang w:eastAsia="zh-CN" w:bidi="ar"/>
              </w:rPr>
              <w:t>然</w:t>
            </w:r>
            <w:bookmarkStart w:id="16" w:name="_GoBack"/>
            <w:bookmarkEnd w:id="16"/>
            <w:r>
              <w:rPr>
                <w:rFonts w:hint="default" w:ascii="宋体" w:hAnsi="宋体" w:eastAsia="宋体"/>
                <w:color w:val="auto"/>
                <w:sz w:val="24"/>
                <w:szCs w:val="24"/>
                <w:lang w:bidi="ar"/>
              </w:rPr>
              <w:t>气锅炉氮氧化物排放量按照下式计算：</w:t>
            </w:r>
          </w:p>
          <w:p w14:paraId="4EB153BF">
            <w:pPr>
              <w:adjustRightInd w:val="0"/>
              <w:snapToGrid w:val="0"/>
              <w:spacing w:beforeLines="0" w:afterLines="0" w:line="360" w:lineRule="auto"/>
              <w:jc w:val="center"/>
              <w:rPr>
                <w:rFonts w:hint="default" w:ascii="宋体" w:hAnsi="宋体" w:eastAsia="宋体"/>
                <w:color w:val="auto"/>
                <w:sz w:val="24"/>
                <w:szCs w:val="24"/>
                <w:lang w:bidi="ar"/>
              </w:rPr>
            </w:pPr>
            <w:r>
              <w:rPr>
                <w:rFonts w:hint="default" w:ascii="宋体" w:hAnsi="宋体" w:eastAsia="宋体"/>
                <w:color w:val="auto"/>
                <w:sz w:val="24"/>
                <w:szCs w:val="24"/>
                <w:lang w:bidi="ar"/>
              </w:rPr>
              <w:drawing>
                <wp:inline distT="0" distB="0" distL="114300" distR="114300">
                  <wp:extent cx="2133600" cy="485140"/>
                  <wp:effectExtent l="0" t="0" r="0" b="2540"/>
                  <wp:docPr id="10" name="图片 17" descr="1f3d05e64cc0c06cea349541bb7b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1f3d05e64cc0c06cea349541bb7bcd7"/>
                          <pic:cNvPicPr>
                            <a:picLocks noChangeAspect="1"/>
                          </pic:cNvPicPr>
                        </pic:nvPicPr>
                        <pic:blipFill>
                          <a:blip r:embed="rId18"/>
                          <a:stretch>
                            <a:fillRect/>
                          </a:stretch>
                        </pic:blipFill>
                        <pic:spPr>
                          <a:xfrm>
                            <a:off x="0" y="0"/>
                            <a:ext cx="2133600" cy="485140"/>
                          </a:xfrm>
                          <a:prstGeom prst="rect">
                            <a:avLst/>
                          </a:prstGeom>
                          <a:noFill/>
                          <a:ln>
                            <a:noFill/>
                          </a:ln>
                        </pic:spPr>
                      </pic:pic>
                    </a:graphicData>
                  </a:graphic>
                </wp:inline>
              </w:drawing>
            </w:r>
          </w:p>
          <w:p w14:paraId="3EDC2D35">
            <w:pPr>
              <w:widowControl/>
              <w:spacing w:beforeLines="0" w:afterLines="0" w:line="360" w:lineRule="auto"/>
              <w:ind w:firstLine="480" w:firstLineChars="200"/>
              <w:jc w:val="left"/>
              <w:rPr>
                <w:rFonts w:hint="eastAsia"/>
                <w:color w:val="auto"/>
                <w:sz w:val="24"/>
                <w:szCs w:val="24"/>
              </w:rPr>
            </w:pPr>
            <w:r>
              <w:rPr>
                <w:rFonts w:hint="default" w:ascii="宋体" w:hAnsi="宋体" w:eastAsia="宋体"/>
                <w:color w:val="auto"/>
                <w:sz w:val="24"/>
                <w:szCs w:val="24"/>
                <w:lang w:bidi="ar"/>
              </w:rPr>
              <w:t>式中</w:t>
            </w:r>
            <w:r>
              <w:rPr>
                <w:rFonts w:hint="default" w:ascii="宋体" w:eastAsia="宋体"/>
                <w:color w:val="auto"/>
                <w:sz w:val="24"/>
                <w:szCs w:val="24"/>
                <w:lang w:bidi="ar"/>
              </w:rPr>
              <w:t>：</w:t>
            </w:r>
            <w:r>
              <w:rPr>
                <w:rFonts w:hint="eastAsia"/>
                <w:color w:val="auto"/>
                <w:sz w:val="24"/>
                <w:szCs w:val="24"/>
                <w:lang w:bidi="ar"/>
              </w:rPr>
              <w:t>E</w:t>
            </w:r>
            <w:r>
              <w:rPr>
                <w:rFonts w:hint="eastAsia"/>
                <w:color w:val="auto"/>
                <w:sz w:val="24"/>
                <w:szCs w:val="24"/>
                <w:vertAlign w:val="subscript"/>
                <w:lang w:bidi="ar"/>
              </w:rPr>
              <w:t>NOx</w:t>
            </w:r>
            <w:r>
              <w:rPr>
                <w:rFonts w:hint="eastAsia"/>
                <w:color w:val="auto"/>
                <w:kern w:val="0"/>
                <w:sz w:val="24"/>
                <w:szCs w:val="24"/>
                <w:lang w:bidi="ar"/>
              </w:rPr>
              <w:t>——</w:t>
            </w:r>
            <w:r>
              <w:rPr>
                <w:rFonts w:hint="default" w:ascii="宋体" w:eastAsia="宋体"/>
                <w:color w:val="auto"/>
                <w:kern w:val="0"/>
                <w:sz w:val="24"/>
                <w:szCs w:val="24"/>
                <w:lang w:bidi="ar"/>
              </w:rPr>
              <w:t>核算时段内氮氧化物排放量，t；</w:t>
            </w:r>
          </w:p>
          <w:p w14:paraId="1D536A80">
            <w:pPr>
              <w:adjustRightInd w:val="0"/>
              <w:snapToGrid w:val="0"/>
              <w:spacing w:beforeLines="0" w:afterLines="0" w:line="360" w:lineRule="auto"/>
              <w:ind w:firstLine="480" w:firstLineChars="200"/>
              <w:rPr>
                <w:rFonts w:hint="eastAsia"/>
                <w:color w:val="auto"/>
                <w:sz w:val="24"/>
                <w:szCs w:val="24"/>
                <w:lang w:bidi="ar"/>
              </w:rPr>
            </w:pPr>
            <w:r>
              <w:rPr>
                <w:rFonts w:hint="eastAsia"/>
                <w:color w:val="auto"/>
                <w:sz w:val="24"/>
                <w:szCs w:val="24"/>
                <w:lang w:bidi="ar"/>
              </w:rPr>
              <w:t xml:space="preserve">      </w:t>
            </w:r>
            <w:r>
              <w:rPr>
                <w:rFonts w:hint="eastAsia"/>
                <w:color w:val="auto"/>
                <w:sz w:val="24"/>
                <w:szCs w:val="24"/>
              </w:rPr>
              <w:t>ρ</w:t>
            </w:r>
            <w:r>
              <w:rPr>
                <w:rFonts w:hint="eastAsia"/>
                <w:color w:val="auto"/>
                <w:sz w:val="24"/>
                <w:szCs w:val="24"/>
                <w:vertAlign w:val="subscript"/>
                <w:lang w:bidi="ar"/>
              </w:rPr>
              <w:t>NOx</w:t>
            </w:r>
            <w:r>
              <w:rPr>
                <w:rFonts w:hint="eastAsia"/>
                <w:color w:val="auto"/>
                <w:kern w:val="0"/>
                <w:sz w:val="24"/>
                <w:szCs w:val="24"/>
                <w:lang w:bidi="ar"/>
              </w:rPr>
              <w:t>——</w:t>
            </w:r>
            <w:r>
              <w:rPr>
                <w:rFonts w:hint="default" w:ascii="宋体" w:eastAsia="宋体"/>
                <w:color w:val="auto"/>
                <w:kern w:val="0"/>
                <w:sz w:val="24"/>
                <w:szCs w:val="24"/>
                <w:lang w:bidi="ar"/>
              </w:rPr>
              <w:t>锅炉炉膛出口氮氧化物质量浓度，</w:t>
            </w:r>
            <w:r>
              <w:rPr>
                <w:rFonts w:hint="default" w:ascii="宋体" w:eastAsia="宋体"/>
                <w:color w:val="auto"/>
                <w:sz w:val="24"/>
                <w:szCs w:val="24"/>
              </w:rPr>
              <w:t>30~300</w:t>
            </w:r>
            <w:r>
              <w:rPr>
                <w:rFonts w:hint="eastAsia"/>
                <w:color w:val="auto"/>
                <w:sz w:val="24"/>
                <w:szCs w:val="24"/>
              </w:rPr>
              <w:t>mg/m</w:t>
            </w:r>
            <w:r>
              <w:rPr>
                <w:rFonts w:hint="eastAsia"/>
                <w:color w:val="auto"/>
                <w:sz w:val="24"/>
                <w:szCs w:val="24"/>
                <w:vertAlign w:val="superscript"/>
              </w:rPr>
              <w:t>3</w:t>
            </w:r>
            <w:r>
              <w:rPr>
                <w:rFonts w:hint="default" w:ascii="宋体" w:eastAsia="宋体"/>
                <w:color w:val="auto"/>
                <w:sz w:val="24"/>
                <w:szCs w:val="24"/>
              </w:rPr>
              <w:t>，取5</w:t>
            </w:r>
            <w:r>
              <w:rPr>
                <w:rFonts w:hint="eastAsia"/>
                <w:color w:val="auto"/>
                <w:sz w:val="24"/>
                <w:szCs w:val="24"/>
              </w:rPr>
              <w:t>0mg/m</w:t>
            </w:r>
            <w:r>
              <w:rPr>
                <w:rFonts w:hint="eastAsia"/>
                <w:color w:val="auto"/>
                <w:sz w:val="24"/>
                <w:szCs w:val="24"/>
                <w:vertAlign w:val="superscript"/>
              </w:rPr>
              <w:t>3</w:t>
            </w:r>
            <w:r>
              <w:rPr>
                <w:rFonts w:hint="default" w:ascii="宋体" w:eastAsia="宋体"/>
                <w:color w:val="auto"/>
                <w:sz w:val="24"/>
                <w:szCs w:val="24"/>
              </w:rPr>
              <w:t>；</w:t>
            </w:r>
          </w:p>
          <w:p w14:paraId="209332E1">
            <w:pPr>
              <w:adjustRightInd w:val="0"/>
              <w:snapToGrid w:val="0"/>
              <w:spacing w:beforeLines="0" w:afterLines="0" w:line="360" w:lineRule="auto"/>
              <w:ind w:firstLine="480" w:firstLineChars="200"/>
              <w:rPr>
                <w:rFonts w:hint="eastAsia"/>
                <w:color w:val="auto"/>
                <w:sz w:val="24"/>
                <w:szCs w:val="24"/>
                <w:vertAlign w:val="superscript"/>
                <w:lang w:bidi="ar"/>
              </w:rPr>
            </w:pPr>
            <w:r>
              <w:rPr>
                <w:rFonts w:hint="eastAsia"/>
                <w:color w:val="auto"/>
                <w:sz w:val="24"/>
                <w:szCs w:val="24"/>
                <w:lang w:bidi="ar"/>
              </w:rPr>
              <w:t xml:space="preserve">      Q</w:t>
            </w:r>
            <w:r>
              <w:rPr>
                <w:rFonts w:hint="eastAsia"/>
                <w:color w:val="auto"/>
                <w:kern w:val="0"/>
                <w:sz w:val="24"/>
                <w:szCs w:val="24"/>
                <w:lang w:bidi="ar"/>
              </w:rPr>
              <w:t>——</w:t>
            </w:r>
            <w:r>
              <w:rPr>
                <w:rFonts w:hint="default" w:ascii="宋体" w:eastAsia="宋体"/>
                <w:color w:val="auto"/>
                <w:kern w:val="0"/>
                <w:sz w:val="24"/>
                <w:szCs w:val="24"/>
                <w:lang w:bidi="ar"/>
              </w:rPr>
              <w:t>核算时段内标态干烟气排放量，</w:t>
            </w:r>
            <w:r>
              <w:rPr>
                <w:rFonts w:hint="eastAsia"/>
                <w:color w:val="auto"/>
                <w:sz w:val="24"/>
                <w:szCs w:val="24"/>
              </w:rPr>
              <w:t>m</w:t>
            </w:r>
            <w:r>
              <w:rPr>
                <w:rFonts w:hint="eastAsia"/>
                <w:color w:val="auto"/>
                <w:sz w:val="24"/>
                <w:szCs w:val="24"/>
                <w:vertAlign w:val="superscript"/>
              </w:rPr>
              <w:t>3</w:t>
            </w:r>
            <w:r>
              <w:rPr>
                <w:rFonts w:hint="default" w:ascii="宋体" w:eastAsia="宋体"/>
                <w:color w:val="auto"/>
                <w:sz w:val="24"/>
                <w:szCs w:val="24"/>
              </w:rPr>
              <w:t>；按照</w:t>
            </w:r>
            <w:r>
              <w:rPr>
                <w:rFonts w:hint="eastAsia" w:ascii="宋体" w:eastAsia="宋体"/>
                <w:color w:val="auto"/>
                <w:kern w:val="0"/>
                <w:sz w:val="24"/>
                <w:szCs w:val="24"/>
                <w:lang w:val="en-US" w:eastAsia="zh-CN" w:bidi="ar"/>
              </w:rPr>
              <w:t>4120</w:t>
            </w:r>
            <w:r>
              <w:rPr>
                <w:rFonts w:hint="eastAsia"/>
                <w:color w:val="auto"/>
                <w:sz w:val="24"/>
                <w:szCs w:val="24"/>
                <w:lang w:val="zh-CN"/>
              </w:rPr>
              <w:t>m</w:t>
            </w:r>
            <w:r>
              <w:rPr>
                <w:rFonts w:hint="eastAsia"/>
                <w:color w:val="auto"/>
                <w:sz w:val="24"/>
                <w:szCs w:val="24"/>
                <w:vertAlign w:val="superscript"/>
                <w:lang w:val="zh-CN"/>
              </w:rPr>
              <w:t>3</w:t>
            </w:r>
            <w:r>
              <w:rPr>
                <w:rFonts w:hint="eastAsia"/>
                <w:color w:val="auto"/>
                <w:sz w:val="24"/>
                <w:szCs w:val="24"/>
                <w:lang w:val="zh-CN"/>
              </w:rPr>
              <w:t>/h</w:t>
            </w:r>
            <w:r>
              <w:rPr>
                <w:rFonts w:hint="default" w:ascii="宋体" w:eastAsia="宋体"/>
                <w:color w:val="auto"/>
                <w:sz w:val="24"/>
                <w:szCs w:val="24"/>
                <w:lang w:val="zh-CN"/>
              </w:rPr>
              <w:t>计</w:t>
            </w:r>
            <w:r>
              <w:rPr>
                <w:rFonts w:hint="default" w:ascii="宋体" w:eastAsia="宋体"/>
                <w:color w:val="auto"/>
                <w:sz w:val="24"/>
                <w:szCs w:val="24"/>
              </w:rPr>
              <w:t>；</w:t>
            </w:r>
          </w:p>
          <w:p w14:paraId="05C3DE77">
            <w:pPr>
              <w:adjustRightInd w:val="0"/>
              <w:snapToGrid w:val="0"/>
              <w:spacing w:beforeLines="0" w:afterLines="0" w:line="360" w:lineRule="auto"/>
              <w:ind w:firstLine="1200" w:firstLineChars="500"/>
              <w:rPr>
                <w:rFonts w:hint="eastAsia"/>
                <w:color w:val="auto"/>
                <w:sz w:val="24"/>
                <w:szCs w:val="24"/>
                <w:lang w:bidi="ar"/>
              </w:rPr>
            </w:pPr>
            <w:r>
              <w:rPr>
                <w:rFonts w:hint="eastAsia"/>
                <w:color w:val="auto"/>
                <w:sz w:val="24"/>
                <w:szCs w:val="24"/>
              </w:rPr>
              <w:t>η</w:t>
            </w:r>
            <w:r>
              <w:rPr>
                <w:rFonts w:hint="eastAsia"/>
                <w:color w:val="auto"/>
                <w:sz w:val="24"/>
                <w:szCs w:val="24"/>
                <w:vertAlign w:val="subscript"/>
                <w:lang w:bidi="ar"/>
              </w:rPr>
              <w:t>NOx</w:t>
            </w:r>
            <w:r>
              <w:rPr>
                <w:rFonts w:hint="eastAsia"/>
                <w:color w:val="auto"/>
                <w:kern w:val="0"/>
                <w:sz w:val="24"/>
                <w:szCs w:val="24"/>
                <w:lang w:bidi="ar"/>
              </w:rPr>
              <w:t>——</w:t>
            </w:r>
            <w:r>
              <w:rPr>
                <w:rFonts w:hint="default" w:ascii="宋体" w:eastAsia="宋体"/>
                <w:color w:val="auto"/>
                <w:kern w:val="0"/>
                <w:sz w:val="24"/>
                <w:szCs w:val="24"/>
                <w:lang w:bidi="ar"/>
              </w:rPr>
              <w:t>脱硝效率</w:t>
            </w:r>
            <w:r>
              <w:rPr>
                <w:rFonts w:hint="default" w:ascii="宋体" w:eastAsia="宋体"/>
                <w:color w:val="auto"/>
                <w:sz w:val="24"/>
                <w:szCs w:val="24"/>
              </w:rPr>
              <w:t>，%，初始浓度是按照安装低氮燃烧器以后的浓度，故效率以0计</w:t>
            </w:r>
            <w:r>
              <w:rPr>
                <w:rFonts w:hint="default" w:ascii="宋体" w:eastAsia="宋体"/>
                <w:color w:val="auto"/>
                <w:kern w:val="0"/>
                <w:sz w:val="24"/>
                <w:szCs w:val="24"/>
                <w:lang w:bidi="ar"/>
              </w:rPr>
              <w:t>。</w:t>
            </w:r>
          </w:p>
          <w:p w14:paraId="3310553A">
            <w:pPr>
              <w:adjustRightInd w:val="0"/>
              <w:snapToGrid w:val="0"/>
              <w:spacing w:beforeLines="0" w:afterLines="0" w:line="360" w:lineRule="auto"/>
              <w:ind w:firstLine="480" w:firstLineChars="200"/>
              <w:rPr>
                <w:rFonts w:hint="eastAsia"/>
                <w:color w:val="auto"/>
                <w:sz w:val="24"/>
                <w:szCs w:val="24"/>
              </w:rPr>
            </w:pPr>
            <w:r>
              <w:rPr>
                <w:rFonts w:hint="default" w:ascii="宋体" w:hAnsi="宋体" w:eastAsia="宋体"/>
                <w:color w:val="auto"/>
                <w:sz w:val="24"/>
                <w:szCs w:val="24"/>
                <w:lang w:bidi="ar"/>
              </w:rPr>
              <w:t>根据上式计算，氮氧化物排放浓度为</w:t>
            </w:r>
            <w:r>
              <w:rPr>
                <w:rFonts w:hint="default" w:ascii="宋体" w:eastAsia="宋体"/>
                <w:color w:val="auto"/>
                <w:sz w:val="24"/>
                <w:szCs w:val="24"/>
              </w:rPr>
              <w:t>5</w:t>
            </w:r>
            <w:r>
              <w:rPr>
                <w:rFonts w:hint="eastAsia"/>
                <w:color w:val="auto"/>
                <w:sz w:val="24"/>
                <w:szCs w:val="24"/>
              </w:rPr>
              <w:t>0mg/m</w:t>
            </w:r>
            <w:r>
              <w:rPr>
                <w:rFonts w:hint="eastAsia"/>
                <w:color w:val="auto"/>
                <w:sz w:val="24"/>
                <w:szCs w:val="24"/>
                <w:vertAlign w:val="superscript"/>
              </w:rPr>
              <w:t>3</w:t>
            </w:r>
            <w:r>
              <w:rPr>
                <w:rFonts w:hint="default" w:ascii="宋体" w:eastAsia="宋体"/>
                <w:color w:val="auto"/>
                <w:sz w:val="24"/>
                <w:szCs w:val="24"/>
              </w:rPr>
              <w:t>，排放速率为</w:t>
            </w:r>
            <w:r>
              <w:rPr>
                <w:rFonts w:hint="eastAsia" w:ascii="宋体" w:eastAsia="宋体"/>
                <w:color w:val="auto"/>
                <w:sz w:val="24"/>
                <w:szCs w:val="24"/>
                <w:lang w:val="en-US" w:eastAsia="zh-CN"/>
              </w:rPr>
              <w:t>0.21</w:t>
            </w:r>
            <w:r>
              <w:rPr>
                <w:rFonts w:hint="default" w:ascii="宋体" w:eastAsia="宋体"/>
                <w:color w:val="auto"/>
                <w:sz w:val="24"/>
                <w:szCs w:val="24"/>
              </w:rPr>
              <w:t>kg/h，</w:t>
            </w:r>
            <w:r>
              <w:rPr>
                <w:rFonts w:hint="default" w:ascii="宋体" w:hAnsi="宋体" w:eastAsia="宋体"/>
                <w:color w:val="auto"/>
                <w:sz w:val="24"/>
                <w:szCs w:val="24"/>
                <w:lang w:bidi="ar"/>
              </w:rPr>
              <w:t>排</w:t>
            </w:r>
            <w:r>
              <w:rPr>
                <w:rFonts w:hint="default" w:ascii="宋体" w:eastAsia="宋体"/>
                <w:color w:val="auto"/>
                <w:sz w:val="24"/>
                <w:szCs w:val="24"/>
                <w:lang w:bidi="ar"/>
              </w:rPr>
              <w:t>放量为</w:t>
            </w:r>
            <w:r>
              <w:rPr>
                <w:rFonts w:hint="eastAsia" w:eastAsia="宋体"/>
                <w:color w:val="auto"/>
                <w:sz w:val="24"/>
                <w:szCs w:val="24"/>
                <w:lang w:val="en-US" w:eastAsia="zh-CN" w:bidi="ar"/>
              </w:rPr>
              <w:t>0.5</w:t>
            </w:r>
            <w:r>
              <w:rPr>
                <w:rFonts w:hint="eastAsia"/>
                <w:color w:val="auto"/>
                <w:kern w:val="0"/>
                <w:sz w:val="24"/>
                <w:szCs w:val="24"/>
              </w:rPr>
              <w:t>t/a</w:t>
            </w:r>
            <w:r>
              <w:rPr>
                <w:rFonts w:hint="default" w:ascii="宋体" w:eastAsia="宋体"/>
                <w:color w:val="auto"/>
                <w:kern w:val="0"/>
                <w:sz w:val="24"/>
                <w:szCs w:val="24"/>
              </w:rPr>
              <w:t>。</w:t>
            </w:r>
          </w:p>
          <w:p w14:paraId="0EBD69A6">
            <w:pPr>
              <w:spacing w:line="360" w:lineRule="auto"/>
              <w:ind w:firstLine="474" w:firstLineChars="200"/>
              <w:rPr>
                <w:rFonts w:hint="default" w:ascii="Times New Roman" w:hAnsi="Times New Roman" w:cs="Times New Roman"/>
                <w:b/>
                <w:color w:val="auto"/>
                <w:spacing w:val="-2"/>
                <w:sz w:val="24"/>
                <w:szCs w:val="24"/>
              </w:rPr>
            </w:pPr>
            <w:r>
              <w:rPr>
                <w:rFonts w:hint="default" w:ascii="Times New Roman" w:hAnsi="Times New Roman" w:cs="Times New Roman"/>
                <w:b/>
                <w:color w:val="auto"/>
                <w:spacing w:val="-2"/>
                <w:sz w:val="24"/>
                <w:szCs w:val="24"/>
              </w:rPr>
              <w:t>风量核算：</w:t>
            </w:r>
          </w:p>
          <w:p w14:paraId="4AE92430">
            <w:pPr>
              <w:widowControl/>
              <w:spacing w:line="360" w:lineRule="auto"/>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单个集气罩集气风量计算公式：Q=K（a+b）×h×V0×3600</w:t>
            </w:r>
          </w:p>
          <w:p w14:paraId="30615ECF">
            <w:pPr>
              <w:widowControl/>
              <w:spacing w:line="360" w:lineRule="auto"/>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式中：Q：为集气罩集气风量，单位为m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p w14:paraId="5A093449">
            <w:pPr>
              <w:widowControl/>
              <w:spacing w:line="360" w:lineRule="auto"/>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K为安全系数1.4；</w:t>
            </w:r>
          </w:p>
          <w:p w14:paraId="734D6C06">
            <w:pPr>
              <w:spacing w:line="360" w:lineRule="auto"/>
              <w:ind w:firstLine="451" w:firstLineChars="21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（a+b）为集气罩周长，单位为m；</w:t>
            </w:r>
          </w:p>
          <w:p w14:paraId="6CD5D3C6">
            <w:pPr>
              <w:widowControl/>
              <w:spacing w:line="360" w:lineRule="auto"/>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h为罩口至污染源的距离，单位为m，本项目取0.2m；</w:t>
            </w:r>
          </w:p>
          <w:p w14:paraId="45A91ACC">
            <w:pPr>
              <w:widowControl/>
              <w:spacing w:line="360" w:lineRule="auto"/>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V0污染源气体流速，一般在0.5m/s~1.5m/s，本次评价取均值1.0m/s（根据《局部排放设施控制风速检测与评估技术规范》（AQ/T4274-2016）中有毒气体外部排风罩控制风速1.0m/s）。</w:t>
            </w:r>
          </w:p>
          <w:p w14:paraId="6A4F7409">
            <w:pPr>
              <w:spacing w:line="36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表4-2   集气罩风量核算统计表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2041"/>
              <w:gridCol w:w="1672"/>
              <w:gridCol w:w="941"/>
              <w:gridCol w:w="554"/>
              <w:gridCol w:w="546"/>
              <w:gridCol w:w="725"/>
              <w:gridCol w:w="1083"/>
              <w:gridCol w:w="1044"/>
            </w:tblGrid>
            <w:tr w14:paraId="0CD1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36526A">
                  <w:pPr>
                    <w:widowControl/>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bidi="ar"/>
                    </w:rPr>
                    <w:t>序号</w:t>
                  </w:r>
                </w:p>
              </w:tc>
              <w:tc>
                <w:tcPr>
                  <w:tcW w:w="11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76309C">
                  <w:pPr>
                    <w:widowControl/>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bidi="ar"/>
                    </w:rPr>
                    <w:t>污染工序</w:t>
                  </w:r>
                </w:p>
              </w:tc>
              <w:tc>
                <w:tcPr>
                  <w:tcW w:w="9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B380F3">
                  <w:pPr>
                    <w:widowControl/>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bidi="ar"/>
                    </w:rPr>
                    <w:t>集气罩尺寸（a+b）</w:t>
                  </w:r>
                </w:p>
              </w:tc>
              <w:tc>
                <w:tcPr>
                  <w:tcW w:w="51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831F4C">
                  <w:pPr>
                    <w:widowControl/>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bidi="ar"/>
                    </w:rPr>
                    <w:t>h（m)</w:t>
                  </w:r>
                </w:p>
              </w:tc>
              <w:tc>
                <w:tcPr>
                  <w:tcW w:w="3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2847B6">
                  <w:pPr>
                    <w:widowControl/>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bidi="ar"/>
                    </w:rPr>
                    <w:t>K</w:t>
                  </w:r>
                </w:p>
              </w:tc>
              <w:tc>
                <w:tcPr>
                  <w:tcW w:w="3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E357A4">
                  <w:pPr>
                    <w:widowControl/>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bidi="ar"/>
                    </w:rPr>
                    <w:t>V0</w:t>
                  </w:r>
                </w:p>
              </w:tc>
              <w:tc>
                <w:tcPr>
                  <w:tcW w:w="3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F508B0">
                  <w:pPr>
                    <w:widowControl/>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bidi="ar"/>
                    </w:rPr>
                    <w:t>集气罩数量</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E09304">
                  <w:pPr>
                    <w:widowControl/>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bidi="ar"/>
                    </w:rPr>
                    <w:t>计算风量m</w:t>
                  </w:r>
                  <w:r>
                    <w:rPr>
                      <w:rFonts w:hint="default" w:ascii="Times New Roman" w:hAnsi="Times New Roman" w:cs="Times New Roman"/>
                      <w:b/>
                      <w:color w:val="auto"/>
                      <w:kern w:val="0"/>
                      <w:sz w:val="21"/>
                      <w:szCs w:val="21"/>
                      <w:vertAlign w:val="superscript"/>
                      <w:lang w:bidi="ar"/>
                    </w:rPr>
                    <w:t>3</w:t>
                  </w:r>
                  <w:r>
                    <w:rPr>
                      <w:rFonts w:hint="default" w:ascii="Times New Roman" w:hAnsi="Times New Roman" w:cs="Times New Roman"/>
                      <w:b/>
                      <w:color w:val="auto"/>
                      <w:kern w:val="0"/>
                      <w:sz w:val="21"/>
                      <w:szCs w:val="21"/>
                      <w:lang w:bidi="ar"/>
                    </w:rPr>
                    <w:t>/h</w:t>
                  </w:r>
                </w:p>
              </w:tc>
              <w:tc>
                <w:tcPr>
                  <w:tcW w:w="57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2AED85">
                  <w:pPr>
                    <w:widowControl/>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bidi="ar"/>
                    </w:rPr>
                    <w:t>设计风量m</w:t>
                  </w:r>
                  <w:r>
                    <w:rPr>
                      <w:rFonts w:hint="default" w:ascii="Times New Roman" w:hAnsi="Times New Roman" w:cs="Times New Roman"/>
                      <w:b/>
                      <w:color w:val="auto"/>
                      <w:kern w:val="0"/>
                      <w:sz w:val="21"/>
                      <w:szCs w:val="21"/>
                      <w:vertAlign w:val="superscript"/>
                      <w:lang w:bidi="ar"/>
                    </w:rPr>
                    <w:t>3</w:t>
                  </w:r>
                  <w:r>
                    <w:rPr>
                      <w:rFonts w:hint="default" w:ascii="Times New Roman" w:hAnsi="Times New Roman" w:cs="Times New Roman"/>
                      <w:b/>
                      <w:color w:val="auto"/>
                      <w:kern w:val="0"/>
                      <w:sz w:val="21"/>
                      <w:szCs w:val="21"/>
                      <w:lang w:bidi="ar"/>
                    </w:rPr>
                    <w:t>/h</w:t>
                  </w:r>
                </w:p>
              </w:tc>
            </w:tr>
            <w:tr w14:paraId="6243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1B6636">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w:t>
                  </w:r>
                </w:p>
              </w:tc>
              <w:tc>
                <w:tcPr>
                  <w:tcW w:w="11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5E3E7B">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配料</w:t>
                  </w:r>
                </w:p>
              </w:tc>
              <w:tc>
                <w:tcPr>
                  <w:tcW w:w="9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44A66F">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长1.</w:t>
                  </w:r>
                  <w:r>
                    <w:rPr>
                      <w:rFonts w:hint="default" w:ascii="Times New Roman" w:hAnsi="Times New Roman" w:cs="Times New Roman"/>
                      <w:color w:val="auto"/>
                      <w:kern w:val="0"/>
                      <w:sz w:val="21"/>
                      <w:szCs w:val="21"/>
                      <w:lang w:val="en-US" w:eastAsia="zh-CN" w:bidi="ar"/>
                    </w:rPr>
                    <w:t>5</w:t>
                  </w:r>
                  <w:r>
                    <w:rPr>
                      <w:rFonts w:hint="default" w:ascii="Times New Roman" w:hAnsi="Times New Roman" w:cs="Times New Roman"/>
                      <w:color w:val="auto"/>
                      <w:kern w:val="0"/>
                      <w:sz w:val="21"/>
                      <w:szCs w:val="21"/>
                      <w:lang w:bidi="ar"/>
                    </w:rPr>
                    <w:t>m，宽0.</w:t>
                  </w:r>
                  <w:r>
                    <w:rPr>
                      <w:rFonts w:hint="default" w:ascii="Times New Roman" w:hAnsi="Times New Roman" w:cs="Times New Roman"/>
                      <w:color w:val="auto"/>
                      <w:kern w:val="0"/>
                      <w:sz w:val="21"/>
                      <w:szCs w:val="21"/>
                      <w:lang w:val="en-US" w:eastAsia="zh-CN" w:bidi="ar"/>
                    </w:rPr>
                    <w:t>8</w:t>
                  </w:r>
                  <w:r>
                    <w:rPr>
                      <w:rFonts w:hint="default" w:ascii="Times New Roman" w:hAnsi="Times New Roman" w:cs="Times New Roman"/>
                      <w:color w:val="auto"/>
                      <w:kern w:val="0"/>
                      <w:sz w:val="21"/>
                      <w:szCs w:val="21"/>
                      <w:lang w:bidi="ar"/>
                    </w:rPr>
                    <w:t>m</w:t>
                  </w:r>
                </w:p>
              </w:tc>
              <w:tc>
                <w:tcPr>
                  <w:tcW w:w="51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88040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0.</w:t>
                  </w:r>
                  <w:r>
                    <w:rPr>
                      <w:rFonts w:hint="default" w:ascii="Times New Roman" w:hAnsi="Times New Roman" w:cs="Times New Roman"/>
                      <w:color w:val="auto"/>
                      <w:kern w:val="0"/>
                      <w:sz w:val="21"/>
                      <w:szCs w:val="21"/>
                      <w:lang w:val="en-US" w:eastAsia="zh-CN" w:bidi="ar"/>
                    </w:rPr>
                    <w:t>2</w:t>
                  </w:r>
                </w:p>
              </w:tc>
              <w:tc>
                <w:tcPr>
                  <w:tcW w:w="3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14063F">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1.4</w:t>
                  </w:r>
                </w:p>
              </w:tc>
              <w:tc>
                <w:tcPr>
                  <w:tcW w:w="3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7B5CD8">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E8720E">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A7864C">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4636</w:t>
                  </w:r>
                </w:p>
              </w:tc>
              <w:tc>
                <w:tcPr>
                  <w:tcW w:w="57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B5A186">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5000</w:t>
                  </w:r>
                </w:p>
              </w:tc>
            </w:tr>
          </w:tbl>
          <w:p w14:paraId="04286B6D">
            <w:pPr>
              <w:adjustRightInd w:val="0"/>
              <w:snapToGrid w:val="0"/>
              <w:spacing w:beforeLines="0" w:afterLines="0"/>
              <w:jc w:val="center"/>
              <w:rPr>
                <w:rFonts w:hint="default" w:ascii="宋体" w:hAnsi="宋体" w:eastAsia="宋体"/>
                <w:b/>
                <w:snapToGrid/>
                <w:color w:val="auto"/>
                <w:kern w:val="0"/>
                <w:sz w:val="21"/>
                <w:szCs w:val="21"/>
                <w:vertAlign w:val="baseline"/>
              </w:rPr>
            </w:pPr>
          </w:p>
          <w:p w14:paraId="64AE178E">
            <w:pPr>
              <w:adjustRightInd w:val="0"/>
              <w:snapToGrid w:val="0"/>
              <w:spacing w:beforeLines="0" w:afterLines="0"/>
              <w:jc w:val="center"/>
              <w:rPr>
                <w:rFonts w:hint="eastAsia" w:hAnsi="宋体"/>
                <w:b/>
                <w:snapToGrid/>
                <w:color w:val="auto"/>
                <w:kern w:val="0"/>
                <w:sz w:val="21"/>
                <w:szCs w:val="21"/>
                <w:vertAlign w:val="baseline"/>
              </w:rPr>
            </w:pPr>
            <w:r>
              <w:rPr>
                <w:rFonts w:hint="default" w:ascii="宋体" w:hAnsi="宋体" w:eastAsia="宋体"/>
                <w:b/>
                <w:snapToGrid/>
                <w:color w:val="auto"/>
                <w:kern w:val="0"/>
                <w:sz w:val="21"/>
                <w:szCs w:val="21"/>
                <w:vertAlign w:val="baseline"/>
              </w:rPr>
              <w:t>表4-</w:t>
            </w:r>
            <w:r>
              <w:rPr>
                <w:rFonts w:hint="eastAsia" w:ascii="宋体" w:hAnsi="宋体"/>
                <w:b/>
                <w:snapToGrid/>
                <w:color w:val="auto"/>
                <w:kern w:val="0"/>
                <w:sz w:val="21"/>
                <w:szCs w:val="21"/>
                <w:vertAlign w:val="baseline"/>
                <w:lang w:val="en-US" w:eastAsia="zh-CN"/>
              </w:rPr>
              <w:t>2</w:t>
            </w:r>
            <w:r>
              <w:rPr>
                <w:rFonts w:hint="default" w:ascii="宋体" w:hAnsi="宋体" w:eastAsia="宋体"/>
                <w:b/>
                <w:snapToGrid/>
                <w:color w:val="auto"/>
                <w:kern w:val="0"/>
                <w:sz w:val="21"/>
                <w:szCs w:val="21"/>
                <w:vertAlign w:val="baseline"/>
              </w:rPr>
              <w:t xml:space="preserve"> 项目有组织废气产排情况一览表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838"/>
              <w:gridCol w:w="872"/>
              <w:gridCol w:w="832"/>
              <w:gridCol w:w="960"/>
              <w:gridCol w:w="646"/>
              <w:gridCol w:w="1335"/>
              <w:gridCol w:w="847"/>
              <w:gridCol w:w="883"/>
              <w:gridCol w:w="991"/>
            </w:tblGrid>
            <w:tr w14:paraId="5405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E67ABE">
                  <w:pPr>
                    <w:adjustRightInd w:val="0"/>
                    <w:spacing w:beforeLines="0" w:afterLines="0"/>
                    <w:ind w:left="-105" w:leftChars="-50" w:right="-105" w:rightChars="-50"/>
                    <w:jc w:val="center"/>
                    <w:rPr>
                      <w:rFonts w:hint="default" w:ascii="Times New Roman" w:hAnsi="Times New Roman" w:cs="Times New Roman"/>
                      <w:b/>
                      <w:snapToGrid/>
                      <w:color w:val="auto"/>
                      <w:kern w:val="0"/>
                      <w:sz w:val="21"/>
                      <w:szCs w:val="21"/>
                      <w:vertAlign w:val="baseline"/>
                    </w:rPr>
                  </w:pPr>
                  <w:r>
                    <w:rPr>
                      <w:rFonts w:hint="default" w:ascii="Times New Roman" w:hAnsi="Times New Roman" w:eastAsia="宋体" w:cs="Times New Roman"/>
                      <w:b/>
                      <w:snapToGrid/>
                      <w:color w:val="auto"/>
                      <w:kern w:val="0"/>
                      <w:sz w:val="21"/>
                      <w:szCs w:val="21"/>
                      <w:vertAlign w:val="baseline"/>
                    </w:rPr>
                    <w:t>产排污环节</w:t>
                  </w: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BFEC98">
                  <w:pPr>
                    <w:adjustRightInd w:val="0"/>
                    <w:spacing w:beforeLines="0" w:afterLines="0"/>
                    <w:ind w:left="-105" w:leftChars="-50" w:right="-105" w:rightChars="-50"/>
                    <w:jc w:val="center"/>
                    <w:rPr>
                      <w:rFonts w:hint="default" w:ascii="Times New Roman" w:hAnsi="Times New Roman" w:cs="Times New Roman"/>
                      <w:b/>
                      <w:snapToGrid/>
                      <w:color w:val="auto"/>
                      <w:kern w:val="0"/>
                      <w:sz w:val="21"/>
                      <w:szCs w:val="21"/>
                      <w:vertAlign w:val="baseline"/>
                    </w:rPr>
                  </w:pPr>
                  <w:r>
                    <w:rPr>
                      <w:rFonts w:hint="default" w:ascii="Times New Roman" w:hAnsi="Times New Roman" w:eastAsia="宋体" w:cs="Times New Roman"/>
                      <w:b/>
                      <w:snapToGrid/>
                      <w:color w:val="auto"/>
                      <w:kern w:val="0"/>
                      <w:sz w:val="21"/>
                      <w:szCs w:val="21"/>
                      <w:vertAlign w:val="baseline"/>
                    </w:rPr>
                    <w:t>污染物</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9F2D19">
                  <w:pPr>
                    <w:adjustRightInd w:val="0"/>
                    <w:spacing w:beforeLines="0" w:afterLines="0"/>
                    <w:ind w:left="-105" w:leftChars="-50" w:right="-105" w:rightChars="-50"/>
                    <w:jc w:val="center"/>
                    <w:rPr>
                      <w:rFonts w:hint="default" w:ascii="Times New Roman" w:hAnsi="Times New Roman" w:cs="Times New Roman"/>
                      <w:b/>
                      <w:snapToGrid/>
                      <w:color w:val="auto"/>
                      <w:kern w:val="0"/>
                      <w:sz w:val="21"/>
                      <w:szCs w:val="21"/>
                      <w:vertAlign w:val="baseline"/>
                    </w:rPr>
                  </w:pPr>
                  <w:r>
                    <w:rPr>
                      <w:rFonts w:hint="default" w:ascii="Times New Roman" w:hAnsi="Times New Roman" w:eastAsia="宋体" w:cs="Times New Roman"/>
                      <w:b/>
                      <w:snapToGrid/>
                      <w:color w:val="auto"/>
                      <w:kern w:val="0"/>
                      <w:sz w:val="21"/>
                      <w:szCs w:val="21"/>
                      <w:vertAlign w:val="baseline"/>
                    </w:rPr>
                    <w:t>产生量t/a</w:t>
                  </w: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477EB9">
                  <w:pPr>
                    <w:adjustRightInd w:val="0"/>
                    <w:spacing w:beforeLines="0" w:afterLines="0"/>
                    <w:ind w:left="-105" w:leftChars="-50" w:right="-105" w:rightChars="-50"/>
                    <w:jc w:val="center"/>
                    <w:rPr>
                      <w:rFonts w:hint="default" w:ascii="Times New Roman" w:hAnsi="Times New Roman" w:cs="Times New Roman"/>
                      <w:b/>
                      <w:snapToGrid/>
                      <w:color w:val="auto"/>
                      <w:kern w:val="0"/>
                      <w:sz w:val="21"/>
                      <w:szCs w:val="21"/>
                      <w:vertAlign w:val="baseline"/>
                    </w:rPr>
                  </w:pPr>
                  <w:r>
                    <w:rPr>
                      <w:rFonts w:hint="default" w:ascii="Times New Roman" w:hAnsi="Times New Roman" w:eastAsia="宋体" w:cs="Times New Roman"/>
                      <w:b/>
                      <w:snapToGrid/>
                      <w:color w:val="auto"/>
                      <w:kern w:val="0"/>
                      <w:sz w:val="21"/>
                      <w:szCs w:val="21"/>
                      <w:vertAlign w:val="baseline"/>
                    </w:rPr>
                    <w:t>产生速率kg/h</w:t>
                  </w:r>
                </w:p>
              </w:tc>
              <w:tc>
                <w:tcPr>
                  <w:tcW w:w="5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E8CEDF">
                  <w:pPr>
                    <w:adjustRightInd w:val="0"/>
                    <w:spacing w:beforeLines="0" w:afterLines="0"/>
                    <w:ind w:left="-105" w:leftChars="-50" w:right="-105" w:rightChars="-50"/>
                    <w:jc w:val="center"/>
                    <w:rPr>
                      <w:rFonts w:hint="default" w:ascii="Times New Roman" w:hAnsi="Times New Roman" w:cs="Times New Roman"/>
                      <w:b/>
                      <w:snapToGrid/>
                      <w:color w:val="auto"/>
                      <w:kern w:val="0"/>
                      <w:sz w:val="21"/>
                      <w:szCs w:val="21"/>
                      <w:vertAlign w:val="baseline"/>
                    </w:rPr>
                  </w:pPr>
                  <w:r>
                    <w:rPr>
                      <w:rFonts w:hint="default" w:ascii="Times New Roman" w:hAnsi="Times New Roman" w:eastAsia="宋体" w:cs="Times New Roman"/>
                      <w:b/>
                      <w:snapToGrid/>
                      <w:color w:val="auto"/>
                      <w:kern w:val="0"/>
                      <w:sz w:val="21"/>
                      <w:szCs w:val="21"/>
                      <w:vertAlign w:val="baseline"/>
                    </w:rPr>
                    <w:t>产生浓度mg/m</w:t>
                  </w:r>
                  <w:r>
                    <w:rPr>
                      <w:rFonts w:hint="default" w:ascii="Times New Roman" w:hAnsi="Times New Roman" w:cs="Times New Roman"/>
                      <w:b/>
                      <w:snapToGrid/>
                      <w:color w:val="auto"/>
                      <w:kern w:val="0"/>
                      <w:sz w:val="21"/>
                      <w:szCs w:val="21"/>
                      <w:vertAlign w:val="superscript"/>
                    </w:rPr>
                    <w:t>3</w:t>
                  </w:r>
                </w:p>
              </w:tc>
              <w:tc>
                <w:tcPr>
                  <w:tcW w:w="35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11F43E">
                  <w:pPr>
                    <w:spacing w:beforeLines="0" w:afterLines="0"/>
                    <w:ind w:left="-105" w:leftChars="-50" w:right="-105" w:rightChars="-5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b/>
                      <w:color w:val="auto"/>
                      <w:kern w:val="0"/>
                      <w:sz w:val="21"/>
                      <w:szCs w:val="21"/>
                    </w:rPr>
                    <w:t>风量</w:t>
                  </w:r>
                </w:p>
                <w:p w14:paraId="5C11A383">
                  <w:pPr>
                    <w:adjustRightInd w:val="0"/>
                    <w:spacing w:beforeLines="0" w:afterLines="0"/>
                    <w:ind w:left="-105" w:leftChars="-50" w:right="-105" w:rightChars="-50"/>
                    <w:jc w:val="center"/>
                    <w:rPr>
                      <w:rFonts w:hint="default" w:ascii="Times New Roman" w:hAnsi="Times New Roman" w:cs="Times New Roman"/>
                      <w:b/>
                      <w:snapToGrid/>
                      <w:color w:val="auto"/>
                      <w:kern w:val="0"/>
                      <w:sz w:val="21"/>
                      <w:szCs w:val="21"/>
                      <w:vertAlign w:val="baseline"/>
                    </w:rPr>
                  </w:pPr>
                  <w:r>
                    <w:rPr>
                      <w:rFonts w:hint="default" w:ascii="Times New Roman" w:hAnsi="Times New Roman" w:cs="Times New Roman"/>
                      <w:b/>
                      <w:snapToGrid/>
                      <w:color w:val="auto"/>
                      <w:kern w:val="0"/>
                      <w:sz w:val="21"/>
                      <w:szCs w:val="21"/>
                      <w:vertAlign w:val="baseline"/>
                    </w:rPr>
                    <w:t>m</w:t>
                  </w:r>
                  <w:r>
                    <w:rPr>
                      <w:rFonts w:hint="default" w:ascii="Times New Roman" w:hAnsi="Times New Roman" w:cs="Times New Roman"/>
                      <w:b/>
                      <w:snapToGrid/>
                      <w:color w:val="auto"/>
                      <w:kern w:val="0"/>
                      <w:sz w:val="21"/>
                      <w:szCs w:val="21"/>
                      <w:vertAlign w:val="superscript"/>
                    </w:rPr>
                    <w:t>3</w:t>
                  </w:r>
                  <w:r>
                    <w:rPr>
                      <w:rFonts w:hint="default" w:ascii="Times New Roman" w:hAnsi="Times New Roman" w:cs="Times New Roman"/>
                      <w:b/>
                      <w:snapToGrid/>
                      <w:color w:val="auto"/>
                      <w:kern w:val="0"/>
                      <w:sz w:val="21"/>
                      <w:szCs w:val="21"/>
                      <w:vertAlign w:val="baseline"/>
                    </w:rPr>
                    <w:t>/h</w:t>
                  </w:r>
                </w:p>
              </w:tc>
              <w:tc>
                <w:tcPr>
                  <w:tcW w:w="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C015DF">
                  <w:pPr>
                    <w:adjustRightInd w:val="0"/>
                    <w:spacing w:beforeLines="0" w:afterLines="0"/>
                    <w:ind w:left="-105" w:leftChars="-50" w:right="-105" w:rightChars="-50"/>
                    <w:jc w:val="center"/>
                    <w:rPr>
                      <w:rFonts w:hint="default" w:ascii="Times New Roman" w:hAnsi="Times New Roman" w:cs="Times New Roman"/>
                      <w:b/>
                      <w:snapToGrid/>
                      <w:color w:val="auto"/>
                      <w:kern w:val="0"/>
                      <w:sz w:val="21"/>
                      <w:szCs w:val="21"/>
                      <w:vertAlign w:val="baseline"/>
                    </w:rPr>
                  </w:pPr>
                  <w:r>
                    <w:rPr>
                      <w:rFonts w:hint="default" w:ascii="Times New Roman" w:hAnsi="Times New Roman" w:eastAsia="宋体" w:cs="Times New Roman"/>
                      <w:b/>
                      <w:snapToGrid/>
                      <w:color w:val="auto"/>
                      <w:kern w:val="0"/>
                      <w:sz w:val="21"/>
                      <w:szCs w:val="21"/>
                      <w:vertAlign w:val="baseline"/>
                    </w:rPr>
                    <w:t>治理设施</w:t>
                  </w:r>
                </w:p>
              </w:tc>
              <w:tc>
                <w:tcPr>
                  <w:tcW w:w="4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7369B8">
                  <w:pPr>
                    <w:adjustRightInd w:val="0"/>
                    <w:spacing w:beforeLines="0" w:afterLines="0"/>
                    <w:ind w:left="-105" w:leftChars="-50" w:right="-105" w:rightChars="-50"/>
                    <w:jc w:val="center"/>
                    <w:rPr>
                      <w:rFonts w:hint="default" w:ascii="Times New Roman" w:hAnsi="Times New Roman" w:cs="Times New Roman"/>
                      <w:b/>
                      <w:snapToGrid/>
                      <w:color w:val="auto"/>
                      <w:kern w:val="0"/>
                      <w:sz w:val="21"/>
                      <w:szCs w:val="21"/>
                      <w:vertAlign w:val="baseline"/>
                    </w:rPr>
                  </w:pPr>
                  <w:r>
                    <w:rPr>
                      <w:rFonts w:hint="default" w:ascii="Times New Roman" w:hAnsi="Times New Roman" w:eastAsia="宋体" w:cs="Times New Roman"/>
                      <w:b/>
                      <w:snapToGrid/>
                      <w:color w:val="auto"/>
                      <w:kern w:val="0"/>
                      <w:sz w:val="21"/>
                      <w:szCs w:val="21"/>
                      <w:vertAlign w:val="baseline"/>
                    </w:rPr>
                    <w:t>排放量t/a</w:t>
                  </w: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7E0B02">
                  <w:pPr>
                    <w:adjustRightInd w:val="0"/>
                    <w:spacing w:beforeLines="0" w:afterLines="0"/>
                    <w:ind w:left="-105" w:leftChars="-50" w:right="-105" w:rightChars="-50"/>
                    <w:jc w:val="center"/>
                    <w:rPr>
                      <w:rFonts w:hint="default" w:ascii="Times New Roman" w:hAnsi="Times New Roman" w:cs="Times New Roman"/>
                      <w:b/>
                      <w:snapToGrid/>
                      <w:color w:val="auto"/>
                      <w:kern w:val="0"/>
                      <w:sz w:val="21"/>
                      <w:szCs w:val="21"/>
                      <w:vertAlign w:val="baseline"/>
                    </w:rPr>
                  </w:pPr>
                  <w:r>
                    <w:rPr>
                      <w:rFonts w:hint="default" w:ascii="Times New Roman" w:hAnsi="Times New Roman" w:eastAsia="宋体" w:cs="Times New Roman"/>
                      <w:b/>
                      <w:snapToGrid/>
                      <w:color w:val="auto"/>
                      <w:kern w:val="0"/>
                      <w:sz w:val="21"/>
                      <w:szCs w:val="21"/>
                      <w:vertAlign w:val="baseline"/>
                    </w:rPr>
                    <w:t>排放速率kg/h</w:t>
                  </w:r>
                </w:p>
              </w:tc>
              <w:tc>
                <w:tcPr>
                  <w:tcW w:w="5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293042">
                  <w:pPr>
                    <w:adjustRightInd w:val="0"/>
                    <w:spacing w:beforeLines="0" w:afterLines="0"/>
                    <w:ind w:left="-105" w:leftChars="-50" w:right="-105" w:rightChars="-50"/>
                    <w:jc w:val="center"/>
                    <w:rPr>
                      <w:rFonts w:hint="default" w:ascii="Times New Roman" w:hAnsi="Times New Roman" w:cs="Times New Roman"/>
                      <w:b/>
                      <w:snapToGrid/>
                      <w:color w:val="auto"/>
                      <w:kern w:val="0"/>
                      <w:sz w:val="21"/>
                      <w:szCs w:val="21"/>
                      <w:vertAlign w:val="baseline"/>
                    </w:rPr>
                  </w:pPr>
                  <w:r>
                    <w:rPr>
                      <w:rFonts w:hint="default" w:ascii="Times New Roman" w:hAnsi="Times New Roman" w:eastAsia="宋体" w:cs="Times New Roman"/>
                      <w:b/>
                      <w:snapToGrid/>
                      <w:color w:val="auto"/>
                      <w:kern w:val="0"/>
                      <w:sz w:val="21"/>
                      <w:szCs w:val="21"/>
                      <w:vertAlign w:val="baseline"/>
                    </w:rPr>
                    <w:t>排放浓度mg/m</w:t>
                  </w:r>
                  <w:r>
                    <w:rPr>
                      <w:rFonts w:hint="default" w:ascii="Times New Roman" w:hAnsi="Times New Roman" w:cs="Times New Roman"/>
                      <w:b/>
                      <w:snapToGrid/>
                      <w:color w:val="auto"/>
                      <w:kern w:val="0"/>
                      <w:sz w:val="21"/>
                      <w:szCs w:val="21"/>
                      <w:vertAlign w:val="superscript"/>
                    </w:rPr>
                    <w:t>3</w:t>
                  </w:r>
                </w:p>
              </w:tc>
            </w:tr>
            <w:tr w14:paraId="1252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jc w:val="center"/>
              </w:trPr>
              <w:tc>
                <w:tcPr>
                  <w:tcW w:w="49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C35C3E">
                  <w:pPr>
                    <w:adjustRightInd w:val="0"/>
                    <w:spacing w:beforeLines="0" w:afterLines="0"/>
                    <w:jc w:val="center"/>
                    <w:rPr>
                      <w:rFonts w:hint="default" w:ascii="Times New Roman" w:hAnsi="Times New Roman" w:eastAsia="宋体"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配料粉尘</w:t>
                  </w: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4FFBBB">
                  <w:pPr>
                    <w:spacing w:beforeLines="0" w:afterLines="0"/>
                    <w:ind w:left="-105" w:leftChars="-50" w:right="-105" w:rightChars="-50"/>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颗粒物</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1F54D9">
                  <w:pPr>
                    <w:adjustRightInd w:val="0"/>
                    <w:spacing w:beforeLines="0" w:afterLines="0"/>
                    <w:ind w:left="-105" w:leftChars="-50" w:right="-105" w:rightChars="-5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0.68</w:t>
                  </w: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6C9D0D">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lang w:val="en-US" w:eastAsia="zh-CN"/>
                    </w:rPr>
                  </w:pPr>
                  <w:r>
                    <w:rPr>
                      <w:rFonts w:hint="eastAsia" w:ascii="Times New Roman" w:hAnsi="Times New Roman" w:cs="Times New Roman"/>
                      <w:snapToGrid/>
                      <w:color w:val="auto"/>
                      <w:kern w:val="0"/>
                      <w:sz w:val="21"/>
                      <w:szCs w:val="21"/>
                      <w:vertAlign w:val="baseline"/>
                      <w:lang w:val="en-US" w:eastAsia="zh-CN"/>
                    </w:rPr>
                    <w:t>0.56</w:t>
                  </w:r>
                </w:p>
              </w:tc>
              <w:tc>
                <w:tcPr>
                  <w:tcW w:w="5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20B410">
                  <w:pPr>
                    <w:adjustRightInd w:val="0"/>
                    <w:spacing w:beforeLines="0" w:afterLines="0"/>
                    <w:ind w:left="-105" w:leftChars="-50" w:right="-105" w:rightChars="-50"/>
                    <w:jc w:val="center"/>
                    <w:rPr>
                      <w:rFonts w:hint="default" w:ascii="Times New Roman" w:hAnsi="Times New Roman" w:eastAsia="宋体" w:cs="Times New Roman"/>
                      <w:snapToGrid/>
                      <w:color w:val="auto"/>
                      <w:sz w:val="21"/>
                      <w:szCs w:val="21"/>
                      <w:vertAlign w:val="baseline"/>
                      <w:lang w:val="en-US" w:eastAsia="zh-CN"/>
                    </w:rPr>
                  </w:pPr>
                  <w:r>
                    <w:rPr>
                      <w:rFonts w:hint="eastAsia" w:ascii="Times New Roman" w:hAnsi="Times New Roman" w:cs="Times New Roman"/>
                      <w:snapToGrid/>
                      <w:color w:val="auto"/>
                      <w:sz w:val="21"/>
                      <w:szCs w:val="21"/>
                      <w:vertAlign w:val="baseline"/>
                      <w:lang w:val="en-US" w:eastAsia="zh-CN"/>
                    </w:rPr>
                    <w:t>112.5</w:t>
                  </w:r>
                </w:p>
              </w:tc>
              <w:tc>
                <w:tcPr>
                  <w:tcW w:w="35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F85542">
                  <w:pPr>
                    <w:adjustRightInd w:val="0"/>
                    <w:spacing w:beforeLines="0" w:afterLines="0"/>
                    <w:ind w:left="-105" w:leftChars="-50" w:right="-105" w:rightChars="-50"/>
                    <w:jc w:val="center"/>
                    <w:rPr>
                      <w:rFonts w:hint="default" w:ascii="Times New Roman" w:hAnsi="Times New Roman" w:cs="Times New Roman"/>
                      <w:snapToGrid/>
                      <w:color w:val="auto"/>
                      <w:kern w:val="0"/>
                      <w:sz w:val="21"/>
                      <w:szCs w:val="21"/>
                      <w:vertAlign w:val="baseline"/>
                    </w:rPr>
                  </w:pPr>
                  <w:r>
                    <w:rPr>
                      <w:rFonts w:hint="eastAsia" w:ascii="Times New Roman" w:hAnsi="Times New Roman" w:cs="Times New Roman"/>
                      <w:snapToGrid/>
                      <w:color w:val="auto"/>
                      <w:kern w:val="0"/>
                      <w:sz w:val="21"/>
                      <w:szCs w:val="21"/>
                      <w:vertAlign w:val="baseline"/>
                      <w:lang w:val="en-US" w:eastAsia="zh-CN"/>
                    </w:rPr>
                    <w:t>5</w:t>
                  </w:r>
                  <w:r>
                    <w:rPr>
                      <w:rFonts w:hint="default" w:ascii="Times New Roman" w:hAnsi="Times New Roman" w:eastAsia="宋体" w:cs="Times New Roman"/>
                      <w:snapToGrid/>
                      <w:color w:val="auto"/>
                      <w:kern w:val="0"/>
                      <w:sz w:val="21"/>
                      <w:szCs w:val="21"/>
                      <w:vertAlign w:val="baseline"/>
                    </w:rPr>
                    <w:t>000</w:t>
                  </w:r>
                </w:p>
              </w:tc>
              <w:tc>
                <w:tcPr>
                  <w:tcW w:w="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58B9EF">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布袋除尘器+1根1</w:t>
                  </w:r>
                  <w:r>
                    <w:rPr>
                      <w:rFonts w:hint="eastAsia" w:ascii="Times New Roman" w:hAnsi="Times New Roman" w:cs="Times New Roman"/>
                      <w:snapToGrid/>
                      <w:color w:val="auto"/>
                      <w:kern w:val="0"/>
                      <w:sz w:val="21"/>
                      <w:szCs w:val="21"/>
                      <w:vertAlign w:val="baseline"/>
                      <w:lang w:val="en-US" w:eastAsia="zh-CN"/>
                    </w:rPr>
                    <w:t>7</w:t>
                  </w:r>
                  <w:r>
                    <w:rPr>
                      <w:rFonts w:hint="default" w:ascii="Times New Roman" w:hAnsi="Times New Roman" w:eastAsia="宋体" w:cs="Times New Roman"/>
                      <w:snapToGrid/>
                      <w:color w:val="auto"/>
                      <w:kern w:val="0"/>
                      <w:sz w:val="21"/>
                      <w:szCs w:val="21"/>
                      <w:vertAlign w:val="baseline"/>
                    </w:rPr>
                    <w:t>m高排气筒（DA001）</w:t>
                  </w:r>
                </w:p>
              </w:tc>
              <w:tc>
                <w:tcPr>
                  <w:tcW w:w="4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427F63">
                  <w:pPr>
                    <w:adjustRightInd w:val="0"/>
                    <w:spacing w:beforeLines="0" w:afterLines="0"/>
                    <w:ind w:left="-105" w:leftChars="-50" w:right="-105" w:rightChars="-50"/>
                    <w:jc w:val="center"/>
                    <w:rPr>
                      <w:rFonts w:hint="default" w:ascii="Times New Roman" w:hAnsi="Times New Roman"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0.034</w:t>
                  </w: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C0F250">
                  <w:pPr>
                    <w:adjustRightInd w:val="0"/>
                    <w:spacing w:beforeLines="0" w:afterLines="0"/>
                    <w:ind w:left="-105" w:leftChars="-50" w:right="-105" w:rightChars="-50"/>
                    <w:jc w:val="center"/>
                    <w:rPr>
                      <w:rFonts w:hint="default" w:ascii="Times New Roman" w:hAnsi="Times New Roman" w:eastAsia="宋体" w:cs="Times New Roman"/>
                      <w:snapToGrid/>
                      <w:color w:val="auto"/>
                      <w:sz w:val="21"/>
                      <w:szCs w:val="21"/>
                      <w:vertAlign w:val="baseline"/>
                      <w:lang w:val="en-US" w:eastAsia="zh-CN"/>
                    </w:rPr>
                  </w:pPr>
                  <w:r>
                    <w:rPr>
                      <w:rFonts w:hint="eastAsia" w:ascii="Times New Roman" w:hAnsi="Times New Roman" w:cs="Times New Roman"/>
                      <w:snapToGrid/>
                      <w:color w:val="auto"/>
                      <w:sz w:val="21"/>
                      <w:szCs w:val="21"/>
                      <w:vertAlign w:val="baseline"/>
                      <w:lang w:val="en-US" w:eastAsia="zh-CN"/>
                    </w:rPr>
                    <w:t>0.028</w:t>
                  </w:r>
                </w:p>
              </w:tc>
              <w:tc>
                <w:tcPr>
                  <w:tcW w:w="5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1DD3F2">
                  <w:pPr>
                    <w:adjustRightInd w:val="0"/>
                    <w:spacing w:beforeLines="0" w:afterLines="0"/>
                    <w:ind w:left="-105" w:leftChars="-50" w:right="-105" w:rightChars="-50"/>
                    <w:jc w:val="center"/>
                    <w:rPr>
                      <w:rFonts w:hint="default" w:ascii="Times New Roman" w:hAnsi="Times New Roman" w:eastAsia="宋体" w:cs="Times New Roman"/>
                      <w:snapToGrid/>
                      <w:color w:val="auto"/>
                      <w:sz w:val="21"/>
                      <w:szCs w:val="21"/>
                      <w:vertAlign w:val="baseline"/>
                      <w:lang w:val="en-US" w:eastAsia="zh-CN"/>
                    </w:rPr>
                  </w:pPr>
                  <w:r>
                    <w:rPr>
                      <w:rFonts w:hint="eastAsia" w:ascii="Times New Roman" w:hAnsi="Times New Roman" w:cs="Times New Roman"/>
                      <w:snapToGrid/>
                      <w:color w:val="auto"/>
                      <w:sz w:val="21"/>
                      <w:szCs w:val="21"/>
                      <w:vertAlign w:val="baseline"/>
                      <w:lang w:val="en-US" w:eastAsia="zh-CN"/>
                    </w:rPr>
                    <w:t>5.63</w:t>
                  </w:r>
                </w:p>
              </w:tc>
            </w:tr>
            <w:tr w14:paraId="06C9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9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15A7FB">
                  <w:pPr>
                    <w:adjustRightInd w:val="0"/>
                    <w:spacing w:beforeLines="0" w:afterLines="0"/>
                    <w:jc w:val="center"/>
                    <w:rPr>
                      <w:rFonts w:hint="default" w:ascii="Times New Roman" w:hAnsi="Times New Roman" w:eastAsia="宋体"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油炸油烟</w:t>
                  </w: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D36FB4">
                  <w:pPr>
                    <w:spacing w:beforeLines="0" w:afterLines="0"/>
                    <w:ind w:left="-105" w:leftChars="-50" w:right="-105" w:rightChars="-50"/>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油烟</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AB3124">
                  <w:pPr>
                    <w:adjustRightInd w:val="0"/>
                    <w:spacing w:beforeLines="0" w:afterLines="0"/>
                    <w:ind w:left="-105" w:leftChars="-50" w:right="-105" w:rightChars="-5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0.14</w:t>
                  </w: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0CE529">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lang w:val="en-US" w:eastAsia="zh-CN"/>
                    </w:rPr>
                  </w:pPr>
                  <w:r>
                    <w:rPr>
                      <w:rFonts w:hint="default" w:ascii="Times New Roman" w:hAnsi="Times New Roman" w:cs="Times New Roman"/>
                      <w:snapToGrid/>
                      <w:color w:val="auto"/>
                      <w:kern w:val="0"/>
                      <w:sz w:val="21"/>
                      <w:szCs w:val="21"/>
                      <w:vertAlign w:val="baseline"/>
                      <w:lang w:val="en-US" w:eastAsia="zh-CN"/>
                    </w:rPr>
                    <w:t>0.058</w:t>
                  </w:r>
                </w:p>
              </w:tc>
              <w:tc>
                <w:tcPr>
                  <w:tcW w:w="5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6A0E6E">
                  <w:pPr>
                    <w:adjustRightInd w:val="0"/>
                    <w:spacing w:beforeLines="0" w:afterLines="0"/>
                    <w:ind w:left="-105" w:leftChars="-50" w:right="-105" w:rightChars="-5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5.83</w:t>
                  </w:r>
                </w:p>
              </w:tc>
              <w:tc>
                <w:tcPr>
                  <w:tcW w:w="35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632CB4">
                  <w:pPr>
                    <w:adjustRightInd w:val="0"/>
                    <w:spacing w:beforeLines="0" w:afterLines="0"/>
                    <w:ind w:left="-105" w:leftChars="-50" w:right="-105" w:rightChars="-5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10000</w:t>
                  </w:r>
                </w:p>
              </w:tc>
              <w:tc>
                <w:tcPr>
                  <w:tcW w:w="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7F68A3">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油烟净化器+</w:t>
                  </w:r>
                  <w:r>
                    <w:rPr>
                      <w:rFonts w:hint="default" w:ascii="Times New Roman" w:hAnsi="Times New Roman" w:cs="Times New Roman"/>
                      <w:snapToGrid/>
                      <w:color w:val="auto"/>
                      <w:kern w:val="0"/>
                      <w:sz w:val="21"/>
                      <w:szCs w:val="21"/>
                      <w:vertAlign w:val="baseline"/>
                      <w:lang w:val="en-US" w:eastAsia="zh-CN"/>
                    </w:rPr>
                    <w:t>1根1</w:t>
                  </w:r>
                  <w:r>
                    <w:rPr>
                      <w:rFonts w:hint="eastAsia" w:ascii="Times New Roman" w:hAnsi="Times New Roman" w:cs="Times New Roman"/>
                      <w:snapToGrid/>
                      <w:color w:val="auto"/>
                      <w:kern w:val="0"/>
                      <w:sz w:val="21"/>
                      <w:szCs w:val="21"/>
                      <w:vertAlign w:val="baseline"/>
                      <w:lang w:val="en-US" w:eastAsia="zh-CN"/>
                    </w:rPr>
                    <w:t>7</w:t>
                  </w:r>
                  <w:r>
                    <w:rPr>
                      <w:rFonts w:hint="default" w:ascii="Times New Roman" w:hAnsi="Times New Roman" w:cs="Times New Roman"/>
                      <w:snapToGrid/>
                      <w:color w:val="auto"/>
                      <w:kern w:val="0"/>
                      <w:sz w:val="21"/>
                      <w:szCs w:val="21"/>
                      <w:vertAlign w:val="baseline"/>
                      <w:lang w:val="en-US" w:eastAsia="zh-CN"/>
                    </w:rPr>
                    <w:t>m高排气筒（DA002）</w:t>
                  </w:r>
                </w:p>
              </w:tc>
              <w:tc>
                <w:tcPr>
                  <w:tcW w:w="4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7CC7C6">
                  <w:pPr>
                    <w:adjustRightInd w:val="0"/>
                    <w:spacing w:beforeLines="0" w:afterLines="0"/>
                    <w:ind w:left="-105" w:leftChars="-50" w:right="-105" w:rightChars="-50"/>
                    <w:jc w:val="center"/>
                    <w:rPr>
                      <w:rFonts w:hint="default" w:ascii="Times New Roman" w:hAnsi="Times New Roman"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0.021</w:t>
                  </w: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AD2716">
                  <w:pPr>
                    <w:adjustRightInd w:val="0"/>
                    <w:spacing w:beforeLines="0" w:afterLines="0"/>
                    <w:ind w:left="-105" w:leftChars="-50" w:right="-105" w:rightChars="-5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0.0088</w:t>
                  </w:r>
                </w:p>
              </w:tc>
              <w:tc>
                <w:tcPr>
                  <w:tcW w:w="5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BE2ABB">
                  <w:pPr>
                    <w:adjustRightInd w:val="0"/>
                    <w:spacing w:beforeLines="0" w:afterLines="0"/>
                    <w:ind w:left="-105" w:leftChars="-50" w:right="-105" w:rightChars="-5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0.88</w:t>
                  </w:r>
                </w:p>
              </w:tc>
            </w:tr>
            <w:tr w14:paraId="330A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jc w:val="center"/>
              </w:trPr>
              <w:tc>
                <w:tcPr>
                  <w:tcW w:w="49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40D36E">
                  <w:pPr>
                    <w:adjustRightInd w:val="0"/>
                    <w:spacing w:beforeLines="0" w:afterLines="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食堂油烟</w:t>
                  </w: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F992B6">
                  <w:pPr>
                    <w:spacing w:beforeLines="0" w:afterLines="0"/>
                    <w:ind w:left="-105" w:leftChars="-50" w:right="-105" w:rightChars="-50"/>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油烟</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74FB0A">
                  <w:pPr>
                    <w:adjustRightInd w:val="0"/>
                    <w:spacing w:beforeLines="0" w:afterLines="0"/>
                    <w:ind w:left="-105" w:leftChars="-50" w:right="-105" w:rightChars="-5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0.00076</w:t>
                  </w: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A4E590">
                  <w:pPr>
                    <w:adjustRightInd w:val="0"/>
                    <w:spacing w:beforeLines="0" w:afterLines="0"/>
                    <w:ind w:left="-105" w:leftChars="-50" w:right="-105" w:rightChars="-5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0.00063</w:t>
                  </w:r>
                </w:p>
              </w:tc>
              <w:tc>
                <w:tcPr>
                  <w:tcW w:w="5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6CDA9C">
                  <w:pPr>
                    <w:adjustRightInd w:val="0"/>
                    <w:spacing w:beforeLines="0" w:afterLines="0"/>
                    <w:ind w:left="-105" w:leftChars="-50" w:right="-105" w:rightChars="-50"/>
                    <w:jc w:val="center"/>
                    <w:rPr>
                      <w:rFonts w:hint="default" w:ascii="Times New Roman" w:hAnsi="Times New Roman"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0.79</w:t>
                  </w:r>
                </w:p>
              </w:tc>
              <w:tc>
                <w:tcPr>
                  <w:tcW w:w="35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2FB3C4">
                  <w:pPr>
                    <w:adjustRightInd w:val="0"/>
                    <w:spacing w:beforeLines="0" w:afterLines="0"/>
                    <w:ind w:left="-105" w:leftChars="-50" w:right="-105" w:rightChars="-5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800</w:t>
                  </w:r>
                </w:p>
              </w:tc>
              <w:tc>
                <w:tcPr>
                  <w:tcW w:w="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71692E">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油烟净化器+专用烟道</w:t>
                  </w:r>
                </w:p>
              </w:tc>
              <w:tc>
                <w:tcPr>
                  <w:tcW w:w="4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9BCEC6">
                  <w:pPr>
                    <w:adjustRightInd w:val="0"/>
                    <w:spacing w:beforeLines="0" w:afterLines="0"/>
                    <w:ind w:left="-105" w:leftChars="-50" w:right="-105" w:rightChars="-5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0.00030</w:t>
                  </w: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8AF70C">
                  <w:pPr>
                    <w:adjustRightInd w:val="0"/>
                    <w:spacing w:beforeLines="0" w:afterLines="0"/>
                    <w:ind w:left="-105" w:leftChars="-50" w:right="-105" w:rightChars="-5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0.00025</w:t>
                  </w:r>
                </w:p>
              </w:tc>
              <w:tc>
                <w:tcPr>
                  <w:tcW w:w="5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FC91B4">
                  <w:pPr>
                    <w:adjustRightInd w:val="0"/>
                    <w:spacing w:beforeLines="0" w:afterLines="0"/>
                    <w:ind w:left="-105" w:leftChars="-50" w:right="-105" w:rightChars="-5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0.32</w:t>
                  </w:r>
                </w:p>
              </w:tc>
            </w:tr>
            <w:tr w14:paraId="5878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91" w:type="pct"/>
                  <w:vMerge w:val="restart"/>
                  <w:tcBorders>
                    <w:top w:val="single" w:color="auto" w:sz="4" w:space="0"/>
                    <w:left w:val="single" w:color="auto" w:sz="4" w:space="0"/>
                    <w:right w:val="single" w:color="auto" w:sz="4" w:space="0"/>
                    <w:tl2br w:val="nil"/>
                    <w:tr2bl w:val="nil"/>
                  </w:tcBorders>
                  <w:noWrap w:val="0"/>
                  <w:vAlign w:val="center"/>
                </w:tcPr>
                <w:p w14:paraId="112205EF">
                  <w:pPr>
                    <w:adjustRightInd w:val="0"/>
                    <w:spacing w:beforeLines="0" w:afterLines="0"/>
                    <w:jc w:val="center"/>
                    <w:rPr>
                      <w:rFonts w:hint="default" w:ascii="Times New Roman" w:hAnsi="Times New Roman" w:eastAsia="宋体"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天然气燃烧废气</w:t>
                  </w: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CA1C3F">
                  <w:pPr>
                    <w:ind w:left="-105" w:leftChars="-50" w:right="-105" w:rightChars="-50"/>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cs="Times New Roman"/>
                      <w:color w:val="auto"/>
                      <w:kern w:val="0"/>
                      <w:sz w:val="21"/>
                      <w:szCs w:val="21"/>
                    </w:rPr>
                    <w:t>颗粒物</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34CCA4">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lang w:val="en-US" w:eastAsia="zh-CN"/>
                    </w:rPr>
                  </w:pPr>
                  <w:r>
                    <w:rPr>
                      <w:rFonts w:hint="default" w:ascii="Times New Roman" w:hAnsi="Times New Roman" w:cs="Times New Roman"/>
                      <w:snapToGrid/>
                      <w:color w:val="auto"/>
                      <w:kern w:val="0"/>
                      <w:sz w:val="21"/>
                      <w:szCs w:val="21"/>
                      <w:vertAlign w:val="baseline"/>
                      <w:lang w:val="en-US" w:eastAsia="zh-CN"/>
                    </w:rPr>
                    <w:t>0.012</w:t>
                  </w: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2274E1">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lang w:val="en-US" w:eastAsia="zh-CN"/>
                    </w:rPr>
                  </w:pPr>
                  <w:r>
                    <w:rPr>
                      <w:rFonts w:hint="default" w:ascii="Times New Roman" w:hAnsi="Times New Roman" w:cs="Times New Roman"/>
                      <w:snapToGrid/>
                      <w:color w:val="auto"/>
                      <w:kern w:val="0"/>
                      <w:sz w:val="21"/>
                      <w:szCs w:val="21"/>
                      <w:vertAlign w:val="baseline"/>
                      <w:lang w:val="en-US" w:eastAsia="zh-CN"/>
                    </w:rPr>
                    <w:t>0.005</w:t>
                  </w:r>
                </w:p>
              </w:tc>
              <w:tc>
                <w:tcPr>
                  <w:tcW w:w="5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C522EB">
                  <w:pPr>
                    <w:adjustRightInd w:val="0"/>
                    <w:spacing w:beforeLines="0" w:afterLines="0"/>
                    <w:ind w:left="-105" w:leftChars="-50" w:right="-105" w:rightChars="-5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1.2</w:t>
                  </w:r>
                </w:p>
              </w:tc>
              <w:tc>
                <w:tcPr>
                  <w:tcW w:w="355" w:type="pct"/>
                  <w:vMerge w:val="restart"/>
                  <w:tcBorders>
                    <w:top w:val="single" w:color="auto" w:sz="4" w:space="0"/>
                    <w:left w:val="single" w:color="auto" w:sz="4" w:space="0"/>
                    <w:right w:val="single" w:color="auto" w:sz="4" w:space="0"/>
                    <w:tl2br w:val="nil"/>
                    <w:tr2bl w:val="nil"/>
                  </w:tcBorders>
                  <w:noWrap w:val="0"/>
                  <w:vAlign w:val="center"/>
                </w:tcPr>
                <w:p w14:paraId="5191CFDD">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lang w:val="en-US" w:eastAsia="zh-CN"/>
                    </w:rPr>
                  </w:pPr>
                  <w:r>
                    <w:rPr>
                      <w:rFonts w:hint="default" w:ascii="Times New Roman" w:hAnsi="Times New Roman" w:cs="Times New Roman"/>
                      <w:snapToGrid/>
                      <w:color w:val="auto"/>
                      <w:kern w:val="0"/>
                      <w:sz w:val="21"/>
                      <w:szCs w:val="21"/>
                      <w:vertAlign w:val="baseline"/>
                      <w:lang w:val="en-US" w:eastAsia="zh-CN"/>
                    </w:rPr>
                    <w:t>4120</w:t>
                  </w:r>
                </w:p>
              </w:tc>
              <w:tc>
                <w:tcPr>
                  <w:tcW w:w="733" w:type="pct"/>
                  <w:vMerge w:val="restart"/>
                  <w:tcBorders>
                    <w:top w:val="single" w:color="auto" w:sz="4" w:space="0"/>
                    <w:left w:val="single" w:color="auto" w:sz="4" w:space="0"/>
                    <w:right w:val="single" w:color="auto" w:sz="4" w:space="0"/>
                    <w:tl2br w:val="nil"/>
                    <w:tr2bl w:val="nil"/>
                  </w:tcBorders>
                  <w:noWrap w:val="0"/>
                  <w:vAlign w:val="center"/>
                </w:tcPr>
                <w:p w14:paraId="7A216730">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低氮燃烧器+1根1</w:t>
                  </w:r>
                  <w:r>
                    <w:rPr>
                      <w:rFonts w:hint="eastAsia" w:cs="Times New Roman"/>
                      <w:snapToGrid/>
                      <w:color w:val="auto"/>
                      <w:kern w:val="0"/>
                      <w:sz w:val="21"/>
                      <w:szCs w:val="21"/>
                      <w:vertAlign w:val="baseline"/>
                      <w:lang w:val="en-US" w:eastAsia="zh-CN"/>
                    </w:rPr>
                    <w:t>5</w:t>
                  </w:r>
                  <w:r>
                    <w:rPr>
                      <w:rFonts w:hint="default" w:ascii="Times New Roman" w:hAnsi="Times New Roman" w:eastAsia="宋体" w:cs="Times New Roman"/>
                      <w:snapToGrid/>
                      <w:color w:val="auto"/>
                      <w:kern w:val="0"/>
                      <w:sz w:val="21"/>
                      <w:szCs w:val="21"/>
                      <w:vertAlign w:val="baseline"/>
                    </w:rPr>
                    <w:t>m高排气筒（DA00</w:t>
                  </w:r>
                  <w:r>
                    <w:rPr>
                      <w:rFonts w:hint="default" w:ascii="Times New Roman" w:hAnsi="Times New Roman" w:cs="Times New Roman"/>
                      <w:snapToGrid/>
                      <w:color w:val="auto"/>
                      <w:kern w:val="0"/>
                      <w:sz w:val="21"/>
                      <w:szCs w:val="21"/>
                      <w:vertAlign w:val="baseline"/>
                      <w:lang w:val="en-US" w:eastAsia="zh-CN"/>
                    </w:rPr>
                    <w:t>3</w:t>
                  </w:r>
                  <w:r>
                    <w:rPr>
                      <w:rFonts w:hint="default" w:ascii="Times New Roman" w:hAnsi="Times New Roman" w:eastAsia="宋体" w:cs="Times New Roman"/>
                      <w:snapToGrid/>
                      <w:color w:val="auto"/>
                      <w:kern w:val="0"/>
                      <w:sz w:val="21"/>
                      <w:szCs w:val="21"/>
                      <w:vertAlign w:val="baseline"/>
                    </w:rPr>
                    <w:t>）</w:t>
                  </w:r>
                </w:p>
              </w:tc>
              <w:tc>
                <w:tcPr>
                  <w:tcW w:w="8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FD7772">
                  <w:pPr>
                    <w:adjustRightInd w:val="0"/>
                    <w:ind w:left="-105" w:leftChars="-50" w:right="-105" w:rightChars="-50"/>
                    <w:jc w:val="center"/>
                    <w:rPr>
                      <w:rFonts w:hint="default" w:ascii="Times New Roman" w:hAnsi="Times New Roman" w:cs="Times New Roman"/>
                      <w:snapToGrid/>
                      <w:color w:val="auto"/>
                      <w:sz w:val="21"/>
                      <w:szCs w:val="21"/>
                      <w:vertAlign w:val="baseline"/>
                      <w:lang w:val="en-US" w:eastAsia="zh-CN"/>
                    </w:rPr>
                  </w:pPr>
                  <w:r>
                    <w:rPr>
                      <w:rFonts w:hint="default" w:ascii="Times New Roman" w:hAnsi="Times New Roman" w:cs="Times New Roman"/>
                      <w:color w:val="auto"/>
                      <w:kern w:val="0"/>
                      <w:sz w:val="21"/>
                      <w:szCs w:val="21"/>
                    </w:rPr>
                    <w:t>0.012</w:t>
                  </w:r>
                </w:p>
              </w:tc>
              <w:tc>
                <w:tcPr>
                  <w:tcW w:w="8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6B6404">
                  <w:pPr>
                    <w:adjustRightInd w:val="0"/>
                    <w:ind w:left="-105" w:leftChars="-50" w:right="-105" w:rightChars="-50"/>
                    <w:jc w:val="center"/>
                    <w:rPr>
                      <w:rFonts w:hint="default" w:ascii="Times New Roman" w:hAnsi="Times New Roman" w:cs="Times New Roman"/>
                      <w:snapToGrid/>
                      <w:color w:val="auto"/>
                      <w:sz w:val="21"/>
                      <w:szCs w:val="21"/>
                      <w:vertAlign w:val="baseline"/>
                      <w:lang w:val="en-US" w:eastAsia="zh-CN"/>
                    </w:rPr>
                  </w:pPr>
                  <w:r>
                    <w:rPr>
                      <w:rFonts w:hint="default" w:ascii="Times New Roman" w:hAnsi="Times New Roman" w:cs="Times New Roman"/>
                      <w:color w:val="auto"/>
                      <w:kern w:val="0"/>
                      <w:sz w:val="21"/>
                      <w:szCs w:val="21"/>
                    </w:rPr>
                    <w:t>0.005</w:t>
                  </w:r>
                </w:p>
              </w:tc>
              <w:tc>
                <w:tcPr>
                  <w:tcW w:w="9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B69A6F">
                  <w:pPr>
                    <w:adjustRightInd w:val="0"/>
                    <w:ind w:left="-105" w:leftChars="-50" w:right="-105" w:rightChars="-50"/>
                    <w:jc w:val="center"/>
                    <w:rPr>
                      <w:rFonts w:hint="default" w:ascii="Times New Roman" w:hAnsi="Times New Roman" w:cs="Times New Roman"/>
                      <w:snapToGrid/>
                      <w:color w:val="auto"/>
                      <w:sz w:val="21"/>
                      <w:szCs w:val="21"/>
                      <w:vertAlign w:val="baseline"/>
                      <w:lang w:val="en-US" w:eastAsia="zh-CN"/>
                    </w:rPr>
                  </w:pPr>
                  <w:r>
                    <w:rPr>
                      <w:rFonts w:hint="default" w:ascii="Times New Roman" w:hAnsi="Times New Roman" w:cs="Times New Roman"/>
                      <w:color w:val="auto"/>
                      <w:sz w:val="21"/>
                      <w:szCs w:val="21"/>
                    </w:rPr>
                    <w:t>1.2</w:t>
                  </w:r>
                </w:p>
              </w:tc>
            </w:tr>
            <w:tr w14:paraId="62A3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jc w:val="center"/>
              </w:trPr>
              <w:tc>
                <w:tcPr>
                  <w:tcW w:w="491" w:type="pct"/>
                  <w:vMerge w:val="continue"/>
                  <w:tcBorders>
                    <w:left w:val="single" w:color="auto" w:sz="4" w:space="0"/>
                    <w:right w:val="single" w:color="auto" w:sz="4" w:space="0"/>
                    <w:tl2br w:val="nil"/>
                    <w:tr2bl w:val="nil"/>
                  </w:tcBorders>
                  <w:noWrap w:val="0"/>
                  <w:vAlign w:val="center"/>
                </w:tcPr>
                <w:p w14:paraId="4200A04D">
                  <w:pPr>
                    <w:adjustRightInd w:val="0"/>
                    <w:spacing w:beforeLines="0" w:afterLines="0"/>
                    <w:jc w:val="center"/>
                    <w:rPr>
                      <w:rFonts w:hint="default" w:ascii="Times New Roman" w:hAnsi="Times New Roman" w:eastAsia="宋体" w:cs="Times New Roman"/>
                      <w:snapToGrid/>
                      <w:color w:val="auto"/>
                      <w:kern w:val="0"/>
                      <w:sz w:val="21"/>
                      <w:szCs w:val="21"/>
                      <w:vertAlign w:val="baseline"/>
                    </w:rPr>
                  </w:pP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D701FA">
                  <w:pPr>
                    <w:ind w:left="-105" w:leftChars="-50" w:right="-105" w:rightChars="-50"/>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cs="Times New Roman"/>
                      <w:color w:val="auto"/>
                      <w:kern w:val="0"/>
                      <w:sz w:val="21"/>
                      <w:szCs w:val="21"/>
                    </w:rPr>
                    <w:t>SO</w:t>
                  </w:r>
                  <w:r>
                    <w:rPr>
                      <w:rFonts w:hint="default" w:ascii="Times New Roman" w:hAnsi="Times New Roman" w:cs="Times New Roman"/>
                      <w:color w:val="auto"/>
                      <w:kern w:val="0"/>
                      <w:sz w:val="21"/>
                      <w:szCs w:val="21"/>
                      <w:vertAlign w:val="subscript"/>
                    </w:rPr>
                    <w:t>2</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0C1213">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lang w:val="en-US" w:eastAsia="zh-CN"/>
                    </w:rPr>
                  </w:pPr>
                  <w:r>
                    <w:rPr>
                      <w:rFonts w:hint="default" w:ascii="Times New Roman" w:hAnsi="Times New Roman" w:cs="Times New Roman"/>
                      <w:snapToGrid/>
                      <w:color w:val="auto"/>
                      <w:kern w:val="0"/>
                      <w:sz w:val="21"/>
                      <w:szCs w:val="21"/>
                      <w:vertAlign w:val="baseline"/>
                      <w:lang w:val="en-US" w:eastAsia="zh-CN"/>
                    </w:rPr>
                    <w:t>0.2</w:t>
                  </w: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01E957">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lang w:val="en-US" w:eastAsia="zh-CN"/>
                    </w:rPr>
                  </w:pPr>
                  <w:r>
                    <w:rPr>
                      <w:rFonts w:hint="default" w:ascii="Times New Roman" w:hAnsi="Times New Roman" w:cs="Times New Roman"/>
                      <w:snapToGrid/>
                      <w:color w:val="auto"/>
                      <w:kern w:val="0"/>
                      <w:sz w:val="21"/>
                      <w:szCs w:val="21"/>
                      <w:vertAlign w:val="baseline"/>
                      <w:lang w:val="en-US" w:eastAsia="zh-CN"/>
                    </w:rPr>
                    <w:t>0.0083</w:t>
                  </w:r>
                </w:p>
              </w:tc>
              <w:tc>
                <w:tcPr>
                  <w:tcW w:w="5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E9C580">
                  <w:pPr>
                    <w:adjustRightInd w:val="0"/>
                    <w:spacing w:beforeLines="0" w:afterLines="0"/>
                    <w:ind w:left="-105" w:leftChars="-50" w:right="-105" w:rightChars="-5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20.23</w:t>
                  </w:r>
                </w:p>
              </w:tc>
              <w:tc>
                <w:tcPr>
                  <w:tcW w:w="355" w:type="pct"/>
                  <w:vMerge w:val="continue"/>
                  <w:tcBorders>
                    <w:left w:val="single" w:color="auto" w:sz="4" w:space="0"/>
                    <w:right w:val="single" w:color="auto" w:sz="4" w:space="0"/>
                    <w:tl2br w:val="nil"/>
                    <w:tr2bl w:val="nil"/>
                  </w:tcBorders>
                  <w:noWrap w:val="0"/>
                  <w:vAlign w:val="center"/>
                </w:tcPr>
                <w:p w14:paraId="15073099">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rPr>
                  </w:pPr>
                </w:p>
              </w:tc>
              <w:tc>
                <w:tcPr>
                  <w:tcW w:w="733" w:type="pct"/>
                  <w:vMerge w:val="continue"/>
                  <w:tcBorders>
                    <w:left w:val="single" w:color="auto" w:sz="4" w:space="0"/>
                    <w:right w:val="single" w:color="auto" w:sz="4" w:space="0"/>
                    <w:tl2br w:val="nil"/>
                    <w:tr2bl w:val="nil"/>
                  </w:tcBorders>
                  <w:noWrap w:val="0"/>
                  <w:vAlign w:val="center"/>
                </w:tcPr>
                <w:p w14:paraId="3776E333">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rPr>
                  </w:pPr>
                </w:p>
              </w:tc>
              <w:tc>
                <w:tcPr>
                  <w:tcW w:w="8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9A9463">
                  <w:pPr>
                    <w:adjustRightInd w:val="0"/>
                    <w:ind w:left="-105" w:leftChars="-50" w:right="-105" w:rightChars="-50"/>
                    <w:jc w:val="center"/>
                    <w:rPr>
                      <w:rFonts w:hint="default" w:ascii="Times New Roman" w:hAnsi="Times New Roman" w:cs="Times New Roman"/>
                      <w:snapToGrid/>
                      <w:color w:val="auto"/>
                      <w:sz w:val="21"/>
                      <w:szCs w:val="21"/>
                      <w:vertAlign w:val="baseline"/>
                      <w:lang w:val="en-US" w:eastAsia="zh-CN"/>
                    </w:rPr>
                  </w:pPr>
                  <w:r>
                    <w:rPr>
                      <w:rFonts w:hint="default" w:ascii="Times New Roman" w:hAnsi="Times New Roman" w:cs="Times New Roman"/>
                      <w:color w:val="auto"/>
                      <w:kern w:val="0"/>
                      <w:sz w:val="21"/>
                      <w:szCs w:val="21"/>
                    </w:rPr>
                    <w:t>0.2</w:t>
                  </w:r>
                </w:p>
              </w:tc>
              <w:tc>
                <w:tcPr>
                  <w:tcW w:w="8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E72245">
                  <w:pPr>
                    <w:adjustRightInd w:val="0"/>
                    <w:ind w:left="-105" w:leftChars="-50" w:right="-105" w:rightChars="-50"/>
                    <w:jc w:val="center"/>
                    <w:rPr>
                      <w:rFonts w:hint="default" w:ascii="Times New Roman" w:hAnsi="Times New Roman" w:cs="Times New Roman"/>
                      <w:snapToGrid/>
                      <w:color w:val="auto"/>
                      <w:sz w:val="21"/>
                      <w:szCs w:val="21"/>
                      <w:vertAlign w:val="baseline"/>
                      <w:lang w:val="en-US" w:eastAsia="zh-CN"/>
                    </w:rPr>
                  </w:pPr>
                  <w:r>
                    <w:rPr>
                      <w:rFonts w:hint="default" w:ascii="Times New Roman" w:hAnsi="Times New Roman" w:cs="Times New Roman"/>
                      <w:color w:val="auto"/>
                      <w:kern w:val="0"/>
                      <w:sz w:val="21"/>
                      <w:szCs w:val="21"/>
                    </w:rPr>
                    <w:t>0.0083</w:t>
                  </w:r>
                </w:p>
              </w:tc>
              <w:tc>
                <w:tcPr>
                  <w:tcW w:w="9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3307B8">
                  <w:pPr>
                    <w:adjustRightInd w:val="0"/>
                    <w:ind w:left="-105" w:leftChars="-50" w:right="-105" w:rightChars="-50"/>
                    <w:jc w:val="center"/>
                    <w:rPr>
                      <w:rFonts w:hint="default" w:ascii="Times New Roman" w:hAnsi="Times New Roman" w:cs="Times New Roman"/>
                      <w:snapToGrid/>
                      <w:color w:val="auto"/>
                      <w:sz w:val="21"/>
                      <w:szCs w:val="21"/>
                      <w:vertAlign w:val="baseline"/>
                      <w:lang w:val="en-US" w:eastAsia="zh-CN"/>
                    </w:rPr>
                  </w:pPr>
                  <w:r>
                    <w:rPr>
                      <w:rFonts w:hint="default" w:ascii="Times New Roman" w:hAnsi="Times New Roman" w:cs="Times New Roman"/>
                      <w:color w:val="auto"/>
                      <w:sz w:val="21"/>
                      <w:szCs w:val="21"/>
                    </w:rPr>
                    <w:t>20.23</w:t>
                  </w:r>
                </w:p>
              </w:tc>
            </w:tr>
            <w:tr w14:paraId="2163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91" w:type="pct"/>
                  <w:vMerge w:val="continue"/>
                  <w:tcBorders>
                    <w:left w:val="single" w:color="auto" w:sz="4" w:space="0"/>
                    <w:bottom w:val="single" w:color="auto" w:sz="4" w:space="0"/>
                    <w:right w:val="single" w:color="auto" w:sz="4" w:space="0"/>
                    <w:tl2br w:val="nil"/>
                    <w:tr2bl w:val="nil"/>
                  </w:tcBorders>
                  <w:noWrap w:val="0"/>
                  <w:vAlign w:val="center"/>
                </w:tcPr>
                <w:p w14:paraId="2F6FAACE">
                  <w:pPr>
                    <w:adjustRightInd w:val="0"/>
                    <w:spacing w:beforeLines="0" w:afterLines="0"/>
                    <w:jc w:val="center"/>
                    <w:rPr>
                      <w:rFonts w:hint="default" w:ascii="Times New Roman" w:hAnsi="Times New Roman" w:eastAsia="宋体" w:cs="Times New Roman"/>
                      <w:snapToGrid/>
                      <w:color w:val="auto"/>
                      <w:kern w:val="0"/>
                      <w:sz w:val="21"/>
                      <w:szCs w:val="21"/>
                      <w:vertAlign w:val="baseline"/>
                    </w:rPr>
                  </w:pP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AA5EEE">
                  <w:pPr>
                    <w:ind w:left="-105" w:leftChars="-50" w:right="-105" w:rightChars="-50"/>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cs="Times New Roman"/>
                      <w:color w:val="auto"/>
                      <w:kern w:val="0"/>
                      <w:sz w:val="21"/>
                      <w:szCs w:val="21"/>
                    </w:rPr>
                    <w:t>NO</w:t>
                  </w:r>
                  <w:r>
                    <w:rPr>
                      <w:rFonts w:hint="default" w:ascii="Times New Roman" w:hAnsi="Times New Roman" w:cs="Times New Roman"/>
                      <w:color w:val="auto"/>
                      <w:kern w:val="0"/>
                      <w:sz w:val="21"/>
                      <w:szCs w:val="21"/>
                      <w:vertAlign w:val="subscript"/>
                    </w:rPr>
                    <w:t>x</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412080">
                  <w:pPr>
                    <w:adjustRightInd w:val="0"/>
                    <w:ind w:left="-105" w:leftChars="-50" w:right="-105" w:rightChars="-50"/>
                    <w:jc w:val="center"/>
                    <w:rPr>
                      <w:rFonts w:hint="default" w:ascii="Times New Roman" w:hAnsi="Times New Roman" w:eastAsia="宋体" w:cs="Times New Roman"/>
                      <w:snapToGrid/>
                      <w:color w:val="auto"/>
                      <w:kern w:val="0"/>
                      <w:sz w:val="21"/>
                      <w:szCs w:val="21"/>
                      <w:vertAlign w:val="baseline"/>
                      <w:lang w:val="en-US" w:eastAsia="zh-CN"/>
                    </w:rPr>
                  </w:pPr>
                  <w:r>
                    <w:rPr>
                      <w:rFonts w:hint="default" w:ascii="Times New Roman" w:hAnsi="Times New Roman" w:cs="Times New Roman"/>
                      <w:snapToGrid/>
                      <w:color w:val="auto"/>
                      <w:kern w:val="0"/>
                      <w:sz w:val="21"/>
                      <w:szCs w:val="21"/>
                      <w:vertAlign w:val="baseline"/>
                      <w:lang w:val="en-US" w:eastAsia="zh-CN"/>
                    </w:rPr>
                    <w:t>0.5</w:t>
                  </w: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EEB0E2">
                  <w:pPr>
                    <w:adjustRightInd w:val="0"/>
                    <w:ind w:left="-105" w:leftChars="-50" w:right="-105" w:rightChars="-50"/>
                    <w:jc w:val="center"/>
                    <w:rPr>
                      <w:rFonts w:hint="default" w:ascii="Times New Roman" w:hAnsi="Times New Roman" w:eastAsia="宋体" w:cs="Times New Roman"/>
                      <w:snapToGrid/>
                      <w:color w:val="auto"/>
                      <w:kern w:val="0"/>
                      <w:sz w:val="21"/>
                      <w:szCs w:val="21"/>
                      <w:vertAlign w:val="baseline"/>
                      <w:lang w:val="en-US" w:eastAsia="zh-CN"/>
                    </w:rPr>
                  </w:pPr>
                  <w:r>
                    <w:rPr>
                      <w:rFonts w:hint="default" w:ascii="Times New Roman" w:hAnsi="Times New Roman" w:cs="Times New Roman"/>
                      <w:snapToGrid/>
                      <w:color w:val="auto"/>
                      <w:kern w:val="0"/>
                      <w:sz w:val="21"/>
                      <w:szCs w:val="21"/>
                      <w:vertAlign w:val="baseline"/>
                      <w:lang w:val="en-US" w:eastAsia="zh-CN"/>
                    </w:rPr>
                    <w:t>0.21</w:t>
                  </w:r>
                </w:p>
              </w:tc>
              <w:tc>
                <w:tcPr>
                  <w:tcW w:w="5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F5F394">
                  <w:pPr>
                    <w:adjustRightInd w:val="0"/>
                    <w:ind w:left="-105" w:leftChars="-50" w:right="-105" w:rightChars="-5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50</w:t>
                  </w:r>
                </w:p>
              </w:tc>
              <w:tc>
                <w:tcPr>
                  <w:tcW w:w="355" w:type="pct"/>
                  <w:vMerge w:val="continue"/>
                  <w:tcBorders>
                    <w:left w:val="single" w:color="auto" w:sz="4" w:space="0"/>
                    <w:bottom w:val="single" w:color="auto" w:sz="4" w:space="0"/>
                    <w:right w:val="single" w:color="auto" w:sz="4" w:space="0"/>
                    <w:tl2br w:val="nil"/>
                    <w:tr2bl w:val="nil"/>
                  </w:tcBorders>
                  <w:noWrap w:val="0"/>
                  <w:vAlign w:val="center"/>
                </w:tcPr>
                <w:p w14:paraId="02A9DDFA">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rPr>
                  </w:pPr>
                </w:p>
              </w:tc>
              <w:tc>
                <w:tcPr>
                  <w:tcW w:w="733" w:type="pct"/>
                  <w:vMerge w:val="continue"/>
                  <w:tcBorders>
                    <w:left w:val="single" w:color="auto" w:sz="4" w:space="0"/>
                    <w:bottom w:val="single" w:color="auto" w:sz="4" w:space="0"/>
                    <w:right w:val="single" w:color="auto" w:sz="4" w:space="0"/>
                    <w:tl2br w:val="nil"/>
                    <w:tr2bl w:val="nil"/>
                  </w:tcBorders>
                  <w:noWrap w:val="0"/>
                  <w:vAlign w:val="center"/>
                </w:tcPr>
                <w:p w14:paraId="61CD72EE">
                  <w:pPr>
                    <w:adjustRightInd w:val="0"/>
                    <w:spacing w:beforeLines="0" w:afterLines="0"/>
                    <w:ind w:left="-105" w:leftChars="-50" w:right="-105" w:rightChars="-50"/>
                    <w:jc w:val="center"/>
                    <w:rPr>
                      <w:rFonts w:hint="default" w:ascii="Times New Roman" w:hAnsi="Times New Roman" w:eastAsia="宋体" w:cs="Times New Roman"/>
                      <w:snapToGrid/>
                      <w:color w:val="auto"/>
                      <w:kern w:val="0"/>
                      <w:sz w:val="21"/>
                      <w:szCs w:val="21"/>
                      <w:vertAlign w:val="baseline"/>
                    </w:rPr>
                  </w:pPr>
                </w:p>
              </w:tc>
              <w:tc>
                <w:tcPr>
                  <w:tcW w:w="8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5DE9CC">
                  <w:pPr>
                    <w:adjustRightInd w:val="0"/>
                    <w:spacing w:beforeLines="0" w:afterLines="0"/>
                    <w:ind w:left="-105" w:leftChars="-50" w:right="-105" w:rightChars="-50"/>
                    <w:jc w:val="center"/>
                    <w:rPr>
                      <w:rFonts w:hint="default" w:ascii="Times New Roman" w:hAnsi="Times New Roman" w:cs="Times New Roman"/>
                      <w:snapToGrid/>
                      <w:color w:val="auto"/>
                      <w:sz w:val="21"/>
                      <w:szCs w:val="21"/>
                      <w:vertAlign w:val="baseline"/>
                      <w:lang w:val="en-US" w:eastAsia="zh-CN"/>
                    </w:rPr>
                  </w:pPr>
                  <w:r>
                    <w:rPr>
                      <w:rFonts w:hint="default" w:ascii="Times New Roman" w:hAnsi="Times New Roman" w:cs="Times New Roman"/>
                      <w:color w:val="auto"/>
                      <w:kern w:val="0"/>
                      <w:sz w:val="21"/>
                      <w:szCs w:val="21"/>
                    </w:rPr>
                    <w:t>0.5</w:t>
                  </w:r>
                </w:p>
              </w:tc>
              <w:tc>
                <w:tcPr>
                  <w:tcW w:w="8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769A75">
                  <w:pPr>
                    <w:adjustRightInd w:val="0"/>
                    <w:spacing w:beforeLines="0" w:afterLines="0"/>
                    <w:ind w:left="-105" w:leftChars="-50" w:right="-105" w:rightChars="-50"/>
                    <w:jc w:val="center"/>
                    <w:rPr>
                      <w:rFonts w:hint="default" w:ascii="Times New Roman" w:hAnsi="Times New Roman" w:cs="Times New Roman"/>
                      <w:snapToGrid/>
                      <w:color w:val="auto"/>
                      <w:sz w:val="21"/>
                      <w:szCs w:val="21"/>
                      <w:vertAlign w:val="baseline"/>
                      <w:lang w:val="en-US" w:eastAsia="zh-CN"/>
                    </w:rPr>
                  </w:pPr>
                  <w:r>
                    <w:rPr>
                      <w:rFonts w:hint="default" w:ascii="Times New Roman" w:hAnsi="Times New Roman" w:cs="Times New Roman"/>
                      <w:color w:val="auto"/>
                      <w:kern w:val="0"/>
                      <w:sz w:val="21"/>
                      <w:szCs w:val="21"/>
                    </w:rPr>
                    <w:t>0.21</w:t>
                  </w:r>
                </w:p>
              </w:tc>
              <w:tc>
                <w:tcPr>
                  <w:tcW w:w="9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DD46D4">
                  <w:pPr>
                    <w:adjustRightInd w:val="0"/>
                    <w:spacing w:beforeLines="0" w:afterLines="0"/>
                    <w:ind w:left="-105" w:leftChars="-50" w:right="-105" w:rightChars="-50"/>
                    <w:jc w:val="center"/>
                    <w:rPr>
                      <w:rFonts w:hint="default" w:ascii="Times New Roman" w:hAnsi="Times New Roman" w:cs="Times New Roman"/>
                      <w:snapToGrid/>
                      <w:color w:val="auto"/>
                      <w:sz w:val="21"/>
                      <w:szCs w:val="21"/>
                      <w:vertAlign w:val="baseline"/>
                      <w:lang w:val="en-US" w:eastAsia="zh-CN"/>
                    </w:rPr>
                  </w:pPr>
                  <w:r>
                    <w:rPr>
                      <w:rFonts w:hint="default" w:ascii="Times New Roman" w:hAnsi="Times New Roman" w:cs="Times New Roman"/>
                      <w:color w:val="auto"/>
                      <w:sz w:val="21"/>
                      <w:szCs w:val="21"/>
                    </w:rPr>
                    <w:t>50</w:t>
                  </w:r>
                </w:p>
              </w:tc>
            </w:tr>
          </w:tbl>
          <w:p w14:paraId="6EDCF4D5">
            <w:pPr>
              <w:adjustRightInd w:val="0"/>
              <w:snapToGrid w:val="0"/>
              <w:spacing w:beforeLines="0" w:afterLines="0"/>
              <w:jc w:val="center"/>
              <w:rPr>
                <w:rFonts w:hint="default" w:ascii="宋体" w:hAnsi="宋体" w:eastAsia="宋体"/>
                <w:b/>
                <w:snapToGrid/>
                <w:color w:val="auto"/>
                <w:kern w:val="0"/>
                <w:sz w:val="21"/>
                <w:szCs w:val="21"/>
                <w:vertAlign w:val="baseline"/>
              </w:rPr>
            </w:pPr>
            <w:r>
              <w:rPr>
                <w:rFonts w:hint="default" w:ascii="宋体" w:hAnsi="宋体" w:eastAsia="宋体"/>
                <w:b/>
                <w:snapToGrid/>
                <w:color w:val="auto"/>
                <w:kern w:val="0"/>
                <w:sz w:val="21"/>
                <w:szCs w:val="21"/>
                <w:vertAlign w:val="baseline"/>
              </w:rPr>
              <w:t>表4-</w:t>
            </w:r>
            <w:r>
              <w:rPr>
                <w:rFonts w:hint="eastAsia" w:ascii="宋体" w:hAnsi="宋体"/>
                <w:b/>
                <w:snapToGrid/>
                <w:color w:val="auto"/>
                <w:kern w:val="0"/>
                <w:sz w:val="21"/>
                <w:szCs w:val="21"/>
                <w:vertAlign w:val="baseline"/>
                <w:lang w:val="en-US" w:eastAsia="zh-CN"/>
              </w:rPr>
              <w:t>3</w:t>
            </w:r>
            <w:r>
              <w:rPr>
                <w:rFonts w:hint="default" w:ascii="宋体" w:hAnsi="宋体" w:eastAsia="宋体"/>
                <w:b/>
                <w:snapToGrid/>
                <w:color w:val="auto"/>
                <w:kern w:val="0"/>
                <w:sz w:val="21"/>
                <w:szCs w:val="21"/>
                <w:vertAlign w:val="baseline"/>
              </w:rPr>
              <w:t xml:space="preserve"> 项目无组织废气产排情况一览表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703"/>
              <w:gridCol w:w="1035"/>
              <w:gridCol w:w="1028"/>
              <w:gridCol w:w="1927"/>
              <w:gridCol w:w="1035"/>
              <w:gridCol w:w="880"/>
              <w:gridCol w:w="729"/>
            </w:tblGrid>
            <w:tr w14:paraId="106C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1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3B5A38E">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r>
                    <w:rPr>
                      <w:rFonts w:hint="default" w:ascii="Times New Roman" w:hAnsi="Times New Roman" w:eastAsia="宋体" w:cs="Times New Roman"/>
                      <w:b/>
                      <w:color w:val="auto"/>
                      <w:kern w:val="0"/>
                      <w:sz w:val="21"/>
                      <w:szCs w:val="21"/>
                      <w:vertAlign w:val="baseline"/>
                    </w:rPr>
                    <w:t>污染源</w:t>
                  </w:r>
                </w:p>
              </w:tc>
              <w:tc>
                <w:tcPr>
                  <w:tcW w:w="93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B71201A">
                  <w:pPr>
                    <w:spacing w:beforeLines="0" w:afterLines="0"/>
                    <w:ind w:left="-105" w:leftChars="-50" w:right="-105" w:rightChars="-50"/>
                    <w:jc w:val="center"/>
                    <w:rPr>
                      <w:rFonts w:hint="default" w:ascii="Times New Roman" w:hAnsi="Times New Roman" w:eastAsia="宋体" w:cs="Times New Roman"/>
                      <w:b/>
                      <w:color w:val="auto"/>
                      <w:kern w:val="0"/>
                      <w:sz w:val="21"/>
                      <w:szCs w:val="21"/>
                      <w:vertAlign w:val="baseline"/>
                    </w:rPr>
                  </w:pPr>
                  <w:r>
                    <w:rPr>
                      <w:rFonts w:hint="default" w:ascii="Times New Roman" w:hAnsi="Times New Roman" w:eastAsia="宋体" w:cs="Times New Roman"/>
                      <w:b/>
                      <w:color w:val="auto"/>
                      <w:kern w:val="0"/>
                      <w:sz w:val="21"/>
                      <w:szCs w:val="21"/>
                      <w:vertAlign w:val="baseline"/>
                    </w:rPr>
                    <w:t>污染工序</w:t>
                  </w:r>
                </w:p>
              </w:tc>
              <w:tc>
                <w:tcPr>
                  <w:tcW w:w="569"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0D6CCBD">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r>
                    <w:rPr>
                      <w:rFonts w:hint="default" w:ascii="Times New Roman" w:hAnsi="Times New Roman" w:eastAsia="宋体" w:cs="Times New Roman"/>
                      <w:b/>
                      <w:color w:val="auto"/>
                      <w:kern w:val="0"/>
                      <w:sz w:val="21"/>
                      <w:szCs w:val="21"/>
                      <w:vertAlign w:val="baseline"/>
                    </w:rPr>
                    <w:t>污染物</w:t>
                  </w:r>
                </w:p>
              </w:tc>
              <w:tc>
                <w:tcPr>
                  <w:tcW w:w="56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0E3EB07">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r>
                    <w:rPr>
                      <w:rFonts w:hint="default" w:ascii="Times New Roman" w:hAnsi="Times New Roman" w:eastAsia="宋体" w:cs="Times New Roman"/>
                      <w:b/>
                      <w:color w:val="auto"/>
                      <w:kern w:val="0"/>
                      <w:sz w:val="21"/>
                      <w:szCs w:val="21"/>
                      <w:vertAlign w:val="baseline"/>
                    </w:rPr>
                    <w:t>产生量（t/a）</w:t>
                  </w:r>
                </w:p>
              </w:tc>
              <w:tc>
                <w:tcPr>
                  <w:tcW w:w="1059"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4FDFD5B">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r>
                    <w:rPr>
                      <w:rFonts w:hint="default" w:ascii="Times New Roman" w:hAnsi="Times New Roman" w:eastAsia="宋体" w:cs="Times New Roman"/>
                      <w:b/>
                      <w:color w:val="auto"/>
                      <w:kern w:val="0"/>
                      <w:sz w:val="21"/>
                      <w:szCs w:val="21"/>
                      <w:vertAlign w:val="baseline"/>
                    </w:rPr>
                    <w:t>治理措施</w:t>
                  </w:r>
                </w:p>
              </w:tc>
              <w:tc>
                <w:tcPr>
                  <w:tcW w:w="569"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3891E13">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r>
                    <w:rPr>
                      <w:rFonts w:hint="default" w:ascii="Times New Roman" w:hAnsi="Times New Roman" w:eastAsia="宋体" w:cs="Times New Roman"/>
                      <w:b/>
                      <w:color w:val="auto"/>
                      <w:kern w:val="0"/>
                      <w:sz w:val="21"/>
                      <w:szCs w:val="21"/>
                      <w:vertAlign w:val="baseline"/>
                    </w:rPr>
                    <w:t>排放量（t/a）</w:t>
                  </w:r>
                </w:p>
              </w:tc>
              <w:tc>
                <w:tcPr>
                  <w:tcW w:w="88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357F8A6">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r>
                    <w:rPr>
                      <w:rFonts w:hint="default" w:ascii="Times New Roman" w:hAnsi="Times New Roman" w:eastAsia="宋体" w:cs="Times New Roman"/>
                      <w:b/>
                      <w:color w:val="auto"/>
                      <w:kern w:val="0"/>
                      <w:sz w:val="21"/>
                      <w:szCs w:val="21"/>
                      <w:vertAlign w:val="baseline"/>
                    </w:rPr>
                    <w:t>面源参数</w:t>
                  </w:r>
                </w:p>
              </w:tc>
            </w:tr>
            <w:tr w14:paraId="3725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9A1932E">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p>
              </w:tc>
              <w:tc>
                <w:tcPr>
                  <w:tcW w:w="93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83483F3">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p>
              </w:tc>
              <w:tc>
                <w:tcPr>
                  <w:tcW w:w="569"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26CAE31">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p>
              </w:tc>
              <w:tc>
                <w:tcPr>
                  <w:tcW w:w="56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89BAF7A">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p>
              </w:tc>
              <w:tc>
                <w:tcPr>
                  <w:tcW w:w="1059"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C4EF725">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p>
              </w:tc>
              <w:tc>
                <w:tcPr>
                  <w:tcW w:w="569"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E9C39EC">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p>
              </w:tc>
              <w:tc>
                <w:tcPr>
                  <w:tcW w:w="48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8A8B10">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r>
                    <w:rPr>
                      <w:rFonts w:hint="default" w:ascii="Times New Roman" w:hAnsi="Times New Roman" w:eastAsia="宋体" w:cs="Times New Roman"/>
                      <w:b/>
                      <w:color w:val="auto"/>
                      <w:kern w:val="0"/>
                      <w:sz w:val="21"/>
                      <w:szCs w:val="21"/>
                      <w:vertAlign w:val="baseline"/>
                    </w:rPr>
                    <w:t>面积（m</w:t>
                  </w:r>
                  <w:r>
                    <w:rPr>
                      <w:rFonts w:hint="default" w:ascii="Times New Roman" w:hAnsi="Times New Roman" w:cs="Times New Roman"/>
                      <w:b/>
                      <w:color w:val="auto"/>
                      <w:kern w:val="0"/>
                      <w:sz w:val="21"/>
                      <w:szCs w:val="21"/>
                      <w:vertAlign w:val="superscript"/>
                    </w:rPr>
                    <w:t>2</w:t>
                  </w:r>
                  <w:r>
                    <w:rPr>
                      <w:rFonts w:hint="default" w:ascii="Times New Roman" w:hAnsi="Times New Roman" w:eastAsia="宋体" w:cs="Times New Roman"/>
                      <w:b/>
                      <w:color w:val="auto"/>
                      <w:kern w:val="0"/>
                      <w:sz w:val="21"/>
                      <w:szCs w:val="21"/>
                      <w:vertAlign w:val="baseline"/>
                    </w:rPr>
                    <w:t>）</w:t>
                  </w:r>
                </w:p>
              </w:tc>
              <w:tc>
                <w:tcPr>
                  <w:tcW w:w="4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6492FD">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r>
                    <w:rPr>
                      <w:rFonts w:hint="default" w:ascii="Times New Roman" w:hAnsi="Times New Roman" w:eastAsia="宋体" w:cs="Times New Roman"/>
                      <w:b/>
                      <w:color w:val="auto"/>
                      <w:kern w:val="0"/>
                      <w:sz w:val="21"/>
                      <w:szCs w:val="21"/>
                      <w:vertAlign w:val="baseline"/>
                    </w:rPr>
                    <w:t>高度（m）</w:t>
                  </w:r>
                </w:p>
              </w:tc>
            </w:tr>
            <w:tr w14:paraId="0963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6AD077">
                  <w:pPr>
                    <w:spacing w:beforeLines="0" w:afterLines="0"/>
                    <w:ind w:left="-105" w:leftChars="-50" w:right="-105" w:rightChars="-50"/>
                    <w:jc w:val="center"/>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配料粉尘</w:t>
                  </w:r>
                </w:p>
              </w:tc>
              <w:tc>
                <w:tcPr>
                  <w:tcW w:w="9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4917E3">
                  <w:pPr>
                    <w:adjustRightInd w:val="0"/>
                    <w:spacing w:beforeLines="0" w:afterLines="0"/>
                    <w:jc w:val="center"/>
                    <w:rPr>
                      <w:rFonts w:hint="default" w:ascii="Times New Roman" w:hAnsi="Times New Roman" w:eastAsia="宋体"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配料</w:t>
                  </w:r>
                </w:p>
              </w:tc>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3452E0">
                  <w:pPr>
                    <w:adjustRightInd w:val="0"/>
                    <w:spacing w:beforeLines="0" w:afterLines="0"/>
                    <w:jc w:val="center"/>
                    <w:rPr>
                      <w:rFonts w:hint="default" w:ascii="Times New Roman" w:hAnsi="Times New Roman" w:eastAsia="宋体"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颗粒物</w:t>
                  </w:r>
                </w:p>
              </w:tc>
              <w:tc>
                <w:tcPr>
                  <w:tcW w:w="5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023D76">
                  <w:pPr>
                    <w:adjustRightInd w:val="0"/>
                    <w:spacing w:beforeLines="0" w:afterLines="0"/>
                    <w:ind w:left="-105" w:leftChars="-50" w:right="-105" w:rightChars="-5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0.075</w:t>
                  </w:r>
                </w:p>
              </w:tc>
              <w:tc>
                <w:tcPr>
                  <w:tcW w:w="10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18DE71">
                  <w:pPr>
                    <w:adjustRightInd w:val="0"/>
                    <w:spacing w:beforeLines="0" w:afterLines="0"/>
                    <w:jc w:val="center"/>
                    <w:rPr>
                      <w:rFonts w:hint="default" w:ascii="Times New Roman" w:hAnsi="Times New Roman" w:eastAsia="宋体" w:cs="Times New Roman"/>
                      <w:snapToGrid/>
                      <w:color w:val="auto"/>
                      <w:kern w:val="0"/>
                      <w:sz w:val="21"/>
                      <w:szCs w:val="21"/>
                      <w:vertAlign w:val="baseline"/>
                    </w:rPr>
                  </w:pPr>
                  <w:r>
                    <w:rPr>
                      <w:rFonts w:hint="default" w:ascii="Times New Roman" w:hAnsi="Times New Roman" w:eastAsia="宋体" w:cs="Times New Roman"/>
                      <w:color w:val="auto"/>
                      <w:sz w:val="21"/>
                      <w:szCs w:val="21"/>
                      <w:vertAlign w:val="baseline"/>
                    </w:rPr>
                    <w:t>封闭车间，加强废气收集效率</w:t>
                  </w:r>
                </w:p>
              </w:tc>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49FA9E">
                  <w:pPr>
                    <w:adjustRightInd w:val="0"/>
                    <w:spacing w:beforeLines="0" w:afterLines="0"/>
                    <w:ind w:left="-105" w:leftChars="-50" w:right="-105" w:rightChars="-5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0.075</w:t>
                  </w:r>
                </w:p>
              </w:tc>
              <w:tc>
                <w:tcPr>
                  <w:tcW w:w="48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4AC1E2">
                  <w:pPr>
                    <w:spacing w:beforeLines="0" w:afterLines="0"/>
                    <w:ind w:left="-105" w:leftChars="-50" w:right="-105" w:rightChars="-5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300</w:t>
                  </w:r>
                </w:p>
              </w:tc>
              <w:tc>
                <w:tcPr>
                  <w:tcW w:w="4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313A2D">
                  <w:pPr>
                    <w:spacing w:beforeLines="0" w:afterLines="0"/>
                    <w:ind w:left="-105" w:leftChars="-50" w:right="-105" w:rightChars="-5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12</w:t>
                  </w:r>
                </w:p>
              </w:tc>
            </w:tr>
          </w:tbl>
          <w:p w14:paraId="5FE27AA9">
            <w:pPr>
              <w:spacing w:beforeLines="0" w:afterLines="0"/>
              <w:jc w:val="center"/>
              <w:rPr>
                <w:rFonts w:hint="eastAsia"/>
                <w:b/>
                <w:snapToGrid/>
                <w:color w:val="auto"/>
                <w:sz w:val="21"/>
                <w:szCs w:val="21"/>
                <w:vertAlign w:val="baseline"/>
              </w:rPr>
            </w:pPr>
            <w:r>
              <w:rPr>
                <w:rFonts w:hint="default" w:ascii="宋体" w:eastAsia="宋体"/>
                <w:b/>
                <w:snapToGrid/>
                <w:color w:val="auto"/>
                <w:sz w:val="21"/>
                <w:szCs w:val="21"/>
                <w:vertAlign w:val="baseline"/>
              </w:rPr>
              <w:t>表4-</w:t>
            </w:r>
            <w:r>
              <w:rPr>
                <w:rFonts w:hint="eastAsia" w:ascii="宋体"/>
                <w:b/>
                <w:snapToGrid/>
                <w:color w:val="auto"/>
                <w:sz w:val="21"/>
                <w:szCs w:val="21"/>
                <w:vertAlign w:val="baseline"/>
                <w:lang w:val="en-US" w:eastAsia="zh-CN"/>
              </w:rPr>
              <w:t>4</w:t>
            </w:r>
            <w:r>
              <w:rPr>
                <w:rFonts w:hint="eastAsia"/>
                <w:b/>
                <w:snapToGrid/>
                <w:color w:val="auto"/>
                <w:sz w:val="21"/>
                <w:szCs w:val="21"/>
                <w:vertAlign w:val="baseline"/>
              </w:rPr>
              <w:t xml:space="preserve"> </w:t>
            </w:r>
            <w:r>
              <w:rPr>
                <w:rFonts w:hint="default" w:ascii="宋体" w:eastAsia="宋体"/>
                <w:b/>
                <w:snapToGrid/>
                <w:color w:val="auto"/>
                <w:sz w:val="21"/>
                <w:szCs w:val="21"/>
                <w:vertAlign w:val="baseline"/>
              </w:rPr>
              <w:t>项目废气治理设施一览表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4"/>
              <w:gridCol w:w="808"/>
              <w:gridCol w:w="4"/>
              <w:gridCol w:w="2023"/>
              <w:gridCol w:w="4"/>
              <w:gridCol w:w="726"/>
              <w:gridCol w:w="4"/>
              <w:gridCol w:w="958"/>
              <w:gridCol w:w="4"/>
              <w:gridCol w:w="1021"/>
              <w:gridCol w:w="5"/>
              <w:gridCol w:w="2436"/>
              <w:gridCol w:w="7"/>
            </w:tblGrid>
            <w:tr w14:paraId="4752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3" w:hRule="atLeast"/>
                <w:jc w:val="center"/>
              </w:trPr>
              <w:tc>
                <w:tcPr>
                  <w:tcW w:w="6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92E09C">
                  <w:pPr>
                    <w:spacing w:beforeLines="0" w:afterLines="0"/>
                    <w:ind w:left="-105" w:leftChars="-50" w:right="-105" w:rightChars="-50"/>
                    <w:jc w:val="center"/>
                    <w:rPr>
                      <w:rFonts w:hint="default" w:ascii="Times New Roman" w:hAnsi="Times New Roman" w:cs="Times New Roman"/>
                      <w:b/>
                      <w:snapToGrid/>
                      <w:color w:val="auto"/>
                      <w:kern w:val="0"/>
                      <w:sz w:val="21"/>
                      <w:szCs w:val="21"/>
                      <w:vertAlign w:val="baseline"/>
                    </w:rPr>
                  </w:pPr>
                  <w:r>
                    <w:rPr>
                      <w:rFonts w:hint="default" w:ascii="Times New Roman" w:hAnsi="Times New Roman" w:eastAsia="宋体" w:cs="Times New Roman"/>
                      <w:b/>
                      <w:snapToGrid/>
                      <w:color w:val="auto"/>
                      <w:kern w:val="0"/>
                      <w:sz w:val="21"/>
                      <w:szCs w:val="21"/>
                      <w:vertAlign w:val="baseline"/>
                    </w:rPr>
                    <w:t>产排污环节</w:t>
                  </w:r>
                </w:p>
              </w:tc>
              <w:tc>
                <w:tcPr>
                  <w:tcW w:w="44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F263B82">
                  <w:pPr>
                    <w:spacing w:beforeLines="0" w:afterLines="0"/>
                    <w:ind w:left="-105" w:leftChars="-50" w:right="-105" w:rightChars="-50"/>
                    <w:jc w:val="center"/>
                    <w:rPr>
                      <w:rFonts w:hint="default" w:ascii="Times New Roman" w:hAnsi="Times New Roman" w:cs="Times New Roman"/>
                      <w:b/>
                      <w:snapToGrid/>
                      <w:color w:val="auto"/>
                      <w:kern w:val="0"/>
                      <w:sz w:val="21"/>
                      <w:szCs w:val="21"/>
                      <w:vertAlign w:val="baseline"/>
                    </w:rPr>
                  </w:pPr>
                  <w:r>
                    <w:rPr>
                      <w:rFonts w:hint="default" w:ascii="Times New Roman" w:hAnsi="Times New Roman" w:eastAsia="宋体" w:cs="Times New Roman"/>
                      <w:b/>
                      <w:snapToGrid/>
                      <w:color w:val="auto"/>
                      <w:kern w:val="0"/>
                      <w:sz w:val="21"/>
                      <w:szCs w:val="21"/>
                      <w:vertAlign w:val="baseline"/>
                    </w:rPr>
                    <w:t>污染物</w:t>
                  </w:r>
                </w:p>
              </w:tc>
              <w:tc>
                <w:tcPr>
                  <w:tcW w:w="111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21FB66D">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r>
                    <w:rPr>
                      <w:rFonts w:hint="default" w:ascii="Times New Roman" w:hAnsi="Times New Roman" w:eastAsia="宋体" w:cs="Times New Roman"/>
                      <w:b/>
                      <w:color w:val="auto"/>
                      <w:kern w:val="0"/>
                      <w:sz w:val="21"/>
                      <w:szCs w:val="21"/>
                      <w:vertAlign w:val="baseline"/>
                    </w:rPr>
                    <w:t>治理措施</w:t>
                  </w:r>
                </w:p>
              </w:tc>
              <w:tc>
                <w:tcPr>
                  <w:tcW w:w="401"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465250C">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r>
                    <w:rPr>
                      <w:rFonts w:hint="default" w:ascii="Times New Roman" w:hAnsi="Times New Roman" w:eastAsia="宋体" w:cs="Times New Roman"/>
                      <w:b/>
                      <w:color w:val="auto"/>
                      <w:kern w:val="0"/>
                      <w:sz w:val="21"/>
                      <w:szCs w:val="21"/>
                      <w:vertAlign w:val="baseline"/>
                    </w:rPr>
                    <w:t>收集效率%</w:t>
                  </w:r>
                </w:p>
              </w:tc>
              <w:tc>
                <w:tcPr>
                  <w:tcW w:w="52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4536832">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r>
                    <w:rPr>
                      <w:rFonts w:hint="default" w:ascii="Times New Roman" w:hAnsi="Times New Roman" w:eastAsia="宋体" w:cs="Times New Roman"/>
                      <w:b/>
                      <w:color w:val="auto"/>
                      <w:kern w:val="0"/>
                      <w:sz w:val="21"/>
                      <w:szCs w:val="21"/>
                      <w:vertAlign w:val="baseline"/>
                    </w:rPr>
                    <w:t>治理工艺去除率%</w:t>
                  </w:r>
                </w:p>
              </w:tc>
              <w:tc>
                <w:tcPr>
                  <w:tcW w:w="56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FAACCA2">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r>
                    <w:rPr>
                      <w:rFonts w:hint="default" w:ascii="Times New Roman" w:hAnsi="Times New Roman" w:eastAsia="宋体" w:cs="Times New Roman"/>
                      <w:b/>
                      <w:color w:val="auto"/>
                      <w:kern w:val="0"/>
                      <w:sz w:val="21"/>
                      <w:szCs w:val="21"/>
                      <w:vertAlign w:val="baseline"/>
                    </w:rPr>
                    <w:t>是否为可行技术</w:t>
                  </w:r>
                </w:p>
              </w:tc>
              <w:tc>
                <w:tcPr>
                  <w:tcW w:w="1341"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27979E2">
                  <w:pPr>
                    <w:spacing w:beforeLines="0" w:afterLines="0"/>
                    <w:ind w:left="-105" w:leftChars="-50" w:right="-105" w:rightChars="-50"/>
                    <w:jc w:val="center"/>
                    <w:rPr>
                      <w:rFonts w:hint="default" w:ascii="Times New Roman" w:hAnsi="Times New Roman" w:cs="Times New Roman"/>
                      <w:b/>
                      <w:color w:val="auto"/>
                      <w:kern w:val="0"/>
                      <w:sz w:val="21"/>
                      <w:szCs w:val="21"/>
                      <w:vertAlign w:val="baseline"/>
                    </w:rPr>
                  </w:pPr>
                  <w:r>
                    <w:rPr>
                      <w:rFonts w:hint="default" w:ascii="Times New Roman" w:hAnsi="Times New Roman" w:eastAsia="宋体" w:cs="Times New Roman"/>
                      <w:b/>
                      <w:color w:val="auto"/>
                      <w:kern w:val="0"/>
                      <w:sz w:val="21"/>
                      <w:szCs w:val="21"/>
                      <w:vertAlign w:val="baseline"/>
                    </w:rPr>
                    <w:t>排放标准</w:t>
                  </w:r>
                </w:p>
              </w:tc>
            </w:tr>
            <w:tr w14:paraId="533E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786F122">
                  <w:pPr>
                    <w:adjustRightInd w:val="0"/>
                    <w:spacing w:beforeLines="0" w:afterLines="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配料粉尘</w:t>
                  </w:r>
                </w:p>
              </w:tc>
              <w:tc>
                <w:tcPr>
                  <w:tcW w:w="44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F4EA105">
                  <w:pPr>
                    <w:spacing w:beforeLines="0" w:afterLines="0"/>
                    <w:ind w:left="-105" w:leftChars="-50" w:right="-105" w:rightChars="-50"/>
                    <w:jc w:val="center"/>
                    <w:rPr>
                      <w:rFonts w:hint="default" w:ascii="Times New Roman" w:hAnsi="Times New Roman"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颗粒物</w:t>
                  </w:r>
                </w:p>
              </w:tc>
              <w:tc>
                <w:tcPr>
                  <w:tcW w:w="111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C54026F">
                  <w:pPr>
                    <w:adjustRightInd w:val="0"/>
                    <w:spacing w:beforeLines="0" w:afterLines="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color w:val="auto"/>
                      <w:sz w:val="21"/>
                      <w:szCs w:val="21"/>
                      <w:vertAlign w:val="baseline"/>
                    </w:rPr>
                    <w:t>布袋除尘器+1根1</w:t>
                  </w:r>
                  <w:r>
                    <w:rPr>
                      <w:rFonts w:hint="eastAsia" w:ascii="Times New Roman" w:hAnsi="Times New Roman" w:cs="Times New Roman"/>
                      <w:color w:val="auto"/>
                      <w:sz w:val="21"/>
                      <w:szCs w:val="21"/>
                      <w:vertAlign w:val="baseline"/>
                      <w:lang w:val="en-US" w:eastAsia="zh-CN"/>
                    </w:rPr>
                    <w:t>7</w:t>
                  </w:r>
                  <w:r>
                    <w:rPr>
                      <w:rFonts w:hint="default" w:ascii="Times New Roman" w:hAnsi="Times New Roman" w:eastAsia="宋体" w:cs="Times New Roman"/>
                      <w:color w:val="auto"/>
                      <w:sz w:val="21"/>
                      <w:szCs w:val="21"/>
                      <w:vertAlign w:val="baseline"/>
                    </w:rPr>
                    <w:t>m高排气筒（DA001）</w:t>
                  </w:r>
                </w:p>
              </w:tc>
              <w:tc>
                <w:tcPr>
                  <w:tcW w:w="401"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7E3430D">
                  <w:pPr>
                    <w:spacing w:beforeLines="0" w:afterLines="0"/>
                    <w:ind w:left="-105" w:leftChars="-50" w:right="-105" w:rightChars="-50"/>
                    <w:jc w:val="center"/>
                    <w:rPr>
                      <w:rFonts w:hint="default" w:ascii="Times New Roman" w:hAnsi="Times New Roman" w:cs="Times New Roman"/>
                      <w:color w:val="auto"/>
                      <w:kern w:val="0"/>
                      <w:sz w:val="21"/>
                      <w:szCs w:val="21"/>
                      <w:vertAlign w:val="baseline"/>
                    </w:rPr>
                  </w:pPr>
                  <w:r>
                    <w:rPr>
                      <w:rFonts w:hint="default" w:ascii="Times New Roman" w:hAnsi="Times New Roman" w:cs="Times New Roman"/>
                      <w:color w:val="auto"/>
                      <w:kern w:val="0"/>
                      <w:sz w:val="21"/>
                      <w:szCs w:val="21"/>
                      <w:vertAlign w:val="baseline"/>
                    </w:rPr>
                    <w:t>90</w:t>
                  </w:r>
                </w:p>
              </w:tc>
              <w:tc>
                <w:tcPr>
                  <w:tcW w:w="52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2839E1F">
                  <w:pPr>
                    <w:spacing w:beforeLines="0" w:afterLines="0"/>
                    <w:ind w:left="-105" w:leftChars="-50" w:right="-105" w:rightChars="-50"/>
                    <w:jc w:val="center"/>
                    <w:rPr>
                      <w:rFonts w:hint="default" w:ascii="Times New Roman" w:hAnsi="Times New Roman" w:cs="Times New Roman"/>
                      <w:color w:val="auto"/>
                      <w:kern w:val="0"/>
                      <w:sz w:val="21"/>
                      <w:szCs w:val="21"/>
                      <w:vertAlign w:val="baseline"/>
                    </w:rPr>
                  </w:pPr>
                  <w:r>
                    <w:rPr>
                      <w:rFonts w:hint="default" w:ascii="Times New Roman" w:hAnsi="Times New Roman" w:cs="Times New Roman"/>
                      <w:color w:val="auto"/>
                      <w:kern w:val="0"/>
                      <w:sz w:val="21"/>
                      <w:szCs w:val="21"/>
                      <w:vertAlign w:val="baseline"/>
                    </w:rPr>
                    <w:t>95</w:t>
                  </w:r>
                </w:p>
              </w:tc>
              <w:tc>
                <w:tcPr>
                  <w:tcW w:w="56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5A082F3">
                  <w:pPr>
                    <w:spacing w:beforeLines="0" w:afterLines="0"/>
                    <w:ind w:left="-105" w:leftChars="-50" w:right="-105" w:rightChars="-5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是</w:t>
                  </w:r>
                </w:p>
              </w:tc>
              <w:tc>
                <w:tcPr>
                  <w:tcW w:w="1342"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C59E88B">
                  <w:pPr>
                    <w:adjustRightInd w:val="0"/>
                    <w:snapToGrid w:val="0"/>
                    <w:spacing w:beforeLines="0" w:afterLine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vertAlign w:val="baseline"/>
                    </w:rPr>
                    <w:t>《大气污染物综合排放标准》（GB16297-1996）</w:t>
                  </w:r>
                </w:p>
              </w:tc>
            </w:tr>
            <w:tr w14:paraId="1B44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A9B468A">
                  <w:pPr>
                    <w:adjustRightInd w:val="0"/>
                    <w:spacing w:beforeLines="0" w:afterLines="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油炸油烟</w:t>
                  </w:r>
                </w:p>
              </w:tc>
              <w:tc>
                <w:tcPr>
                  <w:tcW w:w="44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8BAB65E">
                  <w:pPr>
                    <w:spacing w:beforeLines="0" w:afterLines="0"/>
                    <w:ind w:left="-105" w:leftChars="-50" w:right="-105" w:rightChars="-5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sz w:val="21"/>
                      <w:szCs w:val="21"/>
                      <w:vertAlign w:val="baseline"/>
                    </w:rPr>
                    <w:t>油烟</w:t>
                  </w:r>
                </w:p>
              </w:tc>
              <w:tc>
                <w:tcPr>
                  <w:tcW w:w="111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AAE8510">
                  <w:pPr>
                    <w:adjustRightInd w:val="0"/>
                    <w:spacing w:beforeLines="0" w:afterLines="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color w:val="auto"/>
                      <w:sz w:val="21"/>
                      <w:szCs w:val="21"/>
                      <w:vertAlign w:val="baseline"/>
                    </w:rPr>
                    <w:t>油烟净化器+1根1</w:t>
                  </w:r>
                  <w:r>
                    <w:rPr>
                      <w:rFonts w:hint="eastAsia" w:ascii="Times New Roman" w:hAnsi="Times New Roman" w:cs="Times New Roman"/>
                      <w:color w:val="auto"/>
                      <w:sz w:val="21"/>
                      <w:szCs w:val="21"/>
                      <w:vertAlign w:val="baseline"/>
                      <w:lang w:val="en-US" w:eastAsia="zh-CN"/>
                    </w:rPr>
                    <w:t>7</w:t>
                  </w:r>
                  <w:r>
                    <w:rPr>
                      <w:rFonts w:hint="default" w:ascii="Times New Roman" w:hAnsi="Times New Roman" w:eastAsia="宋体" w:cs="Times New Roman"/>
                      <w:color w:val="auto"/>
                      <w:sz w:val="21"/>
                      <w:szCs w:val="21"/>
                      <w:vertAlign w:val="baseline"/>
                    </w:rPr>
                    <w:t>m高排气筒（DA002）</w:t>
                  </w:r>
                </w:p>
              </w:tc>
              <w:tc>
                <w:tcPr>
                  <w:tcW w:w="401"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21B35E8">
                  <w:pPr>
                    <w:spacing w:beforeLines="0" w:afterLines="0"/>
                    <w:jc w:val="center"/>
                    <w:rPr>
                      <w:rFonts w:hint="default" w:ascii="Times New Roman" w:hAnsi="Times New Roman" w:cs="Times New Roman"/>
                      <w:color w:val="auto"/>
                      <w:kern w:val="0"/>
                      <w:sz w:val="21"/>
                      <w:szCs w:val="21"/>
                      <w:vertAlign w:val="baseline"/>
                    </w:rPr>
                  </w:pPr>
                  <w:r>
                    <w:rPr>
                      <w:rFonts w:hint="default" w:ascii="Times New Roman" w:hAnsi="Times New Roman" w:cs="Times New Roman"/>
                      <w:snapToGrid/>
                      <w:color w:val="auto"/>
                      <w:sz w:val="21"/>
                      <w:szCs w:val="24"/>
                      <w:vertAlign w:val="baseline"/>
                    </w:rPr>
                    <w:t>100</w:t>
                  </w:r>
                </w:p>
              </w:tc>
              <w:tc>
                <w:tcPr>
                  <w:tcW w:w="52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50DDE7C">
                  <w:pPr>
                    <w:spacing w:beforeLines="0" w:afterLines="0"/>
                    <w:jc w:val="center"/>
                    <w:rPr>
                      <w:rFonts w:hint="default" w:ascii="Times New Roman" w:hAnsi="Times New Roman" w:cs="Times New Roman"/>
                      <w:color w:val="auto"/>
                      <w:kern w:val="0"/>
                      <w:sz w:val="21"/>
                      <w:szCs w:val="21"/>
                      <w:vertAlign w:val="baseline"/>
                    </w:rPr>
                  </w:pPr>
                  <w:r>
                    <w:rPr>
                      <w:rFonts w:hint="default" w:ascii="Times New Roman" w:hAnsi="Times New Roman" w:cs="Times New Roman"/>
                      <w:snapToGrid/>
                      <w:color w:val="auto"/>
                      <w:sz w:val="21"/>
                      <w:szCs w:val="24"/>
                      <w:vertAlign w:val="baseline"/>
                    </w:rPr>
                    <w:t>90</w:t>
                  </w:r>
                </w:p>
              </w:tc>
              <w:tc>
                <w:tcPr>
                  <w:tcW w:w="56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8FBCCED">
                  <w:pPr>
                    <w:spacing w:beforeLines="0" w:afterLines="0"/>
                    <w:ind w:left="-105" w:leftChars="-50" w:right="-105" w:rightChars="-50"/>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是</w:t>
                  </w:r>
                </w:p>
              </w:tc>
              <w:tc>
                <w:tcPr>
                  <w:tcW w:w="1342" w:type="pct"/>
                  <w:gridSpan w:val="2"/>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696B981">
                  <w:pPr>
                    <w:jc w:val="center"/>
                    <w:rPr>
                      <w:rFonts w:hint="default" w:ascii="Times New Roman" w:hAnsi="Times New Roman" w:cs="Times New Roman"/>
                      <w:snapToGrid/>
                      <w:color w:val="auto"/>
                      <w:sz w:val="21"/>
                      <w:szCs w:val="21"/>
                      <w:vertAlign w:val="baseline"/>
                    </w:rPr>
                  </w:pPr>
                  <w:r>
                    <w:rPr>
                      <w:rFonts w:hint="default" w:ascii="Times New Roman" w:hAnsi="Times New Roman" w:eastAsia="宋体" w:cs="Times New Roman"/>
                      <w:snapToGrid/>
                      <w:color w:val="auto"/>
                      <w:sz w:val="21"/>
                      <w:szCs w:val="24"/>
                      <w:vertAlign w:val="baseline"/>
                    </w:rPr>
                    <w:t>《饮食业油烟排放标准（试行）》（GB18483-2001）</w:t>
                  </w:r>
                </w:p>
              </w:tc>
            </w:tr>
            <w:tr w14:paraId="6215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D41B9BB">
                  <w:pPr>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sz w:val="21"/>
                      <w:szCs w:val="24"/>
                      <w:vertAlign w:val="baseline"/>
                    </w:rPr>
                    <w:t>食堂油烟</w:t>
                  </w:r>
                </w:p>
              </w:tc>
              <w:tc>
                <w:tcPr>
                  <w:tcW w:w="44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1F1656A">
                  <w:pPr>
                    <w:jc w:val="center"/>
                    <w:rPr>
                      <w:rFonts w:hint="default" w:ascii="Times New Roman" w:hAnsi="Times New Roman" w:cs="Times New Roman"/>
                      <w:snapToGrid/>
                      <w:color w:val="auto"/>
                      <w:sz w:val="21"/>
                      <w:szCs w:val="21"/>
                      <w:vertAlign w:val="baseline"/>
                    </w:rPr>
                  </w:pPr>
                  <w:r>
                    <w:rPr>
                      <w:rFonts w:hint="default" w:ascii="Times New Roman" w:hAnsi="Times New Roman" w:eastAsia="宋体" w:cs="Times New Roman"/>
                      <w:snapToGrid/>
                      <w:color w:val="auto"/>
                      <w:sz w:val="21"/>
                      <w:szCs w:val="24"/>
                      <w:vertAlign w:val="baseline"/>
                    </w:rPr>
                    <w:t>油烟</w:t>
                  </w:r>
                </w:p>
              </w:tc>
              <w:tc>
                <w:tcPr>
                  <w:tcW w:w="111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D6C18FF">
                  <w:pPr>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snapToGrid/>
                      <w:color w:val="auto"/>
                      <w:sz w:val="21"/>
                      <w:szCs w:val="24"/>
                      <w:vertAlign w:val="baseline"/>
                    </w:rPr>
                    <w:t>油烟净化器+专用烟道</w:t>
                  </w:r>
                </w:p>
              </w:tc>
              <w:tc>
                <w:tcPr>
                  <w:tcW w:w="401"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EAF4D81">
                  <w:pPr>
                    <w:jc w:val="center"/>
                    <w:rPr>
                      <w:rFonts w:hint="default" w:ascii="Times New Roman" w:hAnsi="Times New Roman" w:cs="Times New Roman"/>
                      <w:snapToGrid/>
                      <w:color w:val="auto"/>
                      <w:kern w:val="0"/>
                      <w:sz w:val="21"/>
                      <w:szCs w:val="21"/>
                      <w:vertAlign w:val="baseline"/>
                    </w:rPr>
                  </w:pPr>
                  <w:r>
                    <w:rPr>
                      <w:rFonts w:hint="default" w:ascii="Times New Roman" w:hAnsi="Times New Roman" w:cs="Times New Roman"/>
                      <w:snapToGrid/>
                      <w:color w:val="auto"/>
                      <w:sz w:val="21"/>
                      <w:szCs w:val="24"/>
                      <w:vertAlign w:val="baseline"/>
                    </w:rPr>
                    <w:t>100</w:t>
                  </w:r>
                </w:p>
              </w:tc>
              <w:tc>
                <w:tcPr>
                  <w:tcW w:w="52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20CE78B">
                  <w:pPr>
                    <w:jc w:val="center"/>
                    <w:rPr>
                      <w:rFonts w:hint="default" w:ascii="Times New Roman" w:hAnsi="Times New Roman" w:eastAsia="宋体" w:cs="Times New Roman"/>
                      <w:snapToGrid/>
                      <w:color w:val="auto"/>
                      <w:kern w:val="0"/>
                      <w:sz w:val="21"/>
                      <w:szCs w:val="21"/>
                      <w:vertAlign w:val="baseline"/>
                      <w:lang w:val="en-US" w:eastAsia="zh-CN"/>
                    </w:rPr>
                  </w:pPr>
                  <w:r>
                    <w:rPr>
                      <w:rFonts w:hint="default" w:ascii="Times New Roman" w:hAnsi="Times New Roman" w:cs="Times New Roman"/>
                      <w:snapToGrid/>
                      <w:color w:val="auto"/>
                      <w:sz w:val="21"/>
                      <w:szCs w:val="24"/>
                      <w:vertAlign w:val="baseline"/>
                      <w:lang w:val="en-US" w:eastAsia="zh-CN"/>
                    </w:rPr>
                    <w:t>60</w:t>
                  </w:r>
                </w:p>
              </w:tc>
              <w:tc>
                <w:tcPr>
                  <w:tcW w:w="56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76FD9B1">
                  <w:pPr>
                    <w:jc w:val="center"/>
                    <w:rPr>
                      <w:rFonts w:hint="default" w:ascii="Times New Roman" w:hAnsi="Times New Roman" w:cs="Times New Roman"/>
                      <w:snapToGrid/>
                      <w:color w:val="auto"/>
                      <w:kern w:val="0"/>
                      <w:sz w:val="21"/>
                      <w:szCs w:val="21"/>
                      <w:vertAlign w:val="baseline"/>
                    </w:rPr>
                  </w:pPr>
                  <w:r>
                    <w:rPr>
                      <w:rFonts w:hint="default" w:ascii="Times New Roman" w:hAnsi="Times New Roman" w:eastAsia="宋体" w:cs="Times New Roman"/>
                      <w:snapToGrid/>
                      <w:color w:val="auto"/>
                      <w:sz w:val="21"/>
                      <w:szCs w:val="24"/>
                      <w:vertAlign w:val="baseline"/>
                    </w:rPr>
                    <w:t>是</w:t>
                  </w:r>
                </w:p>
              </w:tc>
              <w:tc>
                <w:tcPr>
                  <w:tcW w:w="1342" w:type="pct"/>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06383B3">
                  <w:pPr>
                    <w:jc w:val="center"/>
                    <w:rPr>
                      <w:rFonts w:hint="default" w:ascii="Times New Roman" w:hAnsi="Times New Roman" w:cs="Times New Roman"/>
                      <w:snapToGrid/>
                      <w:color w:val="auto"/>
                      <w:sz w:val="21"/>
                      <w:szCs w:val="21"/>
                      <w:vertAlign w:val="baseline"/>
                    </w:rPr>
                  </w:pPr>
                </w:p>
              </w:tc>
            </w:tr>
            <w:tr w14:paraId="3DE4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3" w:type="pct"/>
                  <w:gridSpan w:val="2"/>
                  <w:vMerge w:val="restart"/>
                  <w:tcBorders>
                    <w:top w:val="single" w:color="auto" w:sz="4" w:space="0"/>
                    <w:left w:val="single" w:color="auto" w:sz="4" w:space="0"/>
                    <w:right w:val="single" w:color="auto" w:sz="4" w:space="0"/>
                    <w:tl2br w:val="nil"/>
                    <w:tr2bl w:val="nil"/>
                  </w:tcBorders>
                  <w:noWrap w:val="0"/>
                  <w:vAlign w:val="center"/>
                </w:tcPr>
                <w:p w14:paraId="294419BE">
                  <w:pPr>
                    <w:jc w:val="center"/>
                    <w:rPr>
                      <w:rFonts w:hint="default" w:ascii="Times New Roman" w:hAnsi="Times New Roman" w:eastAsia="宋体" w:cs="Times New Roman"/>
                      <w:snapToGrid/>
                      <w:color w:val="auto"/>
                      <w:sz w:val="21"/>
                      <w:szCs w:val="24"/>
                      <w:vertAlign w:val="baseline"/>
                    </w:rPr>
                  </w:pPr>
                  <w:r>
                    <w:rPr>
                      <w:rFonts w:hint="default" w:ascii="Times New Roman" w:hAnsi="Times New Roman" w:eastAsia="宋体" w:cs="Times New Roman"/>
                      <w:snapToGrid/>
                      <w:color w:val="auto"/>
                      <w:sz w:val="21"/>
                      <w:szCs w:val="24"/>
                      <w:vertAlign w:val="baseline"/>
                    </w:rPr>
                    <w:t>天然气燃烧废气</w:t>
                  </w:r>
                </w:p>
              </w:tc>
              <w:tc>
                <w:tcPr>
                  <w:tcW w:w="44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241B86F">
                  <w:pPr>
                    <w:jc w:val="center"/>
                    <w:rPr>
                      <w:rFonts w:hint="default" w:ascii="Times New Roman" w:hAnsi="Times New Roman" w:eastAsia="宋体" w:cs="Times New Roman"/>
                      <w:snapToGrid/>
                      <w:color w:val="auto"/>
                      <w:sz w:val="21"/>
                      <w:szCs w:val="24"/>
                      <w:vertAlign w:val="baseline"/>
                    </w:rPr>
                  </w:pPr>
                  <w:r>
                    <w:rPr>
                      <w:rFonts w:hint="default" w:ascii="Times New Roman" w:hAnsi="Times New Roman" w:cs="Times New Roman"/>
                      <w:color w:val="auto"/>
                      <w:sz w:val="21"/>
                      <w:szCs w:val="21"/>
                    </w:rPr>
                    <w:t>颗粒物</w:t>
                  </w:r>
                </w:p>
              </w:tc>
              <w:tc>
                <w:tcPr>
                  <w:tcW w:w="1113" w:type="pct"/>
                  <w:gridSpan w:val="2"/>
                  <w:vMerge w:val="restart"/>
                  <w:tcBorders>
                    <w:top w:val="single" w:color="auto" w:sz="4" w:space="0"/>
                    <w:left w:val="single" w:color="auto" w:sz="4" w:space="0"/>
                    <w:right w:val="single" w:color="auto" w:sz="4" w:space="0"/>
                    <w:tl2br w:val="nil"/>
                    <w:tr2bl w:val="nil"/>
                  </w:tcBorders>
                  <w:noWrap w:val="0"/>
                  <w:vAlign w:val="center"/>
                </w:tcPr>
                <w:p w14:paraId="172FB1A1">
                  <w:pPr>
                    <w:jc w:val="center"/>
                    <w:rPr>
                      <w:rFonts w:hint="default" w:ascii="Times New Roman" w:hAnsi="Times New Roman" w:eastAsia="宋体" w:cs="Times New Roman"/>
                      <w:snapToGrid/>
                      <w:color w:val="auto"/>
                      <w:sz w:val="21"/>
                      <w:szCs w:val="24"/>
                      <w:vertAlign w:val="baseline"/>
                    </w:rPr>
                  </w:pPr>
                  <w:r>
                    <w:rPr>
                      <w:rFonts w:hint="default" w:ascii="Times New Roman" w:hAnsi="Times New Roman" w:eastAsia="宋体" w:cs="Times New Roman"/>
                      <w:snapToGrid/>
                      <w:color w:val="auto"/>
                      <w:sz w:val="21"/>
                      <w:szCs w:val="24"/>
                      <w:vertAlign w:val="baseline"/>
                    </w:rPr>
                    <w:t>低氮燃烧器+1根1</w:t>
                  </w:r>
                  <w:r>
                    <w:rPr>
                      <w:rFonts w:hint="eastAsia" w:ascii="Times New Roman" w:hAnsi="Times New Roman" w:cs="Times New Roman"/>
                      <w:snapToGrid/>
                      <w:color w:val="auto"/>
                      <w:sz w:val="21"/>
                      <w:szCs w:val="24"/>
                      <w:vertAlign w:val="baseline"/>
                      <w:lang w:val="en-US" w:eastAsia="zh-CN"/>
                    </w:rPr>
                    <w:t>7</w:t>
                  </w:r>
                  <w:r>
                    <w:rPr>
                      <w:rFonts w:hint="default" w:ascii="Times New Roman" w:hAnsi="Times New Roman" w:eastAsia="宋体" w:cs="Times New Roman"/>
                      <w:snapToGrid/>
                      <w:color w:val="auto"/>
                      <w:sz w:val="21"/>
                      <w:szCs w:val="24"/>
                      <w:vertAlign w:val="baseline"/>
                    </w:rPr>
                    <w:t>m高排气筒（DA00</w:t>
                  </w:r>
                  <w:r>
                    <w:rPr>
                      <w:rFonts w:hint="default" w:ascii="Times New Roman" w:hAnsi="Times New Roman" w:cs="Times New Roman"/>
                      <w:snapToGrid/>
                      <w:color w:val="auto"/>
                      <w:sz w:val="21"/>
                      <w:szCs w:val="24"/>
                      <w:vertAlign w:val="baseline"/>
                      <w:lang w:val="en-US" w:eastAsia="zh-CN"/>
                    </w:rPr>
                    <w:t>3</w:t>
                  </w:r>
                  <w:r>
                    <w:rPr>
                      <w:rFonts w:hint="default" w:ascii="Times New Roman" w:hAnsi="Times New Roman" w:eastAsia="宋体" w:cs="Times New Roman"/>
                      <w:snapToGrid/>
                      <w:color w:val="auto"/>
                      <w:sz w:val="21"/>
                      <w:szCs w:val="24"/>
                      <w:vertAlign w:val="baseline"/>
                    </w:rPr>
                    <w:t>）</w:t>
                  </w:r>
                </w:p>
              </w:tc>
              <w:tc>
                <w:tcPr>
                  <w:tcW w:w="401"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752A186">
                  <w:pPr>
                    <w:ind w:left="-105" w:leftChars="-50" w:right="-105" w:rightChars="-50"/>
                    <w:jc w:val="center"/>
                    <w:rPr>
                      <w:rFonts w:hint="default" w:ascii="Times New Roman" w:hAnsi="Times New Roman" w:cs="Times New Roman"/>
                      <w:snapToGrid/>
                      <w:color w:val="auto"/>
                      <w:sz w:val="21"/>
                      <w:szCs w:val="24"/>
                      <w:vertAlign w:val="baseline"/>
                    </w:rPr>
                  </w:pPr>
                  <w:r>
                    <w:rPr>
                      <w:rFonts w:hint="default" w:ascii="Times New Roman" w:hAnsi="Times New Roman" w:cs="Times New Roman"/>
                      <w:color w:val="auto"/>
                      <w:sz w:val="21"/>
                      <w:szCs w:val="24"/>
                    </w:rPr>
                    <w:t>100</w:t>
                  </w:r>
                </w:p>
              </w:tc>
              <w:tc>
                <w:tcPr>
                  <w:tcW w:w="52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E45F5A9">
                  <w:pPr>
                    <w:ind w:left="-105" w:leftChars="-50" w:right="-105" w:rightChars="-50"/>
                    <w:jc w:val="center"/>
                    <w:rPr>
                      <w:rFonts w:hint="default" w:ascii="Times New Roman" w:hAnsi="Times New Roman" w:cs="Times New Roman"/>
                      <w:snapToGrid/>
                      <w:color w:val="auto"/>
                      <w:sz w:val="21"/>
                      <w:szCs w:val="24"/>
                      <w:vertAlign w:val="baseline"/>
                      <w:lang w:val="en-US" w:eastAsia="zh-CN"/>
                    </w:rPr>
                  </w:pPr>
                  <w:r>
                    <w:rPr>
                      <w:rFonts w:hint="default" w:ascii="Times New Roman" w:hAnsi="Times New Roman" w:cs="Times New Roman"/>
                      <w:color w:val="auto"/>
                      <w:kern w:val="0"/>
                      <w:sz w:val="21"/>
                      <w:szCs w:val="21"/>
                    </w:rPr>
                    <w:t>/</w:t>
                  </w:r>
                </w:p>
              </w:tc>
              <w:tc>
                <w:tcPr>
                  <w:tcW w:w="56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E591D82">
                  <w:pPr>
                    <w:ind w:left="-105" w:leftChars="-50" w:right="-105" w:rightChars="-50"/>
                    <w:jc w:val="center"/>
                    <w:rPr>
                      <w:rFonts w:hint="default" w:ascii="Times New Roman" w:hAnsi="Times New Roman" w:eastAsia="宋体" w:cs="Times New Roman"/>
                      <w:snapToGrid/>
                      <w:color w:val="auto"/>
                      <w:sz w:val="21"/>
                      <w:szCs w:val="24"/>
                      <w:vertAlign w:val="baseline"/>
                    </w:rPr>
                  </w:pPr>
                  <w:r>
                    <w:rPr>
                      <w:rFonts w:hint="default" w:ascii="Times New Roman" w:hAnsi="Times New Roman" w:cs="Times New Roman"/>
                      <w:color w:val="auto"/>
                      <w:sz w:val="21"/>
                      <w:szCs w:val="24"/>
                    </w:rPr>
                    <w:t>是</w:t>
                  </w:r>
                </w:p>
              </w:tc>
              <w:tc>
                <w:tcPr>
                  <w:tcW w:w="2443" w:type="dxa"/>
                  <w:gridSpan w:val="2"/>
                  <w:vMerge w:val="restart"/>
                  <w:tcBorders>
                    <w:top w:val="single" w:color="auto" w:sz="4" w:space="0"/>
                    <w:left w:val="single" w:color="auto" w:sz="4" w:space="0"/>
                    <w:right w:val="single" w:color="auto" w:sz="4" w:space="0"/>
                    <w:tl2br w:val="nil"/>
                    <w:tr2bl w:val="nil"/>
                  </w:tcBorders>
                  <w:noWrap w:val="0"/>
                  <w:vAlign w:val="center"/>
                </w:tcPr>
                <w:p w14:paraId="654FEEC8">
                  <w:pPr>
                    <w:adjustRightInd w:val="0"/>
                    <w:snapToGrid w:val="0"/>
                    <w:spacing w:beforeLines="0" w:afterLines="0"/>
                    <w:jc w:val="center"/>
                    <w:rPr>
                      <w:rFonts w:hint="default" w:ascii="Times New Roman" w:hAnsi="Times New Roman" w:cs="Times New Roman"/>
                      <w:snapToGrid/>
                      <w:color w:val="auto"/>
                      <w:sz w:val="21"/>
                      <w:szCs w:val="21"/>
                      <w:vertAlign w:val="baseline"/>
                    </w:rPr>
                  </w:pPr>
                  <w:r>
                    <w:rPr>
                      <w:rFonts w:hint="default" w:ascii="Times New Roman" w:hAnsi="Times New Roman" w:eastAsia="宋体" w:cs="Times New Roman"/>
                      <w:snapToGrid w:val="0"/>
                      <w:color w:val="auto"/>
                      <w:kern w:val="0"/>
                      <w:sz w:val="21"/>
                      <w:szCs w:val="21"/>
                    </w:rPr>
                    <w:t>《锅炉大气污染物排放标准》（GB13271-2014）</w:t>
                  </w:r>
                </w:p>
              </w:tc>
            </w:tr>
            <w:tr w14:paraId="3F7F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3" w:type="pct"/>
                  <w:gridSpan w:val="2"/>
                  <w:vMerge w:val="continue"/>
                  <w:tcBorders>
                    <w:left w:val="single" w:color="auto" w:sz="4" w:space="0"/>
                    <w:right w:val="single" w:color="auto" w:sz="4" w:space="0"/>
                    <w:tl2br w:val="nil"/>
                    <w:tr2bl w:val="nil"/>
                  </w:tcBorders>
                  <w:noWrap w:val="0"/>
                  <w:vAlign w:val="center"/>
                </w:tcPr>
                <w:p w14:paraId="6F90A616">
                  <w:pPr>
                    <w:jc w:val="center"/>
                    <w:rPr>
                      <w:rFonts w:hint="default" w:ascii="Times New Roman" w:hAnsi="Times New Roman" w:eastAsia="宋体" w:cs="Times New Roman"/>
                      <w:snapToGrid/>
                      <w:color w:val="auto"/>
                      <w:sz w:val="21"/>
                      <w:szCs w:val="24"/>
                      <w:vertAlign w:val="baseline"/>
                    </w:rPr>
                  </w:pPr>
                </w:p>
              </w:tc>
              <w:tc>
                <w:tcPr>
                  <w:tcW w:w="44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6DC2059">
                  <w:pPr>
                    <w:jc w:val="center"/>
                    <w:rPr>
                      <w:rFonts w:hint="default" w:ascii="Times New Roman" w:hAnsi="Times New Roman" w:eastAsia="宋体" w:cs="Times New Roman"/>
                      <w:snapToGrid/>
                      <w:color w:val="auto"/>
                      <w:sz w:val="21"/>
                      <w:szCs w:val="24"/>
                      <w:vertAlign w:val="baseline"/>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113" w:type="pct"/>
                  <w:gridSpan w:val="2"/>
                  <w:vMerge w:val="continue"/>
                  <w:tcBorders>
                    <w:left w:val="single" w:color="auto" w:sz="4" w:space="0"/>
                    <w:right w:val="single" w:color="auto" w:sz="4" w:space="0"/>
                    <w:tl2br w:val="nil"/>
                    <w:tr2bl w:val="nil"/>
                  </w:tcBorders>
                  <w:noWrap w:val="0"/>
                  <w:vAlign w:val="center"/>
                </w:tcPr>
                <w:p w14:paraId="53EAB847">
                  <w:pPr>
                    <w:jc w:val="center"/>
                    <w:rPr>
                      <w:rFonts w:hint="default" w:ascii="Times New Roman" w:hAnsi="Times New Roman" w:eastAsia="宋体" w:cs="Times New Roman"/>
                      <w:snapToGrid/>
                      <w:color w:val="auto"/>
                      <w:sz w:val="21"/>
                      <w:szCs w:val="24"/>
                      <w:vertAlign w:val="baseline"/>
                    </w:rPr>
                  </w:pPr>
                </w:p>
              </w:tc>
              <w:tc>
                <w:tcPr>
                  <w:tcW w:w="401"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E4F5CEA">
                  <w:pPr>
                    <w:ind w:left="-105" w:leftChars="-50" w:right="-105" w:rightChars="-50"/>
                    <w:jc w:val="center"/>
                    <w:rPr>
                      <w:rFonts w:hint="default" w:ascii="Times New Roman" w:hAnsi="Times New Roman" w:cs="Times New Roman"/>
                      <w:snapToGrid/>
                      <w:color w:val="auto"/>
                      <w:sz w:val="21"/>
                      <w:szCs w:val="24"/>
                      <w:vertAlign w:val="baseline"/>
                    </w:rPr>
                  </w:pPr>
                  <w:r>
                    <w:rPr>
                      <w:rFonts w:hint="default" w:ascii="Times New Roman" w:hAnsi="Times New Roman" w:cs="Times New Roman"/>
                      <w:color w:val="auto"/>
                      <w:sz w:val="21"/>
                      <w:szCs w:val="24"/>
                    </w:rPr>
                    <w:t>100</w:t>
                  </w:r>
                </w:p>
              </w:tc>
              <w:tc>
                <w:tcPr>
                  <w:tcW w:w="52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6F021C3">
                  <w:pPr>
                    <w:ind w:left="-105" w:leftChars="-50" w:right="-105" w:rightChars="-50"/>
                    <w:jc w:val="center"/>
                    <w:rPr>
                      <w:rFonts w:hint="default" w:ascii="Times New Roman" w:hAnsi="Times New Roman" w:cs="Times New Roman"/>
                      <w:snapToGrid/>
                      <w:color w:val="auto"/>
                      <w:sz w:val="21"/>
                      <w:szCs w:val="24"/>
                      <w:vertAlign w:val="baseline"/>
                      <w:lang w:val="en-US" w:eastAsia="zh-CN"/>
                    </w:rPr>
                  </w:pPr>
                  <w:r>
                    <w:rPr>
                      <w:rFonts w:hint="default" w:ascii="Times New Roman" w:hAnsi="Times New Roman" w:cs="Times New Roman"/>
                      <w:color w:val="auto"/>
                      <w:kern w:val="0"/>
                      <w:sz w:val="21"/>
                      <w:szCs w:val="21"/>
                    </w:rPr>
                    <w:t>/</w:t>
                  </w:r>
                </w:p>
              </w:tc>
              <w:tc>
                <w:tcPr>
                  <w:tcW w:w="56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BC97316">
                  <w:pPr>
                    <w:ind w:left="-105" w:leftChars="-50" w:right="-105" w:rightChars="-50"/>
                    <w:jc w:val="center"/>
                    <w:rPr>
                      <w:rFonts w:hint="default" w:ascii="Times New Roman" w:hAnsi="Times New Roman" w:eastAsia="宋体" w:cs="Times New Roman"/>
                      <w:snapToGrid/>
                      <w:color w:val="auto"/>
                      <w:sz w:val="21"/>
                      <w:szCs w:val="24"/>
                      <w:vertAlign w:val="baseline"/>
                    </w:rPr>
                  </w:pPr>
                  <w:r>
                    <w:rPr>
                      <w:rFonts w:hint="default" w:ascii="Times New Roman" w:hAnsi="Times New Roman" w:cs="Times New Roman"/>
                      <w:color w:val="auto"/>
                      <w:sz w:val="21"/>
                      <w:szCs w:val="24"/>
                    </w:rPr>
                    <w:t>是</w:t>
                  </w:r>
                </w:p>
              </w:tc>
              <w:tc>
                <w:tcPr>
                  <w:tcW w:w="1342" w:type="pct"/>
                  <w:gridSpan w:val="2"/>
                  <w:vMerge w:val="continue"/>
                  <w:tcBorders>
                    <w:left w:val="single" w:color="auto" w:sz="4" w:space="0"/>
                    <w:right w:val="single" w:color="auto" w:sz="4" w:space="0"/>
                    <w:tl2br w:val="nil"/>
                    <w:tr2bl w:val="nil"/>
                  </w:tcBorders>
                  <w:noWrap w:val="0"/>
                  <w:vAlign w:val="center"/>
                </w:tcPr>
                <w:p w14:paraId="6D7D64CF">
                  <w:pPr>
                    <w:jc w:val="center"/>
                    <w:rPr>
                      <w:rFonts w:hint="default" w:ascii="Times New Roman" w:hAnsi="Times New Roman" w:cs="Times New Roman"/>
                      <w:snapToGrid/>
                      <w:color w:val="auto"/>
                      <w:sz w:val="21"/>
                      <w:szCs w:val="21"/>
                      <w:vertAlign w:val="baseline"/>
                    </w:rPr>
                  </w:pPr>
                </w:p>
              </w:tc>
            </w:tr>
            <w:tr w14:paraId="06D2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3" w:type="pct"/>
                  <w:gridSpan w:val="2"/>
                  <w:vMerge w:val="continue"/>
                  <w:tcBorders>
                    <w:left w:val="single" w:color="auto" w:sz="4" w:space="0"/>
                    <w:bottom w:val="single" w:color="auto" w:sz="4" w:space="0"/>
                    <w:right w:val="single" w:color="auto" w:sz="4" w:space="0"/>
                    <w:tl2br w:val="nil"/>
                    <w:tr2bl w:val="nil"/>
                  </w:tcBorders>
                  <w:noWrap w:val="0"/>
                  <w:vAlign w:val="center"/>
                </w:tcPr>
                <w:p w14:paraId="5AE7A88E">
                  <w:pPr>
                    <w:jc w:val="center"/>
                    <w:rPr>
                      <w:rFonts w:hint="default" w:ascii="Times New Roman" w:hAnsi="Times New Roman" w:eastAsia="宋体" w:cs="Times New Roman"/>
                      <w:snapToGrid/>
                      <w:color w:val="auto"/>
                      <w:sz w:val="21"/>
                      <w:szCs w:val="24"/>
                      <w:vertAlign w:val="baseline"/>
                    </w:rPr>
                  </w:pPr>
                </w:p>
              </w:tc>
              <w:tc>
                <w:tcPr>
                  <w:tcW w:w="44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C39F8C8">
                  <w:pPr>
                    <w:jc w:val="center"/>
                    <w:rPr>
                      <w:rFonts w:hint="default" w:ascii="Times New Roman" w:hAnsi="Times New Roman" w:eastAsia="宋体" w:cs="Times New Roman"/>
                      <w:snapToGrid/>
                      <w:color w:val="auto"/>
                      <w:sz w:val="21"/>
                      <w:szCs w:val="24"/>
                      <w:vertAlign w:val="baseline"/>
                    </w:rPr>
                  </w:pPr>
                  <w:r>
                    <w:rPr>
                      <w:rFonts w:hint="default" w:ascii="Times New Roman" w:hAnsi="Times New Roman" w:cs="Times New Roman"/>
                      <w:color w:val="auto"/>
                      <w:sz w:val="21"/>
                      <w:szCs w:val="21"/>
                    </w:rPr>
                    <w:t>NOx</w:t>
                  </w:r>
                </w:p>
              </w:tc>
              <w:tc>
                <w:tcPr>
                  <w:tcW w:w="1113" w:type="pct"/>
                  <w:gridSpan w:val="2"/>
                  <w:vMerge w:val="continue"/>
                  <w:tcBorders>
                    <w:left w:val="single" w:color="auto" w:sz="4" w:space="0"/>
                    <w:bottom w:val="single" w:color="auto" w:sz="4" w:space="0"/>
                    <w:right w:val="single" w:color="auto" w:sz="4" w:space="0"/>
                    <w:tl2br w:val="nil"/>
                    <w:tr2bl w:val="nil"/>
                  </w:tcBorders>
                  <w:noWrap w:val="0"/>
                  <w:vAlign w:val="center"/>
                </w:tcPr>
                <w:p w14:paraId="09FDC376">
                  <w:pPr>
                    <w:jc w:val="center"/>
                    <w:rPr>
                      <w:rFonts w:hint="default" w:ascii="Times New Roman" w:hAnsi="Times New Roman" w:eastAsia="宋体" w:cs="Times New Roman"/>
                      <w:snapToGrid/>
                      <w:color w:val="auto"/>
                      <w:sz w:val="21"/>
                      <w:szCs w:val="24"/>
                      <w:vertAlign w:val="baseline"/>
                    </w:rPr>
                  </w:pPr>
                </w:p>
              </w:tc>
              <w:tc>
                <w:tcPr>
                  <w:tcW w:w="401"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D48FD03">
                  <w:pPr>
                    <w:ind w:left="-105" w:leftChars="-50" w:right="-105" w:rightChars="-50"/>
                    <w:jc w:val="center"/>
                    <w:rPr>
                      <w:rFonts w:hint="default" w:ascii="Times New Roman" w:hAnsi="Times New Roman" w:cs="Times New Roman"/>
                      <w:snapToGrid/>
                      <w:color w:val="auto"/>
                      <w:sz w:val="21"/>
                      <w:szCs w:val="24"/>
                      <w:vertAlign w:val="baseline"/>
                    </w:rPr>
                  </w:pPr>
                  <w:r>
                    <w:rPr>
                      <w:rFonts w:hint="default" w:ascii="Times New Roman" w:hAnsi="Times New Roman" w:cs="Times New Roman"/>
                      <w:color w:val="auto"/>
                      <w:sz w:val="21"/>
                      <w:szCs w:val="24"/>
                    </w:rPr>
                    <w:t>100</w:t>
                  </w:r>
                </w:p>
              </w:tc>
              <w:tc>
                <w:tcPr>
                  <w:tcW w:w="52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54B43DB">
                  <w:pPr>
                    <w:ind w:left="-105" w:leftChars="-50" w:right="-105" w:rightChars="-50"/>
                    <w:jc w:val="center"/>
                    <w:rPr>
                      <w:rFonts w:hint="default" w:ascii="Times New Roman" w:hAnsi="Times New Roman" w:cs="Times New Roman"/>
                      <w:snapToGrid/>
                      <w:color w:val="auto"/>
                      <w:sz w:val="21"/>
                      <w:szCs w:val="24"/>
                      <w:vertAlign w:val="baseline"/>
                      <w:lang w:val="en-US" w:eastAsia="zh-CN"/>
                    </w:rPr>
                  </w:pPr>
                  <w:r>
                    <w:rPr>
                      <w:rFonts w:hint="default" w:ascii="Times New Roman" w:hAnsi="Times New Roman" w:cs="Times New Roman"/>
                      <w:color w:val="auto"/>
                      <w:kern w:val="0"/>
                      <w:sz w:val="21"/>
                      <w:szCs w:val="21"/>
                    </w:rPr>
                    <w:t>/</w:t>
                  </w:r>
                </w:p>
              </w:tc>
              <w:tc>
                <w:tcPr>
                  <w:tcW w:w="56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F7D1B3D">
                  <w:pPr>
                    <w:ind w:left="-105" w:leftChars="-50" w:right="-105" w:rightChars="-50"/>
                    <w:jc w:val="center"/>
                    <w:rPr>
                      <w:rFonts w:hint="default" w:ascii="Times New Roman" w:hAnsi="Times New Roman" w:eastAsia="宋体" w:cs="Times New Roman"/>
                      <w:snapToGrid/>
                      <w:color w:val="auto"/>
                      <w:sz w:val="21"/>
                      <w:szCs w:val="24"/>
                      <w:vertAlign w:val="baseline"/>
                    </w:rPr>
                  </w:pPr>
                  <w:r>
                    <w:rPr>
                      <w:rFonts w:hint="default" w:ascii="Times New Roman" w:hAnsi="Times New Roman" w:cs="Times New Roman"/>
                      <w:color w:val="auto"/>
                      <w:sz w:val="21"/>
                      <w:szCs w:val="24"/>
                    </w:rPr>
                    <w:t>是</w:t>
                  </w:r>
                </w:p>
              </w:tc>
              <w:tc>
                <w:tcPr>
                  <w:tcW w:w="2443" w:type="dxa"/>
                  <w:gridSpan w:val="2"/>
                  <w:tcBorders>
                    <w:left w:val="single" w:color="auto" w:sz="4" w:space="0"/>
                    <w:bottom w:val="single" w:color="auto" w:sz="4" w:space="0"/>
                    <w:right w:val="single" w:color="auto" w:sz="4" w:space="0"/>
                    <w:tl2br w:val="nil"/>
                    <w:tr2bl w:val="nil"/>
                  </w:tcBorders>
                  <w:noWrap w:val="0"/>
                  <w:vAlign w:val="center"/>
                </w:tcPr>
                <w:p w14:paraId="14FC989F">
                  <w:pPr>
                    <w:pStyle w:val="49"/>
                    <w:adjustRightInd w:val="0"/>
                    <w:snapToGrid w:val="0"/>
                    <w:spacing w:beforeLines="0" w:after="0" w:afterLines="0"/>
                    <w:ind w:firstLine="0" w:firstLineChars="0"/>
                    <w:jc w:val="center"/>
                    <w:rPr>
                      <w:rFonts w:hint="default" w:ascii="Times New Roman" w:hAnsi="Times New Roman" w:cs="Times New Roman"/>
                      <w:snapToGrid/>
                      <w:color w:val="auto"/>
                      <w:sz w:val="21"/>
                      <w:szCs w:val="21"/>
                      <w:vertAlign w:val="baseline"/>
                    </w:rPr>
                  </w:pPr>
                  <w:r>
                    <w:rPr>
                      <w:rFonts w:hint="default" w:ascii="Times New Roman" w:hAnsi="Times New Roman" w:cs="Times New Roman"/>
                      <w:snapToGrid/>
                      <w:color w:val="auto"/>
                      <w:sz w:val="21"/>
                      <w:szCs w:val="21"/>
                      <w:vertAlign w:val="baseline"/>
                    </w:rPr>
                    <w:t>皖大气办[2020]2号 安徽省大气办关于印发《安徽省2020年大气污染防治重点工作任务》的通知中不高于50mg/m3的排放限值要求</w:t>
                  </w:r>
                </w:p>
              </w:tc>
            </w:tr>
          </w:tbl>
          <w:p w14:paraId="2B8B3BC4">
            <w:pPr>
              <w:adjustRightInd w:val="0"/>
              <w:spacing w:beforeLines="0" w:afterLines="0"/>
              <w:jc w:val="center"/>
              <w:rPr>
                <w:rFonts w:hint="eastAsia"/>
                <w:b/>
                <w:snapToGrid/>
                <w:color w:val="auto"/>
                <w:kern w:val="0"/>
                <w:sz w:val="21"/>
                <w:szCs w:val="21"/>
                <w:vertAlign w:val="baseline"/>
              </w:rPr>
            </w:pPr>
            <w:r>
              <w:rPr>
                <w:rFonts w:hint="default" w:ascii="宋体" w:eastAsia="宋体"/>
                <w:b/>
                <w:snapToGrid/>
                <w:color w:val="auto"/>
                <w:kern w:val="0"/>
                <w:sz w:val="21"/>
                <w:szCs w:val="21"/>
                <w:vertAlign w:val="baseline"/>
              </w:rPr>
              <w:t>表4-</w:t>
            </w:r>
            <w:r>
              <w:rPr>
                <w:rFonts w:hint="eastAsia" w:ascii="宋体"/>
                <w:b/>
                <w:snapToGrid/>
                <w:color w:val="auto"/>
                <w:kern w:val="0"/>
                <w:sz w:val="21"/>
                <w:szCs w:val="21"/>
                <w:vertAlign w:val="baseline"/>
                <w:lang w:val="en-US" w:eastAsia="zh-CN"/>
              </w:rPr>
              <w:t>5</w:t>
            </w:r>
            <w:r>
              <w:rPr>
                <w:rFonts w:hint="default" w:ascii="宋体" w:eastAsia="宋体"/>
                <w:b/>
                <w:snapToGrid/>
                <w:color w:val="auto"/>
                <w:kern w:val="0"/>
                <w:sz w:val="21"/>
                <w:szCs w:val="21"/>
                <w:vertAlign w:val="baseline"/>
              </w:rPr>
              <w:t xml:space="preserve"> 排放口基本情况一览表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890"/>
              <w:gridCol w:w="1504"/>
              <w:gridCol w:w="1287"/>
              <w:gridCol w:w="1187"/>
              <w:gridCol w:w="1109"/>
              <w:gridCol w:w="1134"/>
              <w:gridCol w:w="1145"/>
              <w:gridCol w:w="842"/>
            </w:tblGrid>
            <w:tr w14:paraId="5345F9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89" w:type="pct"/>
                  <w:vMerge w:val="restart"/>
                  <w:tcBorders>
                    <w:top w:val="single" w:color="auto" w:sz="4" w:space="0"/>
                    <w:left w:val="single" w:color="auto" w:sz="4" w:space="0"/>
                    <w:bottom w:val="single" w:color="auto" w:sz="2" w:space="0"/>
                    <w:right w:val="single" w:color="auto" w:sz="2" w:space="0"/>
                    <w:tl2br w:val="nil"/>
                    <w:tr2bl w:val="nil"/>
                  </w:tcBorders>
                  <w:noWrap w:val="0"/>
                  <w:vAlign w:val="center"/>
                </w:tcPr>
                <w:p w14:paraId="30F63F6E">
                  <w:pPr>
                    <w:spacing w:beforeLines="0" w:afterLines="0"/>
                    <w:jc w:val="center"/>
                    <w:rPr>
                      <w:rFonts w:hint="default" w:ascii="Times New Roman" w:hAnsi="Times New Roman" w:cs="Times New Roman"/>
                      <w:b/>
                      <w:snapToGrid/>
                      <w:color w:val="auto"/>
                      <w:sz w:val="21"/>
                      <w:szCs w:val="21"/>
                      <w:vertAlign w:val="baseline"/>
                    </w:rPr>
                  </w:pPr>
                  <w:r>
                    <w:rPr>
                      <w:rFonts w:hint="default" w:ascii="Times New Roman" w:hAnsi="Times New Roman" w:eastAsia="宋体" w:cs="Times New Roman"/>
                      <w:b/>
                      <w:snapToGrid/>
                      <w:color w:val="auto"/>
                      <w:sz w:val="21"/>
                      <w:szCs w:val="21"/>
                      <w:vertAlign w:val="baseline"/>
                    </w:rPr>
                    <w:t>排放口编号</w:t>
                  </w:r>
                </w:p>
              </w:tc>
              <w:tc>
                <w:tcPr>
                  <w:tcW w:w="826" w:type="pct"/>
                  <w:vMerge w:val="restart"/>
                  <w:tcBorders>
                    <w:top w:val="single" w:color="auto" w:sz="4" w:space="0"/>
                    <w:left w:val="single" w:color="auto" w:sz="2" w:space="0"/>
                    <w:bottom w:val="single" w:color="auto" w:sz="2" w:space="0"/>
                    <w:right w:val="single" w:color="auto" w:sz="2" w:space="0"/>
                    <w:tl2br w:val="nil"/>
                    <w:tr2bl w:val="nil"/>
                  </w:tcBorders>
                  <w:noWrap w:val="0"/>
                  <w:vAlign w:val="center"/>
                </w:tcPr>
                <w:p w14:paraId="78383276">
                  <w:pPr>
                    <w:spacing w:beforeLines="0" w:afterLines="0"/>
                    <w:jc w:val="center"/>
                    <w:rPr>
                      <w:rFonts w:hint="default" w:ascii="Times New Roman" w:hAnsi="Times New Roman" w:eastAsia="宋体" w:cs="Times New Roman"/>
                      <w:b/>
                      <w:snapToGrid/>
                      <w:color w:val="auto"/>
                      <w:sz w:val="21"/>
                      <w:szCs w:val="21"/>
                      <w:vertAlign w:val="baseline"/>
                    </w:rPr>
                  </w:pPr>
                  <w:r>
                    <w:rPr>
                      <w:rFonts w:hint="default" w:ascii="Times New Roman" w:hAnsi="Times New Roman" w:eastAsia="宋体" w:cs="Times New Roman"/>
                      <w:b/>
                      <w:snapToGrid/>
                      <w:color w:val="auto"/>
                      <w:kern w:val="0"/>
                      <w:sz w:val="21"/>
                      <w:szCs w:val="21"/>
                      <w:vertAlign w:val="baseline"/>
                    </w:rPr>
                    <w:t>产排污环节</w:t>
                  </w:r>
                </w:p>
              </w:tc>
              <w:tc>
                <w:tcPr>
                  <w:tcW w:w="1359" w:type="pct"/>
                  <w:gridSpan w:val="2"/>
                  <w:tcBorders>
                    <w:top w:val="single" w:color="auto" w:sz="4" w:space="0"/>
                    <w:left w:val="single" w:color="auto" w:sz="2" w:space="0"/>
                    <w:bottom w:val="single" w:color="auto" w:sz="2" w:space="0"/>
                    <w:right w:val="single" w:color="auto" w:sz="2" w:space="0"/>
                    <w:tl2br w:val="nil"/>
                    <w:tr2bl w:val="nil"/>
                  </w:tcBorders>
                  <w:noWrap w:val="0"/>
                  <w:vAlign w:val="center"/>
                </w:tcPr>
                <w:p w14:paraId="271DE999">
                  <w:pPr>
                    <w:spacing w:beforeLines="0" w:afterLines="0"/>
                    <w:jc w:val="center"/>
                    <w:rPr>
                      <w:rFonts w:hint="default" w:ascii="Times New Roman" w:hAnsi="Times New Roman" w:cs="Times New Roman"/>
                      <w:b/>
                      <w:snapToGrid/>
                      <w:color w:val="auto"/>
                      <w:sz w:val="21"/>
                      <w:szCs w:val="21"/>
                      <w:vertAlign w:val="baseline"/>
                    </w:rPr>
                  </w:pPr>
                  <w:r>
                    <w:rPr>
                      <w:rFonts w:hint="default" w:ascii="Times New Roman" w:hAnsi="Times New Roman" w:eastAsia="宋体" w:cs="Times New Roman"/>
                      <w:b/>
                      <w:snapToGrid/>
                      <w:color w:val="auto"/>
                      <w:sz w:val="21"/>
                      <w:szCs w:val="21"/>
                      <w:vertAlign w:val="baseline"/>
                    </w:rPr>
                    <w:t>排气筒底部中心坐标</w:t>
                  </w:r>
                </w:p>
              </w:tc>
              <w:tc>
                <w:tcPr>
                  <w:tcW w:w="1861" w:type="pct"/>
                  <w:gridSpan w:val="3"/>
                  <w:tcBorders>
                    <w:top w:val="single" w:color="auto" w:sz="4" w:space="0"/>
                    <w:left w:val="single" w:color="auto" w:sz="2" w:space="0"/>
                    <w:bottom w:val="single" w:color="auto" w:sz="2" w:space="0"/>
                    <w:right w:val="single" w:color="auto" w:sz="2" w:space="0"/>
                    <w:tl2br w:val="nil"/>
                    <w:tr2bl w:val="nil"/>
                  </w:tcBorders>
                  <w:noWrap w:val="0"/>
                  <w:vAlign w:val="center"/>
                </w:tcPr>
                <w:p w14:paraId="4C2D4A5F">
                  <w:pPr>
                    <w:spacing w:beforeLines="0" w:afterLines="0"/>
                    <w:jc w:val="center"/>
                    <w:rPr>
                      <w:rFonts w:hint="default" w:ascii="Times New Roman" w:hAnsi="Times New Roman" w:cs="Times New Roman"/>
                      <w:b/>
                      <w:snapToGrid/>
                      <w:color w:val="auto"/>
                      <w:sz w:val="21"/>
                      <w:szCs w:val="21"/>
                      <w:vertAlign w:val="baseline"/>
                    </w:rPr>
                  </w:pPr>
                  <w:r>
                    <w:rPr>
                      <w:rFonts w:hint="default" w:ascii="Times New Roman" w:hAnsi="Times New Roman" w:eastAsia="宋体" w:cs="Times New Roman"/>
                      <w:b/>
                      <w:snapToGrid/>
                      <w:color w:val="auto"/>
                      <w:sz w:val="21"/>
                      <w:szCs w:val="21"/>
                      <w:vertAlign w:val="baseline"/>
                    </w:rPr>
                    <w:t>排气筒参数</w:t>
                  </w:r>
                </w:p>
              </w:tc>
              <w:tc>
                <w:tcPr>
                  <w:tcW w:w="462" w:type="pct"/>
                  <w:vMerge w:val="restart"/>
                  <w:tcBorders>
                    <w:top w:val="single" w:color="auto" w:sz="4" w:space="0"/>
                    <w:left w:val="single" w:color="auto" w:sz="2" w:space="0"/>
                    <w:bottom w:val="single" w:color="auto" w:sz="2" w:space="0"/>
                    <w:right w:val="single" w:color="auto" w:sz="4" w:space="0"/>
                    <w:tl2br w:val="nil"/>
                    <w:tr2bl w:val="nil"/>
                  </w:tcBorders>
                  <w:noWrap w:val="0"/>
                  <w:vAlign w:val="center"/>
                </w:tcPr>
                <w:p w14:paraId="03290301">
                  <w:pPr>
                    <w:spacing w:beforeLines="0" w:afterLines="0"/>
                    <w:jc w:val="center"/>
                    <w:rPr>
                      <w:rFonts w:hint="default" w:ascii="Times New Roman" w:hAnsi="Times New Roman" w:cs="Times New Roman"/>
                      <w:b/>
                      <w:snapToGrid/>
                      <w:color w:val="auto"/>
                      <w:sz w:val="21"/>
                      <w:szCs w:val="21"/>
                      <w:vertAlign w:val="baseline"/>
                    </w:rPr>
                  </w:pPr>
                  <w:r>
                    <w:rPr>
                      <w:rFonts w:hint="default" w:ascii="Times New Roman" w:hAnsi="Times New Roman" w:eastAsia="宋体" w:cs="Times New Roman"/>
                      <w:b/>
                      <w:snapToGrid/>
                      <w:color w:val="auto"/>
                      <w:sz w:val="21"/>
                      <w:szCs w:val="21"/>
                      <w:vertAlign w:val="baseline"/>
                    </w:rPr>
                    <w:t>排放口类型</w:t>
                  </w:r>
                </w:p>
              </w:tc>
            </w:tr>
            <w:tr w14:paraId="10E3F9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89" w:type="pct"/>
                  <w:vMerge w:val="continue"/>
                  <w:tcBorders>
                    <w:top w:val="single" w:color="auto" w:sz="2" w:space="0"/>
                    <w:left w:val="single" w:color="auto" w:sz="4" w:space="0"/>
                    <w:bottom w:val="single" w:color="auto" w:sz="2" w:space="0"/>
                    <w:right w:val="single" w:color="auto" w:sz="2" w:space="0"/>
                    <w:tl2br w:val="nil"/>
                    <w:tr2bl w:val="nil"/>
                  </w:tcBorders>
                  <w:noWrap w:val="0"/>
                  <w:vAlign w:val="center"/>
                </w:tcPr>
                <w:p w14:paraId="7241281C">
                  <w:pPr>
                    <w:spacing w:beforeLines="0" w:afterLines="0"/>
                    <w:jc w:val="center"/>
                    <w:rPr>
                      <w:rFonts w:hint="default" w:ascii="Times New Roman" w:hAnsi="Times New Roman" w:cs="Times New Roman"/>
                      <w:b/>
                      <w:snapToGrid/>
                      <w:color w:val="auto"/>
                      <w:sz w:val="21"/>
                      <w:szCs w:val="21"/>
                      <w:vertAlign w:val="baseline"/>
                    </w:rPr>
                  </w:pPr>
                </w:p>
              </w:tc>
              <w:tc>
                <w:tcPr>
                  <w:tcW w:w="826"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69ABB218">
                  <w:pPr>
                    <w:spacing w:beforeLines="0" w:afterLines="0"/>
                    <w:jc w:val="center"/>
                    <w:rPr>
                      <w:rFonts w:hint="default" w:ascii="Times New Roman" w:hAnsi="Times New Roman" w:cs="Times New Roman"/>
                      <w:b/>
                      <w:snapToGrid/>
                      <w:color w:val="auto"/>
                      <w:sz w:val="21"/>
                      <w:szCs w:val="21"/>
                      <w:vertAlign w:val="baseline"/>
                    </w:rPr>
                  </w:pPr>
                </w:p>
              </w:tc>
              <w:tc>
                <w:tcPr>
                  <w:tcW w:w="707" w:type="pct"/>
                  <w:tcBorders>
                    <w:top w:val="single" w:color="auto" w:sz="2" w:space="0"/>
                    <w:left w:val="single" w:color="auto" w:sz="2" w:space="0"/>
                    <w:bottom w:val="single" w:color="auto" w:sz="2" w:space="0"/>
                    <w:right w:val="single" w:color="auto" w:sz="2" w:space="0"/>
                    <w:tl2br w:val="nil"/>
                    <w:tr2bl w:val="nil"/>
                  </w:tcBorders>
                  <w:noWrap w:val="0"/>
                  <w:vAlign w:val="center"/>
                </w:tcPr>
                <w:p w14:paraId="0EF7C3F3">
                  <w:pPr>
                    <w:spacing w:beforeLines="0" w:afterLines="0"/>
                    <w:jc w:val="center"/>
                    <w:rPr>
                      <w:rFonts w:hint="default" w:ascii="Times New Roman" w:hAnsi="Times New Roman" w:cs="Times New Roman"/>
                      <w:b/>
                      <w:snapToGrid/>
                      <w:color w:val="auto"/>
                      <w:sz w:val="21"/>
                      <w:szCs w:val="21"/>
                      <w:vertAlign w:val="baseline"/>
                    </w:rPr>
                  </w:pPr>
                  <w:r>
                    <w:rPr>
                      <w:rFonts w:hint="default" w:ascii="Times New Roman" w:hAnsi="Times New Roman" w:eastAsia="宋体" w:cs="Times New Roman"/>
                      <w:b/>
                      <w:snapToGrid/>
                      <w:color w:val="auto"/>
                      <w:sz w:val="21"/>
                      <w:szCs w:val="21"/>
                      <w:vertAlign w:val="baseline"/>
                    </w:rPr>
                    <w:t>经度</w:t>
                  </w:r>
                </w:p>
              </w:tc>
              <w:tc>
                <w:tcPr>
                  <w:tcW w:w="652" w:type="pct"/>
                  <w:tcBorders>
                    <w:top w:val="single" w:color="auto" w:sz="2" w:space="0"/>
                    <w:left w:val="single" w:color="auto" w:sz="2" w:space="0"/>
                    <w:bottom w:val="single" w:color="auto" w:sz="2" w:space="0"/>
                    <w:right w:val="single" w:color="auto" w:sz="2" w:space="0"/>
                    <w:tl2br w:val="nil"/>
                    <w:tr2bl w:val="nil"/>
                  </w:tcBorders>
                  <w:noWrap w:val="0"/>
                  <w:vAlign w:val="center"/>
                </w:tcPr>
                <w:p w14:paraId="1796D221">
                  <w:pPr>
                    <w:spacing w:beforeLines="0" w:afterLines="0"/>
                    <w:jc w:val="center"/>
                    <w:rPr>
                      <w:rFonts w:hint="default" w:ascii="Times New Roman" w:hAnsi="Times New Roman" w:cs="Times New Roman"/>
                      <w:b/>
                      <w:snapToGrid/>
                      <w:color w:val="auto"/>
                      <w:sz w:val="21"/>
                      <w:szCs w:val="21"/>
                      <w:vertAlign w:val="baseline"/>
                    </w:rPr>
                  </w:pPr>
                  <w:r>
                    <w:rPr>
                      <w:rFonts w:hint="default" w:ascii="Times New Roman" w:hAnsi="Times New Roman" w:eastAsia="宋体" w:cs="Times New Roman"/>
                      <w:b/>
                      <w:snapToGrid/>
                      <w:color w:val="auto"/>
                      <w:sz w:val="21"/>
                      <w:szCs w:val="21"/>
                      <w:vertAlign w:val="baseline"/>
                    </w:rPr>
                    <w:t>纬度</w:t>
                  </w:r>
                </w:p>
              </w:tc>
              <w:tc>
                <w:tcPr>
                  <w:tcW w:w="609" w:type="pct"/>
                  <w:tcBorders>
                    <w:top w:val="single" w:color="auto" w:sz="2" w:space="0"/>
                    <w:left w:val="single" w:color="auto" w:sz="2" w:space="0"/>
                    <w:bottom w:val="single" w:color="auto" w:sz="2" w:space="0"/>
                    <w:right w:val="single" w:color="auto" w:sz="2" w:space="0"/>
                    <w:tl2br w:val="nil"/>
                    <w:tr2bl w:val="nil"/>
                  </w:tcBorders>
                  <w:noWrap w:val="0"/>
                  <w:vAlign w:val="center"/>
                </w:tcPr>
                <w:p w14:paraId="3E001FC0">
                  <w:pPr>
                    <w:spacing w:beforeLines="0" w:afterLines="0"/>
                    <w:jc w:val="center"/>
                    <w:rPr>
                      <w:rFonts w:hint="default" w:ascii="Times New Roman" w:hAnsi="Times New Roman" w:cs="Times New Roman"/>
                      <w:b/>
                      <w:snapToGrid/>
                      <w:color w:val="auto"/>
                      <w:sz w:val="21"/>
                      <w:szCs w:val="21"/>
                      <w:vertAlign w:val="baseline"/>
                    </w:rPr>
                  </w:pPr>
                  <w:r>
                    <w:rPr>
                      <w:rFonts w:hint="default" w:ascii="Times New Roman" w:hAnsi="Times New Roman" w:eastAsia="宋体" w:cs="Times New Roman"/>
                      <w:b/>
                      <w:snapToGrid/>
                      <w:color w:val="auto"/>
                      <w:sz w:val="21"/>
                      <w:szCs w:val="21"/>
                      <w:vertAlign w:val="baseline"/>
                    </w:rPr>
                    <w:t>高度(m)</w:t>
                  </w:r>
                </w:p>
              </w:tc>
              <w:tc>
                <w:tcPr>
                  <w:tcW w:w="623" w:type="pct"/>
                  <w:tcBorders>
                    <w:top w:val="single" w:color="auto" w:sz="2" w:space="0"/>
                    <w:left w:val="single" w:color="auto" w:sz="2" w:space="0"/>
                    <w:bottom w:val="single" w:color="auto" w:sz="2" w:space="0"/>
                    <w:right w:val="single" w:color="auto" w:sz="4" w:space="0"/>
                    <w:tl2br w:val="nil"/>
                    <w:tr2bl w:val="nil"/>
                  </w:tcBorders>
                  <w:noWrap w:val="0"/>
                  <w:vAlign w:val="center"/>
                </w:tcPr>
                <w:p w14:paraId="5C042794">
                  <w:pPr>
                    <w:spacing w:beforeLines="0" w:afterLines="0"/>
                    <w:jc w:val="center"/>
                    <w:rPr>
                      <w:rFonts w:hint="default" w:ascii="Times New Roman" w:hAnsi="Times New Roman" w:cs="Times New Roman"/>
                      <w:b/>
                      <w:snapToGrid/>
                      <w:color w:val="auto"/>
                      <w:sz w:val="21"/>
                      <w:szCs w:val="21"/>
                      <w:vertAlign w:val="baseline"/>
                    </w:rPr>
                  </w:pPr>
                  <w:r>
                    <w:rPr>
                      <w:rFonts w:hint="default" w:ascii="Times New Roman" w:hAnsi="Times New Roman" w:eastAsia="宋体" w:cs="Times New Roman"/>
                      <w:b/>
                      <w:snapToGrid/>
                      <w:color w:val="auto"/>
                      <w:sz w:val="21"/>
                      <w:szCs w:val="21"/>
                      <w:vertAlign w:val="baseline"/>
                    </w:rPr>
                    <w:t>内径(m)</w:t>
                  </w:r>
                </w:p>
              </w:tc>
              <w:tc>
                <w:tcPr>
                  <w:tcW w:w="629" w:type="pct"/>
                  <w:tcBorders>
                    <w:top w:val="single" w:color="auto" w:sz="2" w:space="0"/>
                    <w:left w:val="single" w:color="auto" w:sz="2" w:space="0"/>
                    <w:bottom w:val="single" w:color="auto" w:sz="2" w:space="0"/>
                    <w:right w:val="single" w:color="auto" w:sz="2" w:space="0"/>
                    <w:tl2br w:val="nil"/>
                    <w:tr2bl w:val="nil"/>
                  </w:tcBorders>
                  <w:noWrap w:val="0"/>
                  <w:vAlign w:val="center"/>
                </w:tcPr>
                <w:p w14:paraId="29BABCE5">
                  <w:pPr>
                    <w:jc w:val="center"/>
                    <w:rPr>
                      <w:rFonts w:hint="default" w:ascii="Times New Roman" w:hAnsi="Times New Roman" w:cs="Times New Roman"/>
                      <w:b/>
                      <w:snapToGrid/>
                      <w:color w:val="auto"/>
                      <w:sz w:val="21"/>
                      <w:szCs w:val="21"/>
                      <w:vertAlign w:val="baseline"/>
                    </w:rPr>
                  </w:pPr>
                  <w:r>
                    <w:rPr>
                      <w:rFonts w:hint="default" w:ascii="Times New Roman" w:hAnsi="Times New Roman" w:eastAsia="宋体" w:cs="Times New Roman"/>
                      <w:b/>
                      <w:snapToGrid/>
                      <w:color w:val="auto"/>
                      <w:sz w:val="21"/>
                      <w:szCs w:val="21"/>
                      <w:vertAlign w:val="baseline"/>
                    </w:rPr>
                    <w:t>温度(℃)</w:t>
                  </w:r>
                </w:p>
              </w:tc>
              <w:tc>
                <w:tcPr>
                  <w:tcW w:w="462" w:type="pct"/>
                  <w:vMerge w:val="continue"/>
                  <w:tcBorders>
                    <w:top w:val="single" w:color="auto" w:sz="2" w:space="0"/>
                    <w:left w:val="single" w:color="auto" w:sz="2" w:space="0"/>
                    <w:bottom w:val="single" w:color="auto" w:sz="2" w:space="0"/>
                    <w:right w:val="single" w:color="auto" w:sz="4" w:space="0"/>
                    <w:tl2br w:val="nil"/>
                    <w:tr2bl w:val="nil"/>
                  </w:tcBorders>
                  <w:noWrap w:val="0"/>
                  <w:vAlign w:val="center"/>
                </w:tcPr>
                <w:p w14:paraId="71C78A4E">
                  <w:pPr>
                    <w:spacing w:beforeLines="0" w:afterLines="0"/>
                    <w:jc w:val="center"/>
                    <w:rPr>
                      <w:rFonts w:hint="default" w:ascii="Times New Roman" w:hAnsi="Times New Roman" w:cs="Times New Roman"/>
                      <w:b/>
                      <w:snapToGrid/>
                      <w:color w:val="auto"/>
                      <w:sz w:val="21"/>
                      <w:szCs w:val="21"/>
                      <w:vertAlign w:val="baseline"/>
                    </w:rPr>
                  </w:pPr>
                </w:p>
              </w:tc>
            </w:tr>
            <w:tr w14:paraId="37D504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89" w:type="pct"/>
                  <w:tcBorders>
                    <w:top w:val="single" w:color="auto" w:sz="2" w:space="0"/>
                    <w:left w:val="single" w:color="auto" w:sz="4" w:space="0"/>
                    <w:bottom w:val="single" w:color="auto" w:sz="2" w:space="0"/>
                    <w:right w:val="single" w:color="auto" w:sz="2" w:space="0"/>
                    <w:tl2br w:val="nil"/>
                    <w:tr2bl w:val="nil"/>
                  </w:tcBorders>
                  <w:noWrap w:val="0"/>
                  <w:vAlign w:val="center"/>
                </w:tcPr>
                <w:p w14:paraId="7BAC3065">
                  <w:pPr>
                    <w:spacing w:beforeLines="0" w:afterLines="0"/>
                    <w:jc w:val="center"/>
                    <w:rPr>
                      <w:rFonts w:hint="default" w:ascii="Times New Roman" w:hAnsi="Times New Roman" w:cs="Times New Roman"/>
                      <w:snapToGrid/>
                      <w:color w:val="auto"/>
                      <w:sz w:val="21"/>
                      <w:szCs w:val="21"/>
                      <w:vertAlign w:val="baseline"/>
                    </w:rPr>
                  </w:pPr>
                  <w:r>
                    <w:rPr>
                      <w:rFonts w:hint="default" w:ascii="Times New Roman" w:hAnsi="Times New Roman" w:cs="Times New Roman"/>
                      <w:snapToGrid/>
                      <w:color w:val="auto"/>
                      <w:sz w:val="21"/>
                      <w:szCs w:val="21"/>
                      <w:vertAlign w:val="baseline"/>
                    </w:rPr>
                    <w:t>DA001</w:t>
                  </w:r>
                </w:p>
              </w:tc>
              <w:tc>
                <w:tcPr>
                  <w:tcW w:w="826" w:type="pct"/>
                  <w:tcBorders>
                    <w:top w:val="single" w:color="auto" w:sz="2" w:space="0"/>
                    <w:left w:val="single" w:color="auto" w:sz="2" w:space="0"/>
                    <w:bottom w:val="single" w:color="auto" w:sz="2" w:space="0"/>
                    <w:right w:val="single" w:color="auto" w:sz="2" w:space="0"/>
                    <w:tl2br w:val="nil"/>
                    <w:tr2bl w:val="nil"/>
                  </w:tcBorders>
                  <w:noWrap w:val="0"/>
                  <w:vAlign w:val="center"/>
                </w:tcPr>
                <w:p w14:paraId="0D109045">
                  <w:pPr>
                    <w:adjustRightInd w:val="0"/>
                    <w:spacing w:beforeLines="0" w:afterLines="0"/>
                    <w:jc w:val="center"/>
                    <w:rPr>
                      <w:rFonts w:hint="default" w:ascii="Times New Roman" w:hAnsi="Times New Roman" w:cs="Times New Roman"/>
                      <w:snapToGrid/>
                      <w:color w:val="auto"/>
                      <w:sz w:val="21"/>
                      <w:szCs w:val="21"/>
                      <w:vertAlign w:val="baseline"/>
                    </w:rPr>
                  </w:pPr>
                  <w:r>
                    <w:rPr>
                      <w:rFonts w:hint="default" w:ascii="Times New Roman" w:hAnsi="Times New Roman" w:eastAsia="宋体" w:cs="Times New Roman"/>
                      <w:snapToGrid/>
                      <w:color w:val="auto"/>
                      <w:kern w:val="0"/>
                      <w:sz w:val="21"/>
                      <w:szCs w:val="21"/>
                      <w:vertAlign w:val="baseline"/>
                    </w:rPr>
                    <w:t>配料粉尘</w:t>
                  </w:r>
                </w:p>
              </w:tc>
              <w:tc>
                <w:tcPr>
                  <w:tcW w:w="707" w:type="pct"/>
                  <w:tcBorders>
                    <w:top w:val="single" w:color="auto" w:sz="2" w:space="0"/>
                    <w:left w:val="single" w:color="auto" w:sz="2" w:space="0"/>
                    <w:bottom w:val="single" w:color="auto" w:sz="2" w:space="0"/>
                    <w:right w:val="single" w:color="auto" w:sz="2" w:space="0"/>
                    <w:tl2br w:val="nil"/>
                    <w:tr2bl w:val="nil"/>
                  </w:tcBorders>
                  <w:noWrap w:val="0"/>
                  <w:vAlign w:val="center"/>
                </w:tcPr>
                <w:p w14:paraId="5DFEF1AB">
                  <w:pPr>
                    <w:spacing w:beforeLines="0" w:afterLines="0"/>
                    <w:jc w:val="center"/>
                    <w:rPr>
                      <w:rFonts w:hint="default" w:ascii="Times New Roman" w:hAnsi="Times New Roman" w:cs="Times New Roman"/>
                      <w:snapToGrid/>
                      <w:color w:val="auto"/>
                      <w:sz w:val="21"/>
                      <w:szCs w:val="21"/>
                      <w:vertAlign w:val="baseline"/>
                    </w:rPr>
                  </w:pPr>
                  <w:r>
                    <w:rPr>
                      <w:rFonts w:hint="default" w:ascii="Times New Roman" w:hAnsi="Times New Roman" w:cs="Times New Roman"/>
                      <w:snapToGrid/>
                      <w:color w:val="auto"/>
                      <w:sz w:val="21"/>
                      <w:szCs w:val="21"/>
                      <w:vertAlign w:val="baseline"/>
                    </w:rPr>
                    <w:t>117.466492</w:t>
                  </w:r>
                </w:p>
              </w:tc>
              <w:tc>
                <w:tcPr>
                  <w:tcW w:w="652" w:type="pct"/>
                  <w:tcBorders>
                    <w:top w:val="single" w:color="auto" w:sz="2" w:space="0"/>
                    <w:left w:val="single" w:color="auto" w:sz="2" w:space="0"/>
                    <w:bottom w:val="single" w:color="auto" w:sz="2" w:space="0"/>
                    <w:right w:val="single" w:color="auto" w:sz="2" w:space="0"/>
                    <w:tl2br w:val="nil"/>
                    <w:tr2bl w:val="nil"/>
                  </w:tcBorders>
                  <w:noWrap w:val="0"/>
                  <w:vAlign w:val="center"/>
                </w:tcPr>
                <w:p w14:paraId="6B5D6B40">
                  <w:pPr>
                    <w:spacing w:beforeLines="0" w:afterLines="0"/>
                    <w:jc w:val="center"/>
                    <w:rPr>
                      <w:rFonts w:hint="default" w:ascii="Times New Roman" w:hAnsi="Times New Roman" w:cs="Times New Roman"/>
                      <w:snapToGrid/>
                      <w:color w:val="auto"/>
                      <w:sz w:val="21"/>
                      <w:szCs w:val="21"/>
                      <w:vertAlign w:val="baseline"/>
                    </w:rPr>
                  </w:pPr>
                  <w:r>
                    <w:rPr>
                      <w:rFonts w:hint="default" w:ascii="Times New Roman" w:hAnsi="Times New Roman" w:cs="Times New Roman"/>
                      <w:snapToGrid/>
                      <w:color w:val="auto"/>
                      <w:sz w:val="21"/>
                      <w:szCs w:val="21"/>
                      <w:vertAlign w:val="baseline"/>
                    </w:rPr>
                    <w:t>33.255101</w:t>
                  </w:r>
                </w:p>
              </w:tc>
              <w:tc>
                <w:tcPr>
                  <w:tcW w:w="609" w:type="pct"/>
                  <w:tcBorders>
                    <w:top w:val="single" w:color="auto" w:sz="2" w:space="0"/>
                    <w:left w:val="single" w:color="auto" w:sz="2" w:space="0"/>
                    <w:bottom w:val="single" w:color="auto" w:sz="2" w:space="0"/>
                    <w:right w:val="single" w:color="auto" w:sz="2" w:space="0"/>
                    <w:tl2br w:val="nil"/>
                    <w:tr2bl w:val="nil"/>
                  </w:tcBorders>
                  <w:noWrap w:val="0"/>
                  <w:vAlign w:val="center"/>
                </w:tcPr>
                <w:p w14:paraId="712BACD6">
                  <w:pPr>
                    <w:spacing w:beforeLines="0" w:afterLines="0"/>
                    <w:jc w:val="center"/>
                    <w:rPr>
                      <w:rFonts w:hint="eastAsia"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rPr>
                    <w:t>1</w:t>
                  </w:r>
                  <w:r>
                    <w:rPr>
                      <w:rFonts w:hint="eastAsia" w:cs="Times New Roman"/>
                      <w:snapToGrid/>
                      <w:color w:val="auto"/>
                      <w:sz w:val="21"/>
                      <w:szCs w:val="21"/>
                      <w:vertAlign w:val="baseline"/>
                      <w:lang w:val="en-US" w:eastAsia="zh-CN"/>
                    </w:rPr>
                    <w:t>7</w:t>
                  </w:r>
                </w:p>
              </w:tc>
              <w:tc>
                <w:tcPr>
                  <w:tcW w:w="623" w:type="pct"/>
                  <w:tcBorders>
                    <w:top w:val="single" w:color="auto" w:sz="2" w:space="0"/>
                    <w:left w:val="single" w:color="auto" w:sz="2" w:space="0"/>
                    <w:bottom w:val="single" w:color="auto" w:sz="2" w:space="0"/>
                    <w:right w:val="single" w:color="auto" w:sz="2" w:space="0"/>
                    <w:tl2br w:val="nil"/>
                    <w:tr2bl w:val="nil"/>
                  </w:tcBorders>
                  <w:noWrap w:val="0"/>
                  <w:vAlign w:val="center"/>
                </w:tcPr>
                <w:p w14:paraId="6EF3B816">
                  <w:pPr>
                    <w:spacing w:beforeLines="0" w:afterLines="0"/>
                    <w:jc w:val="center"/>
                    <w:rPr>
                      <w:rFonts w:hint="eastAsia"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rPr>
                    <w:t>0.</w:t>
                  </w:r>
                  <w:r>
                    <w:rPr>
                      <w:rFonts w:hint="eastAsia" w:cs="Times New Roman"/>
                      <w:snapToGrid/>
                      <w:color w:val="auto"/>
                      <w:sz w:val="21"/>
                      <w:szCs w:val="21"/>
                      <w:vertAlign w:val="baseline"/>
                      <w:lang w:val="en-US" w:eastAsia="zh-CN"/>
                    </w:rPr>
                    <w:t>2</w:t>
                  </w:r>
                </w:p>
              </w:tc>
              <w:tc>
                <w:tcPr>
                  <w:tcW w:w="629" w:type="pct"/>
                  <w:tcBorders>
                    <w:top w:val="single" w:color="auto" w:sz="2" w:space="0"/>
                    <w:left w:val="single" w:color="auto" w:sz="2" w:space="0"/>
                    <w:bottom w:val="single" w:color="auto" w:sz="2" w:space="0"/>
                    <w:right w:val="single" w:color="auto" w:sz="2" w:space="0"/>
                    <w:tl2br w:val="nil"/>
                    <w:tr2bl w:val="nil"/>
                  </w:tcBorders>
                  <w:noWrap w:val="0"/>
                  <w:vAlign w:val="center"/>
                </w:tcPr>
                <w:p w14:paraId="1F3FB679">
                  <w:pPr>
                    <w:jc w:val="center"/>
                    <w:rPr>
                      <w:rFonts w:hint="default" w:ascii="Times New Roman" w:hAnsi="Times New Roman"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常温</w:t>
                  </w:r>
                </w:p>
              </w:tc>
              <w:tc>
                <w:tcPr>
                  <w:tcW w:w="462" w:type="pct"/>
                  <w:tcBorders>
                    <w:top w:val="single" w:color="auto" w:sz="2" w:space="0"/>
                    <w:left w:val="single" w:color="auto" w:sz="2" w:space="0"/>
                    <w:bottom w:val="single" w:color="auto" w:sz="2" w:space="0"/>
                    <w:right w:val="single" w:color="auto" w:sz="4" w:space="0"/>
                    <w:tl2br w:val="nil"/>
                    <w:tr2bl w:val="nil"/>
                  </w:tcBorders>
                  <w:noWrap w:val="0"/>
                  <w:vAlign w:val="center"/>
                </w:tcPr>
                <w:p w14:paraId="10BC7207">
                  <w:pPr>
                    <w:spacing w:beforeLines="0" w:afterLines="0"/>
                    <w:jc w:val="center"/>
                    <w:rPr>
                      <w:rFonts w:hint="default" w:ascii="Times New Roman" w:hAnsi="Times New Roman"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一般排放口</w:t>
                  </w:r>
                </w:p>
              </w:tc>
            </w:tr>
            <w:tr w14:paraId="4881CC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89" w:type="pct"/>
                  <w:tcBorders>
                    <w:top w:val="single" w:color="auto" w:sz="2" w:space="0"/>
                    <w:left w:val="single" w:color="auto" w:sz="4" w:space="0"/>
                    <w:bottom w:val="single" w:color="auto" w:sz="2" w:space="0"/>
                    <w:right w:val="single" w:color="auto" w:sz="2" w:space="0"/>
                    <w:tl2br w:val="nil"/>
                    <w:tr2bl w:val="nil"/>
                  </w:tcBorders>
                  <w:noWrap w:val="0"/>
                  <w:vAlign w:val="center"/>
                </w:tcPr>
                <w:p w14:paraId="5CE1F2FD">
                  <w:pPr>
                    <w:spacing w:beforeLines="0" w:afterLines="0"/>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DA002</w:t>
                  </w:r>
                </w:p>
              </w:tc>
              <w:tc>
                <w:tcPr>
                  <w:tcW w:w="826" w:type="pct"/>
                  <w:tcBorders>
                    <w:top w:val="single" w:color="auto" w:sz="2" w:space="0"/>
                    <w:left w:val="single" w:color="auto" w:sz="2" w:space="0"/>
                    <w:bottom w:val="single" w:color="auto" w:sz="2" w:space="0"/>
                    <w:right w:val="single" w:color="auto" w:sz="2" w:space="0"/>
                    <w:tl2br w:val="nil"/>
                    <w:tr2bl w:val="nil"/>
                  </w:tcBorders>
                  <w:noWrap w:val="0"/>
                  <w:vAlign w:val="center"/>
                </w:tcPr>
                <w:p w14:paraId="30DB381C">
                  <w:pPr>
                    <w:adjustRightInd w:val="0"/>
                    <w:spacing w:beforeLines="0" w:afterLines="0"/>
                    <w:jc w:val="center"/>
                    <w:rPr>
                      <w:rFonts w:hint="default" w:ascii="Times New Roman" w:hAnsi="Times New Roman" w:eastAsia="宋体"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油炸油烟</w:t>
                  </w:r>
                </w:p>
              </w:tc>
              <w:tc>
                <w:tcPr>
                  <w:tcW w:w="707" w:type="pct"/>
                  <w:tcBorders>
                    <w:top w:val="single" w:color="auto" w:sz="2" w:space="0"/>
                    <w:left w:val="single" w:color="auto" w:sz="2" w:space="0"/>
                    <w:bottom w:val="single" w:color="auto" w:sz="2" w:space="0"/>
                    <w:right w:val="single" w:color="auto" w:sz="2" w:space="0"/>
                    <w:tl2br w:val="nil"/>
                    <w:tr2bl w:val="nil"/>
                  </w:tcBorders>
                  <w:noWrap w:val="0"/>
                  <w:vAlign w:val="center"/>
                </w:tcPr>
                <w:p w14:paraId="5B60DC15">
                  <w:pPr>
                    <w:spacing w:beforeLines="0" w:afterLines="0"/>
                    <w:jc w:val="center"/>
                    <w:rPr>
                      <w:rFonts w:hint="default" w:ascii="Times New Roman" w:hAnsi="Times New Roman" w:cs="Times New Roman"/>
                      <w:snapToGrid/>
                      <w:color w:val="auto"/>
                      <w:sz w:val="21"/>
                      <w:szCs w:val="21"/>
                      <w:vertAlign w:val="baseline"/>
                    </w:rPr>
                  </w:pPr>
                  <w:r>
                    <w:rPr>
                      <w:rFonts w:hint="default" w:ascii="Times New Roman" w:hAnsi="Times New Roman" w:cs="Times New Roman"/>
                      <w:snapToGrid/>
                      <w:color w:val="auto"/>
                      <w:sz w:val="21"/>
                      <w:szCs w:val="21"/>
                      <w:vertAlign w:val="baseline"/>
                    </w:rPr>
                    <w:t>117.466351</w:t>
                  </w:r>
                </w:p>
              </w:tc>
              <w:tc>
                <w:tcPr>
                  <w:tcW w:w="652" w:type="pct"/>
                  <w:tcBorders>
                    <w:top w:val="single" w:color="auto" w:sz="2" w:space="0"/>
                    <w:left w:val="single" w:color="auto" w:sz="2" w:space="0"/>
                    <w:bottom w:val="single" w:color="auto" w:sz="2" w:space="0"/>
                    <w:right w:val="single" w:color="auto" w:sz="2" w:space="0"/>
                    <w:tl2br w:val="nil"/>
                    <w:tr2bl w:val="nil"/>
                  </w:tcBorders>
                  <w:noWrap w:val="0"/>
                  <w:vAlign w:val="center"/>
                </w:tcPr>
                <w:p w14:paraId="54068488">
                  <w:pPr>
                    <w:spacing w:beforeLines="0" w:afterLines="0"/>
                    <w:jc w:val="center"/>
                    <w:rPr>
                      <w:rFonts w:hint="default" w:ascii="Times New Roman" w:hAnsi="Times New Roman" w:cs="Times New Roman"/>
                      <w:snapToGrid/>
                      <w:color w:val="auto"/>
                      <w:sz w:val="21"/>
                      <w:szCs w:val="21"/>
                      <w:vertAlign w:val="baseline"/>
                    </w:rPr>
                  </w:pPr>
                  <w:r>
                    <w:rPr>
                      <w:rFonts w:hint="default" w:ascii="Times New Roman" w:hAnsi="Times New Roman" w:cs="Times New Roman"/>
                      <w:snapToGrid/>
                      <w:color w:val="auto"/>
                      <w:sz w:val="21"/>
                      <w:szCs w:val="21"/>
                      <w:vertAlign w:val="baseline"/>
                    </w:rPr>
                    <w:t>33.255224</w:t>
                  </w:r>
                </w:p>
              </w:tc>
              <w:tc>
                <w:tcPr>
                  <w:tcW w:w="609" w:type="pct"/>
                  <w:tcBorders>
                    <w:top w:val="single" w:color="auto" w:sz="2" w:space="0"/>
                    <w:left w:val="single" w:color="auto" w:sz="2" w:space="0"/>
                    <w:bottom w:val="single" w:color="auto" w:sz="2" w:space="0"/>
                    <w:right w:val="single" w:color="auto" w:sz="2" w:space="0"/>
                    <w:tl2br w:val="nil"/>
                    <w:tr2bl w:val="nil"/>
                  </w:tcBorders>
                  <w:noWrap w:val="0"/>
                  <w:vAlign w:val="center"/>
                </w:tcPr>
                <w:p w14:paraId="57D84954">
                  <w:pPr>
                    <w:spacing w:beforeLines="0" w:afterLines="0"/>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17</w:t>
                  </w:r>
                </w:p>
              </w:tc>
              <w:tc>
                <w:tcPr>
                  <w:tcW w:w="623" w:type="pct"/>
                  <w:tcBorders>
                    <w:top w:val="single" w:color="auto" w:sz="2" w:space="0"/>
                    <w:left w:val="single" w:color="auto" w:sz="2" w:space="0"/>
                    <w:bottom w:val="single" w:color="auto" w:sz="2" w:space="0"/>
                    <w:right w:val="single" w:color="auto" w:sz="2" w:space="0"/>
                    <w:tl2br w:val="nil"/>
                    <w:tr2bl w:val="nil"/>
                  </w:tcBorders>
                  <w:noWrap w:val="0"/>
                  <w:vAlign w:val="center"/>
                </w:tcPr>
                <w:p w14:paraId="540B5824">
                  <w:pPr>
                    <w:spacing w:beforeLines="0" w:afterLines="0"/>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0.4</w:t>
                  </w:r>
                </w:p>
              </w:tc>
              <w:tc>
                <w:tcPr>
                  <w:tcW w:w="629" w:type="pct"/>
                  <w:tcBorders>
                    <w:top w:val="single" w:color="auto" w:sz="2" w:space="0"/>
                    <w:left w:val="single" w:color="auto" w:sz="2" w:space="0"/>
                    <w:bottom w:val="single" w:color="auto" w:sz="2" w:space="0"/>
                    <w:right w:val="single" w:color="auto" w:sz="2" w:space="0"/>
                    <w:tl2br w:val="nil"/>
                    <w:tr2bl w:val="nil"/>
                  </w:tcBorders>
                  <w:noWrap w:val="0"/>
                  <w:vAlign w:val="center"/>
                </w:tcPr>
                <w:p w14:paraId="7B920894">
                  <w:pPr>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35</w:t>
                  </w:r>
                </w:p>
              </w:tc>
              <w:tc>
                <w:tcPr>
                  <w:tcW w:w="462" w:type="pct"/>
                  <w:tcBorders>
                    <w:top w:val="single" w:color="auto" w:sz="2" w:space="0"/>
                    <w:left w:val="single" w:color="auto" w:sz="2" w:space="0"/>
                    <w:bottom w:val="single" w:color="auto" w:sz="2" w:space="0"/>
                    <w:right w:val="single" w:color="auto" w:sz="4" w:space="0"/>
                    <w:tl2br w:val="nil"/>
                    <w:tr2bl w:val="nil"/>
                  </w:tcBorders>
                  <w:noWrap w:val="0"/>
                  <w:vAlign w:val="center"/>
                </w:tcPr>
                <w:p w14:paraId="4CAC462F">
                  <w:pPr>
                    <w:spacing w:beforeLines="0" w:afterLines="0"/>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一般排放口</w:t>
                  </w:r>
                </w:p>
              </w:tc>
            </w:tr>
            <w:tr w14:paraId="6996786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89" w:type="pct"/>
                  <w:tcBorders>
                    <w:top w:val="single" w:color="auto" w:sz="2" w:space="0"/>
                    <w:left w:val="single" w:color="auto" w:sz="4" w:space="0"/>
                    <w:bottom w:val="single" w:color="auto" w:sz="4" w:space="0"/>
                    <w:right w:val="single" w:color="auto" w:sz="2" w:space="0"/>
                    <w:tl2br w:val="nil"/>
                    <w:tr2bl w:val="nil"/>
                  </w:tcBorders>
                  <w:noWrap w:val="0"/>
                  <w:vAlign w:val="center"/>
                </w:tcPr>
                <w:p w14:paraId="00872D66">
                  <w:pPr>
                    <w:spacing w:beforeLines="0" w:afterLines="0"/>
                    <w:jc w:val="center"/>
                    <w:rPr>
                      <w:rFonts w:hint="eastAsia"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rPr>
                    <w:t>DA00</w:t>
                  </w:r>
                  <w:r>
                    <w:rPr>
                      <w:rFonts w:hint="eastAsia" w:cs="Times New Roman"/>
                      <w:snapToGrid/>
                      <w:color w:val="auto"/>
                      <w:sz w:val="21"/>
                      <w:szCs w:val="21"/>
                      <w:vertAlign w:val="baseline"/>
                      <w:lang w:val="en-US" w:eastAsia="zh-CN"/>
                    </w:rPr>
                    <w:t>3</w:t>
                  </w:r>
                </w:p>
              </w:tc>
              <w:tc>
                <w:tcPr>
                  <w:tcW w:w="826" w:type="pct"/>
                  <w:tcBorders>
                    <w:top w:val="single" w:color="auto" w:sz="2" w:space="0"/>
                    <w:left w:val="single" w:color="auto" w:sz="2" w:space="0"/>
                    <w:bottom w:val="single" w:color="auto" w:sz="4" w:space="0"/>
                    <w:right w:val="single" w:color="auto" w:sz="2" w:space="0"/>
                    <w:tl2br w:val="nil"/>
                    <w:tr2bl w:val="nil"/>
                  </w:tcBorders>
                  <w:noWrap w:val="0"/>
                  <w:vAlign w:val="center"/>
                </w:tcPr>
                <w:p w14:paraId="6703EEA9">
                  <w:pPr>
                    <w:adjustRightInd w:val="0"/>
                    <w:spacing w:beforeLines="0" w:afterLines="0"/>
                    <w:jc w:val="center"/>
                    <w:rPr>
                      <w:rFonts w:hint="default" w:ascii="Times New Roman" w:hAnsi="Times New Roman" w:eastAsia="宋体" w:cs="Times New Roman"/>
                      <w:snapToGrid/>
                      <w:color w:val="auto"/>
                      <w:kern w:val="0"/>
                      <w:sz w:val="21"/>
                      <w:szCs w:val="21"/>
                      <w:vertAlign w:val="baseline"/>
                    </w:rPr>
                  </w:pPr>
                  <w:r>
                    <w:rPr>
                      <w:rFonts w:hint="default" w:ascii="Times New Roman" w:hAnsi="Times New Roman" w:eastAsia="宋体" w:cs="Times New Roman"/>
                      <w:snapToGrid/>
                      <w:color w:val="auto"/>
                      <w:kern w:val="0"/>
                      <w:sz w:val="21"/>
                      <w:szCs w:val="21"/>
                      <w:vertAlign w:val="baseline"/>
                    </w:rPr>
                    <w:t>天然气燃烧废气</w:t>
                  </w:r>
                </w:p>
              </w:tc>
              <w:tc>
                <w:tcPr>
                  <w:tcW w:w="707" w:type="pct"/>
                  <w:tcBorders>
                    <w:top w:val="single" w:color="auto" w:sz="2" w:space="0"/>
                    <w:left w:val="single" w:color="auto" w:sz="2" w:space="0"/>
                    <w:bottom w:val="single" w:color="auto" w:sz="4" w:space="0"/>
                    <w:right w:val="single" w:color="auto" w:sz="2" w:space="0"/>
                    <w:tl2br w:val="nil"/>
                    <w:tr2bl w:val="nil"/>
                  </w:tcBorders>
                  <w:noWrap w:val="0"/>
                  <w:vAlign w:val="center"/>
                </w:tcPr>
                <w:p w14:paraId="56176C93">
                  <w:pPr>
                    <w:spacing w:beforeLines="0" w:afterLines="0"/>
                    <w:jc w:val="center"/>
                    <w:rPr>
                      <w:rFonts w:hint="default" w:ascii="Times New Roman" w:hAnsi="Times New Roman" w:cs="Times New Roman"/>
                      <w:snapToGrid/>
                      <w:color w:val="auto"/>
                      <w:sz w:val="21"/>
                      <w:szCs w:val="21"/>
                      <w:vertAlign w:val="baseline"/>
                    </w:rPr>
                  </w:pPr>
                  <w:r>
                    <w:rPr>
                      <w:rFonts w:hint="default" w:ascii="Times New Roman" w:hAnsi="Times New Roman" w:cs="Times New Roman"/>
                      <w:snapToGrid/>
                      <w:color w:val="auto"/>
                      <w:sz w:val="21"/>
                      <w:szCs w:val="21"/>
                      <w:vertAlign w:val="baseline"/>
                    </w:rPr>
                    <w:t>117.466278</w:t>
                  </w:r>
                </w:p>
              </w:tc>
              <w:tc>
                <w:tcPr>
                  <w:tcW w:w="652" w:type="pct"/>
                  <w:tcBorders>
                    <w:top w:val="single" w:color="auto" w:sz="2" w:space="0"/>
                    <w:left w:val="single" w:color="auto" w:sz="2" w:space="0"/>
                    <w:bottom w:val="single" w:color="auto" w:sz="4" w:space="0"/>
                    <w:right w:val="single" w:color="auto" w:sz="2" w:space="0"/>
                    <w:tl2br w:val="nil"/>
                    <w:tr2bl w:val="nil"/>
                  </w:tcBorders>
                  <w:noWrap w:val="0"/>
                  <w:vAlign w:val="center"/>
                </w:tcPr>
                <w:p w14:paraId="05585BE6">
                  <w:pPr>
                    <w:spacing w:beforeLines="0" w:afterLines="0"/>
                    <w:jc w:val="center"/>
                    <w:rPr>
                      <w:rFonts w:hint="default" w:ascii="Times New Roman" w:hAnsi="Times New Roman" w:cs="Times New Roman"/>
                      <w:snapToGrid/>
                      <w:color w:val="auto"/>
                      <w:sz w:val="21"/>
                      <w:szCs w:val="21"/>
                      <w:vertAlign w:val="baseline"/>
                    </w:rPr>
                  </w:pPr>
                  <w:r>
                    <w:rPr>
                      <w:rFonts w:hint="default" w:ascii="Times New Roman" w:hAnsi="Times New Roman" w:cs="Times New Roman"/>
                      <w:snapToGrid/>
                      <w:color w:val="auto"/>
                      <w:sz w:val="21"/>
                      <w:szCs w:val="21"/>
                      <w:vertAlign w:val="baseline"/>
                    </w:rPr>
                    <w:t>33.255128</w:t>
                  </w:r>
                </w:p>
              </w:tc>
              <w:tc>
                <w:tcPr>
                  <w:tcW w:w="1109" w:type="dxa"/>
                  <w:tcBorders>
                    <w:top w:val="single" w:color="auto" w:sz="2" w:space="0"/>
                    <w:left w:val="single" w:color="auto" w:sz="2" w:space="0"/>
                    <w:bottom w:val="single" w:color="auto" w:sz="4" w:space="0"/>
                    <w:right w:val="single" w:color="auto" w:sz="2" w:space="0"/>
                    <w:tl2br w:val="nil"/>
                    <w:tr2bl w:val="nil"/>
                  </w:tcBorders>
                  <w:noWrap w:val="0"/>
                  <w:vAlign w:val="center"/>
                </w:tcPr>
                <w:p w14:paraId="4A7E3770">
                  <w:pPr>
                    <w:jc w:val="center"/>
                    <w:rPr>
                      <w:rFonts w:hint="eastAsia" w:ascii="Times New Roman" w:hAnsi="Times New Roman" w:eastAsia="宋体" w:cs="Times New Roman"/>
                      <w:snapToGrid/>
                      <w:color w:val="auto"/>
                      <w:sz w:val="21"/>
                      <w:szCs w:val="21"/>
                      <w:vertAlign w:val="baseline"/>
                      <w:lang w:val="en-US" w:eastAsia="zh-CN"/>
                    </w:rPr>
                  </w:pPr>
                  <w:r>
                    <w:rPr>
                      <w:rFonts w:hint="eastAsia"/>
                      <w:color w:val="auto"/>
                      <w:sz w:val="21"/>
                      <w:szCs w:val="21"/>
                    </w:rPr>
                    <w:t>1</w:t>
                  </w:r>
                  <w:r>
                    <w:rPr>
                      <w:rFonts w:hint="eastAsia"/>
                      <w:color w:val="auto"/>
                      <w:sz w:val="21"/>
                      <w:szCs w:val="21"/>
                      <w:lang w:val="en-US" w:eastAsia="zh-CN"/>
                    </w:rPr>
                    <w:t>7</w:t>
                  </w:r>
                </w:p>
              </w:tc>
              <w:tc>
                <w:tcPr>
                  <w:tcW w:w="1134" w:type="dxa"/>
                  <w:tcBorders>
                    <w:top w:val="single" w:color="auto" w:sz="2" w:space="0"/>
                    <w:left w:val="single" w:color="auto" w:sz="2" w:space="0"/>
                    <w:bottom w:val="single" w:color="auto" w:sz="4" w:space="0"/>
                    <w:right w:val="single" w:color="auto" w:sz="2" w:space="0"/>
                    <w:tl2br w:val="nil"/>
                    <w:tr2bl w:val="nil"/>
                  </w:tcBorders>
                  <w:noWrap w:val="0"/>
                  <w:vAlign w:val="center"/>
                </w:tcPr>
                <w:p w14:paraId="17DED3ED">
                  <w:pPr>
                    <w:jc w:val="center"/>
                    <w:rPr>
                      <w:rFonts w:hint="default" w:ascii="Times New Roman" w:hAnsi="Times New Roman" w:cs="Times New Roman"/>
                      <w:snapToGrid/>
                      <w:color w:val="auto"/>
                      <w:sz w:val="21"/>
                      <w:szCs w:val="21"/>
                      <w:vertAlign w:val="baseline"/>
                    </w:rPr>
                  </w:pPr>
                  <w:r>
                    <w:rPr>
                      <w:rFonts w:hint="eastAsia"/>
                      <w:color w:val="auto"/>
                      <w:sz w:val="21"/>
                      <w:szCs w:val="21"/>
                    </w:rPr>
                    <w:t>0.3</w:t>
                  </w:r>
                </w:p>
              </w:tc>
              <w:tc>
                <w:tcPr>
                  <w:tcW w:w="629" w:type="pct"/>
                  <w:tcBorders>
                    <w:top w:val="single" w:color="auto" w:sz="2" w:space="0"/>
                    <w:left w:val="single" w:color="auto" w:sz="2" w:space="0"/>
                    <w:bottom w:val="single" w:color="auto" w:sz="4" w:space="0"/>
                    <w:right w:val="single" w:color="auto" w:sz="2" w:space="0"/>
                    <w:tl2br w:val="nil"/>
                    <w:tr2bl w:val="nil"/>
                  </w:tcBorders>
                  <w:noWrap w:val="0"/>
                  <w:vAlign w:val="center"/>
                </w:tcPr>
                <w:p w14:paraId="4E7768F0">
                  <w:pPr>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35</w:t>
                  </w:r>
                </w:p>
              </w:tc>
              <w:tc>
                <w:tcPr>
                  <w:tcW w:w="462" w:type="pct"/>
                  <w:tcBorders>
                    <w:top w:val="single" w:color="auto" w:sz="2" w:space="0"/>
                    <w:left w:val="single" w:color="auto" w:sz="2" w:space="0"/>
                    <w:bottom w:val="single" w:color="auto" w:sz="4" w:space="0"/>
                    <w:right w:val="single" w:color="auto" w:sz="4" w:space="0"/>
                    <w:tl2br w:val="nil"/>
                    <w:tr2bl w:val="nil"/>
                  </w:tcBorders>
                  <w:noWrap w:val="0"/>
                  <w:vAlign w:val="center"/>
                </w:tcPr>
                <w:p w14:paraId="1DBEC88E">
                  <w:pPr>
                    <w:spacing w:beforeLines="0" w:afterLines="0"/>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一般排放口</w:t>
                  </w:r>
                </w:p>
              </w:tc>
            </w:tr>
          </w:tbl>
          <w:p w14:paraId="42FD8861">
            <w:pPr>
              <w:spacing w:beforeLines="0" w:afterLines="0" w:line="360" w:lineRule="auto"/>
              <w:ind w:firstLine="482" w:firstLineChars="200"/>
              <w:rPr>
                <w:rFonts w:hint="default"/>
                <w:b/>
                <w:color w:val="auto"/>
                <w:sz w:val="24"/>
                <w:szCs w:val="24"/>
              </w:rPr>
            </w:pPr>
            <w:r>
              <w:rPr>
                <w:rFonts w:hint="default" w:ascii="宋体"/>
                <w:b/>
                <w:color w:val="auto"/>
                <w:sz w:val="24"/>
                <w:szCs w:val="24"/>
              </w:rPr>
              <w:t>非正常工况下废气源强：</w:t>
            </w:r>
          </w:p>
          <w:p w14:paraId="0D8F62D4">
            <w:pPr>
              <w:adjustRightInd w:val="0"/>
              <w:spacing w:beforeLines="0" w:afterLines="0" w:line="360" w:lineRule="auto"/>
              <w:ind w:firstLine="480" w:firstLineChars="200"/>
              <w:rPr>
                <w:rFonts w:hint="default"/>
                <w:color w:val="auto"/>
                <w:sz w:val="24"/>
                <w:szCs w:val="24"/>
              </w:rPr>
            </w:pPr>
            <w:r>
              <w:rPr>
                <w:rFonts w:hint="default" w:ascii="宋体"/>
                <w:color w:val="auto"/>
                <w:sz w:val="24"/>
                <w:szCs w:val="24"/>
              </w:rPr>
              <w:t>本项目非正常工况主要考虑因局部停电造成废气处理设备停止运行，污染防治设备设施损坏导致处理效率下降，而出现废气未经有效处理直接排放，环评分析最坏情况，即处理效率为0。</w:t>
            </w:r>
          </w:p>
          <w:p w14:paraId="40979681">
            <w:pPr>
              <w:adjustRightInd w:val="0"/>
              <w:spacing w:beforeLines="0" w:afterLines="0" w:line="360" w:lineRule="auto"/>
              <w:ind w:firstLine="480" w:firstLineChars="200"/>
              <w:rPr>
                <w:rFonts w:hint="default"/>
                <w:b/>
                <w:color w:val="auto"/>
                <w:sz w:val="24"/>
                <w:szCs w:val="24"/>
              </w:rPr>
            </w:pPr>
            <w:r>
              <w:rPr>
                <w:rFonts w:hint="default" w:ascii="宋体"/>
                <w:color w:val="auto"/>
                <w:sz w:val="24"/>
                <w:szCs w:val="24"/>
              </w:rPr>
              <w:t>非正常工况下废气排放源强见下表。</w:t>
            </w:r>
          </w:p>
          <w:p w14:paraId="112A24D1">
            <w:pPr>
              <w:spacing w:beforeLines="0" w:afterLines="0"/>
              <w:ind w:firstLine="78" w:firstLineChars="37"/>
              <w:jc w:val="center"/>
              <w:rPr>
                <w:rFonts w:hint="default"/>
                <w:b/>
                <w:color w:val="auto"/>
                <w:sz w:val="21"/>
                <w:szCs w:val="21"/>
              </w:rPr>
            </w:pPr>
            <w:r>
              <w:rPr>
                <w:rFonts w:hint="default" w:ascii="宋体"/>
                <w:b/>
                <w:color w:val="auto"/>
                <w:sz w:val="21"/>
                <w:szCs w:val="21"/>
              </w:rPr>
              <w:t>表4-</w:t>
            </w:r>
            <w:r>
              <w:rPr>
                <w:rFonts w:hint="eastAsia" w:ascii="宋体"/>
                <w:b/>
                <w:color w:val="auto"/>
                <w:sz w:val="21"/>
                <w:szCs w:val="21"/>
                <w:lang w:val="en-US" w:eastAsia="zh-CN"/>
              </w:rPr>
              <w:t>6</w:t>
            </w:r>
            <w:r>
              <w:rPr>
                <w:rFonts w:hint="default"/>
                <w:b/>
                <w:color w:val="auto"/>
                <w:sz w:val="21"/>
                <w:szCs w:val="21"/>
              </w:rPr>
              <w:t xml:space="preserve"> </w:t>
            </w:r>
            <w:r>
              <w:rPr>
                <w:rFonts w:hint="default" w:ascii="宋体"/>
                <w:b/>
                <w:color w:val="auto"/>
                <w:sz w:val="21"/>
                <w:szCs w:val="21"/>
              </w:rPr>
              <w:t>项目废气处理设施故障（无处理效率）废气排放参数汇总</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12"/>
              <w:gridCol w:w="1141"/>
              <w:gridCol w:w="1291"/>
              <w:gridCol w:w="1640"/>
              <w:gridCol w:w="1802"/>
              <w:gridCol w:w="910"/>
              <w:gridCol w:w="898"/>
            </w:tblGrid>
            <w:tr w14:paraId="7071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CCD4B2">
                  <w:pPr>
                    <w:spacing w:beforeLines="0" w:afterLine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非正常排放原因</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0BA68A">
                  <w:pPr>
                    <w:spacing w:beforeLines="0" w:afterLine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排放源</w:t>
                  </w:r>
                </w:p>
              </w:tc>
              <w:tc>
                <w:tcPr>
                  <w:tcW w:w="7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B41381">
                  <w:pPr>
                    <w:spacing w:beforeLines="0" w:afterLine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w:t>
                  </w:r>
                </w:p>
              </w:tc>
              <w:tc>
                <w:tcPr>
                  <w:tcW w:w="9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C62219">
                  <w:pPr>
                    <w:spacing w:beforeLines="0" w:afterLine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最大排放速率kg/h</w:t>
                  </w:r>
                </w:p>
              </w:tc>
              <w:tc>
                <w:tcPr>
                  <w:tcW w:w="9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8FC17D">
                  <w:pPr>
                    <w:spacing w:beforeLines="0" w:afterLine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排放浓度</w:t>
                  </w:r>
                  <w:r>
                    <w:rPr>
                      <w:rFonts w:hint="default" w:ascii="Times New Roman" w:hAnsi="Times New Roman" w:cs="Times New Roman"/>
                      <w:b/>
                      <w:color w:val="auto"/>
                      <w:kern w:val="0"/>
                      <w:sz w:val="21"/>
                      <w:szCs w:val="20"/>
                    </w:rPr>
                    <w:t>mg/m</w:t>
                  </w:r>
                  <w:r>
                    <w:rPr>
                      <w:rFonts w:hint="default" w:ascii="Times New Roman" w:hAnsi="Times New Roman" w:cs="Times New Roman"/>
                      <w:b/>
                      <w:color w:val="auto"/>
                      <w:kern w:val="0"/>
                      <w:sz w:val="21"/>
                      <w:szCs w:val="20"/>
                      <w:vertAlign w:val="superscript"/>
                    </w:rPr>
                    <w:t>3</w:t>
                  </w:r>
                </w:p>
              </w:tc>
              <w:tc>
                <w:tcPr>
                  <w:tcW w:w="5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F11CD7">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4"/>
                    </w:rPr>
                    <w:t>发生频率次/a</w:t>
                  </w:r>
                </w:p>
              </w:tc>
              <w:tc>
                <w:tcPr>
                  <w:tcW w:w="4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FCC032">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4"/>
                    </w:rPr>
                    <w:t>单次持续时间/h</w:t>
                  </w:r>
                </w:p>
              </w:tc>
            </w:tr>
            <w:tr w14:paraId="35BA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776" w:type="pct"/>
                  <w:vMerge w:val="restart"/>
                  <w:tcBorders>
                    <w:top w:val="single" w:color="auto" w:sz="4" w:space="0"/>
                    <w:left w:val="single" w:color="auto" w:sz="4" w:space="0"/>
                    <w:right w:val="single" w:color="auto" w:sz="4" w:space="0"/>
                    <w:tl2br w:val="nil"/>
                    <w:tr2bl w:val="nil"/>
                  </w:tcBorders>
                  <w:noWrap w:val="0"/>
                  <w:vAlign w:val="center"/>
                </w:tcPr>
                <w:p w14:paraId="067412F7">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废气处理设备故障，无处理效率</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29932D">
                  <w:pPr>
                    <w:pStyle w:val="56"/>
                    <w:spacing w:beforeLines="0" w:afterLines="0" w:line="240" w:lineRule="auto"/>
                    <w:ind w:left="-105" w:leftChars="-50" w:right="-105" w:rightChars="-50"/>
                    <w:rPr>
                      <w:rFonts w:hint="default" w:ascii="Times New Roman" w:hAnsi="Times New Roman" w:cs="Times New Roman"/>
                      <w:color w:val="auto"/>
                      <w:sz w:val="21"/>
                      <w:szCs w:val="20"/>
                    </w:rPr>
                  </w:pPr>
                  <w:r>
                    <w:rPr>
                      <w:rFonts w:hint="default" w:ascii="Times New Roman" w:hAnsi="Times New Roman" w:cs="Times New Roman"/>
                      <w:color w:val="auto"/>
                      <w:sz w:val="21"/>
                      <w:szCs w:val="20"/>
                    </w:rPr>
                    <w:t>DA001</w:t>
                  </w:r>
                </w:p>
              </w:tc>
              <w:tc>
                <w:tcPr>
                  <w:tcW w:w="7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3AB1F2">
                  <w:pPr>
                    <w:pStyle w:val="56"/>
                    <w:spacing w:beforeLines="0" w:afterLines="0" w:line="240" w:lineRule="auto"/>
                    <w:ind w:left="-105" w:leftChars="-50" w:right="-105" w:rightChars="-50"/>
                    <w:rPr>
                      <w:rFonts w:hint="default" w:ascii="Times New Roman" w:hAnsi="Times New Roman" w:cs="Times New Roman"/>
                      <w:color w:val="auto"/>
                      <w:sz w:val="21"/>
                      <w:szCs w:val="20"/>
                    </w:rPr>
                  </w:pPr>
                  <w:r>
                    <w:rPr>
                      <w:rFonts w:hint="default" w:ascii="Times New Roman" w:hAnsi="Times New Roman" w:cs="Times New Roman"/>
                      <w:color w:val="auto"/>
                      <w:kern w:val="2"/>
                      <w:sz w:val="21"/>
                      <w:szCs w:val="21"/>
                    </w:rPr>
                    <w:t>颗粒物</w:t>
                  </w:r>
                </w:p>
              </w:tc>
              <w:tc>
                <w:tcPr>
                  <w:tcW w:w="9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00D34B">
                  <w:pPr>
                    <w:adjustRightIn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0.56</w:t>
                  </w:r>
                </w:p>
              </w:tc>
              <w:tc>
                <w:tcPr>
                  <w:tcW w:w="9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37421A">
                  <w:pPr>
                    <w:adjustRightIn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112.5</w:t>
                  </w:r>
                </w:p>
              </w:tc>
              <w:tc>
                <w:tcPr>
                  <w:tcW w:w="500" w:type="pct"/>
                  <w:vMerge w:val="restart"/>
                  <w:tcBorders>
                    <w:top w:val="single" w:color="auto" w:sz="4" w:space="0"/>
                    <w:left w:val="single" w:color="auto" w:sz="4" w:space="0"/>
                    <w:right w:val="single" w:color="auto" w:sz="4" w:space="0"/>
                    <w:tl2br w:val="nil"/>
                    <w:tr2bl w:val="nil"/>
                  </w:tcBorders>
                  <w:noWrap w:val="0"/>
                  <w:vAlign w:val="center"/>
                </w:tcPr>
                <w:p w14:paraId="5D9B732E">
                  <w:pPr>
                    <w:adjustRightInd w:val="0"/>
                    <w:spacing w:beforeLines="0" w:afterLine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4"/>
                    </w:rPr>
                    <w:t>1</w:t>
                  </w:r>
                </w:p>
              </w:tc>
              <w:tc>
                <w:tcPr>
                  <w:tcW w:w="493" w:type="pct"/>
                  <w:vMerge w:val="restart"/>
                  <w:tcBorders>
                    <w:top w:val="single" w:color="auto" w:sz="4" w:space="0"/>
                    <w:left w:val="single" w:color="auto" w:sz="4" w:space="0"/>
                    <w:right w:val="single" w:color="auto" w:sz="4" w:space="0"/>
                    <w:tl2br w:val="nil"/>
                    <w:tr2bl w:val="nil"/>
                  </w:tcBorders>
                  <w:noWrap w:val="0"/>
                  <w:vAlign w:val="center"/>
                </w:tcPr>
                <w:p w14:paraId="2CFFFC9A">
                  <w:pPr>
                    <w:adjustRightInd w:val="0"/>
                    <w:spacing w:beforeLines="0" w:afterLine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4"/>
                    </w:rPr>
                    <w:t>0.5</w:t>
                  </w:r>
                </w:p>
              </w:tc>
            </w:tr>
            <w:tr w14:paraId="11FA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776" w:type="pct"/>
                  <w:vMerge w:val="continue"/>
                  <w:tcBorders>
                    <w:left w:val="single" w:color="auto" w:sz="4" w:space="0"/>
                    <w:right w:val="single" w:color="auto" w:sz="4" w:space="0"/>
                    <w:tl2br w:val="nil"/>
                    <w:tr2bl w:val="nil"/>
                  </w:tcBorders>
                  <w:noWrap w:val="0"/>
                  <w:vAlign w:val="center"/>
                </w:tcPr>
                <w:p w14:paraId="0DAA4FD0">
                  <w:pPr>
                    <w:spacing w:beforeLines="0" w:afterLines="0"/>
                    <w:jc w:val="center"/>
                    <w:rPr>
                      <w:rFonts w:hint="default" w:ascii="Times New Roman" w:hAnsi="Times New Roman" w:cs="Times New Roman"/>
                      <w:color w:val="auto"/>
                      <w:sz w:val="21"/>
                      <w:szCs w:val="21"/>
                    </w:rPr>
                  </w:pP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F0D8C9">
                  <w:pPr>
                    <w:pStyle w:val="56"/>
                    <w:spacing w:beforeLines="0" w:afterLines="0" w:line="240" w:lineRule="auto"/>
                    <w:ind w:left="-105" w:leftChars="-50" w:right="-105" w:rightChars="-50"/>
                    <w:rPr>
                      <w:rFonts w:hint="default" w:ascii="Times New Roman" w:hAnsi="Times New Roman" w:eastAsia="宋体" w:cs="Times New Roman"/>
                      <w:color w:val="auto"/>
                      <w:sz w:val="21"/>
                      <w:szCs w:val="20"/>
                      <w:lang w:val="en-US" w:eastAsia="zh-CN"/>
                    </w:rPr>
                  </w:pPr>
                  <w:r>
                    <w:rPr>
                      <w:rFonts w:hint="default" w:ascii="Times New Roman" w:hAnsi="Times New Roman" w:cs="Times New Roman"/>
                      <w:color w:val="auto"/>
                      <w:sz w:val="21"/>
                      <w:szCs w:val="20"/>
                    </w:rPr>
                    <w:t>DA00</w:t>
                  </w:r>
                  <w:r>
                    <w:rPr>
                      <w:rFonts w:hint="default" w:ascii="Times New Roman" w:hAnsi="Times New Roman" w:cs="Times New Roman"/>
                      <w:color w:val="auto"/>
                      <w:sz w:val="21"/>
                      <w:szCs w:val="20"/>
                      <w:lang w:val="en-US" w:eastAsia="zh-CN"/>
                    </w:rPr>
                    <w:t>2</w:t>
                  </w:r>
                </w:p>
              </w:tc>
              <w:tc>
                <w:tcPr>
                  <w:tcW w:w="7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57A56B">
                  <w:pPr>
                    <w:pStyle w:val="56"/>
                    <w:spacing w:beforeLines="0" w:afterLines="0" w:line="240" w:lineRule="auto"/>
                    <w:ind w:left="-105" w:leftChars="-50" w:right="-105" w:rightChars="-5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油烟</w:t>
                  </w:r>
                </w:p>
              </w:tc>
              <w:tc>
                <w:tcPr>
                  <w:tcW w:w="9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42C338">
                  <w:pPr>
                    <w:adjustRightInd w:val="0"/>
                    <w:ind w:left="-105" w:leftChars="-50" w:right="-105" w:rightChars="-50"/>
                    <w:jc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rPr>
                    <w:t>0.058</w:t>
                  </w:r>
                </w:p>
              </w:tc>
              <w:tc>
                <w:tcPr>
                  <w:tcW w:w="9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3EFCB2">
                  <w:pPr>
                    <w:adjustRightIn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5.83</w:t>
                  </w:r>
                </w:p>
              </w:tc>
              <w:tc>
                <w:tcPr>
                  <w:tcW w:w="500" w:type="pct"/>
                  <w:vMerge w:val="continue"/>
                  <w:tcBorders>
                    <w:left w:val="single" w:color="auto" w:sz="4" w:space="0"/>
                    <w:right w:val="single" w:color="auto" w:sz="4" w:space="0"/>
                    <w:tl2br w:val="nil"/>
                    <w:tr2bl w:val="nil"/>
                  </w:tcBorders>
                  <w:noWrap w:val="0"/>
                  <w:vAlign w:val="center"/>
                </w:tcPr>
                <w:p w14:paraId="22AB5102">
                  <w:pPr>
                    <w:adjustRightInd w:val="0"/>
                    <w:spacing w:beforeLines="0" w:afterLines="0"/>
                    <w:jc w:val="center"/>
                    <w:rPr>
                      <w:rFonts w:hint="default" w:ascii="Times New Roman" w:hAnsi="Times New Roman" w:cs="Times New Roman"/>
                      <w:color w:val="auto"/>
                      <w:kern w:val="0"/>
                      <w:sz w:val="21"/>
                      <w:szCs w:val="24"/>
                    </w:rPr>
                  </w:pPr>
                </w:p>
              </w:tc>
              <w:tc>
                <w:tcPr>
                  <w:tcW w:w="493" w:type="pct"/>
                  <w:vMerge w:val="continue"/>
                  <w:tcBorders>
                    <w:left w:val="single" w:color="auto" w:sz="4" w:space="0"/>
                    <w:right w:val="single" w:color="auto" w:sz="4" w:space="0"/>
                    <w:tl2br w:val="nil"/>
                    <w:tr2bl w:val="nil"/>
                  </w:tcBorders>
                  <w:noWrap w:val="0"/>
                  <w:vAlign w:val="center"/>
                </w:tcPr>
                <w:p w14:paraId="36798203">
                  <w:pPr>
                    <w:adjustRightInd w:val="0"/>
                    <w:spacing w:beforeLines="0" w:afterLines="0"/>
                    <w:jc w:val="center"/>
                    <w:rPr>
                      <w:rFonts w:hint="default" w:ascii="Times New Roman" w:hAnsi="Times New Roman" w:cs="Times New Roman"/>
                      <w:color w:val="auto"/>
                      <w:kern w:val="0"/>
                      <w:sz w:val="21"/>
                      <w:szCs w:val="24"/>
                    </w:rPr>
                  </w:pPr>
                </w:p>
              </w:tc>
            </w:tr>
            <w:tr w14:paraId="4501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76" w:type="pct"/>
                  <w:vMerge w:val="continue"/>
                  <w:tcBorders>
                    <w:left w:val="single" w:color="auto" w:sz="4" w:space="0"/>
                    <w:right w:val="single" w:color="auto" w:sz="4" w:space="0"/>
                    <w:tl2br w:val="nil"/>
                    <w:tr2bl w:val="nil"/>
                  </w:tcBorders>
                  <w:noWrap w:val="0"/>
                  <w:vAlign w:val="center"/>
                </w:tcPr>
                <w:p w14:paraId="55A514B3">
                  <w:pPr>
                    <w:spacing w:beforeLines="0" w:afterLines="0"/>
                    <w:jc w:val="center"/>
                    <w:rPr>
                      <w:rFonts w:hint="default" w:ascii="Times New Roman" w:hAnsi="Times New Roman" w:cs="Times New Roman"/>
                      <w:color w:val="auto"/>
                      <w:sz w:val="21"/>
                      <w:szCs w:val="21"/>
                    </w:rPr>
                  </w:pPr>
                </w:p>
              </w:tc>
              <w:tc>
                <w:tcPr>
                  <w:tcW w:w="627" w:type="pct"/>
                  <w:vMerge w:val="restart"/>
                  <w:tcBorders>
                    <w:top w:val="single" w:color="auto" w:sz="4" w:space="0"/>
                    <w:left w:val="single" w:color="auto" w:sz="4" w:space="0"/>
                    <w:right w:val="single" w:color="auto" w:sz="4" w:space="0"/>
                    <w:tl2br w:val="nil"/>
                    <w:tr2bl w:val="nil"/>
                  </w:tcBorders>
                  <w:noWrap w:val="0"/>
                  <w:vAlign w:val="center"/>
                </w:tcPr>
                <w:p w14:paraId="4E7844F7">
                  <w:pPr>
                    <w:pStyle w:val="56"/>
                    <w:spacing w:beforeLines="0" w:afterLines="0" w:line="240" w:lineRule="auto"/>
                    <w:ind w:left="-105" w:leftChars="-50" w:right="-105" w:rightChars="-50"/>
                    <w:rPr>
                      <w:rFonts w:hint="default" w:ascii="Times New Roman" w:hAnsi="Times New Roman" w:eastAsia="宋体" w:cs="Times New Roman"/>
                      <w:color w:val="auto"/>
                      <w:sz w:val="21"/>
                      <w:szCs w:val="20"/>
                      <w:lang w:val="en-US" w:eastAsia="zh-CN"/>
                    </w:rPr>
                  </w:pPr>
                  <w:r>
                    <w:rPr>
                      <w:rFonts w:hint="default" w:ascii="Times New Roman" w:hAnsi="Times New Roman" w:cs="Times New Roman"/>
                      <w:color w:val="auto"/>
                      <w:sz w:val="21"/>
                      <w:szCs w:val="20"/>
                    </w:rPr>
                    <w:t>DA00</w:t>
                  </w:r>
                  <w:r>
                    <w:rPr>
                      <w:rFonts w:hint="default" w:ascii="Times New Roman" w:hAnsi="Times New Roman" w:cs="Times New Roman"/>
                      <w:color w:val="auto"/>
                      <w:sz w:val="21"/>
                      <w:szCs w:val="20"/>
                      <w:lang w:val="en-US" w:eastAsia="zh-CN"/>
                    </w:rPr>
                    <w:t>3</w:t>
                  </w:r>
                </w:p>
              </w:tc>
              <w:tc>
                <w:tcPr>
                  <w:tcW w:w="7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FCC61C">
                  <w:pPr>
                    <w:pStyle w:val="56"/>
                    <w:spacing w:beforeLines="0" w:afterLines="0" w:line="240" w:lineRule="auto"/>
                    <w:ind w:left="-105" w:leftChars="-50" w:right="-105" w:rightChars="-50"/>
                    <w:rPr>
                      <w:rFonts w:hint="default" w:ascii="Times New Roman" w:hAnsi="Times New Roman" w:cs="Times New Roman"/>
                      <w:color w:val="auto"/>
                      <w:kern w:val="2"/>
                      <w:sz w:val="21"/>
                      <w:szCs w:val="21"/>
                    </w:rPr>
                  </w:pPr>
                  <w:r>
                    <w:rPr>
                      <w:rFonts w:hint="default" w:ascii="Times New Roman" w:hAnsi="Times New Roman" w:cs="Times New Roman"/>
                      <w:color w:val="auto"/>
                      <w:kern w:val="0"/>
                      <w:sz w:val="21"/>
                      <w:szCs w:val="21"/>
                    </w:rPr>
                    <w:t>颗粒物</w:t>
                  </w:r>
                </w:p>
              </w:tc>
              <w:tc>
                <w:tcPr>
                  <w:tcW w:w="16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144036">
                  <w:pPr>
                    <w:adjustRightInd w:val="0"/>
                    <w:ind w:left="-105" w:leftChars="-50" w:right="-105" w:rightChars="-50"/>
                    <w:jc w:val="center"/>
                    <w:rPr>
                      <w:rFonts w:hint="default" w:ascii="Times New Roman" w:hAnsi="Times New Roman" w:eastAsia="宋体" w:cs="Times New Roman"/>
                      <w:color w:val="auto"/>
                      <w:kern w:val="0"/>
                      <w:sz w:val="21"/>
                      <w:szCs w:val="21"/>
                    </w:rPr>
                  </w:pPr>
                  <w:r>
                    <w:rPr>
                      <w:rFonts w:hint="eastAsia"/>
                      <w:color w:val="auto"/>
                      <w:kern w:val="0"/>
                      <w:sz w:val="21"/>
                      <w:szCs w:val="21"/>
                    </w:rPr>
                    <w:t>0.005</w:t>
                  </w:r>
                </w:p>
              </w:tc>
              <w:tc>
                <w:tcPr>
                  <w:tcW w:w="18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427B52">
                  <w:pPr>
                    <w:adjustRightInd w:val="0"/>
                    <w:ind w:left="-105" w:leftChars="-50" w:right="-105" w:rightChars="-50"/>
                    <w:jc w:val="center"/>
                    <w:rPr>
                      <w:rFonts w:hint="default" w:ascii="Times New Roman" w:hAnsi="Times New Roman" w:eastAsia="宋体" w:cs="Times New Roman"/>
                      <w:color w:val="auto"/>
                      <w:sz w:val="21"/>
                      <w:szCs w:val="21"/>
                    </w:rPr>
                  </w:pPr>
                  <w:r>
                    <w:rPr>
                      <w:rFonts w:hint="eastAsia"/>
                      <w:color w:val="auto"/>
                      <w:sz w:val="21"/>
                      <w:szCs w:val="21"/>
                    </w:rPr>
                    <w:t>1.2</w:t>
                  </w:r>
                </w:p>
              </w:tc>
              <w:tc>
                <w:tcPr>
                  <w:tcW w:w="500" w:type="pct"/>
                  <w:vMerge w:val="continue"/>
                  <w:tcBorders>
                    <w:left w:val="single" w:color="auto" w:sz="4" w:space="0"/>
                    <w:right w:val="single" w:color="auto" w:sz="4" w:space="0"/>
                    <w:tl2br w:val="nil"/>
                    <w:tr2bl w:val="nil"/>
                  </w:tcBorders>
                  <w:noWrap w:val="0"/>
                  <w:vAlign w:val="center"/>
                </w:tcPr>
                <w:p w14:paraId="39DD1274">
                  <w:pPr>
                    <w:adjustRightInd w:val="0"/>
                    <w:spacing w:beforeLines="0" w:afterLines="0"/>
                    <w:jc w:val="center"/>
                    <w:rPr>
                      <w:rFonts w:hint="default" w:ascii="Times New Roman" w:hAnsi="Times New Roman" w:cs="Times New Roman"/>
                      <w:color w:val="auto"/>
                      <w:kern w:val="0"/>
                      <w:sz w:val="21"/>
                      <w:szCs w:val="24"/>
                    </w:rPr>
                  </w:pPr>
                </w:p>
              </w:tc>
              <w:tc>
                <w:tcPr>
                  <w:tcW w:w="493" w:type="pct"/>
                  <w:vMerge w:val="continue"/>
                  <w:tcBorders>
                    <w:left w:val="single" w:color="auto" w:sz="4" w:space="0"/>
                    <w:right w:val="single" w:color="auto" w:sz="4" w:space="0"/>
                    <w:tl2br w:val="nil"/>
                    <w:tr2bl w:val="nil"/>
                  </w:tcBorders>
                  <w:noWrap w:val="0"/>
                  <w:vAlign w:val="center"/>
                </w:tcPr>
                <w:p w14:paraId="42E0F606">
                  <w:pPr>
                    <w:adjustRightInd w:val="0"/>
                    <w:spacing w:beforeLines="0" w:afterLines="0"/>
                    <w:jc w:val="center"/>
                    <w:rPr>
                      <w:rFonts w:hint="default" w:ascii="Times New Roman" w:hAnsi="Times New Roman" w:cs="Times New Roman"/>
                      <w:color w:val="auto"/>
                      <w:kern w:val="0"/>
                      <w:sz w:val="21"/>
                      <w:szCs w:val="24"/>
                    </w:rPr>
                  </w:pPr>
                </w:p>
              </w:tc>
            </w:tr>
            <w:tr w14:paraId="3D73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76" w:type="pct"/>
                  <w:vMerge w:val="continue"/>
                  <w:tcBorders>
                    <w:left w:val="single" w:color="auto" w:sz="4" w:space="0"/>
                    <w:right w:val="single" w:color="auto" w:sz="4" w:space="0"/>
                    <w:tl2br w:val="nil"/>
                    <w:tr2bl w:val="nil"/>
                  </w:tcBorders>
                  <w:noWrap w:val="0"/>
                  <w:vAlign w:val="center"/>
                </w:tcPr>
                <w:p w14:paraId="40E69469">
                  <w:pPr>
                    <w:spacing w:beforeLines="0" w:afterLines="0"/>
                    <w:jc w:val="center"/>
                    <w:rPr>
                      <w:rFonts w:hint="default" w:ascii="Times New Roman" w:hAnsi="Times New Roman" w:cs="Times New Roman"/>
                      <w:color w:val="auto"/>
                      <w:sz w:val="21"/>
                      <w:szCs w:val="21"/>
                    </w:rPr>
                  </w:pPr>
                </w:p>
              </w:tc>
              <w:tc>
                <w:tcPr>
                  <w:tcW w:w="627" w:type="pct"/>
                  <w:vMerge w:val="continue"/>
                  <w:tcBorders>
                    <w:left w:val="single" w:color="auto" w:sz="4" w:space="0"/>
                    <w:right w:val="single" w:color="auto" w:sz="4" w:space="0"/>
                    <w:tl2br w:val="nil"/>
                    <w:tr2bl w:val="nil"/>
                  </w:tcBorders>
                  <w:noWrap w:val="0"/>
                  <w:vAlign w:val="center"/>
                </w:tcPr>
                <w:p w14:paraId="3480CE4E">
                  <w:pPr>
                    <w:pStyle w:val="56"/>
                    <w:spacing w:beforeLines="0" w:afterLines="0" w:line="240" w:lineRule="auto"/>
                    <w:ind w:left="-105" w:leftChars="-50" w:right="-105" w:rightChars="-50"/>
                    <w:rPr>
                      <w:rFonts w:hint="default" w:ascii="Times New Roman" w:hAnsi="Times New Roman" w:cs="Times New Roman"/>
                      <w:color w:val="auto"/>
                      <w:sz w:val="21"/>
                      <w:szCs w:val="20"/>
                    </w:rPr>
                  </w:pPr>
                </w:p>
              </w:tc>
              <w:tc>
                <w:tcPr>
                  <w:tcW w:w="7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758120">
                  <w:pPr>
                    <w:pStyle w:val="56"/>
                    <w:spacing w:beforeLines="0" w:afterLines="0" w:line="240" w:lineRule="auto"/>
                    <w:ind w:left="-105" w:leftChars="-50" w:right="-105" w:rightChars="-5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SO</w:t>
                  </w:r>
                  <w:r>
                    <w:rPr>
                      <w:rFonts w:hint="default" w:ascii="Times New Roman" w:hAnsi="Times New Roman" w:cs="Times New Roman"/>
                      <w:color w:val="auto"/>
                      <w:kern w:val="0"/>
                      <w:sz w:val="21"/>
                      <w:szCs w:val="21"/>
                      <w:vertAlign w:val="subscript"/>
                    </w:rPr>
                    <w:t>2</w:t>
                  </w:r>
                </w:p>
              </w:tc>
              <w:tc>
                <w:tcPr>
                  <w:tcW w:w="16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03D5E3">
                  <w:pPr>
                    <w:adjustRightInd w:val="0"/>
                    <w:ind w:left="-105" w:leftChars="-50" w:right="-105" w:rightChars="-50"/>
                    <w:jc w:val="center"/>
                    <w:rPr>
                      <w:rFonts w:hint="default" w:ascii="Times New Roman" w:hAnsi="Times New Roman" w:cs="Times New Roman"/>
                      <w:color w:val="auto"/>
                      <w:kern w:val="0"/>
                      <w:sz w:val="21"/>
                      <w:szCs w:val="21"/>
                    </w:rPr>
                  </w:pPr>
                  <w:r>
                    <w:rPr>
                      <w:rFonts w:hint="eastAsia"/>
                      <w:color w:val="auto"/>
                      <w:kern w:val="0"/>
                      <w:sz w:val="21"/>
                      <w:szCs w:val="21"/>
                    </w:rPr>
                    <w:t>0.0083</w:t>
                  </w:r>
                </w:p>
              </w:tc>
              <w:tc>
                <w:tcPr>
                  <w:tcW w:w="18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616A88">
                  <w:pPr>
                    <w:adjustRightInd w:val="0"/>
                    <w:ind w:left="-105" w:leftChars="-50" w:right="-105" w:rightChars="-50"/>
                    <w:jc w:val="center"/>
                    <w:rPr>
                      <w:rFonts w:hint="default" w:ascii="Times New Roman" w:hAnsi="Times New Roman" w:cs="Times New Roman"/>
                      <w:color w:val="auto"/>
                      <w:kern w:val="0"/>
                      <w:sz w:val="21"/>
                      <w:szCs w:val="21"/>
                    </w:rPr>
                  </w:pPr>
                  <w:r>
                    <w:rPr>
                      <w:rFonts w:hint="eastAsia"/>
                      <w:color w:val="auto"/>
                      <w:sz w:val="21"/>
                      <w:szCs w:val="21"/>
                    </w:rPr>
                    <w:t>20.23</w:t>
                  </w:r>
                </w:p>
              </w:tc>
              <w:tc>
                <w:tcPr>
                  <w:tcW w:w="500" w:type="pct"/>
                  <w:vMerge w:val="continue"/>
                  <w:tcBorders>
                    <w:left w:val="single" w:color="auto" w:sz="4" w:space="0"/>
                    <w:right w:val="single" w:color="auto" w:sz="4" w:space="0"/>
                    <w:tl2br w:val="nil"/>
                    <w:tr2bl w:val="nil"/>
                  </w:tcBorders>
                  <w:noWrap w:val="0"/>
                  <w:vAlign w:val="center"/>
                </w:tcPr>
                <w:p w14:paraId="00B2FD8F">
                  <w:pPr>
                    <w:adjustRightInd w:val="0"/>
                    <w:spacing w:beforeLines="0" w:afterLines="0"/>
                    <w:jc w:val="center"/>
                    <w:rPr>
                      <w:rFonts w:hint="default" w:ascii="Times New Roman" w:hAnsi="Times New Roman" w:cs="Times New Roman"/>
                      <w:color w:val="auto"/>
                      <w:kern w:val="0"/>
                      <w:sz w:val="21"/>
                      <w:szCs w:val="24"/>
                    </w:rPr>
                  </w:pPr>
                </w:p>
              </w:tc>
              <w:tc>
                <w:tcPr>
                  <w:tcW w:w="493" w:type="pct"/>
                  <w:vMerge w:val="continue"/>
                  <w:tcBorders>
                    <w:left w:val="single" w:color="auto" w:sz="4" w:space="0"/>
                    <w:right w:val="single" w:color="auto" w:sz="4" w:space="0"/>
                    <w:tl2br w:val="nil"/>
                    <w:tr2bl w:val="nil"/>
                  </w:tcBorders>
                  <w:noWrap w:val="0"/>
                  <w:vAlign w:val="center"/>
                </w:tcPr>
                <w:p w14:paraId="5E5314D7">
                  <w:pPr>
                    <w:adjustRightInd w:val="0"/>
                    <w:spacing w:beforeLines="0" w:afterLines="0"/>
                    <w:jc w:val="center"/>
                    <w:rPr>
                      <w:rFonts w:hint="default" w:ascii="Times New Roman" w:hAnsi="Times New Roman" w:cs="Times New Roman"/>
                      <w:color w:val="auto"/>
                      <w:kern w:val="0"/>
                      <w:sz w:val="21"/>
                      <w:szCs w:val="24"/>
                    </w:rPr>
                  </w:pPr>
                </w:p>
              </w:tc>
            </w:tr>
            <w:tr w14:paraId="2F7C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76" w:type="pct"/>
                  <w:vMerge w:val="continue"/>
                  <w:tcBorders>
                    <w:left w:val="single" w:color="auto" w:sz="4" w:space="0"/>
                    <w:bottom w:val="single" w:color="auto" w:sz="4" w:space="0"/>
                    <w:right w:val="single" w:color="auto" w:sz="4" w:space="0"/>
                    <w:tl2br w:val="nil"/>
                    <w:tr2bl w:val="nil"/>
                  </w:tcBorders>
                  <w:noWrap w:val="0"/>
                  <w:vAlign w:val="center"/>
                </w:tcPr>
                <w:p w14:paraId="0C12DA9E">
                  <w:pPr>
                    <w:spacing w:beforeLines="0" w:afterLines="0"/>
                    <w:jc w:val="center"/>
                    <w:rPr>
                      <w:rFonts w:hint="default" w:ascii="Times New Roman" w:hAnsi="Times New Roman" w:cs="Times New Roman"/>
                      <w:color w:val="auto"/>
                      <w:sz w:val="21"/>
                      <w:szCs w:val="21"/>
                    </w:rPr>
                  </w:pPr>
                </w:p>
              </w:tc>
              <w:tc>
                <w:tcPr>
                  <w:tcW w:w="627" w:type="pct"/>
                  <w:vMerge w:val="continue"/>
                  <w:tcBorders>
                    <w:left w:val="single" w:color="auto" w:sz="4" w:space="0"/>
                    <w:bottom w:val="single" w:color="auto" w:sz="4" w:space="0"/>
                    <w:right w:val="single" w:color="auto" w:sz="4" w:space="0"/>
                    <w:tl2br w:val="nil"/>
                    <w:tr2bl w:val="nil"/>
                  </w:tcBorders>
                  <w:noWrap w:val="0"/>
                  <w:vAlign w:val="center"/>
                </w:tcPr>
                <w:p w14:paraId="16F17A49">
                  <w:pPr>
                    <w:pStyle w:val="56"/>
                    <w:spacing w:beforeLines="0" w:afterLines="0" w:line="240" w:lineRule="auto"/>
                    <w:ind w:left="-105" w:leftChars="-50" w:right="-105" w:rightChars="-50"/>
                    <w:rPr>
                      <w:rFonts w:hint="default" w:ascii="Times New Roman" w:hAnsi="Times New Roman" w:cs="Times New Roman"/>
                      <w:color w:val="auto"/>
                      <w:sz w:val="21"/>
                      <w:szCs w:val="20"/>
                    </w:rPr>
                  </w:pPr>
                </w:p>
              </w:tc>
              <w:tc>
                <w:tcPr>
                  <w:tcW w:w="7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22331D">
                  <w:pPr>
                    <w:pStyle w:val="56"/>
                    <w:spacing w:beforeLines="0" w:afterLines="0" w:line="240" w:lineRule="auto"/>
                    <w:ind w:left="-105" w:leftChars="-50" w:right="-105" w:rightChars="-5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NO</w:t>
                  </w:r>
                  <w:r>
                    <w:rPr>
                      <w:rFonts w:hint="default" w:ascii="Times New Roman" w:hAnsi="Times New Roman" w:cs="Times New Roman"/>
                      <w:color w:val="auto"/>
                      <w:kern w:val="0"/>
                      <w:sz w:val="21"/>
                      <w:szCs w:val="21"/>
                      <w:vertAlign w:val="subscript"/>
                    </w:rPr>
                    <w:t>x</w:t>
                  </w:r>
                </w:p>
              </w:tc>
              <w:tc>
                <w:tcPr>
                  <w:tcW w:w="16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4D1AE0">
                  <w:pPr>
                    <w:adjustRightInd w:val="0"/>
                    <w:spacing w:beforeLines="0" w:afterLines="0"/>
                    <w:ind w:left="-105" w:leftChars="-50" w:right="-105" w:rightChars="-50"/>
                    <w:jc w:val="center"/>
                    <w:rPr>
                      <w:rFonts w:hint="default" w:ascii="Times New Roman" w:hAnsi="Times New Roman" w:cs="Times New Roman"/>
                      <w:color w:val="auto"/>
                      <w:kern w:val="0"/>
                      <w:sz w:val="21"/>
                      <w:szCs w:val="21"/>
                    </w:rPr>
                  </w:pPr>
                  <w:r>
                    <w:rPr>
                      <w:rFonts w:hint="eastAsia"/>
                      <w:color w:val="auto"/>
                      <w:kern w:val="0"/>
                      <w:sz w:val="21"/>
                      <w:szCs w:val="21"/>
                    </w:rPr>
                    <w:t>0.21</w:t>
                  </w:r>
                </w:p>
              </w:tc>
              <w:tc>
                <w:tcPr>
                  <w:tcW w:w="18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207A06">
                  <w:pPr>
                    <w:adjustRightInd w:val="0"/>
                    <w:spacing w:beforeLines="0" w:afterLines="0"/>
                    <w:ind w:left="-105" w:leftChars="-50" w:right="-105" w:rightChars="-50"/>
                    <w:jc w:val="center"/>
                    <w:rPr>
                      <w:rFonts w:hint="default" w:ascii="Times New Roman" w:hAnsi="Times New Roman" w:cs="Times New Roman"/>
                      <w:color w:val="auto"/>
                      <w:kern w:val="0"/>
                      <w:sz w:val="21"/>
                      <w:szCs w:val="21"/>
                    </w:rPr>
                  </w:pPr>
                  <w:r>
                    <w:rPr>
                      <w:rFonts w:hint="eastAsia"/>
                      <w:color w:val="auto"/>
                      <w:sz w:val="21"/>
                      <w:szCs w:val="21"/>
                    </w:rPr>
                    <w:t>50</w:t>
                  </w:r>
                </w:p>
              </w:tc>
              <w:tc>
                <w:tcPr>
                  <w:tcW w:w="500" w:type="pct"/>
                  <w:vMerge w:val="continue"/>
                  <w:tcBorders>
                    <w:left w:val="single" w:color="auto" w:sz="4" w:space="0"/>
                    <w:bottom w:val="single" w:color="auto" w:sz="4" w:space="0"/>
                    <w:right w:val="single" w:color="auto" w:sz="4" w:space="0"/>
                    <w:tl2br w:val="nil"/>
                    <w:tr2bl w:val="nil"/>
                  </w:tcBorders>
                  <w:noWrap w:val="0"/>
                  <w:vAlign w:val="center"/>
                </w:tcPr>
                <w:p w14:paraId="2B35E8B7">
                  <w:pPr>
                    <w:adjustRightInd w:val="0"/>
                    <w:spacing w:beforeLines="0" w:afterLines="0"/>
                    <w:jc w:val="center"/>
                    <w:rPr>
                      <w:rFonts w:hint="default" w:ascii="Times New Roman" w:hAnsi="Times New Roman" w:cs="Times New Roman"/>
                      <w:color w:val="auto"/>
                      <w:kern w:val="0"/>
                      <w:sz w:val="21"/>
                      <w:szCs w:val="24"/>
                    </w:rPr>
                  </w:pPr>
                </w:p>
              </w:tc>
              <w:tc>
                <w:tcPr>
                  <w:tcW w:w="493" w:type="pct"/>
                  <w:vMerge w:val="continue"/>
                  <w:tcBorders>
                    <w:left w:val="single" w:color="auto" w:sz="4" w:space="0"/>
                    <w:bottom w:val="single" w:color="auto" w:sz="4" w:space="0"/>
                    <w:right w:val="single" w:color="auto" w:sz="4" w:space="0"/>
                    <w:tl2br w:val="nil"/>
                    <w:tr2bl w:val="nil"/>
                  </w:tcBorders>
                  <w:noWrap w:val="0"/>
                  <w:vAlign w:val="center"/>
                </w:tcPr>
                <w:p w14:paraId="0805E9B4">
                  <w:pPr>
                    <w:adjustRightInd w:val="0"/>
                    <w:spacing w:beforeLines="0" w:afterLines="0"/>
                    <w:jc w:val="center"/>
                    <w:rPr>
                      <w:rFonts w:hint="default" w:ascii="Times New Roman" w:hAnsi="Times New Roman" w:cs="Times New Roman"/>
                      <w:color w:val="auto"/>
                      <w:kern w:val="0"/>
                      <w:sz w:val="21"/>
                      <w:szCs w:val="24"/>
                    </w:rPr>
                  </w:pPr>
                </w:p>
              </w:tc>
            </w:tr>
          </w:tbl>
          <w:p w14:paraId="2FDD9F75">
            <w:pPr>
              <w:spacing w:beforeLines="0" w:afterLines="0" w:line="520" w:lineRule="exact"/>
              <w:ind w:firstLine="480"/>
              <w:rPr>
                <w:rFonts w:hint="default"/>
                <w:color w:val="auto"/>
                <w:sz w:val="24"/>
                <w:szCs w:val="24"/>
              </w:rPr>
            </w:pPr>
            <w:r>
              <w:rPr>
                <w:rFonts w:hint="default" w:ascii="宋体"/>
                <w:color w:val="auto"/>
                <w:sz w:val="24"/>
                <w:szCs w:val="24"/>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3FD80789">
            <w:pPr>
              <w:adjustRightInd w:val="0"/>
              <w:snapToGrid w:val="0"/>
              <w:spacing w:beforeLines="0" w:afterLines="0" w:line="360" w:lineRule="auto"/>
              <w:ind w:firstLine="480" w:firstLineChars="200"/>
              <w:rPr>
                <w:rFonts w:hint="default"/>
                <w:color w:val="auto"/>
                <w:sz w:val="24"/>
                <w:szCs w:val="24"/>
              </w:rPr>
            </w:pPr>
            <w:r>
              <w:rPr>
                <w:rFonts w:hint="default"/>
                <w:color w:val="auto"/>
                <w:sz w:val="24"/>
                <w:szCs w:val="24"/>
              </w:rPr>
              <w:t>①</w:t>
            </w:r>
            <w:r>
              <w:rPr>
                <w:rFonts w:hint="default" w:ascii="宋体"/>
                <w:color w:val="auto"/>
                <w:sz w:val="24"/>
                <w:szCs w:val="24"/>
              </w:rPr>
              <w:t xml:space="preserve">安排专人负责环保设备的日常维护和管理，每隔固定时间检查、汇报情况，及时发现废气处理设备的隐患，确保废气处理系统正常运行； </w:t>
            </w:r>
          </w:p>
          <w:p w14:paraId="3403F9B7">
            <w:pPr>
              <w:adjustRightInd w:val="0"/>
              <w:snapToGrid w:val="0"/>
              <w:spacing w:beforeLines="0" w:afterLines="0" w:line="360" w:lineRule="auto"/>
              <w:ind w:firstLine="480" w:firstLineChars="200"/>
              <w:rPr>
                <w:rFonts w:hint="default"/>
                <w:color w:val="auto"/>
                <w:sz w:val="24"/>
                <w:szCs w:val="24"/>
              </w:rPr>
            </w:pPr>
            <w:r>
              <w:rPr>
                <w:rFonts w:hint="default"/>
                <w:color w:val="auto"/>
                <w:sz w:val="24"/>
                <w:szCs w:val="24"/>
              </w:rPr>
              <w:t>②</w:t>
            </w:r>
            <w:r>
              <w:rPr>
                <w:rFonts w:hint="default" w:ascii="宋体"/>
                <w:color w:val="auto"/>
                <w:sz w:val="24"/>
                <w:szCs w:val="24"/>
              </w:rPr>
              <w:t xml:space="preserve">建立健全的环保管理机构，对环保管理人员和技术人员进行岗位培训，委托具有专业资质的环境检测单位对项目排放的各类污染物进行定期检测； </w:t>
            </w:r>
          </w:p>
          <w:p w14:paraId="587F58F9">
            <w:pPr>
              <w:spacing w:beforeLines="0" w:afterLines="0" w:line="360" w:lineRule="auto"/>
              <w:ind w:firstLine="480" w:firstLineChars="200"/>
              <w:jc w:val="left"/>
              <w:rPr>
                <w:rFonts w:hint="default" w:ascii="Times New Roman" w:hAnsi="Times New Roman" w:eastAsia="宋体" w:cs="Times New Roman"/>
                <w:snapToGrid/>
                <w:color w:val="auto"/>
                <w:sz w:val="24"/>
                <w:szCs w:val="24"/>
                <w:vertAlign w:val="baseline"/>
                <w:lang w:val="en-US" w:eastAsia="zh-CN"/>
              </w:rPr>
            </w:pPr>
            <w:r>
              <w:rPr>
                <w:rFonts w:hint="default"/>
                <w:color w:val="auto"/>
                <w:sz w:val="24"/>
                <w:szCs w:val="24"/>
              </w:rPr>
              <w:t>③</w:t>
            </w:r>
            <w:r>
              <w:rPr>
                <w:rFonts w:hint="default" w:ascii="宋体"/>
                <w:color w:val="auto"/>
                <w:sz w:val="24"/>
                <w:szCs w:val="24"/>
              </w:rPr>
              <w:t>应定期维护、检修废气净化装置，以保持废气处理装置的净化能力和净化容量。</w:t>
            </w:r>
          </w:p>
          <w:p w14:paraId="2E9DA7BD">
            <w:pPr>
              <w:numPr>
                <w:ilvl w:val="0"/>
                <w:numId w:val="3"/>
              </w:numPr>
              <w:adjustRightInd w:val="0"/>
              <w:spacing w:line="360" w:lineRule="auto"/>
              <w:ind w:firstLine="482" w:firstLineChars="200"/>
              <w:rPr>
                <w:rFonts w:hint="default" w:ascii="Times New Roman" w:hAnsi="Times New Roman" w:cs="Times New Roman"/>
                <w:b/>
                <w:color w:val="auto"/>
                <w:kern w:val="0"/>
                <w:sz w:val="24"/>
                <w:szCs w:val="24"/>
                <w:lang w:eastAsia="zh-CN"/>
              </w:rPr>
            </w:pPr>
            <w:r>
              <w:rPr>
                <w:rFonts w:hint="default" w:ascii="Times New Roman" w:hAnsi="Times New Roman" w:cs="Times New Roman"/>
                <w:b/>
                <w:color w:val="auto"/>
                <w:kern w:val="0"/>
                <w:sz w:val="24"/>
                <w:szCs w:val="24"/>
                <w:lang w:eastAsia="zh-CN"/>
              </w:rPr>
              <w:t>防治措施可行性及达标排放分析</w:t>
            </w:r>
          </w:p>
          <w:p w14:paraId="0B4AF268">
            <w:pPr>
              <w:numPr>
                <w:ilvl w:val="0"/>
                <w:numId w:val="0"/>
              </w:numPr>
              <w:adjustRightInd w:val="0"/>
              <w:spacing w:line="360" w:lineRule="auto"/>
              <w:ind w:firstLine="482" w:firstLineChars="200"/>
              <w:rPr>
                <w:rFonts w:hint="default" w:ascii="Times New Roman" w:hAnsi="Times New Roman" w:cs="Times New Roman"/>
                <w:b/>
                <w:color w:val="auto"/>
                <w:kern w:val="0"/>
                <w:sz w:val="24"/>
                <w:szCs w:val="24"/>
                <w:lang w:eastAsia="zh-CN"/>
              </w:rPr>
            </w:pPr>
            <w:r>
              <w:rPr>
                <w:rFonts w:hint="eastAsia" w:cs="Times New Roman"/>
                <w:b/>
                <w:color w:val="auto"/>
                <w:kern w:val="0"/>
                <w:sz w:val="24"/>
                <w:szCs w:val="24"/>
                <w:lang w:val="en-US" w:eastAsia="zh-CN"/>
              </w:rPr>
              <w:t>1</w:t>
            </w:r>
            <w:r>
              <w:rPr>
                <w:rFonts w:hint="eastAsia" w:cs="Times New Roman"/>
                <w:b/>
                <w:color w:val="auto"/>
                <w:kern w:val="0"/>
                <w:sz w:val="24"/>
                <w:szCs w:val="24"/>
                <w:lang w:eastAsia="zh-CN"/>
              </w:rPr>
              <w:t>）废气达标排放分析</w:t>
            </w:r>
          </w:p>
          <w:p w14:paraId="78877A19">
            <w:pPr>
              <w:adjustRightInd w:val="0"/>
              <w:snapToGrid w:val="0"/>
              <w:spacing w:line="360" w:lineRule="auto"/>
              <w:ind w:firstLine="480" w:firstLineChars="200"/>
              <w:jc w:val="left"/>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项目</w:t>
            </w:r>
            <w:r>
              <w:rPr>
                <w:rFonts w:hint="eastAsia" w:cs="Times New Roman"/>
                <w:color w:val="auto"/>
                <w:kern w:val="0"/>
                <w:sz w:val="24"/>
                <w:szCs w:val="24"/>
                <w:lang w:val="en-US" w:eastAsia="zh-CN" w:bidi="ar"/>
              </w:rPr>
              <w:t>配料粉尘经集气罩收集布袋除尘器处理后，通过1根17m高排气筒（DA001）排放，颗粒物满足《大气污染物综合排放标准》（GB16297-1996）（最高允许排放浓度：120mg/m³，最高允许排放速率：4.46kg/h）。</w:t>
            </w:r>
          </w:p>
          <w:p w14:paraId="61782417">
            <w:pPr>
              <w:adjustRightInd w:val="0"/>
              <w:snapToGrid w:val="0"/>
              <w:spacing w:line="360" w:lineRule="auto"/>
              <w:ind w:firstLine="480" w:firstLineChars="200"/>
              <w:jc w:val="left"/>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本项目油炸油烟采用油烟净化装置净化，去除率达到</w:t>
            </w:r>
            <w:r>
              <w:rPr>
                <w:rFonts w:hint="eastAsia" w:cs="Times New Roman"/>
                <w:color w:val="auto"/>
                <w:kern w:val="0"/>
                <w:sz w:val="24"/>
                <w:szCs w:val="24"/>
                <w:lang w:val="en-US" w:eastAsia="zh-CN" w:bidi="ar"/>
              </w:rPr>
              <w:t>9</w:t>
            </w:r>
            <w:r>
              <w:rPr>
                <w:rFonts w:hint="default" w:ascii="Times New Roman" w:hAnsi="Times New Roman" w:cs="Times New Roman"/>
                <w:color w:val="auto"/>
                <w:kern w:val="0"/>
                <w:sz w:val="24"/>
                <w:szCs w:val="24"/>
                <w:lang w:val="en-US" w:eastAsia="zh-CN" w:bidi="ar"/>
              </w:rPr>
              <w:t>0％，则油烟排放量为0.021t/a，油烟排放浓度0.88mg/m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，满足《饮食业油烟排放标准》（GB18483-2001）中规定的油烟最高允许排放浓度为2.0mg/m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的要求。</w:t>
            </w:r>
            <w:r>
              <w:rPr>
                <w:rFonts w:hint="eastAsia" w:cs="Times New Roman"/>
                <w:color w:val="auto"/>
                <w:kern w:val="0"/>
                <w:sz w:val="24"/>
                <w:szCs w:val="24"/>
                <w:lang w:val="en-US" w:eastAsia="zh-CN" w:bidi="ar"/>
              </w:rPr>
              <w:t>油炸</w:t>
            </w:r>
            <w:r>
              <w:rPr>
                <w:rFonts w:hint="default" w:ascii="Times New Roman" w:hAnsi="Times New Roman" w:cs="Times New Roman"/>
                <w:color w:val="auto"/>
                <w:kern w:val="0"/>
                <w:sz w:val="24"/>
                <w:szCs w:val="24"/>
                <w:lang w:val="en-US" w:eastAsia="zh-CN" w:bidi="ar"/>
              </w:rPr>
              <w:t>油烟经净化处理后通过1根1</w:t>
            </w:r>
            <w:r>
              <w:rPr>
                <w:rFonts w:hint="eastAsia" w:cs="Times New Roman"/>
                <w:color w:val="auto"/>
                <w:kern w:val="0"/>
                <w:sz w:val="24"/>
                <w:szCs w:val="24"/>
                <w:lang w:val="en-US" w:eastAsia="zh-CN" w:bidi="ar"/>
              </w:rPr>
              <w:t>7</w:t>
            </w:r>
            <w:r>
              <w:rPr>
                <w:rFonts w:hint="default" w:ascii="Times New Roman" w:hAnsi="Times New Roman" w:cs="Times New Roman"/>
                <w:color w:val="auto"/>
                <w:kern w:val="0"/>
                <w:sz w:val="24"/>
                <w:szCs w:val="24"/>
                <w:lang w:val="en-US" w:eastAsia="zh-CN" w:bidi="ar"/>
              </w:rPr>
              <w:t>m高排气筒（DA002），不会对周围环境造成大的影响。</w:t>
            </w:r>
          </w:p>
          <w:p w14:paraId="1BC80962">
            <w:pPr>
              <w:adjustRightInd w:val="0"/>
              <w:snapToGrid w:val="0"/>
              <w:spacing w:line="360" w:lineRule="auto"/>
              <w:ind w:firstLine="480" w:firstLineChars="200"/>
              <w:jc w:val="left"/>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本项目食堂油烟采用油烟净化装置净化，去除率达到</w:t>
            </w:r>
            <w:r>
              <w:rPr>
                <w:rFonts w:hint="eastAsia" w:cs="Times New Roman"/>
                <w:color w:val="auto"/>
                <w:kern w:val="0"/>
                <w:sz w:val="24"/>
                <w:szCs w:val="24"/>
                <w:lang w:val="en-US" w:eastAsia="zh-CN" w:bidi="ar"/>
              </w:rPr>
              <w:t>6</w:t>
            </w:r>
            <w:r>
              <w:rPr>
                <w:rFonts w:hint="default" w:ascii="Times New Roman" w:hAnsi="Times New Roman" w:cs="Times New Roman"/>
                <w:color w:val="auto"/>
                <w:kern w:val="0"/>
                <w:sz w:val="24"/>
                <w:szCs w:val="24"/>
                <w:lang w:val="en-US" w:eastAsia="zh-CN" w:bidi="ar"/>
              </w:rPr>
              <w:t>0％，则油烟排放量为0.00030</w:t>
            </w:r>
            <w:r>
              <w:rPr>
                <w:rFonts w:hint="eastAsia" w:cs="Times New Roman"/>
                <w:color w:val="auto"/>
                <w:kern w:val="0"/>
                <w:sz w:val="24"/>
                <w:szCs w:val="24"/>
                <w:lang w:val="en-US" w:eastAsia="zh-CN" w:bidi="ar"/>
              </w:rPr>
              <w:t>t</w:t>
            </w:r>
            <w:r>
              <w:rPr>
                <w:rFonts w:hint="default" w:ascii="Times New Roman" w:hAnsi="Times New Roman" w:cs="Times New Roman"/>
                <w:color w:val="auto"/>
                <w:kern w:val="0"/>
                <w:sz w:val="24"/>
                <w:szCs w:val="24"/>
                <w:lang w:val="en-US" w:eastAsia="zh-CN" w:bidi="ar"/>
              </w:rPr>
              <w:t>/a，油烟排放浓度0.32mg/m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，满足《饮食业油烟排放标准》（GB18483-2001）中规定的油烟最高允许排放浓度为2.0mg/m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的要求。食堂油烟经净化处理后</w:t>
            </w:r>
            <w:r>
              <w:rPr>
                <w:rFonts w:hint="eastAsia" w:cs="Times New Roman"/>
                <w:color w:val="auto"/>
                <w:kern w:val="0"/>
                <w:sz w:val="24"/>
                <w:szCs w:val="24"/>
                <w:lang w:val="en-US" w:eastAsia="zh-CN" w:bidi="ar"/>
              </w:rPr>
              <w:t>通过专用烟道排放</w:t>
            </w:r>
            <w:r>
              <w:rPr>
                <w:rFonts w:hint="default" w:ascii="Times New Roman" w:hAnsi="Times New Roman" w:cs="Times New Roman"/>
                <w:color w:val="auto"/>
                <w:kern w:val="0"/>
                <w:sz w:val="24"/>
                <w:szCs w:val="24"/>
                <w:lang w:val="en-US" w:eastAsia="zh-CN" w:bidi="ar"/>
              </w:rPr>
              <w:t>，不会对周围环境造成大的影响。</w:t>
            </w:r>
          </w:p>
          <w:p w14:paraId="5E23E81B">
            <w:pPr>
              <w:adjustRightInd w:val="0"/>
              <w:snapToGrid w:val="0"/>
              <w:spacing w:line="360" w:lineRule="auto"/>
              <w:ind w:firstLine="480" w:firstLineChars="200"/>
              <w:jc w:val="left"/>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天然气燃烧废气经低氮燃烧处理后经1根15m高排气筒（DA001）排放。颗粒物、SO</w:t>
            </w:r>
            <w:r>
              <w:rPr>
                <w:rFonts w:hint="eastAsia" w:cs="Times New Roman"/>
                <w:color w:val="auto"/>
                <w:kern w:val="0"/>
                <w:sz w:val="24"/>
                <w:szCs w:val="24"/>
                <w:vertAlign w:val="subscript"/>
                <w:lang w:val="en-US" w:eastAsia="zh-CN" w:bidi="ar"/>
              </w:rPr>
              <w:t>2</w:t>
            </w:r>
            <w:r>
              <w:rPr>
                <w:rFonts w:hint="eastAsia" w:cs="Times New Roman"/>
                <w:color w:val="auto"/>
                <w:kern w:val="0"/>
                <w:sz w:val="24"/>
                <w:szCs w:val="24"/>
                <w:lang w:val="en-US" w:eastAsia="zh-CN" w:bidi="ar"/>
              </w:rPr>
              <w:t>、NO</w:t>
            </w:r>
            <w:r>
              <w:rPr>
                <w:rFonts w:hint="eastAsia" w:cs="Times New Roman"/>
                <w:color w:val="auto"/>
                <w:kern w:val="0"/>
                <w:sz w:val="24"/>
                <w:szCs w:val="24"/>
                <w:vertAlign w:val="subscript"/>
                <w:lang w:val="en-US" w:eastAsia="zh-CN" w:bidi="ar"/>
              </w:rPr>
              <w:t>x</w:t>
            </w:r>
            <w:r>
              <w:rPr>
                <w:rFonts w:hint="eastAsia" w:cs="Times New Roman"/>
                <w:color w:val="auto"/>
                <w:kern w:val="0"/>
                <w:sz w:val="24"/>
                <w:szCs w:val="24"/>
                <w:lang w:val="en-US" w:eastAsia="zh-CN" w:bidi="ar"/>
              </w:rPr>
              <w:t>满足《锅炉大气污染物排放标准》（GB13271-2014）表3中燃气锅炉特别排放限值要求（20mg/m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、50mg/m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、150mg/m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），NO</w:t>
            </w:r>
            <w:r>
              <w:rPr>
                <w:rFonts w:hint="eastAsia" w:cs="Times New Roman"/>
                <w:color w:val="auto"/>
                <w:kern w:val="0"/>
                <w:sz w:val="24"/>
                <w:szCs w:val="24"/>
                <w:vertAlign w:val="subscript"/>
                <w:lang w:val="en-US" w:eastAsia="zh-CN" w:bidi="ar"/>
              </w:rPr>
              <w:t xml:space="preserve">x </w:t>
            </w:r>
            <w:r>
              <w:rPr>
                <w:rFonts w:hint="eastAsia" w:cs="Times New Roman"/>
                <w:color w:val="auto"/>
                <w:kern w:val="0"/>
                <w:sz w:val="24"/>
                <w:szCs w:val="24"/>
                <w:lang w:val="en-US" w:eastAsia="zh-CN" w:bidi="ar"/>
              </w:rPr>
              <w:t>需同时满足皖大气办[2020]2号 安徽省大气办关于印发《安徽省2020年大气污染防治重点工作任务》的通知中不高于50mg/m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的标准限值。</w:t>
            </w:r>
          </w:p>
          <w:p w14:paraId="75B8209B">
            <w:pPr>
              <w:adjustRightInd w:val="0"/>
              <w:snapToGrid w:val="0"/>
              <w:spacing w:line="360" w:lineRule="auto"/>
              <w:ind w:firstLine="480" w:firstLineChars="200"/>
              <w:jc w:val="left"/>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本项目污水处理站产生的恶臭废气量较小，采取恶臭单元密闭，定期添加除臭剂，对周围环境影响较小。</w:t>
            </w:r>
          </w:p>
          <w:p w14:paraId="1A7349F2">
            <w:pPr>
              <w:numPr>
                <w:ilvl w:val="0"/>
                <w:numId w:val="4"/>
              </w:numPr>
              <w:adjustRightInd w:val="0"/>
              <w:spacing w:line="360" w:lineRule="auto"/>
              <w:ind w:firstLine="482" w:firstLineChars="200"/>
              <w:rPr>
                <w:rFonts w:hint="eastAsia" w:ascii="Times New Roman" w:hAnsi="Times New Roman" w:eastAsia="宋体" w:cs="Times New Roman"/>
                <w:b/>
                <w:color w:val="auto"/>
                <w:kern w:val="0"/>
                <w:sz w:val="24"/>
                <w:szCs w:val="24"/>
                <w:lang w:val="en-US" w:eastAsia="zh-CN"/>
              </w:rPr>
            </w:pPr>
            <w:r>
              <w:rPr>
                <w:rFonts w:hint="eastAsia" w:ascii="Times New Roman" w:hAnsi="Times New Roman" w:eastAsia="宋体" w:cs="Times New Roman"/>
                <w:b/>
                <w:color w:val="auto"/>
                <w:kern w:val="0"/>
                <w:sz w:val="24"/>
                <w:szCs w:val="24"/>
                <w:lang w:val="en-US" w:eastAsia="zh-CN"/>
              </w:rPr>
              <w:t>废气治理措施可行性分析</w:t>
            </w:r>
          </w:p>
          <w:p w14:paraId="39074663">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①</w:t>
            </w:r>
            <w:r>
              <w:rPr>
                <w:rFonts w:hint="default" w:ascii="Times New Roman" w:hAnsi="Times New Roman" w:cs="Times New Roman"/>
                <w:color w:val="auto"/>
                <w:sz w:val="24"/>
                <w:szCs w:val="24"/>
              </w:rPr>
              <w:t>布袋除尘器</w:t>
            </w:r>
          </w:p>
          <w:p w14:paraId="5B3F5B95">
            <w:pPr>
              <w:widowControl w:val="0"/>
              <w:numPr>
                <w:ilvl w:val="0"/>
                <w:numId w:val="0"/>
              </w:numPr>
              <w:adjustRightInd w:val="0"/>
              <w:spacing w:line="360" w:lineRule="auto"/>
              <w:ind w:firstLine="480" w:firstLineChars="200"/>
              <w:jc w:val="both"/>
              <w:rPr>
                <w:rFonts w:hint="default" w:ascii="Times New Roman" w:hAnsi="Times New Roman" w:cs="Times New Roman"/>
                <w:color w:val="auto"/>
                <w:kern w:val="0"/>
                <w:sz w:val="24"/>
                <w:szCs w:val="24"/>
                <w:lang w:bidi="ar"/>
              </w:rPr>
            </w:pPr>
            <w:r>
              <w:rPr>
                <w:rFonts w:hint="default" w:ascii="Times New Roman" w:hAnsi="Times New Roman" w:cs="Times New Roman"/>
                <w:color w:val="auto"/>
                <w:kern w:val="0"/>
                <w:sz w:val="24"/>
                <w:szCs w:val="24"/>
                <w:lang w:bidi="ar"/>
              </w:rPr>
              <w:t>含尘气体由除尘器下部进气管道，经导流板进入灰斗时，由于导流板的碰撞和气体速度的降低等作用,粗粒粉尘将落入灰斗中，其余细小颗粒粉尘随气体进入滤袋室，由于滤料纤维及织物的惯性、扩散、阻隔、钩挂、静电等作用，粉尘被阻留在滤袋内，净化后的气体逸出袋外,经排气管排出。滤袋上的积灰用气体逆洗法去除，清除下来的粉尘下到灰斗,经双层卸灰阀排到输灰装置。滤袋上的积灰也可以采用喷吹脉冲气流的方法去除，从而达到清灰的目的，清除下来的粉尘由排灰装置排走。</w:t>
            </w:r>
          </w:p>
          <w:p w14:paraId="6962BF0F">
            <w:pPr>
              <w:widowControl w:val="0"/>
              <w:numPr>
                <w:ilvl w:val="0"/>
                <w:numId w:val="0"/>
              </w:numPr>
              <w:adjustRightInd w:val="0"/>
              <w:spacing w:line="360" w:lineRule="auto"/>
              <w:ind w:firstLine="480" w:firstLineChars="200"/>
              <w:jc w:val="both"/>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②油烟净化装置</w:t>
            </w:r>
          </w:p>
          <w:p w14:paraId="69206CAD">
            <w:pPr>
              <w:widowControl w:val="0"/>
              <w:numPr>
                <w:ilvl w:val="0"/>
                <w:numId w:val="0"/>
              </w:numPr>
              <w:adjustRightInd w:val="0"/>
              <w:spacing w:line="360" w:lineRule="auto"/>
              <w:ind w:firstLine="480" w:firstLineChars="200"/>
              <w:jc w:val="both"/>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油烟在风机的作用下进入净化器，首先通过机械分离段，利用重力惯性净化技术对大粒径的油雾粒子进行物理分离，通过改变叶片的角度和形式，使油烟分子在叶轮盘、片上撞击聚集，被离心力甩入箱体内壁，由漏油管流出，从而去除大部分的油烟。</w:t>
            </w:r>
          </w:p>
          <w:p w14:paraId="1ADC464B">
            <w:pPr>
              <w:widowControl w:val="0"/>
              <w:numPr>
                <w:ilvl w:val="0"/>
                <w:numId w:val="0"/>
              </w:numPr>
              <w:adjustRightInd w:val="0"/>
              <w:spacing w:line="360" w:lineRule="auto"/>
              <w:ind w:firstLine="480" w:firstLineChars="200"/>
              <w:jc w:val="both"/>
              <w:rPr>
                <w:rFonts w:hint="default" w:ascii="Times New Roman" w:hAnsi="Times New Roman"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③</w:t>
            </w:r>
            <w:r>
              <w:rPr>
                <w:rFonts w:hint="default" w:ascii="Times New Roman" w:hAnsi="Times New Roman" w:cs="Times New Roman"/>
                <w:color w:val="auto"/>
                <w:kern w:val="0"/>
                <w:sz w:val="24"/>
                <w:szCs w:val="24"/>
                <w:lang w:val="en-US" w:eastAsia="zh-CN" w:bidi="ar"/>
              </w:rPr>
              <w:t>低氮燃烧器：原理是把一个火焰分成数个小火焰，由于小火焰散热面积大，火焰温度较低，使“热反应NO”有所下降。此外，火焰小缩短了氧、氮等气体在火焰中的停留时间，对“热反应NO”和“燃料NO”都有明显的抑制作用。烟气在高温区停留时间是影响NOx生成量的主要因素之一，改善燃烧与空气的混合，能够使火焰面的厚度减薄，在燃烧负荷不变的情况下，烟气在火焰面即高温区内停留时间缩短，因而使NOx的生成量降低。</w:t>
            </w:r>
          </w:p>
          <w:p w14:paraId="068DA5B2">
            <w:pPr>
              <w:pStyle w:val="69"/>
              <w:spacing w:beforeLines="0" w:afterLines="0"/>
              <w:ind w:firstLine="482"/>
              <w:rPr>
                <w:rFonts w:hint="default"/>
                <w:b/>
                <w:color w:val="auto"/>
                <w:sz w:val="24"/>
                <w:szCs w:val="24"/>
              </w:rPr>
            </w:pPr>
            <w:r>
              <w:rPr>
                <w:rFonts w:hint="eastAsia" w:eastAsia="宋体"/>
                <w:b/>
                <w:color w:val="auto"/>
                <w:sz w:val="24"/>
                <w:szCs w:val="24"/>
              </w:rPr>
              <w:t>处理措施可行技术分析：</w:t>
            </w:r>
          </w:p>
          <w:p w14:paraId="280E6CAE">
            <w:pPr>
              <w:adjustRightInd w:val="0"/>
              <w:snapToGrid w:val="0"/>
              <w:spacing w:beforeLines="0" w:afterLines="0" w:line="360" w:lineRule="auto"/>
              <w:ind w:firstLine="480" w:firstLineChars="200"/>
              <w:rPr>
                <w:rFonts w:hint="default"/>
                <w:color w:val="auto"/>
                <w:sz w:val="24"/>
                <w:szCs w:val="24"/>
              </w:rPr>
            </w:pPr>
            <w:r>
              <w:rPr>
                <w:rFonts w:hint="eastAsia" w:eastAsia="宋体"/>
                <w:color w:val="auto"/>
                <w:sz w:val="24"/>
                <w:szCs w:val="24"/>
              </w:rPr>
              <w:t>根据《排污许可证申请与核发技术规范 农副食品加工工业—淀粉工业》（</w:t>
            </w:r>
            <w:r>
              <w:rPr>
                <w:rFonts w:hint="default"/>
                <w:color w:val="auto"/>
                <w:sz w:val="24"/>
                <w:szCs w:val="24"/>
              </w:rPr>
              <w:t>HJ 860.2—2018</w:t>
            </w:r>
            <w:r>
              <w:rPr>
                <w:rFonts w:hint="eastAsia" w:eastAsia="宋体"/>
                <w:color w:val="auto"/>
                <w:sz w:val="24"/>
                <w:szCs w:val="24"/>
              </w:rPr>
              <w:t>），废气污染防治可行性技术对照，见下表：</w:t>
            </w:r>
          </w:p>
          <w:p w14:paraId="686F4FF4">
            <w:pPr>
              <w:snapToGrid w:val="0"/>
              <w:spacing w:before="120" w:beforeLines="50" w:afterLines="0" w:line="360" w:lineRule="auto"/>
              <w:ind w:firstLine="422" w:firstLineChars="200"/>
              <w:jc w:val="center"/>
              <w:rPr>
                <w:rFonts w:hint="default"/>
                <w:b/>
                <w:color w:val="auto"/>
                <w:sz w:val="21"/>
                <w:szCs w:val="21"/>
              </w:rPr>
            </w:pPr>
            <w:r>
              <w:rPr>
                <w:rFonts w:hint="eastAsia" w:eastAsia="宋体"/>
                <w:b/>
                <w:color w:val="auto"/>
                <w:sz w:val="21"/>
                <w:szCs w:val="21"/>
              </w:rPr>
              <w:t>表4-</w:t>
            </w:r>
            <w:r>
              <w:rPr>
                <w:rFonts w:hint="eastAsia"/>
                <w:b/>
                <w:color w:val="auto"/>
                <w:sz w:val="21"/>
                <w:szCs w:val="21"/>
                <w:lang w:val="en-US" w:eastAsia="zh-CN"/>
              </w:rPr>
              <w:t>7</w:t>
            </w:r>
            <w:r>
              <w:rPr>
                <w:rFonts w:hint="eastAsia" w:eastAsia="宋体"/>
                <w:b/>
                <w:color w:val="auto"/>
                <w:sz w:val="21"/>
                <w:szCs w:val="21"/>
              </w:rPr>
              <w:t xml:space="preserve">  废气处理可行性技术对照情况</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1183"/>
              <w:gridCol w:w="992"/>
              <w:gridCol w:w="3061"/>
              <w:gridCol w:w="2233"/>
              <w:gridCol w:w="657"/>
            </w:tblGrid>
            <w:tr w14:paraId="17DD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D66C1C">
                  <w:pPr>
                    <w:pStyle w:val="82"/>
                    <w:spacing w:beforeLines="0" w:afterLines="0"/>
                    <w:ind w:firstLine="0" w:firstLineChars="0"/>
                    <w:jc w:val="center"/>
                    <w:rPr>
                      <w:rFonts w:hint="default" w:cs="Times New Roman"/>
                      <w:b/>
                      <w:color w:val="auto"/>
                      <w:sz w:val="21"/>
                      <w:szCs w:val="21"/>
                    </w:rPr>
                  </w:pPr>
                  <w:r>
                    <w:rPr>
                      <w:rFonts w:hint="eastAsia" w:eastAsia="宋体" w:cs="Times New Roman"/>
                      <w:b/>
                      <w:color w:val="auto"/>
                      <w:sz w:val="21"/>
                      <w:szCs w:val="21"/>
                    </w:rPr>
                    <w:t>生产单元</w:t>
                  </w:r>
                </w:p>
              </w:tc>
              <w:tc>
                <w:tcPr>
                  <w:tcW w:w="6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60066D">
                  <w:pPr>
                    <w:pStyle w:val="82"/>
                    <w:spacing w:beforeLines="0" w:afterLines="0"/>
                    <w:ind w:firstLine="0" w:firstLineChars="0"/>
                    <w:jc w:val="center"/>
                    <w:rPr>
                      <w:rFonts w:hint="default" w:cs="Times New Roman"/>
                      <w:b/>
                      <w:color w:val="auto"/>
                      <w:sz w:val="21"/>
                      <w:szCs w:val="21"/>
                    </w:rPr>
                  </w:pPr>
                  <w:r>
                    <w:rPr>
                      <w:rFonts w:hint="eastAsia" w:eastAsia="宋体" w:cs="Times New Roman"/>
                      <w:b/>
                      <w:color w:val="auto"/>
                      <w:sz w:val="21"/>
                      <w:szCs w:val="21"/>
                    </w:rPr>
                    <w:t>污染工序</w:t>
                  </w:r>
                </w:p>
              </w:tc>
              <w:tc>
                <w:tcPr>
                  <w:tcW w:w="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973F63">
                  <w:pPr>
                    <w:pStyle w:val="82"/>
                    <w:spacing w:beforeLines="0" w:afterLines="0"/>
                    <w:ind w:firstLine="0" w:firstLineChars="0"/>
                    <w:jc w:val="center"/>
                    <w:rPr>
                      <w:rFonts w:hint="default" w:cs="Times New Roman"/>
                      <w:b/>
                      <w:color w:val="auto"/>
                      <w:sz w:val="21"/>
                      <w:szCs w:val="21"/>
                    </w:rPr>
                  </w:pPr>
                  <w:r>
                    <w:rPr>
                      <w:rFonts w:hint="eastAsia" w:eastAsia="宋体" w:cs="Times New Roman"/>
                      <w:b/>
                      <w:color w:val="auto"/>
                      <w:sz w:val="21"/>
                      <w:szCs w:val="21"/>
                    </w:rPr>
                    <w:t>主要污染物</w:t>
                  </w:r>
                </w:p>
              </w:tc>
              <w:tc>
                <w:tcPr>
                  <w:tcW w:w="16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64DBE2">
                  <w:pPr>
                    <w:pStyle w:val="82"/>
                    <w:spacing w:beforeLines="0" w:afterLines="0"/>
                    <w:ind w:firstLine="0" w:firstLineChars="0"/>
                    <w:jc w:val="center"/>
                    <w:rPr>
                      <w:rFonts w:hint="default" w:cs="Times New Roman"/>
                      <w:b/>
                      <w:color w:val="auto"/>
                      <w:sz w:val="21"/>
                      <w:szCs w:val="21"/>
                    </w:rPr>
                  </w:pPr>
                  <w:r>
                    <w:rPr>
                      <w:rFonts w:hint="eastAsia" w:eastAsia="宋体" w:cs="Times New Roman"/>
                      <w:b/>
                      <w:color w:val="auto"/>
                      <w:sz w:val="21"/>
                      <w:szCs w:val="21"/>
                    </w:rPr>
                    <w:t>可行技术</w:t>
                  </w:r>
                </w:p>
              </w:tc>
              <w:tc>
                <w:tcPr>
                  <w:tcW w:w="12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6D436F">
                  <w:pPr>
                    <w:pStyle w:val="82"/>
                    <w:spacing w:beforeLines="0" w:afterLines="0"/>
                    <w:ind w:firstLine="0" w:firstLineChars="0"/>
                    <w:jc w:val="center"/>
                    <w:rPr>
                      <w:rFonts w:hint="default" w:cs="Times New Roman"/>
                      <w:b/>
                      <w:color w:val="auto"/>
                      <w:sz w:val="21"/>
                      <w:szCs w:val="21"/>
                    </w:rPr>
                  </w:pPr>
                  <w:r>
                    <w:rPr>
                      <w:rFonts w:hint="eastAsia" w:eastAsia="宋体" w:cs="Times New Roman"/>
                      <w:b/>
                      <w:color w:val="auto"/>
                      <w:sz w:val="21"/>
                      <w:szCs w:val="21"/>
                    </w:rPr>
                    <w:t>本项目废气处理措施</w:t>
                  </w:r>
                </w:p>
              </w:tc>
              <w:tc>
                <w:tcPr>
                  <w:tcW w:w="3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E15C01">
                  <w:pPr>
                    <w:pStyle w:val="82"/>
                    <w:spacing w:beforeLines="0" w:afterLines="0"/>
                    <w:ind w:firstLine="0" w:firstLineChars="0"/>
                    <w:jc w:val="center"/>
                    <w:rPr>
                      <w:rFonts w:hint="default" w:cs="Times New Roman"/>
                      <w:b/>
                      <w:color w:val="auto"/>
                      <w:sz w:val="21"/>
                      <w:szCs w:val="21"/>
                    </w:rPr>
                  </w:pPr>
                  <w:r>
                    <w:rPr>
                      <w:rFonts w:hint="eastAsia" w:eastAsia="宋体" w:cs="Times New Roman"/>
                      <w:b/>
                      <w:color w:val="auto"/>
                      <w:sz w:val="21"/>
                      <w:szCs w:val="21"/>
                    </w:rPr>
                    <w:t>是否可行</w:t>
                  </w:r>
                </w:p>
              </w:tc>
            </w:tr>
            <w:tr w14:paraId="773B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tcBorders>
                    <w:top w:val="single" w:color="auto" w:sz="4" w:space="0"/>
                    <w:left w:val="single" w:color="auto" w:sz="4" w:space="0"/>
                    <w:right w:val="single" w:color="auto" w:sz="4" w:space="0"/>
                    <w:tl2br w:val="nil"/>
                    <w:tr2bl w:val="nil"/>
                  </w:tcBorders>
                  <w:noWrap w:val="0"/>
                  <w:vAlign w:val="center"/>
                </w:tcPr>
                <w:p w14:paraId="7C6FA27A">
                  <w:pPr>
                    <w:pStyle w:val="82"/>
                    <w:spacing w:beforeLines="0" w:afterLines="0"/>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淀粉制品生产</w:t>
                  </w:r>
                </w:p>
              </w:tc>
              <w:tc>
                <w:tcPr>
                  <w:tcW w:w="6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E5585F">
                  <w:pPr>
                    <w:widowControl/>
                    <w:spacing w:beforeLines="0" w:afterLines="0"/>
                    <w:jc w:val="center"/>
                    <w:textAlignment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配料粉尘</w:t>
                  </w:r>
                </w:p>
              </w:tc>
              <w:tc>
                <w:tcPr>
                  <w:tcW w:w="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F9B9BA">
                  <w:pPr>
                    <w:pStyle w:val="82"/>
                    <w:spacing w:beforeLines="0" w:afterLines="0"/>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颗粒物</w:t>
                  </w:r>
                </w:p>
              </w:tc>
              <w:tc>
                <w:tcPr>
                  <w:tcW w:w="16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882D45">
                  <w:pPr>
                    <w:pStyle w:val="82"/>
                    <w:spacing w:beforeLines="0" w:afterLines="0"/>
                    <w:ind w:firstLine="0" w:firstLineChars="0"/>
                    <w:jc w:val="center"/>
                    <w:rPr>
                      <w:rFonts w:hint="default" w:cs="Times New Roman"/>
                      <w:color w:val="auto"/>
                      <w:sz w:val="21"/>
                      <w:szCs w:val="21"/>
                    </w:rPr>
                  </w:pPr>
                  <w:r>
                    <w:rPr>
                      <w:rFonts w:hint="default" w:cs="Times New Roman"/>
                      <w:color w:val="auto"/>
                      <w:sz w:val="21"/>
                      <w:szCs w:val="21"/>
                    </w:rPr>
                    <w:t>洒水抑尘、收集后送除尘装置处理(喷淋系统、旋风除尘、旋风除尘+袋式除尘等):其他</w:t>
                  </w:r>
                </w:p>
              </w:tc>
              <w:tc>
                <w:tcPr>
                  <w:tcW w:w="12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3CFB31">
                  <w:pPr>
                    <w:pStyle w:val="82"/>
                    <w:spacing w:beforeLines="0" w:afterLines="0"/>
                    <w:ind w:firstLine="0" w:firstLineChars="0"/>
                    <w:jc w:val="center"/>
                    <w:rPr>
                      <w:rFonts w:hint="eastAsia" w:eastAsia="宋体" w:cs="Times New Roman"/>
                      <w:color w:val="auto"/>
                      <w:sz w:val="21"/>
                      <w:szCs w:val="21"/>
                      <w:lang w:eastAsia="zh-CN"/>
                    </w:rPr>
                  </w:pPr>
                  <w:r>
                    <w:rPr>
                      <w:rFonts w:hint="eastAsia" w:cs="Times New Roman"/>
                      <w:color w:val="auto"/>
                      <w:sz w:val="21"/>
                      <w:szCs w:val="21"/>
                      <w:lang w:val="en-US" w:eastAsia="zh-CN"/>
                    </w:rPr>
                    <w:t>布袋除尘器</w:t>
                  </w:r>
                </w:p>
              </w:tc>
              <w:tc>
                <w:tcPr>
                  <w:tcW w:w="3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F1DFA0">
                  <w:pPr>
                    <w:pStyle w:val="82"/>
                    <w:spacing w:beforeLines="0" w:afterLines="0"/>
                    <w:ind w:firstLine="0" w:firstLineChars="0"/>
                    <w:jc w:val="center"/>
                    <w:rPr>
                      <w:rFonts w:hint="default" w:cs="Times New Roman"/>
                      <w:color w:val="auto"/>
                      <w:sz w:val="21"/>
                      <w:szCs w:val="21"/>
                    </w:rPr>
                  </w:pPr>
                  <w:r>
                    <w:rPr>
                      <w:rFonts w:hint="eastAsia" w:eastAsia="宋体" w:cs="Times New Roman"/>
                      <w:color w:val="auto"/>
                      <w:sz w:val="21"/>
                      <w:szCs w:val="21"/>
                    </w:rPr>
                    <w:t>是</w:t>
                  </w:r>
                </w:p>
              </w:tc>
            </w:tr>
            <w:tr w14:paraId="5D06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tcBorders>
                    <w:left w:val="single" w:color="auto" w:sz="4" w:space="0"/>
                    <w:bottom w:val="single" w:color="auto" w:sz="4" w:space="0"/>
                    <w:right w:val="single" w:color="auto" w:sz="4" w:space="0"/>
                    <w:tl2br w:val="nil"/>
                    <w:tr2bl w:val="nil"/>
                  </w:tcBorders>
                  <w:noWrap w:val="0"/>
                  <w:vAlign w:val="center"/>
                </w:tcPr>
                <w:p w14:paraId="4E08D87C">
                  <w:pPr>
                    <w:pStyle w:val="82"/>
                    <w:spacing w:beforeLines="0" w:afterLines="0"/>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公共单元</w:t>
                  </w:r>
                </w:p>
              </w:tc>
              <w:tc>
                <w:tcPr>
                  <w:tcW w:w="6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597EAE">
                  <w:pPr>
                    <w:widowControl/>
                    <w:spacing w:beforeLines="0" w:afterLines="0"/>
                    <w:jc w:val="center"/>
                    <w:textAlignment w:val="center"/>
                    <w:rPr>
                      <w:rFonts w:hint="default"/>
                      <w:color w:val="auto"/>
                      <w:sz w:val="21"/>
                      <w:szCs w:val="24"/>
                    </w:rPr>
                  </w:pPr>
                  <w:r>
                    <w:rPr>
                      <w:rFonts w:hint="default"/>
                      <w:color w:val="auto"/>
                      <w:sz w:val="21"/>
                      <w:szCs w:val="24"/>
                    </w:rPr>
                    <w:t>污水处理站恶臭</w:t>
                  </w:r>
                </w:p>
              </w:tc>
              <w:tc>
                <w:tcPr>
                  <w:tcW w:w="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4A10D6">
                  <w:pPr>
                    <w:pStyle w:val="82"/>
                    <w:spacing w:beforeLines="0" w:afterLines="0"/>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恶臭浓度</w:t>
                  </w:r>
                </w:p>
              </w:tc>
              <w:tc>
                <w:tcPr>
                  <w:tcW w:w="16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4FDA89">
                  <w:pPr>
                    <w:pStyle w:val="82"/>
                    <w:spacing w:beforeLines="0" w:afterLines="0"/>
                    <w:ind w:firstLine="0" w:firstLineChars="0"/>
                    <w:jc w:val="center"/>
                    <w:rPr>
                      <w:rFonts w:hint="default" w:cs="Times New Roman"/>
                      <w:color w:val="auto"/>
                      <w:sz w:val="21"/>
                      <w:szCs w:val="21"/>
                    </w:rPr>
                  </w:pPr>
                  <w:r>
                    <w:rPr>
                      <w:rFonts w:hint="default" w:cs="Times New Roman"/>
                      <w:color w:val="auto"/>
                      <w:sz w:val="21"/>
                      <w:szCs w:val="21"/>
                    </w:rPr>
                    <w:t>产臭区域投放除臭剂、产臭区域加罩或加盖、将臭气采用引风机引至除臭装置处理，其他</w:t>
                  </w:r>
                </w:p>
              </w:tc>
              <w:tc>
                <w:tcPr>
                  <w:tcW w:w="12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7CBFA1">
                  <w:pPr>
                    <w:pStyle w:val="82"/>
                    <w:spacing w:beforeLines="0" w:afterLines="0"/>
                    <w:ind w:firstLine="0" w:firstLineChars="0"/>
                    <w:jc w:val="center"/>
                    <w:rPr>
                      <w:rFonts w:hint="default" w:cs="Times New Roman"/>
                      <w:color w:val="auto"/>
                      <w:sz w:val="21"/>
                      <w:szCs w:val="21"/>
                    </w:rPr>
                  </w:pPr>
                  <w:r>
                    <w:rPr>
                      <w:rFonts w:hint="default" w:cs="Times New Roman"/>
                      <w:color w:val="auto"/>
                      <w:sz w:val="21"/>
                      <w:szCs w:val="21"/>
                    </w:rPr>
                    <w:t>恶臭单元密闭，定期添加除臭剂</w:t>
                  </w:r>
                </w:p>
              </w:tc>
              <w:tc>
                <w:tcPr>
                  <w:tcW w:w="3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0DC2EF">
                  <w:pPr>
                    <w:pStyle w:val="82"/>
                    <w:spacing w:beforeLines="0" w:afterLines="0"/>
                    <w:ind w:firstLine="0" w:firstLineChars="0"/>
                    <w:jc w:val="center"/>
                    <w:rPr>
                      <w:rFonts w:hint="default" w:cs="Times New Roman"/>
                      <w:color w:val="auto"/>
                      <w:sz w:val="21"/>
                      <w:szCs w:val="21"/>
                    </w:rPr>
                  </w:pPr>
                  <w:r>
                    <w:rPr>
                      <w:rFonts w:hint="eastAsia" w:eastAsia="宋体" w:cs="Times New Roman"/>
                      <w:color w:val="auto"/>
                      <w:sz w:val="21"/>
                      <w:szCs w:val="21"/>
                    </w:rPr>
                    <w:t>是</w:t>
                  </w:r>
                </w:p>
              </w:tc>
            </w:tr>
          </w:tbl>
          <w:p w14:paraId="05A1797F">
            <w:pPr>
              <w:spacing w:beforeLines="0" w:afterLines="0" w:line="360" w:lineRule="auto"/>
              <w:ind w:firstLine="480" w:firstLineChars="200"/>
              <w:rPr>
                <w:rFonts w:hint="eastAsia"/>
                <w:color w:val="auto"/>
                <w:lang w:val="en-US" w:eastAsia="zh-CN"/>
              </w:rPr>
            </w:pPr>
            <w:r>
              <w:rPr>
                <w:rFonts w:hint="eastAsia" w:eastAsia="宋体"/>
                <w:color w:val="auto"/>
                <w:sz w:val="24"/>
                <w:szCs w:val="24"/>
              </w:rPr>
              <w:t>通过以上措施，项目采用的无组织废气治理措施为可行性技术，废气采取上述措施处理后均可达标排放，其治理措施是可行的。</w:t>
            </w:r>
          </w:p>
          <w:p w14:paraId="17BF62F2">
            <w:pPr>
              <w:adjustRightInd w:val="0"/>
              <w:spacing w:beforeLines="0" w:afterLines="0" w:line="360" w:lineRule="auto"/>
              <w:ind w:firstLine="482" w:firstLineChars="200"/>
              <w:jc w:val="left"/>
              <w:rPr>
                <w:rFonts w:hint="eastAsia"/>
                <w:b/>
                <w:color w:val="auto"/>
                <w:kern w:val="0"/>
                <w:sz w:val="24"/>
                <w:szCs w:val="24"/>
              </w:rPr>
            </w:pPr>
            <w:r>
              <w:rPr>
                <w:rFonts w:hint="eastAsia" w:eastAsia="宋体"/>
                <w:b/>
                <w:color w:val="auto"/>
                <w:kern w:val="0"/>
                <w:sz w:val="24"/>
                <w:szCs w:val="24"/>
                <w:lang w:eastAsia="zh-CN"/>
              </w:rPr>
              <w:t>（</w:t>
            </w:r>
            <w:r>
              <w:rPr>
                <w:rFonts w:hint="eastAsia" w:eastAsia="宋体"/>
                <w:b/>
                <w:color w:val="auto"/>
                <w:kern w:val="0"/>
                <w:sz w:val="24"/>
                <w:szCs w:val="24"/>
                <w:lang w:val="en-US" w:eastAsia="zh-CN"/>
              </w:rPr>
              <w:t>3</w:t>
            </w:r>
            <w:r>
              <w:rPr>
                <w:rFonts w:hint="eastAsia" w:eastAsia="宋体"/>
                <w:b/>
                <w:color w:val="auto"/>
                <w:kern w:val="0"/>
                <w:sz w:val="24"/>
                <w:szCs w:val="24"/>
                <w:lang w:eastAsia="zh-CN"/>
              </w:rPr>
              <w:t>）</w:t>
            </w:r>
            <w:r>
              <w:rPr>
                <w:rFonts w:hint="eastAsia" w:eastAsia="宋体"/>
                <w:b/>
                <w:color w:val="auto"/>
                <w:kern w:val="0"/>
                <w:sz w:val="24"/>
                <w:szCs w:val="24"/>
              </w:rPr>
              <w:t>废气监测</w:t>
            </w:r>
          </w:p>
          <w:p w14:paraId="2E622BA1">
            <w:pPr>
              <w:adjustRightInd w:val="0"/>
              <w:spacing w:beforeLines="0" w:afterLines="0" w:line="360" w:lineRule="auto"/>
              <w:ind w:firstLine="480" w:firstLineChars="200"/>
              <w:jc w:val="left"/>
              <w:rPr>
                <w:rFonts w:hint="eastAsia"/>
                <w:color w:val="auto"/>
                <w:kern w:val="0"/>
                <w:sz w:val="24"/>
                <w:szCs w:val="24"/>
              </w:rPr>
            </w:pPr>
            <w:r>
              <w:rPr>
                <w:rFonts w:hint="eastAsia" w:eastAsia="宋体"/>
                <w:color w:val="auto"/>
                <w:sz w:val="24"/>
                <w:szCs w:val="20"/>
              </w:rPr>
              <w:t>参考《排污单位自行监测技术指南 总则》（HJ819-2017）、</w:t>
            </w:r>
            <w:r>
              <w:rPr>
                <w:rFonts w:hint="eastAsia" w:eastAsia="宋体"/>
                <w:color w:val="auto"/>
                <w:kern w:val="0"/>
                <w:sz w:val="24"/>
                <w:szCs w:val="24"/>
              </w:rPr>
              <w:t>《排污单位自行监测技术指南 农副食品加工业》（HJ 986-2018）</w:t>
            </w:r>
            <w:r>
              <w:rPr>
                <w:rFonts w:hint="eastAsia"/>
                <w:color w:val="auto"/>
                <w:kern w:val="0"/>
                <w:sz w:val="24"/>
                <w:szCs w:val="24"/>
                <w:lang w:eastAsia="zh-CN"/>
              </w:rPr>
              <w:t>、《排污单位自行监测技术指南 火力发电及锅炉》（HJ 820-2017）</w:t>
            </w:r>
            <w:r>
              <w:rPr>
                <w:rFonts w:hint="eastAsia" w:eastAsia="宋体"/>
                <w:color w:val="auto"/>
                <w:sz w:val="24"/>
                <w:szCs w:val="20"/>
              </w:rPr>
              <w:t>，</w:t>
            </w:r>
            <w:r>
              <w:rPr>
                <w:rFonts w:hint="eastAsia" w:eastAsia="宋体"/>
                <w:color w:val="auto"/>
                <w:kern w:val="0"/>
                <w:sz w:val="24"/>
                <w:szCs w:val="24"/>
              </w:rPr>
              <w:t>项目废气监测情况见下表。</w:t>
            </w:r>
          </w:p>
          <w:p w14:paraId="2191EBB9">
            <w:pPr>
              <w:adjustRightInd w:val="0"/>
              <w:spacing w:beforeLines="0" w:afterLines="0"/>
              <w:jc w:val="center"/>
              <w:rPr>
                <w:rFonts w:hint="eastAsia"/>
                <w:b/>
                <w:color w:val="auto"/>
                <w:kern w:val="0"/>
                <w:sz w:val="21"/>
                <w:szCs w:val="21"/>
              </w:rPr>
            </w:pPr>
            <w:r>
              <w:rPr>
                <w:rFonts w:hint="eastAsia" w:eastAsia="宋体"/>
                <w:b/>
                <w:color w:val="auto"/>
                <w:kern w:val="0"/>
                <w:sz w:val="21"/>
                <w:szCs w:val="21"/>
              </w:rPr>
              <w:t>表4-</w:t>
            </w:r>
            <w:r>
              <w:rPr>
                <w:rFonts w:hint="eastAsia"/>
                <w:b/>
                <w:color w:val="auto"/>
                <w:kern w:val="0"/>
                <w:sz w:val="21"/>
                <w:szCs w:val="21"/>
                <w:lang w:val="en-US" w:eastAsia="zh-CN"/>
              </w:rPr>
              <w:t xml:space="preserve">8 </w:t>
            </w:r>
            <w:r>
              <w:rPr>
                <w:rFonts w:hint="eastAsia" w:eastAsia="宋体"/>
                <w:b/>
                <w:color w:val="auto"/>
                <w:kern w:val="0"/>
                <w:sz w:val="21"/>
                <w:szCs w:val="21"/>
              </w:rPr>
              <w:t xml:space="preserve"> 废气监测一览表</w:t>
            </w:r>
          </w:p>
          <w:tbl>
            <w:tblPr>
              <w:tblStyle w:val="25"/>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162"/>
              <w:gridCol w:w="1317"/>
              <w:gridCol w:w="1177"/>
              <w:gridCol w:w="4351"/>
            </w:tblGrid>
            <w:tr w14:paraId="00B9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C3C0A3">
                  <w:pPr>
                    <w:adjustRightInd w:val="0"/>
                    <w:spacing w:beforeLines="0" w:afterLines="0"/>
                    <w:jc w:val="center"/>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rPr>
                    <w:t>监测项目</w:t>
                  </w:r>
                </w:p>
              </w:tc>
              <w:tc>
                <w:tcPr>
                  <w:tcW w:w="6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AB232A">
                  <w:pPr>
                    <w:adjustRightInd w:val="0"/>
                    <w:spacing w:beforeLines="0" w:afterLines="0"/>
                    <w:jc w:val="center"/>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rPr>
                    <w:t>监测点位</w:t>
                  </w:r>
                </w:p>
              </w:tc>
              <w:tc>
                <w:tcPr>
                  <w:tcW w:w="7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9CC773">
                  <w:pPr>
                    <w:adjustRightInd w:val="0"/>
                    <w:spacing w:beforeLines="0" w:afterLines="0"/>
                    <w:jc w:val="center"/>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rPr>
                    <w:t>监测因子</w:t>
                  </w:r>
                </w:p>
              </w:tc>
              <w:tc>
                <w:tcPr>
                  <w:tcW w:w="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EF25F8">
                  <w:pPr>
                    <w:adjustRightInd w:val="0"/>
                    <w:spacing w:beforeLines="0" w:afterLines="0"/>
                    <w:jc w:val="center"/>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rPr>
                    <w:t>监测频次</w:t>
                  </w:r>
                </w:p>
              </w:tc>
              <w:tc>
                <w:tcPr>
                  <w:tcW w:w="238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E6991E">
                  <w:pPr>
                    <w:adjustRightInd w:val="0"/>
                    <w:spacing w:beforeLines="0" w:afterLines="0"/>
                    <w:jc w:val="center"/>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rPr>
                    <w:t>排放标准</w:t>
                  </w:r>
                </w:p>
              </w:tc>
            </w:tr>
            <w:tr w14:paraId="4030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2" w:type="pct"/>
                  <w:vMerge w:val="restart"/>
                  <w:tcBorders>
                    <w:top w:val="single" w:color="auto" w:sz="4" w:space="0"/>
                    <w:left w:val="single" w:color="auto" w:sz="4" w:space="0"/>
                    <w:right w:val="single" w:color="auto" w:sz="4" w:space="0"/>
                    <w:tl2br w:val="nil"/>
                    <w:tr2bl w:val="nil"/>
                  </w:tcBorders>
                  <w:noWrap w:val="0"/>
                  <w:vAlign w:val="center"/>
                </w:tcPr>
                <w:p w14:paraId="43F7027F">
                  <w:pPr>
                    <w:adjustRightInd w:val="0"/>
                    <w:spacing w:beforeLines="0" w:afterLine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废气</w:t>
                  </w:r>
                </w:p>
              </w:tc>
              <w:tc>
                <w:tcPr>
                  <w:tcW w:w="6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8D2518">
                  <w:pPr>
                    <w:adjustRightInd w:val="0"/>
                    <w:spacing w:beforeLines="0" w:afterLine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DA001</w:t>
                  </w:r>
                </w:p>
              </w:tc>
              <w:tc>
                <w:tcPr>
                  <w:tcW w:w="7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965E71">
                  <w:pPr>
                    <w:adjustRightInd w:val="0"/>
                    <w:spacing w:beforeLines="0" w:afterLine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颗粒物</w:t>
                  </w:r>
                </w:p>
              </w:tc>
              <w:tc>
                <w:tcPr>
                  <w:tcW w:w="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316624">
                  <w:pPr>
                    <w:adjustRightIn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1次/半年</w:t>
                  </w:r>
                </w:p>
              </w:tc>
              <w:tc>
                <w:tcPr>
                  <w:tcW w:w="2389" w:type="pct"/>
                  <w:tcBorders>
                    <w:top w:val="single" w:color="auto" w:sz="4" w:space="0"/>
                    <w:left w:val="single" w:color="auto" w:sz="4" w:space="0"/>
                    <w:right w:val="single" w:color="auto" w:sz="4" w:space="0"/>
                    <w:tl2br w:val="nil"/>
                    <w:tr2bl w:val="nil"/>
                  </w:tcBorders>
                  <w:noWrap w:val="0"/>
                  <w:vAlign w:val="center"/>
                </w:tcPr>
                <w:p w14:paraId="0B1342B1">
                  <w:pPr>
                    <w:adjustRightIn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《大气污染物综合排放标准》（GB16297-1996）</w:t>
                  </w:r>
                </w:p>
              </w:tc>
            </w:tr>
            <w:tr w14:paraId="247B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602" w:type="pct"/>
                  <w:vMerge w:val="continue"/>
                  <w:tcBorders>
                    <w:left w:val="single" w:color="auto" w:sz="4" w:space="0"/>
                    <w:right w:val="single" w:color="auto" w:sz="4" w:space="0"/>
                    <w:tl2br w:val="nil"/>
                    <w:tr2bl w:val="nil"/>
                  </w:tcBorders>
                  <w:noWrap w:val="0"/>
                  <w:vAlign w:val="center"/>
                </w:tcPr>
                <w:p w14:paraId="45D1F678">
                  <w:pPr>
                    <w:adjustRightInd w:val="0"/>
                    <w:spacing w:beforeLines="0" w:afterLines="0"/>
                    <w:jc w:val="center"/>
                    <w:rPr>
                      <w:rFonts w:hint="default" w:ascii="Times New Roman" w:hAnsi="Times New Roman" w:cs="Times New Roman"/>
                      <w:color w:val="auto"/>
                      <w:kern w:val="0"/>
                      <w:sz w:val="21"/>
                      <w:szCs w:val="21"/>
                    </w:rPr>
                  </w:pPr>
                </w:p>
              </w:tc>
              <w:tc>
                <w:tcPr>
                  <w:tcW w:w="6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317770">
                  <w:pPr>
                    <w:adjustRightInd w:val="0"/>
                    <w:spacing w:beforeLines="0" w:afterLines="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DA002</w:t>
                  </w:r>
                </w:p>
              </w:tc>
              <w:tc>
                <w:tcPr>
                  <w:tcW w:w="7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AF224E">
                  <w:pPr>
                    <w:adjustRightInd w:val="0"/>
                    <w:spacing w:beforeLines="0" w:afterLines="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油烟</w:t>
                  </w:r>
                </w:p>
              </w:tc>
              <w:tc>
                <w:tcPr>
                  <w:tcW w:w="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6F5019">
                  <w:pPr>
                    <w:adjustRightIn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1次/半年</w:t>
                  </w:r>
                </w:p>
              </w:tc>
              <w:tc>
                <w:tcPr>
                  <w:tcW w:w="2389" w:type="pct"/>
                  <w:tcBorders>
                    <w:top w:val="single" w:color="auto" w:sz="4" w:space="0"/>
                    <w:left w:val="single" w:color="auto" w:sz="4" w:space="0"/>
                    <w:right w:val="single" w:color="auto" w:sz="4" w:space="0"/>
                    <w:tl2br w:val="nil"/>
                    <w:tr2bl w:val="nil"/>
                  </w:tcBorders>
                  <w:noWrap w:val="0"/>
                  <w:vAlign w:val="center"/>
                </w:tcPr>
                <w:p w14:paraId="68DB083D">
                  <w:pPr>
                    <w:adjustRightIn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《大气污染物综合排放标准》（GB16297-1996）</w:t>
                  </w:r>
                </w:p>
              </w:tc>
            </w:tr>
            <w:tr w14:paraId="50A7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3" w:hRule="atLeast"/>
              </w:trPr>
              <w:tc>
                <w:tcPr>
                  <w:tcW w:w="602" w:type="pct"/>
                  <w:vMerge w:val="continue"/>
                  <w:tcBorders>
                    <w:left w:val="single" w:color="auto" w:sz="4" w:space="0"/>
                    <w:right w:val="single" w:color="auto" w:sz="4" w:space="0"/>
                    <w:tl2br w:val="nil"/>
                    <w:tr2bl w:val="nil"/>
                  </w:tcBorders>
                  <w:noWrap w:val="0"/>
                  <w:vAlign w:val="center"/>
                </w:tcPr>
                <w:p w14:paraId="219B0465">
                  <w:pPr>
                    <w:adjustRightInd w:val="0"/>
                    <w:spacing w:beforeLines="0" w:afterLines="0"/>
                    <w:jc w:val="center"/>
                    <w:rPr>
                      <w:rFonts w:hint="default" w:ascii="Times New Roman" w:hAnsi="Times New Roman" w:cs="Times New Roman"/>
                      <w:color w:val="auto"/>
                      <w:kern w:val="0"/>
                      <w:sz w:val="21"/>
                      <w:szCs w:val="21"/>
                    </w:rPr>
                  </w:pPr>
                </w:p>
              </w:tc>
              <w:tc>
                <w:tcPr>
                  <w:tcW w:w="638" w:type="pct"/>
                  <w:vMerge w:val="restart"/>
                  <w:tcBorders>
                    <w:top w:val="single" w:color="auto" w:sz="4" w:space="0"/>
                    <w:left w:val="single" w:color="auto" w:sz="4" w:space="0"/>
                    <w:right w:val="single" w:color="auto" w:sz="4" w:space="0"/>
                    <w:tl2br w:val="nil"/>
                    <w:tr2bl w:val="nil"/>
                  </w:tcBorders>
                  <w:noWrap w:val="0"/>
                  <w:vAlign w:val="center"/>
                </w:tcPr>
                <w:p w14:paraId="021A5B58">
                  <w:pPr>
                    <w:adjustRightInd w:val="0"/>
                    <w:spacing w:beforeLines="0" w:afterLines="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DA003</w:t>
                  </w:r>
                </w:p>
              </w:tc>
              <w:tc>
                <w:tcPr>
                  <w:tcW w:w="7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45F3F3">
                  <w:pPr>
                    <w:adjustRightInd w:val="0"/>
                    <w:spacing w:beforeLines="0" w:afterLines="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NO</w:t>
                  </w:r>
                  <w:r>
                    <w:rPr>
                      <w:rFonts w:hint="default" w:ascii="Times New Roman" w:hAnsi="Times New Roman" w:cs="Times New Roman"/>
                      <w:color w:val="auto"/>
                      <w:kern w:val="0"/>
                      <w:sz w:val="21"/>
                      <w:szCs w:val="21"/>
                      <w:vertAlign w:val="subscript"/>
                      <w:lang w:val="en-US" w:eastAsia="zh-CN"/>
                    </w:rPr>
                    <w:t>x</w:t>
                  </w:r>
                </w:p>
              </w:tc>
              <w:tc>
                <w:tcPr>
                  <w:tcW w:w="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D42A72">
                  <w:pPr>
                    <w:adjustRightInd w:val="0"/>
                    <w:spacing w:beforeLines="0" w:afterLine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1次/</w:t>
                  </w:r>
                  <w:r>
                    <w:rPr>
                      <w:rFonts w:hint="default" w:ascii="Times New Roman" w:hAnsi="Times New Roman" w:cs="Times New Roman"/>
                      <w:color w:val="auto"/>
                      <w:kern w:val="0"/>
                      <w:sz w:val="21"/>
                      <w:szCs w:val="21"/>
                      <w:lang w:val="en-US" w:eastAsia="zh-CN"/>
                    </w:rPr>
                    <w:t>月</w:t>
                  </w:r>
                </w:p>
              </w:tc>
              <w:tc>
                <w:tcPr>
                  <w:tcW w:w="2389" w:type="pct"/>
                  <w:vMerge w:val="restart"/>
                  <w:tcBorders>
                    <w:top w:val="single" w:color="auto" w:sz="4" w:space="0"/>
                    <w:left w:val="single" w:color="auto" w:sz="4" w:space="0"/>
                    <w:right w:val="single" w:color="auto" w:sz="4" w:space="0"/>
                    <w:tl2br w:val="nil"/>
                    <w:tr2bl w:val="nil"/>
                  </w:tcBorders>
                  <w:noWrap w:val="0"/>
                  <w:vAlign w:val="center"/>
                </w:tcPr>
                <w:p w14:paraId="6627542E">
                  <w:pPr>
                    <w:adjustRightIn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颗粒物、二氧化硫执行《锅炉大气污染物排放标准》（GB13271-2014）中“燃气锅炉”表3中特别排放限值，NOx执行皖大气办[2020]2号 安徽省大气办关于印发《安徽省2020年大气污染防治重点工作任务》的通知中不高于50mg/m3的排放限值要求。</w:t>
                  </w:r>
                </w:p>
              </w:tc>
            </w:tr>
            <w:tr w14:paraId="2505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2" w:type="pct"/>
                  <w:vMerge w:val="continue"/>
                  <w:tcBorders>
                    <w:left w:val="single" w:color="auto" w:sz="4" w:space="0"/>
                    <w:right w:val="single" w:color="auto" w:sz="4" w:space="0"/>
                    <w:tl2br w:val="nil"/>
                    <w:tr2bl w:val="nil"/>
                  </w:tcBorders>
                  <w:noWrap w:val="0"/>
                  <w:vAlign w:val="center"/>
                </w:tcPr>
                <w:p w14:paraId="03194B68">
                  <w:pPr>
                    <w:adjustRightInd w:val="0"/>
                    <w:spacing w:beforeLines="0" w:afterLines="0"/>
                    <w:jc w:val="center"/>
                    <w:rPr>
                      <w:rFonts w:hint="default" w:ascii="Times New Roman" w:hAnsi="Times New Roman" w:cs="Times New Roman"/>
                      <w:color w:val="auto"/>
                      <w:kern w:val="0"/>
                      <w:sz w:val="21"/>
                      <w:szCs w:val="21"/>
                    </w:rPr>
                  </w:pPr>
                </w:p>
              </w:tc>
              <w:tc>
                <w:tcPr>
                  <w:tcW w:w="638" w:type="pct"/>
                  <w:vMerge w:val="continue"/>
                  <w:tcBorders>
                    <w:left w:val="single" w:color="auto" w:sz="4" w:space="0"/>
                    <w:bottom w:val="single" w:color="auto" w:sz="4" w:space="0"/>
                    <w:right w:val="single" w:color="auto" w:sz="4" w:space="0"/>
                    <w:tl2br w:val="nil"/>
                    <w:tr2bl w:val="nil"/>
                  </w:tcBorders>
                  <w:noWrap w:val="0"/>
                  <w:vAlign w:val="center"/>
                </w:tcPr>
                <w:p w14:paraId="425C40E1">
                  <w:pPr>
                    <w:adjustRightInd w:val="0"/>
                    <w:spacing w:beforeLines="0" w:afterLines="0"/>
                    <w:jc w:val="center"/>
                    <w:rPr>
                      <w:rFonts w:hint="default" w:ascii="Times New Roman" w:hAnsi="Times New Roman" w:cs="Times New Roman"/>
                      <w:color w:val="auto"/>
                      <w:kern w:val="0"/>
                      <w:sz w:val="21"/>
                      <w:szCs w:val="21"/>
                      <w:lang w:val="en-US" w:eastAsia="zh-CN"/>
                    </w:rPr>
                  </w:pPr>
                </w:p>
              </w:tc>
              <w:tc>
                <w:tcPr>
                  <w:tcW w:w="7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CDA136">
                  <w:pPr>
                    <w:adjustRightInd w:val="0"/>
                    <w:spacing w:beforeLines="0" w:afterLines="0"/>
                    <w:jc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rPr>
                    <w:t>SO</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、颗粒物</w:t>
                  </w:r>
                  <w:r>
                    <w:rPr>
                      <w:rFonts w:hint="default" w:ascii="Times New Roman" w:hAnsi="Times New Roman" w:eastAsia="宋体" w:cs="Times New Roman"/>
                      <w:color w:val="auto"/>
                      <w:kern w:val="0"/>
                      <w:sz w:val="21"/>
                      <w:szCs w:val="21"/>
                      <w:vertAlign w:val="baseline"/>
                    </w:rPr>
                    <w:t>、</w:t>
                  </w:r>
                  <w:r>
                    <w:rPr>
                      <w:rFonts w:hint="default" w:ascii="Times New Roman" w:hAnsi="Times New Roman" w:eastAsia="宋体" w:cs="Times New Roman"/>
                      <w:color w:val="auto"/>
                      <w:kern w:val="0"/>
                      <w:sz w:val="21"/>
                      <w:szCs w:val="21"/>
                    </w:rPr>
                    <w:t>林格曼黑度</w:t>
                  </w:r>
                </w:p>
              </w:tc>
              <w:tc>
                <w:tcPr>
                  <w:tcW w:w="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35A6C0">
                  <w:pPr>
                    <w:adjustRightInd w:val="0"/>
                    <w:spacing w:beforeLines="0" w:afterLine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1次/</w:t>
                  </w:r>
                  <w:r>
                    <w:rPr>
                      <w:rFonts w:hint="default" w:ascii="Times New Roman" w:hAnsi="Times New Roman" w:cs="Times New Roman"/>
                      <w:color w:val="auto"/>
                      <w:kern w:val="0"/>
                      <w:sz w:val="21"/>
                      <w:szCs w:val="21"/>
                      <w:lang w:val="en-US" w:eastAsia="zh-CN"/>
                    </w:rPr>
                    <w:t>年</w:t>
                  </w:r>
                </w:p>
              </w:tc>
              <w:tc>
                <w:tcPr>
                  <w:tcW w:w="2389" w:type="pct"/>
                  <w:vMerge w:val="continue"/>
                  <w:tcBorders>
                    <w:left w:val="single" w:color="auto" w:sz="4" w:space="0"/>
                    <w:right w:val="single" w:color="auto" w:sz="4" w:space="0"/>
                    <w:tl2br w:val="nil"/>
                    <w:tr2bl w:val="nil"/>
                  </w:tcBorders>
                  <w:noWrap w:val="0"/>
                  <w:vAlign w:val="center"/>
                </w:tcPr>
                <w:p w14:paraId="580814F7">
                  <w:pPr>
                    <w:adjustRightInd w:val="0"/>
                    <w:spacing w:beforeLines="0" w:afterLines="0"/>
                    <w:jc w:val="center"/>
                    <w:rPr>
                      <w:rFonts w:hint="default" w:ascii="Times New Roman" w:hAnsi="Times New Roman" w:eastAsia="宋体" w:cs="Times New Roman"/>
                      <w:color w:val="auto"/>
                      <w:kern w:val="0"/>
                      <w:sz w:val="21"/>
                      <w:szCs w:val="21"/>
                    </w:rPr>
                  </w:pPr>
                </w:p>
              </w:tc>
            </w:tr>
            <w:tr w14:paraId="1E33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2" w:type="pct"/>
                  <w:vMerge w:val="continue"/>
                  <w:tcBorders>
                    <w:left w:val="single" w:color="auto" w:sz="4" w:space="0"/>
                    <w:right w:val="single" w:color="auto" w:sz="4" w:space="0"/>
                    <w:tl2br w:val="nil"/>
                    <w:tr2bl w:val="nil"/>
                  </w:tcBorders>
                  <w:noWrap w:val="0"/>
                  <w:vAlign w:val="center"/>
                </w:tcPr>
                <w:p w14:paraId="4679174F">
                  <w:pPr>
                    <w:adjustRightInd w:val="0"/>
                    <w:spacing w:beforeLines="0" w:afterLines="0"/>
                    <w:jc w:val="center"/>
                    <w:rPr>
                      <w:rFonts w:hint="default" w:ascii="Times New Roman" w:hAnsi="Times New Roman" w:cs="Times New Roman"/>
                      <w:color w:val="auto"/>
                      <w:kern w:val="0"/>
                      <w:sz w:val="21"/>
                      <w:szCs w:val="21"/>
                    </w:rPr>
                  </w:pPr>
                </w:p>
              </w:tc>
              <w:tc>
                <w:tcPr>
                  <w:tcW w:w="638" w:type="pct"/>
                  <w:vMerge w:val="restart"/>
                  <w:tcBorders>
                    <w:top w:val="single" w:color="auto" w:sz="4" w:space="0"/>
                    <w:left w:val="single" w:color="auto" w:sz="4" w:space="0"/>
                    <w:right w:val="single" w:color="auto" w:sz="4" w:space="0"/>
                    <w:tl2br w:val="nil"/>
                    <w:tr2bl w:val="nil"/>
                  </w:tcBorders>
                  <w:noWrap w:val="0"/>
                  <w:vAlign w:val="center"/>
                </w:tcPr>
                <w:p w14:paraId="1936EB8B">
                  <w:pPr>
                    <w:adjustRightIn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厂界</w:t>
                  </w:r>
                </w:p>
              </w:tc>
              <w:tc>
                <w:tcPr>
                  <w:tcW w:w="7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B2471A">
                  <w:pPr>
                    <w:spacing w:beforeLines="0" w:afterLines="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4677F2">
                  <w:pPr>
                    <w:adjustRightInd w:val="0"/>
                    <w:spacing w:beforeLines="0" w:afterLine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宋体" w:cs="Times New Roman"/>
                      <w:color w:val="auto"/>
                      <w:kern w:val="0"/>
                      <w:sz w:val="21"/>
                      <w:szCs w:val="21"/>
                    </w:rPr>
                    <w:t>次/半年</w:t>
                  </w:r>
                </w:p>
              </w:tc>
              <w:tc>
                <w:tcPr>
                  <w:tcW w:w="2389" w:type="pct"/>
                  <w:tcBorders>
                    <w:left w:val="single" w:color="auto" w:sz="4" w:space="0"/>
                    <w:bottom w:val="single" w:color="auto" w:sz="4" w:space="0"/>
                    <w:right w:val="single" w:color="auto" w:sz="4" w:space="0"/>
                    <w:tl2br w:val="nil"/>
                    <w:tr2bl w:val="nil"/>
                  </w:tcBorders>
                  <w:noWrap w:val="0"/>
                  <w:vAlign w:val="center"/>
                </w:tcPr>
                <w:p w14:paraId="1058344D">
                  <w:pPr>
                    <w:pStyle w:val="49"/>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《大气污染物综合排放标准》（GB16297-1996）</w:t>
                  </w:r>
                </w:p>
              </w:tc>
            </w:tr>
            <w:tr w14:paraId="63F7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602" w:type="pct"/>
                  <w:vMerge w:val="continue"/>
                  <w:tcBorders>
                    <w:left w:val="single" w:color="auto" w:sz="4" w:space="0"/>
                    <w:bottom w:val="single" w:color="auto" w:sz="4" w:space="0"/>
                    <w:right w:val="single" w:color="auto" w:sz="4" w:space="0"/>
                    <w:tl2br w:val="nil"/>
                    <w:tr2bl w:val="nil"/>
                  </w:tcBorders>
                  <w:noWrap w:val="0"/>
                  <w:vAlign w:val="center"/>
                </w:tcPr>
                <w:p w14:paraId="5C28C37D">
                  <w:pPr>
                    <w:adjustRightInd w:val="0"/>
                    <w:spacing w:beforeLines="0" w:afterLines="0"/>
                    <w:jc w:val="center"/>
                    <w:rPr>
                      <w:rFonts w:hint="default" w:ascii="Times New Roman" w:hAnsi="Times New Roman" w:cs="Times New Roman"/>
                      <w:color w:val="auto"/>
                      <w:kern w:val="0"/>
                      <w:sz w:val="21"/>
                      <w:szCs w:val="21"/>
                    </w:rPr>
                  </w:pPr>
                </w:p>
              </w:tc>
              <w:tc>
                <w:tcPr>
                  <w:tcW w:w="638" w:type="pct"/>
                  <w:vMerge w:val="continue"/>
                  <w:tcBorders>
                    <w:left w:val="single" w:color="auto" w:sz="4" w:space="0"/>
                    <w:bottom w:val="single" w:color="auto" w:sz="4" w:space="0"/>
                    <w:right w:val="single" w:color="auto" w:sz="4" w:space="0"/>
                    <w:tl2br w:val="nil"/>
                    <w:tr2bl w:val="nil"/>
                  </w:tcBorders>
                  <w:noWrap w:val="0"/>
                  <w:vAlign w:val="center"/>
                </w:tcPr>
                <w:p w14:paraId="2448B20D">
                  <w:pPr>
                    <w:adjustRightInd w:val="0"/>
                    <w:spacing w:beforeLines="0" w:afterLines="0"/>
                    <w:jc w:val="center"/>
                    <w:rPr>
                      <w:rFonts w:hint="default" w:ascii="Times New Roman" w:hAnsi="Times New Roman" w:eastAsia="宋体" w:cs="Times New Roman"/>
                      <w:color w:val="auto"/>
                      <w:kern w:val="0"/>
                      <w:sz w:val="21"/>
                      <w:szCs w:val="21"/>
                    </w:rPr>
                  </w:pPr>
                </w:p>
              </w:tc>
              <w:tc>
                <w:tcPr>
                  <w:tcW w:w="7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EDEB48">
                  <w:pPr>
                    <w:adjustRightIn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氨气、硫化氢</w:t>
                  </w:r>
                  <w:r>
                    <w:rPr>
                      <w:rFonts w:hint="default" w:ascii="Times New Roman" w:hAnsi="Times New Roman" w:cs="Times New Roman"/>
                      <w:color w:val="auto"/>
                      <w:kern w:val="0"/>
                      <w:sz w:val="21"/>
                      <w:szCs w:val="21"/>
                      <w:lang w:eastAsia="zh-CN"/>
                    </w:rPr>
                    <w:t>、</w:t>
                  </w:r>
                  <w:r>
                    <w:rPr>
                      <w:rFonts w:hint="default" w:ascii="Times New Roman" w:hAnsi="Times New Roman" w:eastAsia="宋体" w:cs="Times New Roman"/>
                      <w:color w:val="auto"/>
                      <w:kern w:val="0"/>
                      <w:sz w:val="21"/>
                      <w:szCs w:val="21"/>
                    </w:rPr>
                    <w:t xml:space="preserve">臭气浓度 </w:t>
                  </w:r>
                </w:p>
              </w:tc>
              <w:tc>
                <w:tcPr>
                  <w:tcW w:w="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0C8D4E">
                  <w:pPr>
                    <w:adjustRightInd w:val="0"/>
                    <w:spacing w:beforeLines="0" w:afterLine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宋体" w:cs="Times New Roman"/>
                      <w:color w:val="auto"/>
                      <w:kern w:val="0"/>
                      <w:sz w:val="21"/>
                      <w:szCs w:val="21"/>
                    </w:rPr>
                    <w:t>次/半年</w:t>
                  </w:r>
                </w:p>
              </w:tc>
              <w:tc>
                <w:tcPr>
                  <w:tcW w:w="238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3CF7E8">
                  <w:pPr>
                    <w:pStyle w:val="49"/>
                    <w:adjustRightInd w:val="0"/>
                    <w:snapToGrid w:val="0"/>
                    <w:spacing w:beforeLines="0" w:after="0" w:afterLines="0"/>
                    <w:ind w:firstLine="21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《恶臭污染物排放标准》（GB14554-93）</w:t>
                  </w:r>
                </w:p>
              </w:tc>
            </w:tr>
          </w:tbl>
          <w:p w14:paraId="264C0450">
            <w:pPr>
              <w:adjustRightInd w:val="0"/>
              <w:snapToGrid w:val="0"/>
              <w:spacing w:line="360" w:lineRule="auto"/>
              <w:ind w:firstLine="482" w:firstLineChars="200"/>
              <w:jc w:val="left"/>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2、废水</w:t>
            </w:r>
          </w:p>
          <w:p w14:paraId="0CA0CA4B">
            <w:pPr>
              <w:adjustRightInd w:val="0"/>
              <w:snapToGrid w:val="0"/>
              <w:spacing w:line="360" w:lineRule="auto"/>
              <w:ind w:firstLine="482" w:firstLineChars="200"/>
              <w:jc w:val="left"/>
              <w:rPr>
                <w:rFonts w:hint="default" w:ascii="Times New Roman" w:hAnsi="Times New Roman" w:cs="Times New Roman"/>
                <w:b/>
                <w:color w:val="auto"/>
                <w:kern w:val="0"/>
                <w:sz w:val="24"/>
                <w:szCs w:val="24"/>
              </w:rPr>
            </w:pPr>
            <w:r>
              <w:rPr>
                <w:rFonts w:hint="eastAsia" w:cs="Times New Roman"/>
                <w:b/>
                <w:color w:val="auto"/>
                <w:kern w:val="0"/>
                <w:sz w:val="24"/>
                <w:szCs w:val="24"/>
                <w:lang w:val="en-US" w:eastAsia="zh-CN"/>
              </w:rPr>
              <w:t>2.1</w:t>
            </w:r>
            <w:r>
              <w:rPr>
                <w:rFonts w:hint="default" w:ascii="Times New Roman" w:hAnsi="Times New Roman" w:cs="Times New Roman"/>
                <w:b/>
                <w:color w:val="auto"/>
                <w:kern w:val="0"/>
                <w:sz w:val="24"/>
                <w:szCs w:val="24"/>
              </w:rPr>
              <w:t>废水排放情况</w:t>
            </w:r>
          </w:p>
          <w:p w14:paraId="4FC3C9AE">
            <w:pPr>
              <w:pStyle w:val="2"/>
              <w:snapToGrid/>
              <w:spacing w:beforeLines="0" w:after="0" w:afterLines="0"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（1）用水环节分析</w:t>
            </w:r>
          </w:p>
          <w:p w14:paraId="49FE9477">
            <w:pPr>
              <w:pStyle w:val="2"/>
              <w:snapToGrid/>
              <w:spacing w:beforeLines="0" w:after="0" w:afterLines="0"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rPr>
              <w:t>废水量估算</w:t>
            </w:r>
          </w:p>
          <w:p w14:paraId="19DADD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snapToGrid/>
                <w:color w:val="auto"/>
                <w:sz w:val="24"/>
                <w:szCs w:val="24"/>
                <w:vertAlign w:val="baseline"/>
              </w:rPr>
            </w:pPr>
            <w:r>
              <w:rPr>
                <w:rFonts w:hint="eastAsia" w:ascii="宋体" w:hAnsi="宋体" w:eastAsia="宋体" w:cs="宋体"/>
                <w:b w:val="0"/>
                <w:bCs/>
                <w:snapToGrid/>
                <w:color w:val="auto"/>
                <w:sz w:val="24"/>
                <w:szCs w:val="24"/>
                <w:vertAlign w:val="baseline"/>
              </w:rPr>
              <w:t>①</w:t>
            </w:r>
            <w:r>
              <w:rPr>
                <w:rFonts w:hint="eastAsia" w:eastAsia="宋体"/>
                <w:b w:val="0"/>
                <w:bCs/>
                <w:snapToGrid/>
                <w:color w:val="auto"/>
                <w:sz w:val="24"/>
                <w:szCs w:val="24"/>
                <w:vertAlign w:val="baseline"/>
              </w:rPr>
              <w:t>职工生活用水：本项目职工人数为18人，设食宿，共6人住宿。根据《安徽省行业用水定额》（DB34/T 679─2019），非住宿职工生活用水量按60L/人·d计，住宿职工生活用水量按180L/人·d计，则生活用水量约为1.8t/d，年用水量约为540t/a（全年按300天计算）。排水系数以0.8计，则生活废水量约为1.44t/d（432t/a）</w:t>
            </w:r>
          </w:p>
          <w:p w14:paraId="634640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snapToGrid/>
                <w:color w:val="auto"/>
                <w:sz w:val="24"/>
                <w:szCs w:val="24"/>
                <w:vertAlign w:val="baseline"/>
              </w:rPr>
            </w:pPr>
            <w:r>
              <w:rPr>
                <w:rFonts w:hint="eastAsia" w:ascii="宋体" w:hAnsi="宋体" w:eastAsia="宋体" w:cs="宋体"/>
                <w:b w:val="0"/>
                <w:bCs/>
                <w:snapToGrid/>
                <w:color w:val="auto"/>
                <w:sz w:val="24"/>
                <w:szCs w:val="24"/>
                <w:vertAlign w:val="baseline"/>
              </w:rPr>
              <w:t>②</w:t>
            </w:r>
            <w:r>
              <w:rPr>
                <w:rFonts w:hint="eastAsia" w:eastAsia="宋体"/>
                <w:b w:val="0"/>
                <w:bCs/>
                <w:snapToGrid/>
                <w:color w:val="auto"/>
                <w:sz w:val="24"/>
                <w:szCs w:val="24"/>
                <w:vertAlign w:val="baseline"/>
              </w:rPr>
              <w:t>腌料用水：包括腌泥浆用水和腌液用水。腌制鸡蛋的泥浆需通过黄泥：水：食用盐按4:10:3比例混合搅拌制成，泥浆用量30t/a，因此腌泥浆用水量为75t/a。腌制鸭蛋的腌液需通过片碱：食盐：加工助剂：水按15:10:1:250比例混合搅拌制成，片碱用量15t/a，因此腌液用水量为250t/a。腌料用水量为325t/a。不产生腌料废水，均进入产品。</w:t>
            </w:r>
          </w:p>
          <w:p w14:paraId="71B8EA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snapToGrid/>
                <w:color w:val="auto"/>
                <w:sz w:val="24"/>
                <w:szCs w:val="24"/>
                <w:vertAlign w:val="baseline"/>
              </w:rPr>
            </w:pPr>
            <w:r>
              <w:rPr>
                <w:rFonts w:hint="eastAsia" w:ascii="宋体" w:hAnsi="宋体" w:eastAsia="宋体" w:cs="宋体"/>
                <w:b w:val="0"/>
                <w:bCs/>
                <w:snapToGrid/>
                <w:color w:val="auto"/>
                <w:sz w:val="24"/>
                <w:szCs w:val="24"/>
                <w:vertAlign w:val="baseline"/>
              </w:rPr>
              <w:t>③</w:t>
            </w:r>
            <w:r>
              <w:rPr>
                <w:rFonts w:hint="eastAsia" w:eastAsia="宋体"/>
                <w:b w:val="0"/>
                <w:bCs/>
                <w:snapToGrid/>
                <w:color w:val="auto"/>
                <w:sz w:val="24"/>
                <w:szCs w:val="24"/>
                <w:vertAlign w:val="baseline"/>
              </w:rPr>
              <w:t>和浆用水：生产粉丝时将红薯淀粉、水、食盐、大豆卵磷脂按照比例为1000:1000:1:20进行混合搅拌进行和浆，红薯淀粉用量为500t/a，因此和浆用水量为500t/a。不产生和浆废水，全部进入产品。</w:t>
            </w:r>
          </w:p>
          <w:p w14:paraId="2B2DF6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snapToGrid/>
                <w:color w:val="auto"/>
                <w:sz w:val="24"/>
                <w:szCs w:val="24"/>
                <w:vertAlign w:val="baseline"/>
              </w:rPr>
            </w:pPr>
            <w:r>
              <w:rPr>
                <w:rFonts w:hint="eastAsia" w:ascii="宋体" w:hAnsi="宋体" w:eastAsia="宋体" w:cs="宋体"/>
                <w:b w:val="0"/>
                <w:bCs/>
                <w:snapToGrid/>
                <w:color w:val="auto"/>
                <w:sz w:val="24"/>
                <w:szCs w:val="24"/>
                <w:vertAlign w:val="baseline"/>
              </w:rPr>
              <w:t>④</w:t>
            </w:r>
            <w:r>
              <w:rPr>
                <w:rFonts w:hint="eastAsia" w:eastAsia="宋体"/>
                <w:b w:val="0"/>
                <w:bCs/>
                <w:snapToGrid/>
                <w:color w:val="auto"/>
                <w:sz w:val="24"/>
                <w:szCs w:val="24"/>
                <w:vertAlign w:val="baseline"/>
              </w:rPr>
              <w:t>设备清洗水：本项目生产过程中需要清洗的设备有变蛋一体化机、腌制桶、油炸锅等设备</w:t>
            </w:r>
            <w:r>
              <w:rPr>
                <w:rFonts w:hint="eastAsia"/>
                <w:b w:val="0"/>
                <w:bCs/>
                <w:snapToGrid/>
                <w:color w:val="auto"/>
                <w:sz w:val="24"/>
                <w:szCs w:val="24"/>
                <w:vertAlign w:val="baseline"/>
                <w:lang w:eastAsia="zh-CN"/>
              </w:rPr>
              <w:t>，</w:t>
            </w:r>
            <w:r>
              <w:rPr>
                <w:rFonts w:hint="eastAsia" w:eastAsia="宋体"/>
                <w:b w:val="0"/>
                <w:bCs/>
                <w:snapToGrid/>
                <w:color w:val="auto"/>
                <w:sz w:val="24"/>
                <w:szCs w:val="24"/>
                <w:vertAlign w:val="baseline"/>
              </w:rPr>
              <w:t>设备清洗用水量</w:t>
            </w:r>
            <w:r>
              <w:rPr>
                <w:rFonts w:hint="eastAsia"/>
                <w:b w:val="0"/>
                <w:bCs/>
                <w:snapToGrid/>
                <w:color w:val="auto"/>
                <w:sz w:val="24"/>
                <w:szCs w:val="24"/>
                <w:vertAlign w:val="baseline"/>
                <w:lang w:val="en-US" w:eastAsia="zh-CN"/>
              </w:rPr>
              <w:t>详见下表</w:t>
            </w:r>
            <w:r>
              <w:rPr>
                <w:rFonts w:hint="eastAsia" w:eastAsia="宋体"/>
                <w:b w:val="0"/>
                <w:bCs/>
                <w:snapToGrid/>
                <w:color w:val="auto"/>
                <w:sz w:val="24"/>
                <w:szCs w:val="24"/>
                <w:vertAlign w:val="baseline"/>
              </w:rPr>
              <w:t>。</w:t>
            </w:r>
          </w:p>
          <w:p w14:paraId="2FA084C4">
            <w:pPr>
              <w:pStyle w:val="2"/>
              <w:overflowPunct w:val="0"/>
              <w:spacing w:after="0" w:line="360" w:lineRule="auto"/>
              <w:jc w:val="center"/>
              <w:rPr>
                <w:rFonts w:hint="eastAsia" w:eastAsia="宋体"/>
                <w:b w:val="0"/>
                <w:bCs/>
                <w:snapToGrid/>
                <w:color w:val="auto"/>
                <w:sz w:val="24"/>
                <w:szCs w:val="24"/>
                <w:vertAlign w:val="baseline"/>
              </w:rPr>
            </w:pPr>
            <w:r>
              <w:rPr>
                <w:rFonts w:hint="default" w:ascii="宋体" w:eastAsia="宋体"/>
                <w:b/>
                <w:color w:val="auto"/>
                <w:sz w:val="21"/>
                <w:szCs w:val="21"/>
              </w:rPr>
              <w:t>表</w:t>
            </w:r>
            <w:r>
              <w:rPr>
                <w:rFonts w:hint="eastAsia"/>
                <w:b/>
                <w:color w:val="auto"/>
                <w:sz w:val="21"/>
                <w:szCs w:val="21"/>
              </w:rPr>
              <w:t>4-</w:t>
            </w:r>
            <w:r>
              <w:rPr>
                <w:rFonts w:hint="default" w:ascii="宋体" w:eastAsia="宋体"/>
                <w:b/>
                <w:color w:val="auto"/>
                <w:sz w:val="21"/>
                <w:szCs w:val="21"/>
              </w:rPr>
              <w:t>9  本项目</w:t>
            </w:r>
            <w:r>
              <w:rPr>
                <w:rFonts w:hint="eastAsia" w:ascii="宋体"/>
                <w:b/>
                <w:color w:val="auto"/>
                <w:sz w:val="21"/>
                <w:szCs w:val="21"/>
                <w:lang w:val="en-US" w:eastAsia="zh-CN"/>
              </w:rPr>
              <w:t>设备</w:t>
            </w:r>
            <w:r>
              <w:rPr>
                <w:rFonts w:hint="default" w:ascii="宋体" w:eastAsia="宋体"/>
                <w:b/>
                <w:color w:val="auto"/>
                <w:sz w:val="21"/>
                <w:szCs w:val="21"/>
              </w:rPr>
              <w:t>用水情况一览表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677"/>
              <w:gridCol w:w="1810"/>
              <w:gridCol w:w="1129"/>
              <w:gridCol w:w="1710"/>
              <w:gridCol w:w="1710"/>
            </w:tblGrid>
            <w:tr w14:paraId="6AAC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B2A4DB">
                  <w:pPr>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序号</w:t>
                  </w:r>
                </w:p>
              </w:tc>
              <w:tc>
                <w:tcPr>
                  <w:tcW w:w="9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8BD71B">
                  <w:pPr>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设备名称</w:t>
                  </w:r>
                </w:p>
              </w:tc>
              <w:tc>
                <w:tcPr>
                  <w:tcW w:w="99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471342">
                  <w:pPr>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val="en-US" w:eastAsia="zh-CN"/>
                    </w:rPr>
                    <w:t>用水标准</w:t>
                  </w:r>
                </w:p>
              </w:tc>
              <w:tc>
                <w:tcPr>
                  <w:tcW w:w="6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BB01B2">
                  <w:pPr>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数量</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E6F637">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每年清洗次数</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16E32E">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用水量  t/a</w:t>
                  </w:r>
                </w:p>
              </w:tc>
            </w:tr>
            <w:tr w14:paraId="39C3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46F61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4A14CD">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粉丝生产线</w:t>
                  </w:r>
                </w:p>
              </w:tc>
              <w:tc>
                <w:tcPr>
                  <w:tcW w:w="99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255A8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0.03t/条·次</w:t>
                  </w:r>
                </w:p>
              </w:tc>
              <w:tc>
                <w:tcPr>
                  <w:tcW w:w="6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5F2360">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条</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4B3D5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A1A8B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0.6</w:t>
                  </w:r>
                </w:p>
              </w:tc>
            </w:tr>
            <w:tr w14:paraId="1E61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A3FDF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E56B9E">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松花蛋生产线</w:t>
                  </w:r>
                </w:p>
              </w:tc>
              <w:tc>
                <w:tcPr>
                  <w:tcW w:w="99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605AC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0.05t/条·次</w:t>
                  </w:r>
                </w:p>
              </w:tc>
              <w:tc>
                <w:tcPr>
                  <w:tcW w:w="6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73DDBC">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条</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D0429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8F498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0E4A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42E02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9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CBCDF4">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变蛋生产线</w:t>
                  </w:r>
                </w:p>
              </w:tc>
              <w:tc>
                <w:tcPr>
                  <w:tcW w:w="99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E07EB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t/条·次</w:t>
                  </w:r>
                </w:p>
              </w:tc>
              <w:tc>
                <w:tcPr>
                  <w:tcW w:w="6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F854B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条</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1F792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ADFB5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5186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3300F5">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9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0C5961">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豆制品生产线</w:t>
                  </w:r>
                </w:p>
              </w:tc>
              <w:tc>
                <w:tcPr>
                  <w:tcW w:w="99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346F9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t/条·次</w:t>
                  </w:r>
                </w:p>
              </w:tc>
              <w:tc>
                <w:tcPr>
                  <w:tcW w:w="6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E47F5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条</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78367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2641F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0.6</w:t>
                  </w:r>
                </w:p>
              </w:tc>
            </w:tr>
            <w:tr w14:paraId="77F6B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BC13A6">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9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F3DAEC">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腌制桶</w:t>
                  </w:r>
                </w:p>
              </w:tc>
              <w:tc>
                <w:tcPr>
                  <w:tcW w:w="99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1BCBF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0.0001t/个·次</w:t>
                  </w:r>
                </w:p>
              </w:tc>
              <w:tc>
                <w:tcPr>
                  <w:tcW w:w="6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A92C5B">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300</w:t>
                  </w:r>
                  <w:r>
                    <w:rPr>
                      <w:rFonts w:hint="default" w:ascii="Times New Roman" w:hAnsi="Times New Roman" w:eastAsia="宋体" w:cs="Times New Roman"/>
                      <w:color w:val="auto"/>
                      <w:sz w:val="21"/>
                      <w:szCs w:val="21"/>
                    </w:rPr>
                    <w:t>个</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9F53B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67410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0.9</w:t>
                  </w:r>
                </w:p>
              </w:tc>
            </w:tr>
            <w:tr w14:paraId="3239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B78C3E">
                  <w:pPr>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9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F98BAD">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油炸锅</w:t>
                  </w:r>
                </w:p>
              </w:tc>
              <w:tc>
                <w:tcPr>
                  <w:tcW w:w="99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A3C3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台</w:t>
                  </w:r>
                  <w:r>
                    <w:rPr>
                      <w:rFonts w:hint="default" w:ascii="Times New Roman" w:hAnsi="Times New Roman" w:cs="Times New Roman"/>
                      <w:color w:val="auto"/>
                      <w:sz w:val="21"/>
                      <w:szCs w:val="21"/>
                    </w:rPr>
                    <w:t>·次</w:t>
                  </w:r>
                </w:p>
              </w:tc>
              <w:tc>
                <w:tcPr>
                  <w:tcW w:w="6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B515A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r>
                    <w:rPr>
                      <w:rFonts w:hint="default" w:ascii="Times New Roman" w:hAnsi="Times New Roman" w:eastAsia="宋体" w:cs="Times New Roman"/>
                      <w:color w:val="auto"/>
                      <w:sz w:val="21"/>
                      <w:szCs w:val="21"/>
                    </w:rPr>
                    <w:t>台</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7BFC0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AFF46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0.04</w:t>
                  </w:r>
                </w:p>
              </w:tc>
            </w:tr>
            <w:tr w14:paraId="7BE9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8BAA60">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9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76B2C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99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D5E1C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6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40C6D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E493D4">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03884F">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4.14</w:t>
                  </w:r>
                </w:p>
              </w:tc>
            </w:tr>
          </w:tbl>
          <w:p w14:paraId="626501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snapToGrid/>
                <w:color w:val="auto"/>
                <w:sz w:val="24"/>
                <w:szCs w:val="24"/>
                <w:vertAlign w:val="baseline"/>
              </w:rPr>
            </w:pPr>
            <w:r>
              <w:rPr>
                <w:rFonts w:hint="eastAsia"/>
                <w:b w:val="0"/>
                <w:bCs/>
                <w:snapToGrid/>
                <w:color w:val="auto"/>
                <w:sz w:val="24"/>
                <w:szCs w:val="24"/>
                <w:vertAlign w:val="baseline"/>
                <w:lang w:val="en-US" w:eastAsia="zh-CN"/>
              </w:rPr>
              <w:t>综上，</w:t>
            </w:r>
            <w:r>
              <w:rPr>
                <w:rFonts w:hint="eastAsia" w:eastAsia="宋体"/>
                <w:b w:val="0"/>
                <w:bCs/>
                <w:snapToGrid/>
                <w:color w:val="auto"/>
                <w:sz w:val="24"/>
                <w:szCs w:val="24"/>
                <w:vertAlign w:val="baseline"/>
              </w:rPr>
              <w:t>设备清洗用水量为</w:t>
            </w:r>
            <w:r>
              <w:rPr>
                <w:rFonts w:hint="eastAsia"/>
                <w:b w:val="0"/>
                <w:bCs/>
                <w:snapToGrid/>
                <w:color w:val="auto"/>
                <w:sz w:val="24"/>
                <w:szCs w:val="24"/>
                <w:vertAlign w:val="baseline"/>
                <w:lang w:val="en-US" w:eastAsia="zh-CN"/>
              </w:rPr>
              <w:t>4.14</w:t>
            </w:r>
            <w:r>
              <w:rPr>
                <w:rFonts w:hint="eastAsia" w:eastAsia="宋体"/>
                <w:b w:val="0"/>
                <w:bCs/>
                <w:snapToGrid/>
                <w:color w:val="auto"/>
                <w:sz w:val="24"/>
                <w:szCs w:val="24"/>
                <w:vertAlign w:val="baseline"/>
              </w:rPr>
              <w:t>t/a，排水量按90%计，则废水产生量为</w:t>
            </w:r>
            <w:r>
              <w:rPr>
                <w:rFonts w:hint="eastAsia"/>
                <w:b w:val="0"/>
                <w:bCs/>
                <w:snapToGrid/>
                <w:color w:val="auto"/>
                <w:sz w:val="24"/>
                <w:szCs w:val="24"/>
                <w:vertAlign w:val="baseline"/>
                <w:lang w:val="en-US" w:eastAsia="zh-CN"/>
              </w:rPr>
              <w:t>3.73</w:t>
            </w:r>
            <w:r>
              <w:rPr>
                <w:rFonts w:hint="eastAsia" w:eastAsia="宋体"/>
                <w:b w:val="0"/>
                <w:bCs/>
                <w:snapToGrid/>
                <w:color w:val="auto"/>
                <w:sz w:val="24"/>
                <w:szCs w:val="24"/>
                <w:vertAlign w:val="baseline"/>
              </w:rPr>
              <w:t>t/a。</w:t>
            </w:r>
          </w:p>
          <w:p w14:paraId="257D7E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snapToGrid/>
                <w:color w:val="auto"/>
                <w:sz w:val="24"/>
                <w:szCs w:val="24"/>
                <w:vertAlign w:val="baseline"/>
              </w:rPr>
            </w:pPr>
            <w:r>
              <w:rPr>
                <w:rFonts w:hint="eastAsia" w:ascii="宋体" w:hAnsi="宋体" w:eastAsia="宋体" w:cs="宋体"/>
                <w:b w:val="0"/>
                <w:bCs/>
                <w:snapToGrid/>
                <w:color w:val="auto"/>
                <w:sz w:val="24"/>
                <w:szCs w:val="24"/>
                <w:vertAlign w:val="baseline"/>
              </w:rPr>
              <w:t>⑤</w:t>
            </w:r>
            <w:r>
              <w:rPr>
                <w:rFonts w:hint="eastAsia" w:eastAsia="宋体"/>
                <w:b w:val="0"/>
                <w:bCs/>
                <w:snapToGrid/>
                <w:color w:val="auto"/>
                <w:sz w:val="24"/>
                <w:szCs w:val="24"/>
                <w:vertAlign w:val="baseline"/>
              </w:rPr>
              <w:t>地面</w:t>
            </w:r>
            <w:r>
              <w:rPr>
                <w:rFonts w:hint="eastAsia"/>
                <w:b w:val="0"/>
                <w:bCs/>
                <w:snapToGrid/>
                <w:color w:val="auto"/>
                <w:sz w:val="24"/>
                <w:szCs w:val="24"/>
                <w:vertAlign w:val="baseline"/>
                <w:lang w:val="en-US" w:eastAsia="zh-CN"/>
              </w:rPr>
              <w:t>保洁</w:t>
            </w:r>
            <w:r>
              <w:rPr>
                <w:rFonts w:hint="eastAsia" w:eastAsia="宋体"/>
                <w:b w:val="0"/>
                <w:bCs/>
                <w:snapToGrid/>
                <w:color w:val="auto"/>
                <w:sz w:val="24"/>
                <w:szCs w:val="24"/>
                <w:vertAlign w:val="baseline"/>
              </w:rPr>
              <w:t>水：</w:t>
            </w:r>
            <w:r>
              <w:rPr>
                <w:rFonts w:hint="eastAsia"/>
                <w:b w:val="0"/>
                <w:bCs/>
                <w:snapToGrid/>
                <w:color w:val="auto"/>
                <w:sz w:val="24"/>
                <w:szCs w:val="24"/>
                <w:vertAlign w:val="baseline"/>
                <w:lang w:val="en-US" w:eastAsia="zh-CN"/>
              </w:rPr>
              <w:t>根据业主提供的资料</w:t>
            </w:r>
            <w:r>
              <w:rPr>
                <w:rFonts w:hint="eastAsia" w:eastAsia="宋体"/>
                <w:b w:val="0"/>
                <w:bCs/>
                <w:snapToGrid/>
                <w:color w:val="auto"/>
                <w:sz w:val="24"/>
                <w:szCs w:val="24"/>
                <w:vertAlign w:val="baseline"/>
              </w:rPr>
              <w:t>，地面保洁用水量为</w:t>
            </w:r>
            <w:r>
              <w:rPr>
                <w:rFonts w:hint="eastAsia"/>
                <w:b w:val="0"/>
                <w:bCs/>
                <w:snapToGrid/>
                <w:color w:val="auto"/>
                <w:sz w:val="24"/>
                <w:szCs w:val="24"/>
                <w:vertAlign w:val="baseline"/>
                <w:lang w:val="en-US" w:eastAsia="zh-CN"/>
              </w:rPr>
              <w:t>0.2</w:t>
            </w:r>
            <w:r>
              <w:rPr>
                <w:rFonts w:hint="eastAsia" w:eastAsia="宋体"/>
                <w:b w:val="0"/>
                <w:bCs/>
                <w:snapToGrid/>
                <w:color w:val="auto"/>
                <w:sz w:val="24"/>
                <w:szCs w:val="24"/>
                <w:vertAlign w:val="baseline"/>
              </w:rPr>
              <w:t>t/d(</w:t>
            </w:r>
            <w:r>
              <w:rPr>
                <w:rFonts w:hint="eastAsia"/>
                <w:b w:val="0"/>
                <w:bCs/>
                <w:snapToGrid/>
                <w:color w:val="auto"/>
                <w:sz w:val="24"/>
                <w:szCs w:val="24"/>
                <w:vertAlign w:val="baseline"/>
                <w:lang w:val="en-US" w:eastAsia="zh-CN"/>
              </w:rPr>
              <w:t>60</w:t>
            </w:r>
            <w:r>
              <w:rPr>
                <w:rFonts w:hint="eastAsia" w:eastAsia="宋体"/>
                <w:b w:val="0"/>
                <w:bCs/>
                <w:snapToGrid/>
                <w:color w:val="auto"/>
                <w:sz w:val="24"/>
                <w:szCs w:val="24"/>
                <w:vertAlign w:val="baseline"/>
              </w:rPr>
              <w:t>t</w:t>
            </w:r>
            <w:r>
              <w:rPr>
                <w:rFonts w:hint="eastAsia"/>
                <w:b w:val="0"/>
                <w:bCs/>
                <w:snapToGrid/>
                <w:color w:val="auto"/>
                <w:sz w:val="24"/>
                <w:szCs w:val="24"/>
                <w:vertAlign w:val="baseline"/>
                <w:lang w:val="en-US" w:eastAsia="zh-CN"/>
              </w:rPr>
              <w:t>/</w:t>
            </w:r>
            <w:r>
              <w:rPr>
                <w:rFonts w:hint="eastAsia" w:eastAsia="宋体"/>
                <w:b w:val="0"/>
                <w:bCs/>
                <w:snapToGrid/>
                <w:color w:val="auto"/>
                <w:sz w:val="24"/>
                <w:szCs w:val="24"/>
                <w:vertAlign w:val="baseline"/>
              </w:rPr>
              <w:t>a)。废水排放系数按 90%计</w:t>
            </w:r>
            <w:r>
              <w:rPr>
                <w:rFonts w:hint="eastAsia"/>
                <w:b w:val="0"/>
                <w:bCs/>
                <w:snapToGrid/>
                <w:color w:val="auto"/>
                <w:sz w:val="24"/>
                <w:szCs w:val="24"/>
                <w:vertAlign w:val="baseline"/>
                <w:lang w:eastAsia="zh-CN"/>
              </w:rPr>
              <w:t>，</w:t>
            </w:r>
            <w:r>
              <w:rPr>
                <w:rFonts w:hint="eastAsia" w:eastAsia="宋体"/>
                <w:b w:val="0"/>
                <w:bCs/>
                <w:snapToGrid/>
                <w:color w:val="auto"/>
                <w:sz w:val="24"/>
                <w:szCs w:val="24"/>
                <w:vertAlign w:val="baseline"/>
              </w:rPr>
              <w:t xml:space="preserve">则车间地面保洁废水为 </w:t>
            </w:r>
            <w:r>
              <w:rPr>
                <w:rFonts w:hint="eastAsia"/>
                <w:b w:val="0"/>
                <w:bCs/>
                <w:snapToGrid/>
                <w:color w:val="auto"/>
                <w:sz w:val="24"/>
                <w:szCs w:val="24"/>
                <w:vertAlign w:val="baseline"/>
                <w:lang w:val="en-US" w:eastAsia="zh-CN"/>
              </w:rPr>
              <w:t>0.18</w:t>
            </w:r>
            <w:r>
              <w:rPr>
                <w:rFonts w:hint="eastAsia" w:eastAsia="宋体"/>
                <w:b w:val="0"/>
                <w:bCs/>
                <w:snapToGrid/>
                <w:color w:val="auto"/>
                <w:sz w:val="24"/>
                <w:szCs w:val="24"/>
                <w:vertAlign w:val="baseline"/>
              </w:rPr>
              <w:t>t/d(</w:t>
            </w:r>
            <w:r>
              <w:rPr>
                <w:rFonts w:hint="eastAsia"/>
                <w:b w:val="0"/>
                <w:bCs/>
                <w:snapToGrid/>
                <w:color w:val="auto"/>
                <w:sz w:val="24"/>
                <w:szCs w:val="24"/>
                <w:vertAlign w:val="baseline"/>
                <w:lang w:val="en-US" w:eastAsia="zh-CN"/>
              </w:rPr>
              <w:t>54</w:t>
            </w:r>
            <w:r>
              <w:rPr>
                <w:rFonts w:hint="eastAsia" w:eastAsia="宋体"/>
                <w:b w:val="0"/>
                <w:bCs/>
                <w:snapToGrid/>
                <w:color w:val="auto"/>
                <w:sz w:val="24"/>
                <w:szCs w:val="24"/>
                <w:vertAlign w:val="baseline"/>
              </w:rPr>
              <w:t>ta)。</w:t>
            </w:r>
          </w:p>
          <w:p w14:paraId="1C4165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 w:val="0"/>
                <w:bCs/>
                <w:snapToGrid/>
                <w:color w:val="auto"/>
                <w:sz w:val="24"/>
                <w:szCs w:val="24"/>
                <w:vertAlign w:val="baseline"/>
                <w:lang w:val="en-US" w:eastAsia="zh-CN"/>
              </w:rPr>
            </w:pPr>
            <w:r>
              <w:rPr>
                <w:rFonts w:hint="eastAsia" w:ascii="宋体" w:hAnsi="宋体" w:eastAsia="宋体" w:cs="宋体"/>
                <w:b w:val="0"/>
                <w:bCs/>
                <w:snapToGrid/>
                <w:color w:val="auto"/>
                <w:sz w:val="24"/>
                <w:szCs w:val="24"/>
                <w:vertAlign w:val="baseline"/>
              </w:rPr>
              <w:t>⑥</w:t>
            </w:r>
            <w:r>
              <w:rPr>
                <w:rFonts w:hint="eastAsia" w:eastAsia="宋体"/>
                <w:b w:val="0"/>
                <w:bCs/>
                <w:snapToGrid/>
                <w:color w:val="auto"/>
                <w:sz w:val="24"/>
                <w:szCs w:val="24"/>
                <w:vertAlign w:val="baseline"/>
              </w:rPr>
              <w:t>蒸汽冷凝水：粉丝成型和烘干采用蒸汽间接加热，蒸汽</w:t>
            </w:r>
            <w:r>
              <w:rPr>
                <w:rFonts w:hint="eastAsia"/>
                <w:b w:val="0"/>
                <w:bCs/>
                <w:snapToGrid/>
                <w:color w:val="auto"/>
                <w:sz w:val="24"/>
                <w:szCs w:val="24"/>
                <w:vertAlign w:val="baseline"/>
                <w:lang w:val="en-US" w:eastAsia="zh-CN"/>
              </w:rPr>
              <w:t>产生</w:t>
            </w:r>
            <w:r>
              <w:rPr>
                <w:rFonts w:hint="eastAsia" w:eastAsia="宋体"/>
                <w:b w:val="0"/>
                <w:bCs/>
                <w:snapToGrid/>
                <w:color w:val="auto"/>
                <w:sz w:val="24"/>
                <w:szCs w:val="24"/>
                <w:vertAlign w:val="baseline"/>
              </w:rPr>
              <w:t>量为</w:t>
            </w:r>
            <w:r>
              <w:rPr>
                <w:rFonts w:hint="eastAsia"/>
                <w:b w:val="0"/>
                <w:bCs/>
                <w:snapToGrid/>
                <w:color w:val="auto"/>
                <w:sz w:val="24"/>
                <w:szCs w:val="24"/>
                <w:vertAlign w:val="baseline"/>
                <w:lang w:val="en-US" w:eastAsia="zh-CN"/>
              </w:rPr>
              <w:t>210</w:t>
            </w:r>
            <w:r>
              <w:rPr>
                <w:rFonts w:hint="eastAsia" w:eastAsia="宋体"/>
                <w:b w:val="0"/>
                <w:bCs/>
                <w:snapToGrid/>
                <w:color w:val="auto"/>
                <w:sz w:val="24"/>
                <w:szCs w:val="24"/>
                <w:vertAlign w:val="baseline"/>
              </w:rPr>
              <w:t>t/a，全部冷凝为水后，蒸汽冷凝水通过管道系统回流到蒸汽发生器的入口</w:t>
            </w:r>
            <w:r>
              <w:rPr>
                <w:rFonts w:hint="eastAsia"/>
                <w:b w:val="0"/>
                <w:bCs/>
                <w:snapToGrid/>
                <w:color w:val="auto"/>
                <w:sz w:val="24"/>
                <w:szCs w:val="24"/>
                <w:vertAlign w:val="baseline"/>
                <w:lang w:eastAsia="zh-CN"/>
              </w:rPr>
              <w:t>，</w:t>
            </w:r>
            <w:r>
              <w:rPr>
                <w:rFonts w:hint="eastAsia"/>
                <w:b w:val="0"/>
                <w:bCs/>
                <w:snapToGrid/>
                <w:color w:val="auto"/>
                <w:sz w:val="24"/>
                <w:szCs w:val="24"/>
                <w:vertAlign w:val="baseline"/>
                <w:lang w:val="en-US" w:eastAsia="zh-CN"/>
              </w:rPr>
              <w:t>冷凝水回到蒸汽发生器后，再次与进入的新鲜补给水混合，进入下一轮的加热、蒸发和循环过程</w:t>
            </w:r>
            <w:r>
              <w:rPr>
                <w:rFonts w:hint="eastAsia" w:eastAsia="宋体"/>
                <w:b w:val="0"/>
                <w:bCs/>
                <w:snapToGrid/>
                <w:color w:val="auto"/>
                <w:sz w:val="24"/>
                <w:szCs w:val="24"/>
                <w:vertAlign w:val="baseline"/>
              </w:rPr>
              <w:t>。</w:t>
            </w:r>
            <w:r>
              <w:rPr>
                <w:rFonts w:hint="eastAsia"/>
                <w:b w:val="0"/>
                <w:bCs/>
                <w:snapToGrid/>
                <w:color w:val="auto"/>
                <w:sz w:val="24"/>
                <w:szCs w:val="24"/>
                <w:vertAlign w:val="baseline"/>
                <w:lang w:val="en-US" w:eastAsia="zh-CN"/>
              </w:rPr>
              <w:t>根据企业提供的信息，蒸汽用水量为210t/a，新鲜水补给量为蒸汽用水量的5%，则新鲜水补给量为10.5t/a。软水总用量为220.5t/a，此过程无产生废水。</w:t>
            </w:r>
          </w:p>
          <w:p w14:paraId="37FF92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 w:val="0"/>
                <w:bCs/>
                <w:snapToGrid/>
                <w:color w:val="auto"/>
                <w:sz w:val="24"/>
                <w:szCs w:val="24"/>
                <w:vertAlign w:val="baseline"/>
                <w:lang w:val="en-US" w:eastAsia="zh-CN"/>
              </w:rPr>
            </w:pPr>
            <w:r>
              <w:rPr>
                <w:rFonts w:hint="eastAsia" w:ascii="宋体" w:hAnsi="宋体" w:eastAsia="宋体" w:cs="宋体"/>
                <w:b w:val="0"/>
                <w:bCs/>
                <w:snapToGrid/>
                <w:color w:val="auto"/>
                <w:sz w:val="24"/>
                <w:szCs w:val="24"/>
                <w:vertAlign w:val="baseline"/>
              </w:rPr>
              <w:t>⑦</w:t>
            </w:r>
            <w:r>
              <w:rPr>
                <w:rFonts w:hint="eastAsia"/>
                <w:b w:val="0"/>
                <w:bCs/>
                <w:snapToGrid/>
                <w:color w:val="auto"/>
                <w:sz w:val="24"/>
                <w:szCs w:val="24"/>
                <w:vertAlign w:val="baseline"/>
                <w:lang w:val="en-US" w:eastAsia="zh-CN"/>
              </w:rPr>
              <w:t>鸭蛋清洗废水：外购的鸭蛋在选蛋分级前需在圆形水池（直径1m，高度1.2m）里过水清洗，每次储水0.5t，定期补水，补水量为0.5t/a，半年换一次水，故鸭蛋清洗废水为1t/a。</w:t>
            </w:r>
          </w:p>
          <w:p w14:paraId="5266507C">
            <w:pPr>
              <w:pStyle w:val="3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eastAsia" w:ascii="宋体" w:hAnsi="宋体" w:eastAsia="宋体" w:cs="宋体"/>
                <w:b w:val="0"/>
                <w:bCs/>
                <w:snapToGrid/>
                <w:color w:val="auto"/>
                <w:kern w:val="2"/>
                <w:sz w:val="24"/>
                <w:szCs w:val="24"/>
                <w:vertAlign w:val="baseline"/>
                <w:lang w:val="en-US" w:eastAsia="zh-CN" w:bidi="ar-SA"/>
              </w:rPr>
            </w:pPr>
            <w:r>
              <w:rPr>
                <w:rFonts w:hint="eastAsia" w:ascii="宋体" w:hAnsi="宋体" w:eastAsia="宋体" w:cs="宋体"/>
                <w:b w:val="0"/>
                <w:bCs/>
                <w:snapToGrid/>
                <w:color w:val="auto"/>
                <w:kern w:val="2"/>
                <w:sz w:val="24"/>
                <w:szCs w:val="24"/>
                <w:vertAlign w:val="baseline"/>
                <w:lang w:val="en-US" w:eastAsia="zh-CN" w:bidi="ar-SA"/>
              </w:rPr>
              <w:fldChar w:fldCharType="begin"/>
            </w:r>
            <w:r>
              <w:rPr>
                <w:rFonts w:hint="eastAsia" w:ascii="宋体" w:hAnsi="宋体" w:eastAsia="宋体" w:cs="宋体"/>
                <w:b w:val="0"/>
                <w:bCs/>
                <w:snapToGrid/>
                <w:color w:val="auto"/>
                <w:kern w:val="2"/>
                <w:sz w:val="24"/>
                <w:szCs w:val="24"/>
                <w:vertAlign w:val="baseline"/>
                <w:lang w:val="en-US" w:eastAsia="zh-CN" w:bidi="ar-SA"/>
              </w:rPr>
              <w:instrText xml:space="preserve"> = 8 \* GB3 \* MERGEFORMAT </w:instrText>
            </w:r>
            <w:r>
              <w:rPr>
                <w:rFonts w:hint="eastAsia" w:ascii="宋体" w:hAnsi="宋体" w:eastAsia="宋体" w:cs="宋体"/>
                <w:b w:val="0"/>
                <w:bCs/>
                <w:snapToGrid/>
                <w:color w:val="auto"/>
                <w:kern w:val="2"/>
                <w:sz w:val="24"/>
                <w:szCs w:val="24"/>
                <w:vertAlign w:val="baseline"/>
                <w:lang w:val="en-US" w:eastAsia="zh-CN" w:bidi="ar-SA"/>
              </w:rPr>
              <w:fldChar w:fldCharType="separate"/>
            </w:r>
            <w:r>
              <w:rPr>
                <w:rFonts w:hint="eastAsia" w:ascii="宋体" w:hAnsi="宋体" w:eastAsia="宋体" w:cs="宋体"/>
                <w:b w:val="0"/>
                <w:bCs/>
                <w:snapToGrid/>
                <w:color w:val="auto"/>
                <w:kern w:val="2"/>
                <w:sz w:val="24"/>
                <w:szCs w:val="24"/>
                <w:vertAlign w:val="baseline"/>
                <w:lang w:val="en-US" w:eastAsia="zh-CN" w:bidi="ar-SA"/>
              </w:rPr>
              <w:t>⑧</w:t>
            </w:r>
            <w:r>
              <w:rPr>
                <w:rFonts w:hint="eastAsia" w:ascii="宋体" w:hAnsi="宋体" w:eastAsia="宋体" w:cs="宋体"/>
                <w:b w:val="0"/>
                <w:bCs/>
                <w:snapToGrid/>
                <w:color w:val="auto"/>
                <w:kern w:val="2"/>
                <w:sz w:val="24"/>
                <w:szCs w:val="24"/>
                <w:vertAlign w:val="baseline"/>
                <w:lang w:val="en-US" w:eastAsia="zh-CN" w:bidi="ar-SA"/>
              </w:rPr>
              <w:fldChar w:fldCharType="end"/>
            </w:r>
            <w:r>
              <w:rPr>
                <w:rFonts w:hint="eastAsia" w:ascii="宋体" w:hAnsi="宋体" w:eastAsia="宋体" w:cs="宋体"/>
                <w:b w:val="0"/>
                <w:bCs/>
                <w:snapToGrid/>
                <w:color w:val="auto"/>
                <w:kern w:val="2"/>
                <w:sz w:val="24"/>
                <w:szCs w:val="24"/>
                <w:vertAlign w:val="baseline"/>
                <w:lang w:val="en-US" w:eastAsia="zh-CN" w:bidi="ar-SA"/>
              </w:rPr>
              <w:t>软水制备浓水：本项目蒸汽发生器需要用软水，制软水用水量为220</w:t>
            </w:r>
            <w:r>
              <w:rPr>
                <w:rFonts w:hint="eastAsia" w:hAnsi="宋体" w:cs="宋体"/>
                <w:b w:val="0"/>
                <w:bCs/>
                <w:snapToGrid/>
                <w:color w:val="auto"/>
                <w:kern w:val="2"/>
                <w:sz w:val="24"/>
                <w:szCs w:val="24"/>
                <w:vertAlign w:val="baseline"/>
                <w:lang w:val="en-US" w:eastAsia="zh-CN" w:bidi="ar-SA"/>
              </w:rPr>
              <w:t>.</w:t>
            </w:r>
            <w:r>
              <w:rPr>
                <w:rFonts w:hint="eastAsia" w:ascii="宋体" w:hAnsi="宋体" w:eastAsia="宋体" w:cs="宋体"/>
                <w:b w:val="0"/>
                <w:bCs/>
                <w:snapToGrid/>
                <w:color w:val="auto"/>
                <w:kern w:val="2"/>
                <w:sz w:val="24"/>
                <w:szCs w:val="24"/>
                <w:vertAlign w:val="baseline"/>
                <w:lang w:val="en-US" w:eastAsia="zh-CN" w:bidi="ar-SA"/>
              </w:rPr>
              <w:t>5t/a。根据软水制备效率75%，共计需要自来水294t/a，那么产生的软水制备尾水为73</w:t>
            </w:r>
            <w:r>
              <w:rPr>
                <w:rFonts w:hint="eastAsia" w:hAnsi="宋体" w:cs="宋体"/>
                <w:b w:val="0"/>
                <w:bCs/>
                <w:snapToGrid/>
                <w:color w:val="auto"/>
                <w:kern w:val="2"/>
                <w:sz w:val="24"/>
                <w:szCs w:val="24"/>
                <w:vertAlign w:val="baseline"/>
                <w:lang w:val="en-US" w:eastAsia="zh-CN" w:bidi="ar-SA"/>
              </w:rPr>
              <w:t>.</w:t>
            </w:r>
            <w:r>
              <w:rPr>
                <w:rFonts w:hint="eastAsia" w:ascii="宋体" w:hAnsi="宋体" w:eastAsia="宋体" w:cs="宋体"/>
                <w:b w:val="0"/>
                <w:bCs/>
                <w:snapToGrid/>
                <w:color w:val="auto"/>
                <w:kern w:val="2"/>
                <w:sz w:val="24"/>
                <w:szCs w:val="24"/>
                <w:vertAlign w:val="baseline"/>
                <w:lang w:val="en-US" w:eastAsia="zh-CN" w:bidi="ar-SA"/>
              </w:rPr>
              <w:t>5t/a。</w:t>
            </w:r>
          </w:p>
          <w:p w14:paraId="149CE531">
            <w:pPr>
              <w:keepNext w:val="0"/>
              <w:keepLines w:val="0"/>
              <w:pageBreakBefore w:val="0"/>
              <w:widowControl w:val="0"/>
              <w:kinsoku/>
              <w:wordWrap/>
              <w:overflowPunct/>
              <w:topLinePunct w:val="0"/>
              <w:bidi w:val="0"/>
              <w:snapToGrid/>
              <w:spacing w:line="360" w:lineRule="auto"/>
              <w:ind w:firstLine="480" w:firstLineChars="200"/>
              <w:rPr>
                <w:rFonts w:hint="default" w:ascii="宋体" w:hAnsi="宋体" w:eastAsia="宋体" w:cs="宋体"/>
                <w:b w:val="0"/>
                <w:bCs/>
                <w:snapToGrid/>
                <w:color w:val="auto"/>
                <w:kern w:val="2"/>
                <w:sz w:val="24"/>
                <w:szCs w:val="24"/>
                <w:vertAlign w:val="baseline"/>
                <w:lang w:val="en-US" w:eastAsia="zh-CN" w:bidi="ar-SA"/>
              </w:rPr>
            </w:pPr>
            <w:r>
              <w:rPr>
                <w:rFonts w:hint="default" w:ascii="宋体" w:hAnsi="宋体" w:eastAsia="宋体" w:cs="宋体"/>
                <w:b w:val="0"/>
                <w:bCs/>
                <w:snapToGrid/>
                <w:color w:val="auto"/>
                <w:kern w:val="2"/>
                <w:sz w:val="24"/>
                <w:szCs w:val="24"/>
                <w:vertAlign w:val="baseline"/>
                <w:lang w:val="en-US" w:eastAsia="zh-CN" w:bidi="ar-SA"/>
              </w:rPr>
              <w:fldChar w:fldCharType="begin"/>
            </w:r>
            <w:r>
              <w:rPr>
                <w:rFonts w:hint="default" w:ascii="宋体" w:hAnsi="宋体" w:eastAsia="宋体" w:cs="宋体"/>
                <w:b w:val="0"/>
                <w:bCs/>
                <w:snapToGrid/>
                <w:color w:val="auto"/>
                <w:kern w:val="2"/>
                <w:sz w:val="24"/>
                <w:szCs w:val="24"/>
                <w:vertAlign w:val="baseline"/>
                <w:lang w:val="en-US" w:eastAsia="zh-CN" w:bidi="ar-SA"/>
              </w:rPr>
              <w:instrText xml:space="preserve"> = 9 \* GB3 \* MERGEFORMAT </w:instrText>
            </w:r>
            <w:r>
              <w:rPr>
                <w:rFonts w:hint="default" w:ascii="宋体" w:hAnsi="宋体" w:eastAsia="宋体" w:cs="宋体"/>
                <w:b w:val="0"/>
                <w:bCs/>
                <w:snapToGrid/>
                <w:color w:val="auto"/>
                <w:kern w:val="2"/>
                <w:sz w:val="24"/>
                <w:szCs w:val="24"/>
                <w:vertAlign w:val="baseline"/>
                <w:lang w:val="en-US" w:eastAsia="zh-CN" w:bidi="ar-SA"/>
              </w:rPr>
              <w:fldChar w:fldCharType="separate"/>
            </w:r>
            <w:r>
              <w:rPr>
                <w:rFonts w:hint="eastAsia" w:ascii="宋体" w:hAnsi="宋体" w:eastAsia="宋体" w:cs="宋体"/>
                <w:b w:val="0"/>
                <w:bCs/>
                <w:snapToGrid/>
                <w:color w:val="auto"/>
                <w:kern w:val="2"/>
                <w:sz w:val="24"/>
                <w:szCs w:val="24"/>
                <w:vertAlign w:val="baseline"/>
                <w:lang w:val="en-US" w:eastAsia="zh-CN" w:bidi="ar-SA"/>
              </w:rPr>
              <w:t>⑨</w:t>
            </w:r>
            <w:r>
              <w:rPr>
                <w:rFonts w:hint="default" w:ascii="宋体" w:hAnsi="宋体" w:eastAsia="宋体" w:cs="宋体"/>
                <w:b w:val="0"/>
                <w:bCs/>
                <w:snapToGrid/>
                <w:color w:val="auto"/>
                <w:kern w:val="2"/>
                <w:sz w:val="24"/>
                <w:szCs w:val="24"/>
                <w:vertAlign w:val="baseline"/>
                <w:lang w:val="en-US" w:eastAsia="zh-CN" w:bidi="ar-SA"/>
              </w:rPr>
              <w:fldChar w:fldCharType="end"/>
            </w:r>
            <w:r>
              <w:rPr>
                <w:rFonts w:hint="default" w:ascii="宋体" w:hAnsi="宋体" w:eastAsia="宋体" w:cs="宋体"/>
                <w:b w:val="0"/>
                <w:bCs/>
                <w:snapToGrid/>
                <w:color w:val="auto"/>
                <w:kern w:val="2"/>
                <w:sz w:val="24"/>
                <w:szCs w:val="24"/>
                <w:vertAlign w:val="baseline"/>
                <w:lang w:val="en-US" w:eastAsia="zh-CN" w:bidi="ar-SA"/>
              </w:rPr>
              <w:t>锅炉排水：根据企业提供的资料，锅炉需定期排污水，锅炉排水系数取3%，</w:t>
            </w:r>
            <w:r>
              <w:rPr>
                <w:rFonts w:hint="eastAsia" w:ascii="宋体" w:hAnsi="宋体" w:eastAsia="宋体" w:cs="宋体"/>
                <w:b w:val="0"/>
                <w:bCs/>
                <w:snapToGrid/>
                <w:color w:val="auto"/>
                <w:kern w:val="2"/>
                <w:sz w:val="24"/>
                <w:szCs w:val="24"/>
                <w:vertAlign w:val="baseline"/>
                <w:lang w:val="en-US" w:eastAsia="zh-CN" w:bidi="ar-SA"/>
              </w:rPr>
              <w:t>项目蒸汽量为210t/a，</w:t>
            </w:r>
            <w:r>
              <w:rPr>
                <w:rFonts w:hint="default" w:ascii="宋体" w:hAnsi="宋体" w:eastAsia="宋体" w:cs="宋体"/>
                <w:b w:val="0"/>
                <w:bCs/>
                <w:snapToGrid/>
                <w:color w:val="auto"/>
                <w:kern w:val="2"/>
                <w:sz w:val="24"/>
                <w:szCs w:val="24"/>
                <w:vertAlign w:val="baseline"/>
                <w:lang w:val="en-US" w:eastAsia="zh-CN" w:bidi="ar-SA"/>
              </w:rPr>
              <w:t>则锅炉排水量为</w:t>
            </w:r>
            <w:r>
              <w:rPr>
                <w:rFonts w:hint="eastAsia" w:ascii="宋体" w:hAnsi="宋体" w:eastAsia="宋体" w:cs="宋体"/>
                <w:b w:val="0"/>
                <w:bCs/>
                <w:snapToGrid/>
                <w:color w:val="auto"/>
                <w:kern w:val="2"/>
                <w:sz w:val="24"/>
                <w:szCs w:val="24"/>
                <w:vertAlign w:val="baseline"/>
                <w:lang w:val="en-US" w:eastAsia="zh-CN" w:bidi="ar-SA"/>
              </w:rPr>
              <w:t>6</w:t>
            </w:r>
            <w:r>
              <w:rPr>
                <w:rFonts w:hint="eastAsia" w:ascii="宋体" w:hAnsi="宋体" w:cs="宋体"/>
                <w:b w:val="0"/>
                <w:bCs/>
                <w:snapToGrid/>
                <w:color w:val="auto"/>
                <w:kern w:val="2"/>
                <w:sz w:val="24"/>
                <w:szCs w:val="24"/>
                <w:vertAlign w:val="baseline"/>
                <w:lang w:val="en-US" w:eastAsia="zh-CN" w:bidi="ar-SA"/>
              </w:rPr>
              <w:t>.</w:t>
            </w:r>
            <w:r>
              <w:rPr>
                <w:rFonts w:hint="eastAsia" w:ascii="宋体" w:hAnsi="宋体" w:eastAsia="宋体" w:cs="宋体"/>
                <w:b w:val="0"/>
                <w:bCs/>
                <w:snapToGrid/>
                <w:color w:val="auto"/>
                <w:kern w:val="2"/>
                <w:sz w:val="24"/>
                <w:szCs w:val="24"/>
                <w:vertAlign w:val="baseline"/>
                <w:lang w:val="en-US" w:eastAsia="zh-CN" w:bidi="ar-SA"/>
              </w:rPr>
              <w:t>3</w:t>
            </w:r>
            <w:r>
              <w:rPr>
                <w:rFonts w:hint="default" w:ascii="宋体" w:hAnsi="宋体" w:eastAsia="宋体" w:cs="宋体"/>
                <w:b w:val="0"/>
                <w:bCs/>
                <w:snapToGrid/>
                <w:color w:val="auto"/>
                <w:kern w:val="2"/>
                <w:sz w:val="24"/>
                <w:szCs w:val="24"/>
                <w:vertAlign w:val="baseline"/>
                <w:lang w:val="en-US" w:eastAsia="zh-CN" w:bidi="ar-SA"/>
              </w:rPr>
              <w:t>t/a</w:t>
            </w:r>
          </w:p>
          <w:p w14:paraId="43EE3A1C">
            <w:pPr>
              <w:pStyle w:val="31"/>
              <w:ind w:firstLine="482"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根据以上分析，项目运营期用水、排水量预测见下表：</w:t>
            </w:r>
          </w:p>
          <w:p w14:paraId="4CA945A6">
            <w:pPr>
              <w:pStyle w:val="2"/>
              <w:widowControl w:val="0"/>
              <w:overflowPunct w:val="0"/>
              <w:spacing w:beforeLines="0" w:after="0" w:afterLines="0" w:line="360" w:lineRule="auto"/>
              <w:jc w:val="center"/>
              <w:rPr>
                <w:rFonts w:hint="default" w:ascii="Times New Roman" w:hAnsi="Times New Roman" w:cs="Times New Roman"/>
                <w:color w:val="auto"/>
                <w:sz w:val="24"/>
                <w:szCs w:val="24"/>
              </w:rPr>
            </w:pPr>
            <w:r>
              <w:rPr>
                <w:rFonts w:hint="default" w:ascii="Times New Roman" w:hAnsi="Times New Roman" w:eastAsia="宋体" w:cs="Times New Roman"/>
                <w:b/>
                <w:color w:val="auto"/>
                <w:sz w:val="21"/>
                <w:szCs w:val="21"/>
              </w:rPr>
              <w:t>表</w:t>
            </w:r>
            <w:r>
              <w:rPr>
                <w:rFonts w:hint="default" w:ascii="Times New Roman" w:hAnsi="Times New Roman" w:cs="Times New Roman"/>
                <w:b/>
                <w:color w:val="auto"/>
                <w:sz w:val="21"/>
                <w:szCs w:val="21"/>
                <w:lang w:val="en-US" w:eastAsia="zh-CN"/>
              </w:rPr>
              <w:t>4-</w:t>
            </w:r>
            <w:r>
              <w:rPr>
                <w:rFonts w:hint="eastAsia" w:cs="Times New Roman"/>
                <w:b/>
                <w:color w:val="auto"/>
                <w:sz w:val="21"/>
                <w:szCs w:val="21"/>
                <w:lang w:val="en-US" w:eastAsia="zh-CN"/>
              </w:rPr>
              <w:t xml:space="preserve">9  </w:t>
            </w:r>
            <w:r>
              <w:rPr>
                <w:rFonts w:hint="default" w:ascii="Times New Roman" w:hAnsi="Times New Roman" w:eastAsia="宋体" w:cs="Times New Roman"/>
                <w:b/>
                <w:color w:val="auto"/>
                <w:sz w:val="21"/>
                <w:szCs w:val="21"/>
              </w:rPr>
              <w:t>本项目建成后全</w:t>
            </w:r>
            <w:r>
              <w:rPr>
                <w:rFonts w:hint="eastAsia" w:cs="Times New Roman"/>
                <w:b/>
                <w:color w:val="auto"/>
                <w:sz w:val="21"/>
                <w:szCs w:val="21"/>
                <w:lang w:val="en-US" w:eastAsia="zh-CN"/>
              </w:rPr>
              <w:t>厂</w:t>
            </w:r>
            <w:r>
              <w:rPr>
                <w:rFonts w:hint="default" w:ascii="Times New Roman" w:hAnsi="Times New Roman" w:eastAsia="宋体" w:cs="Times New Roman"/>
                <w:b/>
                <w:color w:val="auto"/>
                <w:sz w:val="21"/>
                <w:szCs w:val="21"/>
              </w:rPr>
              <w:t>用水情况一览表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733"/>
              <w:gridCol w:w="1163"/>
              <w:gridCol w:w="1500"/>
              <w:gridCol w:w="970"/>
              <w:gridCol w:w="1107"/>
              <w:gridCol w:w="971"/>
              <w:gridCol w:w="1013"/>
            </w:tblGrid>
            <w:tr w14:paraId="4F37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CFC09E">
                  <w:pPr>
                    <w:spacing w:beforeLines="0" w:afterLines="0"/>
                    <w:jc w:val="center"/>
                    <w:rPr>
                      <w:rFonts w:hint="default" w:ascii="Times New Roman" w:hAnsi="Times New Roman" w:eastAsia="宋体" w:cs="Times New Roman"/>
                      <w:b/>
                      <w:bCs/>
                      <w:snapToGrid/>
                      <w:color w:val="auto"/>
                      <w:sz w:val="21"/>
                      <w:szCs w:val="21"/>
                      <w:vertAlign w:val="baseline"/>
                    </w:rPr>
                  </w:pPr>
                  <w:r>
                    <w:rPr>
                      <w:rFonts w:hint="default" w:ascii="Times New Roman" w:hAnsi="Times New Roman" w:eastAsia="宋体" w:cs="Times New Roman"/>
                      <w:b/>
                      <w:bCs/>
                      <w:snapToGrid/>
                      <w:color w:val="auto"/>
                      <w:sz w:val="21"/>
                      <w:szCs w:val="21"/>
                      <w:vertAlign w:val="baseline"/>
                    </w:rPr>
                    <w:t>序号</w:t>
                  </w:r>
                </w:p>
              </w:tc>
              <w:tc>
                <w:tcPr>
                  <w:tcW w:w="9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D0E66F">
                  <w:pPr>
                    <w:spacing w:beforeLines="0" w:afterLines="0"/>
                    <w:jc w:val="center"/>
                    <w:rPr>
                      <w:rFonts w:hint="default" w:ascii="Times New Roman" w:hAnsi="Times New Roman" w:eastAsia="宋体" w:cs="Times New Roman"/>
                      <w:b/>
                      <w:bCs/>
                      <w:snapToGrid/>
                      <w:color w:val="auto"/>
                      <w:sz w:val="21"/>
                      <w:szCs w:val="21"/>
                      <w:vertAlign w:val="baseline"/>
                    </w:rPr>
                  </w:pPr>
                  <w:r>
                    <w:rPr>
                      <w:rFonts w:hint="default" w:ascii="Times New Roman" w:hAnsi="Times New Roman" w:eastAsia="宋体" w:cs="Times New Roman"/>
                      <w:b/>
                      <w:bCs/>
                      <w:snapToGrid/>
                      <w:color w:val="auto"/>
                      <w:sz w:val="21"/>
                      <w:szCs w:val="21"/>
                      <w:vertAlign w:val="baseline"/>
                    </w:rPr>
                    <w:t>类别</w:t>
                  </w:r>
                </w:p>
              </w:tc>
              <w:tc>
                <w:tcPr>
                  <w:tcW w:w="6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639937">
                  <w:pPr>
                    <w:spacing w:beforeLines="0" w:afterLines="0"/>
                    <w:jc w:val="center"/>
                    <w:rPr>
                      <w:rFonts w:hint="default" w:ascii="Times New Roman" w:hAnsi="Times New Roman" w:eastAsia="宋体" w:cs="Times New Roman"/>
                      <w:b/>
                      <w:bCs/>
                      <w:snapToGrid/>
                      <w:color w:val="auto"/>
                      <w:sz w:val="21"/>
                      <w:szCs w:val="21"/>
                      <w:vertAlign w:val="baseline"/>
                    </w:rPr>
                  </w:pPr>
                  <w:r>
                    <w:rPr>
                      <w:rFonts w:hint="default" w:ascii="Times New Roman" w:hAnsi="Times New Roman" w:eastAsia="宋体" w:cs="Times New Roman"/>
                      <w:b/>
                      <w:bCs/>
                      <w:snapToGrid/>
                      <w:color w:val="auto"/>
                      <w:sz w:val="21"/>
                      <w:szCs w:val="21"/>
                      <w:vertAlign w:val="baseline"/>
                    </w:rPr>
                    <w:t>单位数量</w:t>
                  </w:r>
                </w:p>
              </w:tc>
              <w:tc>
                <w:tcPr>
                  <w:tcW w:w="8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09BFB4">
                  <w:pPr>
                    <w:spacing w:beforeLines="0" w:afterLines="0"/>
                    <w:jc w:val="center"/>
                    <w:rPr>
                      <w:rFonts w:hint="default" w:ascii="Times New Roman" w:hAnsi="Times New Roman" w:eastAsia="宋体" w:cs="Times New Roman"/>
                      <w:b/>
                      <w:bCs/>
                      <w:snapToGrid/>
                      <w:color w:val="auto"/>
                      <w:sz w:val="21"/>
                      <w:szCs w:val="21"/>
                      <w:vertAlign w:val="baseline"/>
                    </w:rPr>
                  </w:pPr>
                  <w:r>
                    <w:rPr>
                      <w:rFonts w:hint="default" w:ascii="Times New Roman" w:hAnsi="Times New Roman" w:eastAsia="宋体" w:cs="Times New Roman"/>
                      <w:b/>
                      <w:bCs/>
                      <w:snapToGrid/>
                      <w:color w:val="auto"/>
                      <w:sz w:val="21"/>
                      <w:szCs w:val="21"/>
                      <w:vertAlign w:val="baseline"/>
                    </w:rPr>
                    <w:t>用水标准</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6A97A8">
                  <w:pPr>
                    <w:spacing w:beforeLines="0" w:afterLines="0"/>
                    <w:jc w:val="center"/>
                    <w:rPr>
                      <w:rFonts w:hint="default" w:ascii="Times New Roman" w:hAnsi="Times New Roman" w:eastAsia="宋体" w:cs="Times New Roman"/>
                      <w:b/>
                      <w:bCs/>
                      <w:snapToGrid/>
                      <w:color w:val="auto"/>
                      <w:sz w:val="21"/>
                      <w:szCs w:val="21"/>
                      <w:vertAlign w:val="baseline"/>
                    </w:rPr>
                  </w:pPr>
                  <w:r>
                    <w:rPr>
                      <w:rFonts w:hint="default" w:ascii="Times New Roman" w:hAnsi="Times New Roman" w:eastAsia="宋体" w:cs="Times New Roman"/>
                      <w:b/>
                      <w:bCs/>
                      <w:snapToGrid/>
                      <w:color w:val="auto"/>
                      <w:sz w:val="21"/>
                      <w:szCs w:val="21"/>
                      <w:vertAlign w:val="baseline"/>
                    </w:rPr>
                    <w:t>日用水量（</w:t>
                  </w:r>
                  <w:r>
                    <w:rPr>
                      <w:rFonts w:hint="default" w:ascii="Times New Roman" w:hAnsi="Times New Roman" w:eastAsia="宋体" w:cs="Times New Roman"/>
                      <w:b/>
                      <w:bCs/>
                      <w:snapToGrid/>
                      <w:color w:val="auto"/>
                      <w:sz w:val="21"/>
                      <w:szCs w:val="21"/>
                      <w:vertAlign w:val="baseline"/>
                      <w:lang w:val="en-US" w:eastAsia="zh-CN"/>
                    </w:rPr>
                    <w:t>t</w:t>
                  </w:r>
                  <w:r>
                    <w:rPr>
                      <w:rFonts w:hint="default" w:ascii="Times New Roman" w:hAnsi="Times New Roman" w:eastAsia="宋体" w:cs="Times New Roman"/>
                      <w:b/>
                      <w:bCs/>
                      <w:snapToGrid/>
                      <w:color w:val="auto"/>
                      <w:sz w:val="21"/>
                      <w:szCs w:val="21"/>
                      <w:vertAlign w:val="baseline"/>
                    </w:rPr>
                    <w:t>）</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E8C768">
                  <w:pPr>
                    <w:spacing w:beforeLines="0" w:afterLines="0"/>
                    <w:jc w:val="center"/>
                    <w:rPr>
                      <w:rFonts w:hint="default" w:ascii="Times New Roman" w:hAnsi="Times New Roman" w:eastAsia="宋体" w:cs="Times New Roman"/>
                      <w:b/>
                      <w:bCs/>
                      <w:snapToGrid/>
                      <w:color w:val="auto"/>
                      <w:sz w:val="21"/>
                      <w:szCs w:val="21"/>
                      <w:vertAlign w:val="baseline"/>
                      <w:lang w:val="en-US" w:eastAsia="zh-CN"/>
                    </w:rPr>
                  </w:pPr>
                  <w:r>
                    <w:rPr>
                      <w:rFonts w:hint="default" w:ascii="Times New Roman" w:hAnsi="Times New Roman" w:eastAsia="宋体" w:cs="Times New Roman"/>
                      <w:b/>
                      <w:bCs/>
                      <w:snapToGrid/>
                      <w:color w:val="auto"/>
                      <w:sz w:val="21"/>
                      <w:szCs w:val="21"/>
                      <w:vertAlign w:val="baseline"/>
                      <w:lang w:val="en-US" w:eastAsia="zh-CN"/>
                    </w:rPr>
                    <w:t>年用水量（t）</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13E3A7">
                  <w:pPr>
                    <w:spacing w:beforeLines="0" w:afterLines="0"/>
                    <w:jc w:val="center"/>
                    <w:rPr>
                      <w:rFonts w:hint="default" w:ascii="Times New Roman" w:hAnsi="Times New Roman" w:eastAsia="宋体" w:cs="Times New Roman"/>
                      <w:b/>
                      <w:bCs/>
                      <w:snapToGrid/>
                      <w:color w:val="auto"/>
                      <w:sz w:val="21"/>
                      <w:szCs w:val="21"/>
                      <w:vertAlign w:val="baseline"/>
                    </w:rPr>
                  </w:pPr>
                  <w:r>
                    <w:rPr>
                      <w:rFonts w:hint="default" w:ascii="Times New Roman" w:hAnsi="Times New Roman" w:eastAsia="宋体" w:cs="Times New Roman"/>
                      <w:b/>
                      <w:bCs/>
                      <w:snapToGrid/>
                      <w:color w:val="auto"/>
                      <w:sz w:val="21"/>
                      <w:szCs w:val="21"/>
                      <w:vertAlign w:val="baseline"/>
                    </w:rPr>
                    <w:t>日废水量（</w:t>
                  </w:r>
                  <w:r>
                    <w:rPr>
                      <w:rFonts w:hint="default" w:ascii="Times New Roman" w:hAnsi="Times New Roman" w:eastAsia="宋体" w:cs="Times New Roman"/>
                      <w:b/>
                      <w:bCs/>
                      <w:snapToGrid/>
                      <w:color w:val="auto"/>
                      <w:sz w:val="21"/>
                      <w:szCs w:val="21"/>
                      <w:vertAlign w:val="baseline"/>
                      <w:lang w:val="en-US" w:eastAsia="zh-CN"/>
                    </w:rPr>
                    <w:t>t</w:t>
                  </w:r>
                  <w:r>
                    <w:rPr>
                      <w:rFonts w:hint="default" w:ascii="Times New Roman" w:hAnsi="Times New Roman" w:eastAsia="宋体" w:cs="Times New Roman"/>
                      <w:b/>
                      <w:bCs/>
                      <w:snapToGrid/>
                      <w:color w:val="auto"/>
                      <w:sz w:val="21"/>
                      <w:szCs w:val="21"/>
                      <w:vertAlign w:val="baseline"/>
                    </w:rPr>
                    <w:t>）</w:t>
                  </w:r>
                </w:p>
              </w:tc>
              <w:tc>
                <w:tcPr>
                  <w:tcW w:w="5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25780A">
                  <w:pPr>
                    <w:spacing w:beforeLines="0" w:afterLines="0"/>
                    <w:jc w:val="center"/>
                    <w:rPr>
                      <w:rFonts w:hint="default" w:ascii="Times New Roman" w:hAnsi="Times New Roman" w:eastAsia="宋体" w:cs="Times New Roman"/>
                      <w:b/>
                      <w:bCs/>
                      <w:snapToGrid/>
                      <w:color w:val="auto"/>
                      <w:sz w:val="21"/>
                      <w:szCs w:val="21"/>
                      <w:vertAlign w:val="baseline"/>
                      <w:lang w:val="en-US" w:eastAsia="zh-CN"/>
                    </w:rPr>
                  </w:pPr>
                  <w:r>
                    <w:rPr>
                      <w:rFonts w:hint="default" w:ascii="Times New Roman" w:hAnsi="Times New Roman" w:eastAsia="宋体" w:cs="Times New Roman"/>
                      <w:b/>
                      <w:bCs/>
                      <w:snapToGrid/>
                      <w:color w:val="auto"/>
                      <w:sz w:val="21"/>
                      <w:szCs w:val="21"/>
                      <w:vertAlign w:val="baseline"/>
                      <w:lang w:val="en-US" w:eastAsia="zh-CN"/>
                    </w:rPr>
                    <w:t>年废水量（t）</w:t>
                  </w:r>
                </w:p>
              </w:tc>
            </w:tr>
            <w:tr w14:paraId="0D6F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06CAC2">
                  <w:pPr>
                    <w:spacing w:beforeLines="0" w:afterLines="0"/>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1</w:t>
                  </w:r>
                </w:p>
              </w:tc>
              <w:tc>
                <w:tcPr>
                  <w:tcW w:w="9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9EF27B">
                  <w:pPr>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职工生活用水</w:t>
                  </w:r>
                </w:p>
              </w:tc>
              <w:tc>
                <w:tcPr>
                  <w:tcW w:w="6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28E91D">
                  <w:pPr>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18人</w:t>
                  </w:r>
                </w:p>
              </w:tc>
              <w:tc>
                <w:tcPr>
                  <w:tcW w:w="8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55AF6F">
                  <w:pPr>
                    <w:spacing w:beforeLines="0" w:afterLines="0"/>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60L/人·d</w:t>
                  </w:r>
                </w:p>
                <w:p w14:paraId="0A3184B0">
                  <w:pPr>
                    <w:spacing w:beforeLines="0" w:afterLines="0"/>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cs="Times New Roman"/>
                      <w:color w:val="auto"/>
                      <w:vertAlign w:val="baseline"/>
                    </w:rPr>
                    <w:t>180L/人·d</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1EB844">
                  <w:pPr>
                    <w:jc w:val="center"/>
                    <w:rPr>
                      <w:rFonts w:hint="default" w:ascii="Times New Roman" w:hAnsi="Times New Roman" w:eastAsia="宋体" w:cs="Times New Roman"/>
                      <w:snapToGrid/>
                      <w:color w:val="auto"/>
                      <w:sz w:val="21"/>
                      <w:szCs w:val="21"/>
                      <w:vertAlign w:val="baseline"/>
                      <w:lang w:eastAsia="zh-CN"/>
                    </w:rPr>
                  </w:pPr>
                  <w:r>
                    <w:rPr>
                      <w:rFonts w:hint="default" w:ascii="Times New Roman" w:hAnsi="Times New Roman" w:cs="Times New Roman"/>
                      <w:snapToGrid/>
                      <w:color w:val="auto"/>
                      <w:sz w:val="21"/>
                      <w:szCs w:val="21"/>
                      <w:vertAlign w:val="baseline"/>
                    </w:rPr>
                    <w:t>1.8</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6D4D29">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rPr>
                    <w:t>540</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E6DEB1">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rPr>
                    <w:t>1.44</w:t>
                  </w:r>
                </w:p>
              </w:tc>
              <w:tc>
                <w:tcPr>
                  <w:tcW w:w="5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8D34B7">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rPr>
                    <w:t>432</w:t>
                  </w:r>
                </w:p>
              </w:tc>
            </w:tr>
            <w:tr w14:paraId="6620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D4DAA3">
                  <w:pPr>
                    <w:spacing w:beforeLines="0" w:afterLines="0"/>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2</w:t>
                  </w:r>
                </w:p>
              </w:tc>
              <w:tc>
                <w:tcPr>
                  <w:tcW w:w="9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FCD6D1">
                  <w:pPr>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腌料用水</w:t>
                  </w:r>
                </w:p>
              </w:tc>
              <w:tc>
                <w:tcPr>
                  <w:tcW w:w="6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1CC097">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rPr>
                    <w:t>/</w:t>
                  </w:r>
                </w:p>
              </w:tc>
              <w:tc>
                <w:tcPr>
                  <w:tcW w:w="8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BC6976">
                  <w:pPr>
                    <w:autoSpaceDE w:val="0"/>
                    <w:autoSpaceDN w:val="0"/>
                    <w:jc w:val="center"/>
                    <w:rPr>
                      <w:rFonts w:hint="default" w:ascii="Times New Roman" w:hAnsi="Times New Roman" w:eastAsia="宋体e眠副浡渀." w:cs="Times New Roman"/>
                      <w:snapToGrid/>
                      <w:color w:val="auto"/>
                      <w:sz w:val="21"/>
                      <w:szCs w:val="21"/>
                      <w:vertAlign w:val="baseline"/>
                      <w:lang w:val="en-US" w:eastAsia="zh-CN"/>
                    </w:rPr>
                  </w:pPr>
                  <w:r>
                    <w:rPr>
                      <w:rFonts w:hint="default" w:ascii="Times New Roman" w:hAnsi="Times New Roman" w:eastAsia="宋体e眠副浡渀." w:cs="Times New Roman"/>
                      <w:snapToGrid/>
                      <w:color w:val="auto"/>
                      <w:sz w:val="21"/>
                      <w:szCs w:val="21"/>
                      <w:vertAlign w:val="baseline"/>
                    </w:rPr>
                    <w:t>/</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BE19C2">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rPr>
                    <w:t>1.08</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FD6EB3">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rPr>
                    <w:t>325</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CA7906">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rPr>
                    <w:t>/</w:t>
                  </w:r>
                </w:p>
              </w:tc>
              <w:tc>
                <w:tcPr>
                  <w:tcW w:w="5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FBBAB9">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rPr>
                    <w:t>/</w:t>
                  </w:r>
                </w:p>
              </w:tc>
            </w:tr>
            <w:tr w14:paraId="38CF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0B7D23">
                  <w:pPr>
                    <w:spacing w:beforeLines="0" w:afterLines="0"/>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3</w:t>
                  </w:r>
                </w:p>
              </w:tc>
              <w:tc>
                <w:tcPr>
                  <w:tcW w:w="9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68DB5D">
                  <w:pPr>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和浆用水</w:t>
                  </w:r>
                </w:p>
              </w:tc>
              <w:tc>
                <w:tcPr>
                  <w:tcW w:w="6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D23995">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rPr>
                    <w:t>/</w:t>
                  </w:r>
                </w:p>
              </w:tc>
              <w:tc>
                <w:tcPr>
                  <w:tcW w:w="8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01DB46">
                  <w:pPr>
                    <w:autoSpaceDE w:val="0"/>
                    <w:autoSpaceDN w:val="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rPr>
                    <w:t>/</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73806D">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rPr>
                    <w:t>1.67</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FFF9DD">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rPr>
                    <w:t>500</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3F2A61">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rPr>
                    <w:t>/</w:t>
                  </w:r>
                </w:p>
              </w:tc>
              <w:tc>
                <w:tcPr>
                  <w:tcW w:w="5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B87018">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rPr>
                    <w:t>/</w:t>
                  </w:r>
                </w:p>
              </w:tc>
            </w:tr>
            <w:tr w14:paraId="3DA2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B95134">
                  <w:pPr>
                    <w:spacing w:beforeLines="0" w:afterLines="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4</w:t>
                  </w:r>
                </w:p>
              </w:tc>
              <w:tc>
                <w:tcPr>
                  <w:tcW w:w="9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C54E58">
                  <w:pPr>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设备清洗水</w:t>
                  </w:r>
                </w:p>
              </w:tc>
              <w:tc>
                <w:tcPr>
                  <w:tcW w:w="6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53A41A">
                  <w:pPr>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w:t>
                  </w:r>
                </w:p>
              </w:tc>
              <w:tc>
                <w:tcPr>
                  <w:tcW w:w="8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0159C6">
                  <w:pPr>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0D80BD">
                  <w:pPr>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0.014</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C73FC9">
                  <w:pPr>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4.14</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F1D336">
                  <w:pPr>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0.012</w:t>
                  </w:r>
                </w:p>
              </w:tc>
              <w:tc>
                <w:tcPr>
                  <w:tcW w:w="5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263255">
                  <w:pPr>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3.73</w:t>
                  </w:r>
                </w:p>
              </w:tc>
            </w:tr>
            <w:tr w14:paraId="4C2D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82D02A">
                  <w:pPr>
                    <w:spacing w:beforeLines="0" w:afterLines="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5</w:t>
                  </w:r>
                </w:p>
              </w:tc>
              <w:tc>
                <w:tcPr>
                  <w:tcW w:w="9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A8AE2B">
                  <w:pPr>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地面</w:t>
                  </w:r>
                  <w:r>
                    <w:rPr>
                      <w:rFonts w:hint="eastAsia" w:cs="Times New Roman"/>
                      <w:snapToGrid/>
                      <w:color w:val="auto"/>
                      <w:sz w:val="21"/>
                      <w:szCs w:val="21"/>
                      <w:vertAlign w:val="baseline"/>
                      <w:lang w:val="en-US" w:eastAsia="zh-CN"/>
                    </w:rPr>
                    <w:t>保洁</w:t>
                  </w:r>
                  <w:r>
                    <w:rPr>
                      <w:rFonts w:hint="default" w:ascii="Times New Roman" w:hAnsi="Times New Roman" w:eastAsia="宋体" w:cs="Times New Roman"/>
                      <w:snapToGrid/>
                      <w:color w:val="auto"/>
                      <w:sz w:val="21"/>
                      <w:szCs w:val="21"/>
                      <w:vertAlign w:val="baseline"/>
                    </w:rPr>
                    <w:t>水</w:t>
                  </w:r>
                </w:p>
              </w:tc>
              <w:tc>
                <w:tcPr>
                  <w:tcW w:w="6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2E7706">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rPr>
                    <w:t>/</w:t>
                  </w:r>
                </w:p>
              </w:tc>
              <w:tc>
                <w:tcPr>
                  <w:tcW w:w="8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8ACA34">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rPr>
                    <w:t>/</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DB85BE">
                  <w:pPr>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0.2</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B542B8">
                  <w:pPr>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60</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5FA888">
                  <w:pPr>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0.18</w:t>
                  </w:r>
                </w:p>
              </w:tc>
              <w:tc>
                <w:tcPr>
                  <w:tcW w:w="5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88EFFA">
                  <w:pPr>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54</w:t>
                  </w:r>
                </w:p>
              </w:tc>
            </w:tr>
            <w:tr w14:paraId="0C4A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726AB1">
                  <w:pPr>
                    <w:spacing w:beforeLines="0" w:afterLines="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6</w:t>
                  </w:r>
                </w:p>
              </w:tc>
              <w:tc>
                <w:tcPr>
                  <w:tcW w:w="9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F16212">
                  <w:pPr>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蒸汽冷凝水</w:t>
                  </w:r>
                </w:p>
              </w:tc>
              <w:tc>
                <w:tcPr>
                  <w:tcW w:w="6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3474A3">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rPr>
                    <w:t>/</w:t>
                  </w:r>
                </w:p>
              </w:tc>
              <w:tc>
                <w:tcPr>
                  <w:tcW w:w="8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734EC6">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rPr>
                    <w:t>/</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6C478F">
                  <w:pPr>
                    <w:spacing w:beforeLines="0" w:afterLines="0"/>
                    <w:jc w:val="center"/>
                    <w:rPr>
                      <w:rFonts w:hint="default" w:ascii="Times New Roman" w:hAnsi="Times New Roman" w:eastAsia="宋体"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0.74</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764F99">
                  <w:pPr>
                    <w:spacing w:beforeLines="0" w:afterLines="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220</w:t>
                  </w:r>
                  <w:r>
                    <w:rPr>
                      <w:rFonts w:hint="eastAsia" w:cs="Times New Roman"/>
                      <w:snapToGrid/>
                      <w:color w:val="auto"/>
                      <w:sz w:val="21"/>
                      <w:szCs w:val="21"/>
                      <w:vertAlign w:val="baseline"/>
                      <w:lang w:val="en-US" w:eastAsia="zh-CN"/>
                    </w:rPr>
                    <w:t>.</w:t>
                  </w:r>
                  <w:r>
                    <w:rPr>
                      <w:rFonts w:hint="default" w:ascii="Times New Roman" w:hAnsi="Times New Roman" w:cs="Times New Roman"/>
                      <w:snapToGrid/>
                      <w:color w:val="auto"/>
                      <w:sz w:val="21"/>
                      <w:szCs w:val="21"/>
                      <w:vertAlign w:val="baseline"/>
                      <w:lang w:val="en-US" w:eastAsia="zh-CN"/>
                    </w:rPr>
                    <w:t>5</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C1320A">
                  <w:pPr>
                    <w:spacing w:beforeLines="0" w:afterLines="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w:t>
                  </w:r>
                </w:p>
              </w:tc>
              <w:tc>
                <w:tcPr>
                  <w:tcW w:w="5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C8FE68">
                  <w:pPr>
                    <w:spacing w:beforeLines="0" w:afterLines="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w:t>
                  </w:r>
                </w:p>
              </w:tc>
            </w:tr>
            <w:tr w14:paraId="5D05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D9F8B2">
                  <w:pPr>
                    <w:spacing w:beforeLines="0" w:afterLines="0"/>
                    <w:jc w:val="center"/>
                    <w:rPr>
                      <w:rFonts w:hint="default" w:ascii="Times New Roman" w:hAnsi="Times New Roman"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7</w:t>
                  </w:r>
                </w:p>
              </w:tc>
              <w:tc>
                <w:tcPr>
                  <w:tcW w:w="9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A5B272">
                  <w:pPr>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snapToGrid/>
                      <w:color w:val="auto"/>
                      <w:sz w:val="21"/>
                      <w:szCs w:val="21"/>
                      <w:vertAlign w:val="baseline"/>
                    </w:rPr>
                    <w:t>鸭蛋清洗废水</w:t>
                  </w:r>
                </w:p>
              </w:tc>
              <w:tc>
                <w:tcPr>
                  <w:tcW w:w="6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FFE0CF">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lang w:val="en-US" w:eastAsia="zh-CN"/>
                    </w:rPr>
                    <w:t>/</w:t>
                  </w:r>
                </w:p>
              </w:tc>
              <w:tc>
                <w:tcPr>
                  <w:tcW w:w="8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3C782E">
                  <w:pPr>
                    <w:spacing w:beforeLines="0" w:afterLines="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9EC91B">
                  <w:pPr>
                    <w:spacing w:beforeLines="0" w:afterLines="0"/>
                    <w:jc w:val="center"/>
                    <w:rPr>
                      <w:rFonts w:hint="default" w:ascii="Times New Roman" w:hAnsi="Times New Roman"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0.005</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61A04D">
                  <w:pPr>
                    <w:spacing w:beforeLines="0" w:afterLines="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eastAsia="宋体" w:cs="Times New Roman"/>
                      <w:snapToGrid/>
                      <w:color w:val="auto"/>
                      <w:sz w:val="21"/>
                      <w:szCs w:val="21"/>
                      <w:vertAlign w:val="baseline"/>
                      <w:lang w:val="en-US" w:eastAsia="zh-CN"/>
                    </w:rPr>
                    <w:t>1.5</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3ADD3D">
                  <w:pPr>
                    <w:spacing w:beforeLines="0" w:afterLines="0"/>
                    <w:jc w:val="center"/>
                    <w:rPr>
                      <w:rFonts w:hint="default" w:ascii="Times New Roman" w:hAnsi="Times New Roman"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0.0033</w:t>
                  </w:r>
                </w:p>
              </w:tc>
              <w:tc>
                <w:tcPr>
                  <w:tcW w:w="5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DCC5EB">
                  <w:pPr>
                    <w:spacing w:beforeLines="0" w:afterLines="0"/>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1</w:t>
                  </w:r>
                </w:p>
              </w:tc>
            </w:tr>
            <w:tr w14:paraId="5E8B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CBBE77">
                  <w:pPr>
                    <w:jc w:val="center"/>
                    <w:rPr>
                      <w:rFonts w:hint="default" w:ascii="Times New Roman" w:hAnsi="Times New Roman"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8</w:t>
                  </w:r>
                </w:p>
              </w:tc>
              <w:tc>
                <w:tcPr>
                  <w:tcW w:w="9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FF3D03">
                  <w:pPr>
                    <w:jc w:val="center"/>
                    <w:rPr>
                      <w:rFonts w:hint="default" w:ascii="Times New Roman" w:hAnsi="Times New Roman" w:eastAsia="宋体" w:cs="Times New Roman"/>
                      <w:snapToGrid/>
                      <w:color w:val="auto"/>
                      <w:sz w:val="21"/>
                      <w:szCs w:val="21"/>
                      <w:vertAlign w:val="baseline"/>
                    </w:rPr>
                  </w:pPr>
                  <w:r>
                    <w:rPr>
                      <w:rFonts w:hint="default" w:ascii="Times New Roman" w:hAnsi="Times New Roman" w:eastAsia="宋体" w:cs="Times New Roman"/>
                      <w:color w:val="auto"/>
                      <w:sz w:val="21"/>
                      <w:szCs w:val="21"/>
                    </w:rPr>
                    <w:t>软水制备浓水</w:t>
                  </w:r>
                </w:p>
              </w:tc>
              <w:tc>
                <w:tcPr>
                  <w:tcW w:w="6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0480F1">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color w:val="auto"/>
                      <w:sz w:val="21"/>
                      <w:szCs w:val="21"/>
                      <w:lang w:val="en-US" w:eastAsia="zh-CN"/>
                    </w:rPr>
                    <w:t>2205t/a</w:t>
                  </w:r>
                </w:p>
              </w:tc>
              <w:tc>
                <w:tcPr>
                  <w:tcW w:w="8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E3AD46">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color w:val="auto"/>
                      <w:sz w:val="21"/>
                      <w:szCs w:val="21"/>
                      <w:lang w:val="en-US" w:eastAsia="zh-CN"/>
                    </w:rPr>
                    <w:t>75%</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E413E0">
                  <w:pPr>
                    <w:jc w:val="center"/>
                    <w:rPr>
                      <w:rFonts w:hint="default" w:ascii="Times New Roman" w:hAnsi="Times New Roman"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0.98</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7D0BEE">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294</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A3D714">
                  <w:pPr>
                    <w:jc w:val="center"/>
                    <w:rPr>
                      <w:rFonts w:hint="default" w:ascii="Times New Roman" w:hAnsi="Times New Roman"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0.25</w:t>
                  </w:r>
                </w:p>
              </w:tc>
              <w:tc>
                <w:tcPr>
                  <w:tcW w:w="5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E6000B">
                  <w:pPr>
                    <w:jc w:val="center"/>
                    <w:rPr>
                      <w:rFonts w:hint="default" w:ascii="Times New Roman" w:hAnsi="Times New Roman" w:eastAsia="宋体" w:cs="Times New Roman"/>
                      <w:snapToGrid/>
                      <w:color w:val="auto"/>
                      <w:sz w:val="21"/>
                      <w:szCs w:val="21"/>
                      <w:vertAlign w:val="baseline"/>
                      <w:lang w:val="en-US" w:eastAsia="zh-CN"/>
                    </w:rPr>
                  </w:pPr>
                  <w:r>
                    <w:rPr>
                      <w:rFonts w:hint="default" w:ascii="Times New Roman" w:hAnsi="Times New Roman" w:cs="Times New Roman"/>
                      <w:snapToGrid/>
                      <w:color w:val="auto"/>
                      <w:sz w:val="21"/>
                      <w:szCs w:val="21"/>
                      <w:vertAlign w:val="baseline"/>
                      <w:lang w:val="en-US" w:eastAsia="zh-CN"/>
                    </w:rPr>
                    <w:t>73</w:t>
                  </w:r>
                  <w:r>
                    <w:rPr>
                      <w:rFonts w:hint="eastAsia" w:cs="Times New Roman"/>
                      <w:snapToGrid/>
                      <w:color w:val="auto"/>
                      <w:sz w:val="21"/>
                      <w:szCs w:val="21"/>
                      <w:vertAlign w:val="baseline"/>
                      <w:lang w:val="en-US" w:eastAsia="zh-CN"/>
                    </w:rPr>
                    <w:t>.</w:t>
                  </w:r>
                  <w:r>
                    <w:rPr>
                      <w:rFonts w:hint="default" w:ascii="Times New Roman" w:hAnsi="Times New Roman" w:cs="Times New Roman"/>
                      <w:snapToGrid/>
                      <w:color w:val="auto"/>
                      <w:sz w:val="21"/>
                      <w:szCs w:val="21"/>
                      <w:vertAlign w:val="baseline"/>
                      <w:lang w:val="en-US" w:eastAsia="zh-CN"/>
                    </w:rPr>
                    <w:t>5</w:t>
                  </w:r>
                </w:p>
              </w:tc>
            </w:tr>
            <w:tr w14:paraId="1527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865973">
                  <w:pPr>
                    <w:jc w:val="center"/>
                    <w:rPr>
                      <w:rFonts w:hint="default" w:ascii="Times New Roman" w:hAnsi="Times New Roman"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9</w:t>
                  </w:r>
                </w:p>
              </w:tc>
              <w:tc>
                <w:tcPr>
                  <w:tcW w:w="9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757E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锅炉排水</w:t>
                  </w:r>
                </w:p>
              </w:tc>
              <w:tc>
                <w:tcPr>
                  <w:tcW w:w="6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C1679B">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8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5B4E51">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857489">
                  <w:pPr>
                    <w:jc w:val="center"/>
                    <w:rPr>
                      <w:rFonts w:hint="default" w:ascii="Times New Roman" w:hAnsi="Times New Roman"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3B45E0">
                  <w:pPr>
                    <w:jc w:val="center"/>
                    <w:rPr>
                      <w:rFonts w:hint="default" w:ascii="Times New Roman" w:hAnsi="Times New Roman"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w:t>
                  </w:r>
                </w:p>
              </w:tc>
              <w:tc>
                <w:tcPr>
                  <w:tcW w:w="5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3A9D01">
                  <w:pPr>
                    <w:jc w:val="center"/>
                    <w:rPr>
                      <w:rFonts w:hint="default" w:ascii="Times New Roman" w:hAnsi="Times New Roman"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0.021</w:t>
                  </w:r>
                </w:p>
              </w:tc>
              <w:tc>
                <w:tcPr>
                  <w:tcW w:w="5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76FD75">
                  <w:pPr>
                    <w:jc w:val="center"/>
                    <w:rPr>
                      <w:rFonts w:hint="default" w:ascii="Times New Roman" w:hAnsi="Times New Roman" w:cs="Times New Roman"/>
                      <w:snapToGrid/>
                      <w:color w:val="auto"/>
                      <w:sz w:val="21"/>
                      <w:szCs w:val="21"/>
                      <w:vertAlign w:val="baseline"/>
                      <w:lang w:val="en-US" w:eastAsia="zh-CN"/>
                    </w:rPr>
                  </w:pPr>
                  <w:r>
                    <w:rPr>
                      <w:rFonts w:hint="eastAsia" w:cs="Times New Roman"/>
                      <w:snapToGrid/>
                      <w:color w:val="auto"/>
                      <w:sz w:val="21"/>
                      <w:szCs w:val="21"/>
                      <w:vertAlign w:val="baseline"/>
                      <w:lang w:val="en-US" w:eastAsia="zh-CN"/>
                    </w:rPr>
                    <w:t>6.3</w:t>
                  </w:r>
                </w:p>
              </w:tc>
            </w:tr>
          </w:tbl>
          <w:p w14:paraId="51E270B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综上所述，本项目用水量为</w:t>
            </w:r>
            <w:r>
              <w:rPr>
                <w:rFonts w:hint="eastAsia" w:cs="Times New Roman"/>
                <w:color w:val="auto"/>
                <w:sz w:val="24"/>
                <w:szCs w:val="24"/>
                <w:lang w:val="en-US" w:eastAsia="zh-CN"/>
              </w:rPr>
              <w:t>5.75</w:t>
            </w:r>
            <w:r>
              <w:rPr>
                <w:rFonts w:hint="default" w:ascii="Times New Roman" w:hAnsi="Times New Roman" w:cs="Times New Roman"/>
                <w:color w:val="auto"/>
                <w:sz w:val="24"/>
                <w:szCs w:val="24"/>
              </w:rPr>
              <w:t>t/d，</w:t>
            </w:r>
            <w:r>
              <w:rPr>
                <w:rFonts w:hint="eastAsia" w:cs="Times New Roman"/>
                <w:color w:val="auto"/>
                <w:sz w:val="24"/>
                <w:szCs w:val="24"/>
                <w:lang w:val="en-US" w:eastAsia="zh-CN"/>
              </w:rPr>
              <w:t>1724.64</w:t>
            </w:r>
            <w:r>
              <w:rPr>
                <w:rFonts w:hint="default" w:ascii="Times New Roman" w:hAnsi="Times New Roman" w:cs="Times New Roman"/>
                <w:color w:val="auto"/>
                <w:sz w:val="24"/>
                <w:szCs w:val="24"/>
              </w:rPr>
              <w:t>t/a，废水产生量为</w:t>
            </w:r>
            <w:r>
              <w:rPr>
                <w:rFonts w:hint="eastAsia" w:cs="Times New Roman"/>
                <w:color w:val="auto"/>
                <w:sz w:val="24"/>
                <w:szCs w:val="24"/>
                <w:lang w:val="en-US" w:eastAsia="zh-CN"/>
              </w:rPr>
              <w:t>1.91</w:t>
            </w:r>
            <w:r>
              <w:rPr>
                <w:rFonts w:hint="default" w:ascii="Times New Roman" w:hAnsi="Times New Roman" w:cs="Times New Roman"/>
                <w:color w:val="auto"/>
                <w:sz w:val="24"/>
                <w:szCs w:val="24"/>
              </w:rPr>
              <w:t>t/d，</w:t>
            </w:r>
            <w:r>
              <w:rPr>
                <w:rFonts w:hint="eastAsia" w:cs="Times New Roman"/>
                <w:color w:val="auto"/>
                <w:sz w:val="24"/>
                <w:szCs w:val="24"/>
                <w:lang w:val="en-US" w:eastAsia="zh-CN"/>
              </w:rPr>
              <w:t>570.53</w:t>
            </w:r>
            <w:r>
              <w:rPr>
                <w:rFonts w:hint="default" w:ascii="Times New Roman" w:hAnsi="Times New Roman" w:cs="Times New Roman"/>
                <w:color w:val="auto"/>
                <w:sz w:val="24"/>
                <w:szCs w:val="24"/>
              </w:rPr>
              <w:t>t/a。</w:t>
            </w:r>
          </w:p>
          <w:p w14:paraId="7E6D89D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本项目水平衡如下图所示：</w:t>
            </w:r>
            <w:r>
              <w:rPr>
                <w:rFonts w:hint="default" w:ascii="Times New Roman" w:hAnsi="Times New Roman" w:cs="Times New Roman"/>
                <w:color w:val="auto"/>
                <w:sz w:val="24"/>
                <w:szCs w:val="24"/>
                <w:lang w:val="en-US" w:eastAsia="zh-CN"/>
              </w:rPr>
              <w:t xml:space="preserve"> </w:t>
            </w:r>
          </w:p>
          <w:p w14:paraId="5618CC35">
            <w:pPr>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object>
                <v:shape id="_x0000_i1030" o:spt="75" type="#_x0000_t75" style="height:348.6pt;width:396pt;" o:ole="t" filled="f" o:preferrelative="t" stroked="f" coordsize="21600,21600">
                  <v:path/>
                  <v:fill on="f" focussize="0,0"/>
                  <v:stroke on="f"/>
                  <v:imagedata r:id="rId20" o:title=""/>
                  <o:lock v:ext="edit" aspectratio="f"/>
                  <w10:wrap type="none"/>
                  <w10:anchorlock/>
                </v:shape>
                <o:OLEObject Type="Embed" ProgID="Visio.Drawing.11" ShapeID="_x0000_i1030" DrawAspect="Content" ObjectID="_1468075730" r:id="rId19">
                  <o:LockedField>false</o:LockedField>
                </o:OLEObject>
              </w:object>
            </w:r>
          </w:p>
          <w:p w14:paraId="0EC12261">
            <w:pPr>
              <w:spacing w:line="240" w:lineRule="auto"/>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1"/>
                <w:szCs w:val="21"/>
              </w:rPr>
              <w:t>图</w:t>
            </w:r>
            <w:r>
              <w:rPr>
                <w:rFonts w:hint="default" w:ascii="Times New Roman" w:hAnsi="Times New Roman" w:cs="Times New Roman"/>
                <w:b/>
                <w:bCs/>
                <w:color w:val="auto"/>
                <w:kern w:val="0"/>
                <w:sz w:val="21"/>
                <w:szCs w:val="21"/>
                <w:lang w:val="en-US" w:eastAsia="zh-CN"/>
              </w:rPr>
              <w:t>4</w:t>
            </w:r>
            <w:r>
              <w:rPr>
                <w:rFonts w:hint="default" w:ascii="Times New Roman" w:hAnsi="Times New Roman" w:cs="Times New Roman"/>
                <w:b/>
                <w:bCs/>
                <w:color w:val="auto"/>
                <w:kern w:val="0"/>
                <w:sz w:val="21"/>
                <w:szCs w:val="21"/>
              </w:rPr>
              <w:t>-1</w:t>
            </w:r>
            <w:r>
              <w:rPr>
                <w:rFonts w:hint="eastAsia" w:cs="Times New Roman"/>
                <w:b/>
                <w:bCs/>
                <w:color w:val="auto"/>
                <w:kern w:val="0"/>
                <w:sz w:val="21"/>
                <w:szCs w:val="21"/>
                <w:lang w:val="en-US" w:eastAsia="zh-CN"/>
              </w:rPr>
              <w:t xml:space="preserve">  </w:t>
            </w:r>
            <w:r>
              <w:rPr>
                <w:rFonts w:hint="default" w:ascii="Times New Roman" w:hAnsi="Times New Roman" w:cs="Times New Roman"/>
                <w:b/>
                <w:bCs/>
                <w:color w:val="auto"/>
                <w:kern w:val="0"/>
                <w:sz w:val="21"/>
                <w:szCs w:val="21"/>
              </w:rPr>
              <w:t>本项目水平衡图（单位：</w:t>
            </w:r>
            <w:r>
              <w:rPr>
                <w:rFonts w:hint="eastAsia" w:cs="Times New Roman"/>
                <w:b/>
                <w:color w:val="auto"/>
                <w:sz w:val="21"/>
                <w:szCs w:val="21"/>
                <w:lang w:val="en-US" w:eastAsia="zh-CN"/>
              </w:rPr>
              <w:t>t</w:t>
            </w:r>
            <w:r>
              <w:rPr>
                <w:rFonts w:hint="default" w:ascii="Times New Roman" w:hAnsi="Times New Roman" w:cs="Times New Roman"/>
                <w:b/>
                <w:bCs/>
                <w:color w:val="auto"/>
                <w:kern w:val="0"/>
                <w:sz w:val="21"/>
                <w:szCs w:val="21"/>
              </w:rPr>
              <w:t>/</w:t>
            </w:r>
            <w:r>
              <w:rPr>
                <w:rFonts w:hint="default" w:ascii="Times New Roman" w:hAnsi="Times New Roman" w:cs="Times New Roman"/>
                <w:b/>
                <w:bCs/>
                <w:color w:val="auto"/>
                <w:kern w:val="0"/>
                <w:sz w:val="21"/>
                <w:szCs w:val="21"/>
                <w:lang w:val="en-US" w:eastAsia="zh-CN"/>
              </w:rPr>
              <w:t>d</w:t>
            </w:r>
            <w:r>
              <w:rPr>
                <w:rFonts w:hint="default" w:ascii="Times New Roman" w:hAnsi="Times New Roman" w:cs="Times New Roman"/>
                <w:b/>
                <w:bCs/>
                <w:color w:val="auto"/>
                <w:kern w:val="0"/>
                <w:sz w:val="21"/>
                <w:szCs w:val="21"/>
              </w:rPr>
              <w:t>）</w:t>
            </w:r>
          </w:p>
          <w:p w14:paraId="2BF4B804">
            <w:pPr>
              <w:keepNext w:val="0"/>
              <w:keepLines w:val="0"/>
              <w:pageBreakBefore w:val="0"/>
              <w:kinsoku/>
              <w:wordWrap/>
              <w:overflowPunct/>
              <w:topLinePunct w:val="0"/>
              <w:autoSpaceDE/>
              <w:autoSpaceDN/>
              <w:bidi w:val="0"/>
              <w:adjustRightInd w:val="0"/>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cs="Times New Roman"/>
                <w:b/>
                <w:color w:val="auto"/>
                <w:sz w:val="24"/>
                <w:szCs w:val="24"/>
              </w:rPr>
              <w:t xml:space="preserve"> </w:t>
            </w:r>
            <w:r>
              <w:rPr>
                <w:rFonts w:hint="eastAsia"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val="en-US" w:eastAsia="zh-CN"/>
              </w:rPr>
              <w:t>废水产生及治理可行性分析</w:t>
            </w:r>
          </w:p>
          <w:p w14:paraId="56E87639">
            <w:pPr>
              <w:spacing w:beforeLines="0" w:afterLines="0" w:line="520" w:lineRule="exact"/>
              <w:ind w:firstLine="539"/>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w:t>
            </w:r>
            <w:r>
              <w:rPr>
                <w:rFonts w:hint="eastAsia" w:cs="Times New Roman"/>
                <w:b/>
                <w:color w:val="auto"/>
                <w:sz w:val="24"/>
                <w:szCs w:val="24"/>
                <w:lang w:eastAsia="zh-CN"/>
              </w:rPr>
              <w:t>）</w:t>
            </w:r>
            <w:r>
              <w:rPr>
                <w:rFonts w:hint="default" w:ascii="Times New Roman" w:hAnsi="Times New Roman" w:eastAsia="宋体" w:cs="Times New Roman"/>
                <w:b/>
                <w:color w:val="auto"/>
                <w:sz w:val="24"/>
                <w:szCs w:val="24"/>
              </w:rPr>
              <w:t>生活污水治理可行性分析</w:t>
            </w:r>
          </w:p>
          <w:p w14:paraId="0EA3B0B1">
            <w:pPr>
              <w:keepNext w:val="0"/>
              <w:keepLines w:val="0"/>
              <w:pageBreakBefore w:val="0"/>
              <w:widowControl/>
              <w:kinsoku/>
              <w:wordWrap/>
              <w:overflowPunct/>
              <w:topLinePunct w:val="0"/>
              <w:autoSpaceDE/>
              <w:autoSpaceDN/>
              <w:bidi w:val="0"/>
              <w:adjustRightInd/>
              <w:spacing w:beforeLines="0" w:afterLines="0"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bidi="ar"/>
              </w:rPr>
            </w:pPr>
            <w:r>
              <w:rPr>
                <w:rFonts w:hint="default" w:ascii="Times New Roman" w:hAnsi="Times New Roman" w:eastAsia="宋体" w:cs="Times New Roman"/>
                <w:snapToGrid w:val="0"/>
                <w:color w:val="auto"/>
                <w:kern w:val="0"/>
                <w:sz w:val="24"/>
                <w:szCs w:val="24"/>
                <w:lang w:bidi="ar"/>
              </w:rPr>
              <w:t>（1）生活污水治理可行性分析</w:t>
            </w:r>
          </w:p>
          <w:p w14:paraId="52CFFB9F">
            <w:pPr>
              <w:keepNext w:val="0"/>
              <w:keepLines w:val="0"/>
              <w:pageBreakBefore w:val="0"/>
              <w:widowControl/>
              <w:kinsoku/>
              <w:wordWrap/>
              <w:overflowPunct/>
              <w:topLinePunct w:val="0"/>
              <w:autoSpaceDE/>
              <w:autoSpaceDN/>
              <w:bidi w:val="0"/>
              <w:adjustRightInd/>
              <w:spacing w:beforeLines="0" w:afterLines="0"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bidi="ar"/>
              </w:rPr>
            </w:pPr>
            <w:r>
              <w:rPr>
                <w:rFonts w:hint="default" w:ascii="Times New Roman" w:hAnsi="Times New Roman" w:eastAsia="宋体" w:cs="Times New Roman"/>
                <w:snapToGrid w:val="0"/>
                <w:color w:val="auto"/>
                <w:kern w:val="0"/>
                <w:sz w:val="24"/>
                <w:szCs w:val="24"/>
                <w:lang w:bidi="ar"/>
              </w:rPr>
              <w:t>本项目地只有雨水管网，无污水管网，本项目污水生活污水经化粪池处理，定期安排清运用于农田堆肥；生产冷凝废水经地埋式一体化设施处理后用于厂区绿化。。</w:t>
            </w:r>
          </w:p>
          <w:p w14:paraId="59345748">
            <w:pPr>
              <w:keepNext w:val="0"/>
              <w:keepLines w:val="0"/>
              <w:pageBreakBefore w:val="0"/>
              <w:widowControl/>
              <w:kinsoku/>
              <w:wordWrap/>
              <w:overflowPunct/>
              <w:topLinePunct w:val="0"/>
              <w:autoSpaceDE/>
              <w:autoSpaceDN/>
              <w:bidi w:val="0"/>
              <w:adjustRightInd/>
              <w:spacing w:beforeLines="0" w:afterLines="0"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bidi="ar"/>
              </w:rPr>
            </w:pPr>
            <w:r>
              <w:rPr>
                <w:rFonts w:hint="default" w:ascii="Times New Roman" w:hAnsi="Times New Roman" w:eastAsia="宋体" w:cs="Times New Roman"/>
                <w:snapToGrid w:val="0"/>
                <w:color w:val="auto"/>
                <w:kern w:val="0"/>
                <w:sz w:val="24"/>
                <w:szCs w:val="24"/>
                <w:lang w:bidi="ar"/>
              </w:rPr>
              <w:t>生活污水中含有大量粪便、纸屑、病原虫等因子，悬浮物固体浓度为100~350mg/L，有机物浓度COD在100~400mg/L之间，其中悬浮性的有机物浓度BOD</w:t>
            </w:r>
            <w:r>
              <w:rPr>
                <w:rFonts w:hint="default" w:ascii="Times New Roman" w:hAnsi="Times New Roman" w:eastAsia="宋体" w:cs="Times New Roman"/>
                <w:snapToGrid w:val="0"/>
                <w:color w:val="auto"/>
                <w:kern w:val="0"/>
                <w:sz w:val="24"/>
                <w:szCs w:val="24"/>
                <w:vertAlign w:val="subscript"/>
                <w:lang w:bidi="ar"/>
              </w:rPr>
              <w:t>5</w:t>
            </w:r>
            <w:r>
              <w:rPr>
                <w:rFonts w:hint="default" w:ascii="Times New Roman" w:hAnsi="Times New Roman" w:eastAsia="宋体" w:cs="Times New Roman"/>
                <w:snapToGrid w:val="0"/>
                <w:color w:val="auto"/>
                <w:kern w:val="0"/>
                <w:sz w:val="24"/>
                <w:szCs w:val="24"/>
                <w:lang w:bidi="ar"/>
              </w:rPr>
              <w:t>为50~200mg/L。</w:t>
            </w:r>
          </w:p>
          <w:p w14:paraId="2BFDF8FD">
            <w:pPr>
              <w:keepNext w:val="0"/>
              <w:keepLines w:val="0"/>
              <w:pageBreakBefore w:val="0"/>
              <w:widowControl/>
              <w:kinsoku/>
              <w:wordWrap/>
              <w:overflowPunct/>
              <w:topLinePunct w:val="0"/>
              <w:autoSpaceDE/>
              <w:autoSpaceDN/>
              <w:bidi w:val="0"/>
              <w:adjustRightInd/>
              <w:spacing w:beforeLines="0" w:afterLines="0"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bidi="ar"/>
              </w:rPr>
            </w:pPr>
            <w:r>
              <w:rPr>
                <w:rFonts w:hint="default" w:ascii="Times New Roman" w:hAnsi="Times New Roman" w:eastAsia="宋体" w:cs="Times New Roman"/>
                <w:snapToGrid w:val="0"/>
                <w:color w:val="auto"/>
                <w:kern w:val="0"/>
                <w:sz w:val="24"/>
                <w:szCs w:val="24"/>
                <w:lang w:bidi="ar"/>
              </w:rPr>
              <w:t>预处理：隔油池能有效去除生活污水中的油脂，防止油脂堵塞管道和影响后续处理工艺；化粪池通过沉淀和厌氧发酵等作用，可去除部分有机物和悬浮物，降低污水的污染负荷，为后续处理提供良好的条件。</w:t>
            </w:r>
          </w:p>
          <w:p w14:paraId="6EB44B50">
            <w:pPr>
              <w:keepNext w:val="0"/>
              <w:keepLines w:val="0"/>
              <w:pageBreakBefore w:val="0"/>
              <w:widowControl/>
              <w:kinsoku/>
              <w:wordWrap/>
              <w:overflowPunct/>
              <w:topLinePunct w:val="0"/>
              <w:autoSpaceDE/>
              <w:autoSpaceDN/>
              <w:bidi w:val="0"/>
              <w:adjustRightInd/>
              <w:spacing w:beforeLines="0" w:afterLines="0"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bidi="ar"/>
              </w:rPr>
            </w:pPr>
            <w:r>
              <w:rPr>
                <w:rFonts w:hint="default" w:ascii="Times New Roman" w:hAnsi="Times New Roman" w:eastAsia="宋体" w:cs="Times New Roman"/>
                <w:snapToGrid w:val="0"/>
                <w:color w:val="auto"/>
                <w:kern w:val="0"/>
                <w:sz w:val="24"/>
                <w:szCs w:val="24"/>
                <w:lang w:bidi="ar"/>
              </w:rPr>
              <w:t>参照大量生活废水预处理的经验，通过</w:t>
            </w:r>
            <w:r>
              <w:rPr>
                <w:rFonts w:hint="eastAsia" w:cs="Times New Roman"/>
                <w:snapToGrid w:val="0"/>
                <w:color w:val="auto"/>
                <w:kern w:val="0"/>
                <w:sz w:val="24"/>
                <w:szCs w:val="24"/>
                <w:lang w:val="en-US" w:eastAsia="zh-CN" w:bidi="ar"/>
              </w:rPr>
              <w:t>隔油池、</w:t>
            </w:r>
            <w:r>
              <w:rPr>
                <w:rFonts w:hint="default" w:ascii="Times New Roman" w:hAnsi="Times New Roman" w:eastAsia="宋体" w:cs="Times New Roman"/>
                <w:snapToGrid w:val="0"/>
                <w:color w:val="auto"/>
                <w:kern w:val="0"/>
                <w:sz w:val="24"/>
                <w:szCs w:val="24"/>
                <w:lang w:bidi="ar"/>
              </w:rPr>
              <w:t>化粪池处理后，定期安排清运用于农田堆肥。</w:t>
            </w:r>
          </w:p>
          <w:p w14:paraId="3C3A9E66">
            <w:pPr>
              <w:keepNext w:val="0"/>
              <w:keepLines w:val="0"/>
              <w:pageBreakBefore w:val="0"/>
              <w:widowControl/>
              <w:kinsoku/>
              <w:wordWrap/>
              <w:overflowPunct/>
              <w:topLinePunct w:val="0"/>
              <w:autoSpaceDE/>
              <w:autoSpaceDN/>
              <w:bidi w:val="0"/>
              <w:adjustRightInd/>
              <w:spacing w:beforeLines="0" w:afterLines="0"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bidi="ar"/>
              </w:rPr>
            </w:pPr>
            <w:r>
              <w:rPr>
                <w:rFonts w:hint="default" w:ascii="Times New Roman" w:hAnsi="Times New Roman" w:eastAsia="宋体" w:cs="Times New Roman"/>
                <w:snapToGrid w:val="0"/>
                <w:color w:val="auto"/>
                <w:kern w:val="0"/>
                <w:sz w:val="24"/>
                <w:szCs w:val="24"/>
                <w:lang w:bidi="ar"/>
              </w:rPr>
              <w:t>建设项目的水污染控制和水环境影响减缓措施可行。</w:t>
            </w:r>
          </w:p>
          <w:p w14:paraId="3686493E">
            <w:pPr>
              <w:keepNext w:val="0"/>
              <w:keepLines w:val="0"/>
              <w:pageBreakBefore w:val="0"/>
              <w:widowControl/>
              <w:kinsoku/>
              <w:wordWrap/>
              <w:overflowPunct/>
              <w:topLinePunct w:val="0"/>
              <w:autoSpaceDE/>
              <w:autoSpaceDN/>
              <w:bidi w:val="0"/>
              <w:adjustRightInd/>
              <w:spacing w:beforeLines="0" w:afterLines="0" w:line="360" w:lineRule="auto"/>
              <w:ind w:firstLine="482" w:firstLineChars="200"/>
              <w:jc w:val="left"/>
              <w:textAlignment w:val="auto"/>
              <w:rPr>
                <w:rFonts w:hint="default" w:ascii="Times New Roman" w:hAnsi="Times New Roman" w:eastAsia="宋体" w:cs="Times New Roman"/>
                <w:b/>
                <w:bCs/>
                <w:snapToGrid w:val="0"/>
                <w:color w:val="auto"/>
                <w:kern w:val="0"/>
                <w:sz w:val="24"/>
                <w:szCs w:val="24"/>
                <w:lang w:bidi="ar"/>
              </w:rPr>
            </w:pPr>
            <w:r>
              <w:rPr>
                <w:rFonts w:hint="eastAsia" w:cs="Times New Roman"/>
                <w:b/>
                <w:bCs/>
                <w:snapToGrid w:val="0"/>
                <w:color w:val="auto"/>
                <w:kern w:val="0"/>
                <w:sz w:val="24"/>
                <w:szCs w:val="24"/>
                <w:lang w:val="en-US" w:eastAsia="zh-CN" w:bidi="ar"/>
              </w:rPr>
              <w:t>2</w:t>
            </w:r>
            <w:r>
              <w:rPr>
                <w:rFonts w:hint="default" w:ascii="Times New Roman" w:hAnsi="Times New Roman" w:eastAsia="宋体" w:cs="Times New Roman"/>
                <w:b/>
                <w:bCs/>
                <w:snapToGrid w:val="0"/>
                <w:color w:val="auto"/>
                <w:kern w:val="0"/>
                <w:sz w:val="24"/>
                <w:szCs w:val="24"/>
                <w:lang w:bidi="ar"/>
              </w:rPr>
              <w:t>）</w:t>
            </w:r>
            <w:r>
              <w:rPr>
                <w:rFonts w:hint="eastAsia" w:cs="Times New Roman"/>
                <w:b/>
                <w:bCs/>
                <w:snapToGrid w:val="0"/>
                <w:color w:val="auto"/>
                <w:kern w:val="0"/>
                <w:sz w:val="24"/>
                <w:szCs w:val="24"/>
                <w:lang w:val="en-US" w:eastAsia="zh-CN" w:bidi="ar"/>
              </w:rPr>
              <w:t>生产废水</w:t>
            </w:r>
            <w:r>
              <w:rPr>
                <w:rFonts w:hint="default" w:ascii="Times New Roman" w:hAnsi="Times New Roman" w:eastAsia="宋体" w:cs="Times New Roman"/>
                <w:b/>
                <w:bCs/>
                <w:snapToGrid w:val="0"/>
                <w:color w:val="auto"/>
                <w:kern w:val="0"/>
                <w:sz w:val="24"/>
                <w:szCs w:val="24"/>
                <w:lang w:bidi="ar"/>
              </w:rPr>
              <w:t>治理可行性分析</w:t>
            </w:r>
          </w:p>
          <w:p w14:paraId="511BBECB">
            <w:pPr>
              <w:keepNext w:val="0"/>
              <w:keepLines w:val="0"/>
              <w:pageBreakBefore w:val="0"/>
              <w:widowControl/>
              <w:kinsoku/>
              <w:wordWrap/>
              <w:overflowPunct/>
              <w:topLinePunct w:val="0"/>
              <w:autoSpaceDE/>
              <w:autoSpaceDN/>
              <w:bidi w:val="0"/>
              <w:adjustRightInd/>
              <w:spacing w:beforeLines="0" w:afterLines="0"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bidi="ar"/>
              </w:rPr>
            </w:pPr>
            <w:r>
              <w:rPr>
                <w:rFonts w:hint="default" w:ascii="Times New Roman" w:hAnsi="Times New Roman" w:eastAsia="宋体" w:cs="Times New Roman"/>
                <w:snapToGrid w:val="0"/>
                <w:color w:val="auto"/>
                <w:kern w:val="0"/>
                <w:sz w:val="24"/>
                <w:szCs w:val="24"/>
                <w:lang w:bidi="ar"/>
              </w:rPr>
              <w:t>本项目</w:t>
            </w:r>
            <w:r>
              <w:rPr>
                <w:rFonts w:hint="eastAsia" w:cs="Times New Roman"/>
                <w:snapToGrid w:val="0"/>
                <w:color w:val="auto"/>
                <w:kern w:val="0"/>
                <w:sz w:val="24"/>
                <w:szCs w:val="24"/>
                <w:lang w:val="en-US" w:eastAsia="zh-CN" w:bidi="ar"/>
              </w:rPr>
              <w:t>生产</w:t>
            </w:r>
            <w:r>
              <w:rPr>
                <w:rFonts w:hint="default" w:ascii="Times New Roman" w:hAnsi="Times New Roman" w:eastAsia="宋体" w:cs="Times New Roman"/>
                <w:snapToGrid w:val="0"/>
                <w:color w:val="auto"/>
                <w:kern w:val="0"/>
                <w:sz w:val="24"/>
                <w:szCs w:val="24"/>
                <w:lang w:bidi="ar"/>
              </w:rPr>
              <w:t>废水主要为鸭蛋清洗废水、设备清洗水、制软水</w:t>
            </w:r>
            <w:r>
              <w:rPr>
                <w:rFonts w:hint="eastAsia" w:cs="Times New Roman"/>
                <w:snapToGrid w:val="0"/>
                <w:color w:val="auto"/>
                <w:kern w:val="0"/>
                <w:sz w:val="24"/>
                <w:szCs w:val="24"/>
                <w:lang w:val="en-US" w:eastAsia="zh-CN" w:bidi="ar"/>
              </w:rPr>
              <w:t>尾</w:t>
            </w:r>
            <w:r>
              <w:rPr>
                <w:rFonts w:hint="default" w:ascii="Times New Roman" w:hAnsi="Times New Roman" w:eastAsia="宋体" w:cs="Times New Roman"/>
                <w:snapToGrid w:val="0"/>
                <w:color w:val="auto"/>
                <w:kern w:val="0"/>
                <w:sz w:val="24"/>
                <w:szCs w:val="24"/>
                <w:lang w:bidi="ar"/>
              </w:rPr>
              <w:t>水</w:t>
            </w:r>
            <w:r>
              <w:rPr>
                <w:rFonts w:hint="eastAsia" w:cs="Times New Roman"/>
                <w:snapToGrid w:val="0"/>
                <w:color w:val="auto"/>
                <w:kern w:val="0"/>
                <w:sz w:val="24"/>
                <w:szCs w:val="24"/>
                <w:lang w:eastAsia="zh-CN" w:bidi="ar"/>
              </w:rPr>
              <w:t>、地面清洗废水、锅炉排水</w:t>
            </w:r>
            <w:r>
              <w:rPr>
                <w:rFonts w:hint="default" w:ascii="Times New Roman" w:hAnsi="Times New Roman" w:eastAsia="宋体" w:cs="Times New Roman"/>
                <w:snapToGrid w:val="0"/>
                <w:color w:val="auto"/>
                <w:kern w:val="0"/>
                <w:sz w:val="24"/>
                <w:szCs w:val="24"/>
                <w:lang w:bidi="ar"/>
              </w:rPr>
              <w:t>等。本项目采用地埋式一体化污水处理设施处理废水，污水经格栅、调节池后进入一体化处理设备，该设备技术性稳定可靠，处理效果好，污水处理站设计处理规模为</w:t>
            </w:r>
            <w:r>
              <w:rPr>
                <w:rFonts w:hint="eastAsia" w:cs="Times New Roman"/>
                <w:snapToGrid w:val="0"/>
                <w:color w:val="auto"/>
                <w:kern w:val="0"/>
                <w:sz w:val="24"/>
                <w:szCs w:val="24"/>
                <w:lang w:val="en-US" w:eastAsia="zh-CN" w:bidi="ar"/>
              </w:rPr>
              <w:t>3</w:t>
            </w:r>
            <w:r>
              <w:rPr>
                <w:rFonts w:hint="default" w:ascii="Times New Roman" w:hAnsi="Times New Roman" w:eastAsia="宋体" w:cs="Times New Roman"/>
                <w:snapToGrid w:val="0"/>
                <w:color w:val="auto"/>
                <w:kern w:val="0"/>
                <w:sz w:val="24"/>
                <w:szCs w:val="24"/>
                <w:lang w:bidi="ar"/>
              </w:rPr>
              <w:t>m</w:t>
            </w:r>
            <w:r>
              <w:rPr>
                <w:rFonts w:hint="default" w:ascii="Times New Roman" w:hAnsi="Times New Roman" w:eastAsia="宋体" w:cs="Times New Roman"/>
                <w:snapToGrid w:val="0"/>
                <w:color w:val="auto"/>
                <w:kern w:val="0"/>
                <w:sz w:val="24"/>
                <w:szCs w:val="24"/>
                <w:vertAlign w:val="superscript"/>
                <w:lang w:bidi="ar"/>
              </w:rPr>
              <w:t>3</w:t>
            </w:r>
            <w:r>
              <w:rPr>
                <w:rFonts w:hint="default" w:ascii="Times New Roman" w:hAnsi="Times New Roman" w:eastAsia="宋体" w:cs="Times New Roman"/>
                <w:snapToGrid w:val="0"/>
                <w:color w:val="auto"/>
                <w:kern w:val="0"/>
                <w:sz w:val="24"/>
                <w:szCs w:val="24"/>
                <w:lang w:bidi="ar"/>
              </w:rPr>
              <w:t>/d，本项目生产冷却废水排放量为</w:t>
            </w:r>
            <w:r>
              <w:rPr>
                <w:rFonts w:hint="eastAsia" w:cs="Times New Roman"/>
                <w:snapToGrid w:val="0"/>
                <w:color w:val="auto"/>
                <w:kern w:val="0"/>
                <w:sz w:val="24"/>
                <w:szCs w:val="24"/>
                <w:lang w:val="en-US" w:eastAsia="zh-CN" w:bidi="ar"/>
              </w:rPr>
              <w:t>0.47</w:t>
            </w:r>
            <w:r>
              <w:rPr>
                <w:rFonts w:hint="default" w:ascii="Times New Roman" w:hAnsi="Times New Roman" w:eastAsia="宋体" w:cs="Times New Roman"/>
                <w:snapToGrid w:val="0"/>
                <w:color w:val="auto"/>
                <w:kern w:val="0"/>
                <w:sz w:val="24"/>
                <w:szCs w:val="24"/>
                <w:lang w:bidi="ar"/>
              </w:rPr>
              <w:t>t/a，本项目进入该污水处理设施可行。</w:t>
            </w:r>
          </w:p>
          <w:p w14:paraId="1EE62A99">
            <w:pPr>
              <w:keepNext w:val="0"/>
              <w:keepLines w:val="0"/>
              <w:pageBreakBefore w:val="0"/>
              <w:widowControl/>
              <w:kinsoku/>
              <w:wordWrap/>
              <w:overflowPunct/>
              <w:topLinePunct w:val="0"/>
              <w:autoSpaceDE/>
              <w:autoSpaceDN/>
              <w:bidi w:val="0"/>
              <w:adjustRightInd/>
              <w:spacing w:beforeLines="0" w:afterLines="0"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bidi="ar"/>
              </w:rPr>
            </w:pPr>
            <w:r>
              <w:rPr>
                <w:rFonts w:hint="default" w:ascii="Times New Roman" w:hAnsi="Times New Roman" w:eastAsia="宋体" w:cs="Times New Roman"/>
                <w:snapToGrid w:val="0"/>
                <w:color w:val="auto"/>
                <w:kern w:val="0"/>
                <w:sz w:val="24"/>
                <w:szCs w:val="24"/>
                <w:lang w:bidi="ar"/>
              </w:rPr>
              <w:t>污水处理工艺</w:t>
            </w:r>
            <w:r>
              <w:rPr>
                <w:rFonts w:hint="eastAsia" w:cs="Times New Roman"/>
                <w:snapToGrid w:val="0"/>
                <w:color w:val="auto"/>
                <w:kern w:val="0"/>
                <w:sz w:val="24"/>
                <w:szCs w:val="24"/>
                <w:lang w:val="en-US" w:eastAsia="zh-CN" w:bidi="ar"/>
              </w:rPr>
              <w:t>为“调节+缺氧+接触氧化+二沉池+清水池”，</w:t>
            </w:r>
            <w:r>
              <w:rPr>
                <w:rFonts w:hint="default" w:ascii="Times New Roman" w:hAnsi="Times New Roman" w:eastAsia="宋体" w:cs="Times New Roman"/>
                <w:snapToGrid w:val="0"/>
                <w:color w:val="auto"/>
                <w:kern w:val="0"/>
                <w:sz w:val="24"/>
                <w:szCs w:val="24"/>
                <w:lang w:bidi="ar"/>
              </w:rPr>
              <w:t>主要处理手段是采用目前较为成熟的生化处理技术接触氧化池。共有以下几部分组成：⑴调节池；⑵缺氧池；⑶接触氧化池；⑷二沉池；⑸污泥池。具体组成部分介绍如下：</w:t>
            </w:r>
          </w:p>
          <w:p w14:paraId="4869AF5E">
            <w:pPr>
              <w:keepNext w:val="0"/>
              <w:keepLines w:val="0"/>
              <w:pageBreakBefore w:val="0"/>
              <w:widowControl/>
              <w:kinsoku/>
              <w:wordWrap/>
              <w:overflowPunct/>
              <w:topLinePunct w:val="0"/>
              <w:autoSpaceDE/>
              <w:autoSpaceDN/>
              <w:bidi w:val="0"/>
              <w:adjustRightInd/>
              <w:spacing w:beforeLines="0" w:afterLines="0"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bidi="ar"/>
              </w:rPr>
            </w:pPr>
            <w:r>
              <w:rPr>
                <w:rFonts w:hint="default" w:ascii="Times New Roman" w:hAnsi="Times New Roman" w:eastAsia="宋体" w:cs="Times New Roman"/>
                <w:snapToGrid w:val="0"/>
                <w:color w:val="auto"/>
                <w:kern w:val="0"/>
                <w:sz w:val="24"/>
                <w:szCs w:val="24"/>
                <w:lang w:bidi="ar"/>
              </w:rPr>
              <w:t>⑴调节池：本工程废水主要为</w:t>
            </w:r>
            <w:r>
              <w:rPr>
                <w:rFonts w:hint="eastAsia" w:cs="Times New Roman"/>
                <w:snapToGrid w:val="0"/>
                <w:color w:val="auto"/>
                <w:kern w:val="0"/>
                <w:sz w:val="24"/>
                <w:szCs w:val="24"/>
                <w:lang w:val="en-US" w:eastAsia="zh-CN" w:bidi="ar"/>
              </w:rPr>
              <w:t>生产废水</w:t>
            </w:r>
            <w:r>
              <w:rPr>
                <w:rFonts w:hint="default" w:ascii="Times New Roman" w:hAnsi="Times New Roman" w:eastAsia="宋体" w:cs="Times New Roman"/>
                <w:snapToGrid w:val="0"/>
                <w:color w:val="auto"/>
                <w:kern w:val="0"/>
                <w:sz w:val="24"/>
                <w:szCs w:val="24"/>
                <w:lang w:bidi="ar"/>
              </w:rPr>
              <w:t>，废水先进调节池进行初步沉降、分离。调节水质均衡，有利于下一道工序。另外还可调节水量。</w:t>
            </w:r>
          </w:p>
          <w:p w14:paraId="211BE13F">
            <w:pPr>
              <w:keepNext w:val="0"/>
              <w:keepLines w:val="0"/>
              <w:pageBreakBefore w:val="0"/>
              <w:widowControl/>
              <w:kinsoku/>
              <w:wordWrap/>
              <w:overflowPunct/>
              <w:topLinePunct w:val="0"/>
              <w:autoSpaceDE/>
              <w:autoSpaceDN/>
              <w:bidi w:val="0"/>
              <w:adjustRightInd/>
              <w:spacing w:beforeLines="0" w:afterLines="0"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bidi="ar"/>
              </w:rPr>
            </w:pPr>
            <w:r>
              <w:rPr>
                <w:rFonts w:hint="default" w:ascii="Times New Roman" w:hAnsi="Times New Roman" w:eastAsia="宋体" w:cs="Times New Roman"/>
                <w:snapToGrid w:val="0"/>
                <w:color w:val="auto"/>
                <w:kern w:val="0"/>
                <w:sz w:val="24"/>
                <w:szCs w:val="24"/>
                <w:lang w:bidi="ar"/>
              </w:rPr>
              <w:t>⑵缺氧池：缺氧池为脱氮处理而设置，池内设置立体弹性填料，作为反硝化细菌的载体，硝化液中回硝态氨和亚酸态氧在反硝化细菌的作用下，还原成氮气，达到脱氮的目的，缺氧池有效停留时间为2.5h，溶解氧控制在≤0.5mg/L。</w:t>
            </w:r>
          </w:p>
          <w:p w14:paraId="4FDB5B08">
            <w:pPr>
              <w:keepNext w:val="0"/>
              <w:keepLines w:val="0"/>
              <w:pageBreakBefore w:val="0"/>
              <w:widowControl/>
              <w:kinsoku/>
              <w:wordWrap/>
              <w:overflowPunct/>
              <w:topLinePunct w:val="0"/>
              <w:autoSpaceDE/>
              <w:autoSpaceDN/>
              <w:bidi w:val="0"/>
              <w:adjustRightInd/>
              <w:spacing w:beforeLines="0" w:afterLines="0"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bidi="ar"/>
              </w:rPr>
            </w:pPr>
            <w:r>
              <w:rPr>
                <w:rFonts w:hint="default" w:ascii="Times New Roman" w:hAnsi="Times New Roman" w:eastAsia="宋体" w:cs="Times New Roman"/>
                <w:snapToGrid w:val="0"/>
                <w:color w:val="auto"/>
                <w:kern w:val="0"/>
                <w:sz w:val="24"/>
                <w:szCs w:val="24"/>
                <w:lang w:bidi="ar"/>
              </w:rPr>
              <w:t>⑶接触氧化池：生物接触氧化法（biological contact oxidation process）是以附着在载体（俗称填料）上的生物膜为主，净化有机废水的一种高效水处理工艺。具有活性污泥法特点的生物膜法，兼有活性污泥法和生物膜法的优点。在可生化条件下，不论应用于工业废水还是养殖污水、生活污水的处理，都取得了良好的经济效益。该工艺因具有高效节能、占地面积小、耐冲击负荷、运行管理方便等特点而被广泛应用于各行各业的污水处理系统。污水自流至接触池进行生化处理，停留时间为6h，填料为新颖弹性填料，易结膜，不堵塞，接触氧化池气水比在15：1左右。</w:t>
            </w:r>
          </w:p>
          <w:p w14:paraId="01A214C3">
            <w:pPr>
              <w:keepNext w:val="0"/>
              <w:keepLines w:val="0"/>
              <w:pageBreakBefore w:val="0"/>
              <w:widowControl/>
              <w:kinsoku/>
              <w:wordWrap/>
              <w:overflowPunct/>
              <w:topLinePunct w:val="0"/>
              <w:autoSpaceDE/>
              <w:autoSpaceDN/>
              <w:bidi w:val="0"/>
              <w:adjustRightInd/>
              <w:spacing w:beforeLines="0" w:afterLines="0"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bidi="ar"/>
              </w:rPr>
            </w:pPr>
            <w:r>
              <w:rPr>
                <w:rFonts w:hint="default" w:ascii="Times New Roman" w:hAnsi="Times New Roman" w:eastAsia="宋体" w:cs="Times New Roman"/>
                <w:snapToGrid w:val="0"/>
                <w:color w:val="auto"/>
                <w:kern w:val="0"/>
                <w:sz w:val="24"/>
                <w:szCs w:val="24"/>
                <w:lang w:bidi="ar"/>
              </w:rPr>
              <w:t>⑷二沉池：生化后的污水流到二沉池，二沉池为竖流式沉淀，表面负荷为＜1.0m</w:t>
            </w:r>
            <w:r>
              <w:rPr>
                <w:rFonts w:hint="default" w:ascii="Times New Roman" w:hAnsi="Times New Roman" w:eastAsia="宋体" w:cs="Times New Roman"/>
                <w:snapToGrid w:val="0"/>
                <w:color w:val="auto"/>
                <w:kern w:val="0"/>
                <w:sz w:val="24"/>
                <w:szCs w:val="24"/>
                <w:vertAlign w:val="superscript"/>
                <w:lang w:bidi="ar"/>
              </w:rPr>
              <w:t>3</w:t>
            </w:r>
            <w:r>
              <w:rPr>
                <w:rFonts w:hint="default" w:ascii="Times New Roman" w:hAnsi="Times New Roman" w:eastAsia="宋体" w:cs="Times New Roman"/>
                <w:snapToGrid w:val="0"/>
                <w:color w:val="auto"/>
                <w:kern w:val="0"/>
                <w:sz w:val="24"/>
                <w:szCs w:val="24"/>
                <w:lang w:bidi="ar"/>
              </w:rPr>
              <w:t>/ h，排泥提升至污泥池。</w:t>
            </w:r>
          </w:p>
          <w:p w14:paraId="481872E2">
            <w:pPr>
              <w:pStyle w:val="2"/>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object>
                <v:shape id="_x0000_i1031" o:spt="75" type="#_x0000_t75" style="height:283.8pt;width:74.4pt;" o:ole="t" filled="f" o:preferrelative="t" stroked="f" coordsize="21600,21600">
                  <v:path/>
                  <v:fill on="f" focussize="0,0"/>
                  <v:stroke on="f"/>
                  <v:imagedata r:id="rId22" o:title=""/>
                  <o:lock v:ext="edit" aspectratio="f"/>
                  <w10:wrap type="none"/>
                  <w10:anchorlock/>
                </v:shape>
                <o:OLEObject Type="Embed" ProgID="Visio.Drawing.11" ShapeID="_x0000_i1031" DrawAspect="Content" ObjectID="_1468075731" r:id="rId21">
                  <o:LockedField>false</o:LockedField>
                </o:OLEObject>
              </w:object>
            </w:r>
          </w:p>
          <w:p w14:paraId="1554F70D">
            <w:pPr>
              <w:jc w:val="center"/>
              <w:rPr>
                <w:rFonts w:hint="eastAsia" w:ascii="宋体"/>
                <w:b/>
                <w:color w:val="auto"/>
                <w:kern w:val="0"/>
                <w:sz w:val="21"/>
                <w:szCs w:val="21"/>
                <w:lang w:val="en-US" w:eastAsia="zh-CN"/>
              </w:rPr>
            </w:pPr>
            <w:r>
              <w:rPr>
                <w:rFonts w:hint="default" w:ascii="宋体"/>
                <w:b/>
                <w:color w:val="auto"/>
                <w:kern w:val="0"/>
                <w:sz w:val="21"/>
                <w:szCs w:val="21"/>
              </w:rPr>
              <w:t>图</w:t>
            </w:r>
            <w:r>
              <w:rPr>
                <w:rFonts w:hint="default"/>
                <w:b/>
                <w:color w:val="auto"/>
                <w:kern w:val="0"/>
                <w:sz w:val="21"/>
                <w:szCs w:val="21"/>
              </w:rPr>
              <w:t>4-</w:t>
            </w:r>
            <w:r>
              <w:rPr>
                <w:rFonts w:hint="eastAsia"/>
                <w:b/>
                <w:color w:val="auto"/>
                <w:kern w:val="0"/>
                <w:sz w:val="21"/>
                <w:szCs w:val="21"/>
                <w:lang w:val="en-US" w:eastAsia="zh-CN"/>
              </w:rPr>
              <w:t>2</w:t>
            </w:r>
            <w:r>
              <w:rPr>
                <w:rFonts w:hint="default" w:ascii="宋体"/>
                <w:b/>
                <w:color w:val="auto"/>
                <w:kern w:val="0"/>
                <w:sz w:val="21"/>
                <w:szCs w:val="21"/>
              </w:rPr>
              <w:t xml:space="preserve">  </w:t>
            </w:r>
            <w:r>
              <w:rPr>
                <w:rFonts w:hint="eastAsia" w:ascii="宋体"/>
                <w:b/>
                <w:color w:val="auto"/>
                <w:kern w:val="0"/>
                <w:sz w:val="21"/>
                <w:szCs w:val="21"/>
                <w:lang w:val="en-US" w:eastAsia="zh-CN"/>
              </w:rPr>
              <w:t>污水处理站工艺流程图</w:t>
            </w:r>
          </w:p>
          <w:p w14:paraId="52B55F87">
            <w:pPr>
              <w:adjustRightInd w:val="0"/>
              <w:spacing w:beforeLines="0" w:afterLines="0" w:line="360" w:lineRule="auto"/>
              <w:ind w:firstLine="504" w:firstLineChars="210"/>
              <w:rPr>
                <w:rFonts w:hint="default"/>
                <w:color w:val="auto"/>
                <w:sz w:val="24"/>
                <w:szCs w:val="24"/>
              </w:rPr>
            </w:pPr>
            <w:r>
              <w:rPr>
                <w:rFonts w:hint="eastAsia" w:eastAsia="宋体"/>
                <w:color w:val="auto"/>
                <w:sz w:val="24"/>
                <w:szCs w:val="24"/>
              </w:rPr>
              <w:t>设备污染物处理效率见下表：</w:t>
            </w:r>
          </w:p>
          <w:p w14:paraId="39781ED7">
            <w:pPr>
              <w:spacing w:beforeLines="0" w:afterLines="0" w:line="360" w:lineRule="auto"/>
              <w:jc w:val="center"/>
              <w:rPr>
                <w:rFonts w:hint="default"/>
                <w:b/>
                <w:smallCaps/>
                <w:color w:val="auto"/>
                <w:sz w:val="21"/>
                <w:szCs w:val="21"/>
              </w:rPr>
            </w:pPr>
            <w:r>
              <w:rPr>
                <w:rFonts w:hint="eastAsia" w:eastAsia="宋体"/>
                <w:b/>
                <w:smallCaps/>
                <w:color w:val="auto"/>
                <w:sz w:val="21"/>
                <w:szCs w:val="21"/>
              </w:rPr>
              <w:t>表4-</w:t>
            </w:r>
            <w:r>
              <w:rPr>
                <w:rFonts w:hint="eastAsia"/>
                <w:b/>
                <w:smallCaps/>
                <w:color w:val="auto"/>
                <w:sz w:val="21"/>
                <w:szCs w:val="21"/>
                <w:lang w:val="en-US" w:eastAsia="zh-CN"/>
              </w:rPr>
              <w:t>10</w:t>
            </w:r>
            <w:r>
              <w:rPr>
                <w:rFonts w:hint="eastAsia" w:eastAsia="宋体"/>
                <w:b/>
                <w:smallCaps/>
                <w:color w:val="auto"/>
                <w:sz w:val="21"/>
                <w:szCs w:val="21"/>
              </w:rPr>
              <w:t xml:space="preserve">  废水污染物处理效率一览表</w:t>
            </w:r>
          </w:p>
          <w:tbl>
            <w:tblPr>
              <w:tblStyle w:val="25"/>
              <w:tblW w:w="4982"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944"/>
              <w:gridCol w:w="1777"/>
              <w:gridCol w:w="680"/>
              <w:gridCol w:w="971"/>
              <w:gridCol w:w="1001"/>
              <w:gridCol w:w="900"/>
              <w:gridCol w:w="959"/>
              <w:gridCol w:w="1005"/>
            </w:tblGrid>
            <w:tr w14:paraId="5B9E6A3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66" w:type="pct"/>
                  <w:tcBorders>
                    <w:top w:val="single" w:color="auto" w:sz="2" w:space="0"/>
                    <w:left w:val="single" w:color="auto" w:sz="2" w:space="0"/>
                    <w:bottom w:val="single" w:color="auto" w:sz="4" w:space="0"/>
                    <w:right w:val="single" w:color="auto" w:sz="4" w:space="0"/>
                    <w:tl2br w:val="nil"/>
                    <w:tr2bl w:val="nil"/>
                  </w:tcBorders>
                  <w:noWrap w:val="0"/>
                  <w:vAlign w:val="center"/>
                </w:tcPr>
                <w:p w14:paraId="7842A3D0">
                  <w:pPr>
                    <w:adjustRightInd w:val="0"/>
                    <w:snapToGrid w:val="0"/>
                    <w:spacing w:beforeLines="0" w:afterLines="0"/>
                    <w:jc w:val="center"/>
                    <w:rPr>
                      <w:rFonts w:hint="default" w:ascii="Times New Roman" w:hAnsi="Times New Roman" w:cs="Times New Roman"/>
                      <w:b/>
                      <w:color w:val="auto"/>
                      <w:sz w:val="21"/>
                      <w:szCs w:val="24"/>
                    </w:rPr>
                  </w:pPr>
                  <w:r>
                    <w:rPr>
                      <w:rFonts w:hint="default" w:ascii="Times New Roman" w:hAnsi="Times New Roman" w:eastAsia="宋体" w:cs="Times New Roman"/>
                      <w:b/>
                      <w:color w:val="auto"/>
                      <w:sz w:val="21"/>
                      <w:szCs w:val="24"/>
                    </w:rPr>
                    <w:t>处理工段名称</w:t>
                  </w:r>
                </w:p>
              </w:tc>
              <w:tc>
                <w:tcPr>
                  <w:tcW w:w="1507" w:type="pct"/>
                  <w:gridSpan w:val="2"/>
                  <w:tcBorders>
                    <w:top w:val="single" w:color="auto" w:sz="2" w:space="0"/>
                    <w:left w:val="single" w:color="auto" w:sz="4" w:space="0"/>
                    <w:bottom w:val="single" w:color="auto" w:sz="4" w:space="0"/>
                    <w:right w:val="single" w:color="auto" w:sz="4" w:space="0"/>
                    <w:tl2br w:val="nil"/>
                    <w:tr2bl w:val="nil"/>
                  </w:tcBorders>
                  <w:noWrap w:val="0"/>
                  <w:vAlign w:val="center"/>
                </w:tcPr>
                <w:p w14:paraId="6B340B85">
                  <w:pPr>
                    <w:adjustRightInd w:val="0"/>
                    <w:snapToGrid w:val="0"/>
                    <w:spacing w:beforeLines="0" w:afterLines="0"/>
                    <w:jc w:val="center"/>
                    <w:rPr>
                      <w:rFonts w:hint="default" w:ascii="Times New Roman" w:hAnsi="Times New Roman" w:cs="Times New Roman"/>
                      <w:b/>
                      <w:color w:val="auto"/>
                      <w:sz w:val="21"/>
                      <w:szCs w:val="24"/>
                    </w:rPr>
                  </w:pPr>
                  <w:r>
                    <w:rPr>
                      <w:rFonts w:hint="default" w:ascii="Times New Roman" w:hAnsi="Times New Roman" w:eastAsia="宋体" w:cs="Times New Roman"/>
                      <w:b/>
                      <w:color w:val="auto"/>
                      <w:sz w:val="21"/>
                      <w:szCs w:val="24"/>
                    </w:rPr>
                    <w:t>污染物</w:t>
                  </w:r>
                </w:p>
              </w:tc>
              <w:tc>
                <w:tcPr>
                  <w:tcW w:w="37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1F2D6009">
                  <w:pPr>
                    <w:adjustRightInd w:val="0"/>
                    <w:snapToGrid w:val="0"/>
                    <w:spacing w:beforeLines="0" w:afterLines="0"/>
                    <w:jc w:val="center"/>
                    <w:rPr>
                      <w:rFonts w:hint="default" w:ascii="Times New Roman" w:hAnsi="Times New Roman" w:cs="Times New Roman"/>
                      <w:b/>
                      <w:color w:val="auto"/>
                      <w:sz w:val="21"/>
                      <w:szCs w:val="24"/>
                    </w:rPr>
                  </w:pPr>
                  <w:r>
                    <w:rPr>
                      <w:rFonts w:hint="default" w:ascii="Times New Roman" w:hAnsi="Times New Roman" w:cs="Times New Roman"/>
                      <w:b/>
                      <w:color w:val="auto"/>
                      <w:sz w:val="21"/>
                      <w:szCs w:val="24"/>
                    </w:rPr>
                    <w:t>废水量</w:t>
                  </w:r>
                </w:p>
              </w:tc>
              <w:tc>
                <w:tcPr>
                  <w:tcW w:w="53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734BAEDA">
                  <w:pPr>
                    <w:adjustRightInd w:val="0"/>
                    <w:snapToGrid w:val="0"/>
                    <w:spacing w:beforeLines="0" w:afterLines="0"/>
                    <w:jc w:val="center"/>
                    <w:rPr>
                      <w:rFonts w:hint="default" w:ascii="Times New Roman" w:hAnsi="Times New Roman" w:cs="Times New Roman"/>
                      <w:b/>
                      <w:color w:val="auto"/>
                      <w:sz w:val="21"/>
                      <w:szCs w:val="24"/>
                    </w:rPr>
                  </w:pPr>
                  <w:r>
                    <w:rPr>
                      <w:rFonts w:hint="default" w:ascii="Times New Roman" w:hAnsi="Times New Roman" w:cs="Times New Roman"/>
                      <w:b/>
                      <w:color w:val="auto"/>
                      <w:sz w:val="21"/>
                      <w:szCs w:val="24"/>
                    </w:rPr>
                    <w:t>COD</w:t>
                  </w:r>
                </w:p>
              </w:tc>
              <w:tc>
                <w:tcPr>
                  <w:tcW w:w="555" w:type="pct"/>
                  <w:tcBorders>
                    <w:top w:val="single" w:color="auto" w:sz="2" w:space="0"/>
                    <w:left w:val="single" w:color="auto" w:sz="4" w:space="0"/>
                    <w:bottom w:val="single" w:color="auto" w:sz="4" w:space="0"/>
                    <w:right w:val="single" w:color="auto" w:sz="4" w:space="0"/>
                    <w:tl2br w:val="nil"/>
                    <w:tr2bl w:val="nil"/>
                  </w:tcBorders>
                  <w:noWrap w:val="0"/>
                  <w:vAlign w:val="center"/>
                </w:tcPr>
                <w:p w14:paraId="59C0FB30">
                  <w:pPr>
                    <w:adjustRightInd w:val="0"/>
                    <w:snapToGrid w:val="0"/>
                    <w:spacing w:beforeLines="0" w:afterLines="0"/>
                    <w:jc w:val="center"/>
                    <w:rPr>
                      <w:rFonts w:hint="default" w:ascii="Times New Roman" w:hAnsi="Times New Roman" w:cs="Times New Roman"/>
                      <w:b/>
                      <w:color w:val="auto"/>
                      <w:sz w:val="21"/>
                      <w:szCs w:val="24"/>
                    </w:rPr>
                  </w:pPr>
                  <w:r>
                    <w:rPr>
                      <w:rFonts w:hint="default" w:ascii="Times New Roman" w:hAnsi="Times New Roman" w:cs="Times New Roman"/>
                      <w:b/>
                      <w:color w:val="auto"/>
                      <w:sz w:val="21"/>
                      <w:szCs w:val="24"/>
                    </w:rPr>
                    <w:t>BOD</w:t>
                  </w:r>
                  <w:r>
                    <w:rPr>
                      <w:rFonts w:hint="default" w:ascii="Times New Roman" w:hAnsi="Times New Roman" w:cs="Times New Roman"/>
                      <w:b/>
                      <w:color w:val="auto"/>
                      <w:sz w:val="21"/>
                      <w:szCs w:val="24"/>
                      <w:vertAlign w:val="subscript"/>
                    </w:rPr>
                    <w:t>5</w:t>
                  </w:r>
                </w:p>
              </w:tc>
              <w:tc>
                <w:tcPr>
                  <w:tcW w:w="466" w:type="pct"/>
                  <w:tcBorders>
                    <w:top w:val="single" w:color="auto" w:sz="2" w:space="0"/>
                    <w:left w:val="single" w:color="auto" w:sz="4" w:space="0"/>
                    <w:bottom w:val="single" w:color="auto" w:sz="4" w:space="0"/>
                    <w:right w:val="single" w:color="auto" w:sz="4" w:space="0"/>
                    <w:tl2br w:val="nil"/>
                    <w:tr2bl w:val="nil"/>
                  </w:tcBorders>
                  <w:noWrap w:val="0"/>
                  <w:vAlign w:val="center"/>
                </w:tcPr>
                <w:p w14:paraId="4A5C33F9">
                  <w:pPr>
                    <w:adjustRightInd w:val="0"/>
                    <w:snapToGrid w:val="0"/>
                    <w:spacing w:beforeLines="0" w:afterLines="0"/>
                    <w:jc w:val="center"/>
                    <w:rPr>
                      <w:rFonts w:hint="default" w:ascii="Times New Roman" w:hAnsi="Times New Roman" w:cs="Times New Roman"/>
                      <w:b/>
                      <w:color w:val="auto"/>
                      <w:sz w:val="21"/>
                      <w:szCs w:val="24"/>
                    </w:rPr>
                  </w:pPr>
                  <w:r>
                    <w:rPr>
                      <w:rFonts w:hint="default" w:ascii="Times New Roman" w:hAnsi="Times New Roman" w:cs="Times New Roman"/>
                      <w:b/>
                      <w:color w:val="auto"/>
                      <w:sz w:val="21"/>
                      <w:szCs w:val="24"/>
                    </w:rPr>
                    <w:t>SS</w:t>
                  </w:r>
                </w:p>
              </w:tc>
              <w:tc>
                <w:tcPr>
                  <w:tcW w:w="53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71F42691">
                  <w:pPr>
                    <w:adjustRightInd w:val="0"/>
                    <w:snapToGrid w:val="0"/>
                    <w:spacing w:beforeLines="0" w:afterLines="0"/>
                    <w:jc w:val="center"/>
                    <w:rPr>
                      <w:rFonts w:hint="default" w:ascii="Times New Roman" w:hAnsi="Times New Roman" w:cs="Times New Roman"/>
                      <w:b/>
                      <w:color w:val="auto"/>
                      <w:sz w:val="21"/>
                      <w:szCs w:val="24"/>
                    </w:rPr>
                  </w:pPr>
                  <w:r>
                    <w:rPr>
                      <w:rFonts w:hint="default" w:ascii="Times New Roman" w:hAnsi="Times New Roman" w:eastAsia="宋体" w:cs="Times New Roman"/>
                      <w:b/>
                      <w:color w:val="auto"/>
                      <w:sz w:val="21"/>
                      <w:szCs w:val="24"/>
                    </w:rPr>
                    <w:t>氨氮</w:t>
                  </w:r>
                </w:p>
              </w:tc>
              <w:tc>
                <w:tcPr>
                  <w:tcW w:w="553" w:type="pct"/>
                  <w:tcBorders>
                    <w:top w:val="single" w:color="auto" w:sz="2" w:space="0"/>
                    <w:left w:val="single" w:color="auto" w:sz="4" w:space="0"/>
                    <w:bottom w:val="single" w:color="auto" w:sz="4" w:space="0"/>
                    <w:right w:val="single" w:color="auto" w:sz="2" w:space="0"/>
                    <w:tl2br w:val="nil"/>
                    <w:tr2bl w:val="nil"/>
                  </w:tcBorders>
                  <w:noWrap w:val="0"/>
                  <w:vAlign w:val="center"/>
                </w:tcPr>
                <w:p w14:paraId="59882B6D">
                  <w:pPr>
                    <w:adjustRightInd w:val="0"/>
                    <w:snapToGrid w:val="0"/>
                    <w:spacing w:beforeLines="0" w:afterLines="0"/>
                    <w:jc w:val="center"/>
                    <w:rPr>
                      <w:rFonts w:hint="default" w:ascii="Times New Roman" w:hAnsi="Times New Roman" w:cs="Times New Roman"/>
                      <w:b/>
                      <w:color w:val="auto"/>
                      <w:sz w:val="21"/>
                      <w:szCs w:val="24"/>
                    </w:rPr>
                  </w:pPr>
                  <w:r>
                    <w:rPr>
                      <w:rFonts w:hint="default" w:ascii="Times New Roman" w:hAnsi="Times New Roman" w:eastAsia="宋体" w:cs="Times New Roman"/>
                      <w:b/>
                      <w:color w:val="auto"/>
                      <w:sz w:val="21"/>
                      <w:szCs w:val="24"/>
                    </w:rPr>
                    <w:t>动植物油</w:t>
                  </w:r>
                </w:p>
              </w:tc>
            </w:tr>
            <w:tr w14:paraId="1C12BD1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66" w:type="pct"/>
                  <w:vMerge w:val="restart"/>
                  <w:tcBorders>
                    <w:top w:val="single" w:color="auto" w:sz="4" w:space="0"/>
                    <w:left w:val="single" w:color="auto" w:sz="2" w:space="0"/>
                    <w:right w:val="single" w:color="auto" w:sz="4" w:space="0"/>
                    <w:tl2br w:val="nil"/>
                    <w:tr2bl w:val="nil"/>
                  </w:tcBorders>
                  <w:noWrap w:val="0"/>
                  <w:vAlign w:val="center"/>
                </w:tcPr>
                <w:p w14:paraId="5C77C786">
                  <w:pPr>
                    <w:adjustRightInd w:val="0"/>
                    <w:snapToGrid w:val="0"/>
                    <w:spacing w:beforeLines="0" w:afterLines="0"/>
                    <w:jc w:val="center"/>
                    <w:rPr>
                      <w:rFonts w:hint="default" w:ascii="Times New Roman" w:hAnsi="Times New Roman" w:eastAsia="宋体" w:cs="Times New Roman"/>
                      <w:color w:val="auto"/>
                      <w:sz w:val="21"/>
                      <w:szCs w:val="24"/>
                      <w:lang w:eastAsia="zh-CN"/>
                    </w:rPr>
                  </w:pPr>
                  <w:r>
                    <w:rPr>
                      <w:rFonts w:hint="default" w:ascii="Times New Roman" w:hAnsi="Times New Roman" w:eastAsia="宋体" w:cs="Times New Roman"/>
                      <w:color w:val="auto"/>
                      <w:sz w:val="21"/>
                      <w:szCs w:val="24"/>
                      <w:lang w:eastAsia="zh-CN"/>
                    </w:rPr>
                    <w:t>原水</w:t>
                  </w:r>
                </w:p>
              </w:tc>
              <w:tc>
                <w:tcPr>
                  <w:tcW w:w="52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CAD52F4">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设备清洗水</w:t>
                  </w:r>
                </w:p>
              </w:tc>
              <w:tc>
                <w:tcPr>
                  <w:tcW w:w="98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0DF0A045">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产生浓度（mg/L）</w:t>
                  </w:r>
                </w:p>
              </w:tc>
              <w:tc>
                <w:tcPr>
                  <w:tcW w:w="37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0179F52D">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w:t>
                  </w:r>
                </w:p>
              </w:tc>
              <w:tc>
                <w:tcPr>
                  <w:tcW w:w="53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36A11091">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1500</w:t>
                  </w:r>
                </w:p>
              </w:tc>
              <w:tc>
                <w:tcPr>
                  <w:tcW w:w="555" w:type="pct"/>
                  <w:tcBorders>
                    <w:top w:val="single" w:color="auto" w:sz="2" w:space="0"/>
                    <w:left w:val="single" w:color="auto" w:sz="4" w:space="0"/>
                    <w:bottom w:val="single" w:color="auto" w:sz="4" w:space="0"/>
                    <w:right w:val="single" w:color="auto" w:sz="4" w:space="0"/>
                    <w:tl2br w:val="nil"/>
                    <w:tr2bl w:val="nil"/>
                  </w:tcBorders>
                  <w:noWrap w:val="0"/>
                  <w:vAlign w:val="center"/>
                </w:tcPr>
                <w:p w14:paraId="1115C8F2">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500</w:t>
                  </w:r>
                </w:p>
              </w:tc>
              <w:tc>
                <w:tcPr>
                  <w:tcW w:w="466" w:type="pct"/>
                  <w:tcBorders>
                    <w:top w:val="single" w:color="auto" w:sz="2" w:space="0"/>
                    <w:left w:val="single" w:color="auto" w:sz="4" w:space="0"/>
                    <w:bottom w:val="single" w:color="auto" w:sz="4" w:space="0"/>
                    <w:right w:val="single" w:color="auto" w:sz="4" w:space="0"/>
                    <w:tl2br w:val="nil"/>
                    <w:tr2bl w:val="nil"/>
                  </w:tcBorders>
                  <w:noWrap w:val="0"/>
                  <w:vAlign w:val="center"/>
                </w:tcPr>
                <w:p w14:paraId="21FA12FD">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440</w:t>
                  </w:r>
                </w:p>
              </w:tc>
              <w:tc>
                <w:tcPr>
                  <w:tcW w:w="53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701E4521">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30</w:t>
                  </w:r>
                </w:p>
              </w:tc>
              <w:tc>
                <w:tcPr>
                  <w:tcW w:w="553" w:type="pct"/>
                  <w:tcBorders>
                    <w:top w:val="single" w:color="auto" w:sz="2" w:space="0"/>
                    <w:left w:val="single" w:color="auto" w:sz="4" w:space="0"/>
                    <w:bottom w:val="single" w:color="auto" w:sz="4" w:space="0"/>
                    <w:right w:val="single" w:color="auto" w:sz="2" w:space="0"/>
                    <w:tl2br w:val="nil"/>
                    <w:tr2bl w:val="nil"/>
                  </w:tcBorders>
                  <w:noWrap w:val="0"/>
                  <w:vAlign w:val="center"/>
                </w:tcPr>
                <w:p w14:paraId="7388FADE">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15</w:t>
                  </w:r>
                </w:p>
              </w:tc>
            </w:tr>
            <w:tr w14:paraId="30643F3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66" w:type="pct"/>
                  <w:vMerge w:val="continue"/>
                  <w:tcBorders>
                    <w:top w:val="single" w:color="auto" w:sz="4" w:space="0"/>
                    <w:left w:val="single" w:color="auto" w:sz="2" w:space="0"/>
                    <w:bottom w:val="single" w:color="auto" w:sz="4" w:space="0"/>
                    <w:right w:val="single" w:color="auto" w:sz="4" w:space="0"/>
                    <w:tl2br w:val="nil"/>
                    <w:tr2bl w:val="nil"/>
                  </w:tcBorders>
                  <w:noWrap w:val="0"/>
                  <w:vAlign w:val="center"/>
                </w:tcPr>
                <w:p w14:paraId="1AA0FB91">
                  <w:pPr>
                    <w:adjustRightInd w:val="0"/>
                    <w:snapToGrid w:val="0"/>
                    <w:spacing w:beforeLines="0" w:afterLines="0"/>
                    <w:jc w:val="center"/>
                    <w:rPr>
                      <w:rFonts w:hint="default" w:ascii="Times New Roman" w:hAnsi="Times New Roman" w:cs="Times New Roman"/>
                      <w:color w:val="auto"/>
                      <w:sz w:val="21"/>
                      <w:szCs w:val="24"/>
                      <w:lang w:val="en-US" w:eastAsia="zh-CN"/>
                    </w:rPr>
                  </w:pPr>
                </w:p>
              </w:tc>
              <w:tc>
                <w:tcPr>
                  <w:tcW w:w="52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302EF61">
                  <w:pPr>
                    <w:adjustRightInd w:val="0"/>
                    <w:snapToGrid w:val="0"/>
                    <w:spacing w:beforeLines="0" w:afterLines="0"/>
                    <w:jc w:val="center"/>
                    <w:rPr>
                      <w:rFonts w:hint="default" w:ascii="Times New Roman" w:hAnsi="Times New Roman" w:eastAsia="宋体" w:cs="Times New Roman"/>
                      <w:b w:val="0"/>
                      <w:bCs/>
                      <w:color w:val="auto"/>
                      <w:sz w:val="21"/>
                      <w:szCs w:val="24"/>
                    </w:rPr>
                  </w:pPr>
                </w:p>
              </w:tc>
              <w:tc>
                <w:tcPr>
                  <w:tcW w:w="98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20283A6F">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产生量（t/a）</w:t>
                  </w:r>
                </w:p>
              </w:tc>
              <w:tc>
                <w:tcPr>
                  <w:tcW w:w="37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04F0D34A">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3.73</w:t>
                  </w:r>
                </w:p>
              </w:tc>
              <w:tc>
                <w:tcPr>
                  <w:tcW w:w="53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7377061E">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eastAsia" w:ascii="Times New Roman" w:hAnsi="Times New Roman" w:cs="Times New Roman"/>
                      <w:b w:val="0"/>
                      <w:bCs/>
                      <w:color w:val="auto"/>
                      <w:sz w:val="21"/>
                      <w:szCs w:val="24"/>
                      <w:lang w:val="en-US" w:eastAsia="zh-CN"/>
                    </w:rPr>
                    <w:t>0.0056</w:t>
                  </w:r>
                </w:p>
              </w:tc>
              <w:tc>
                <w:tcPr>
                  <w:tcW w:w="555" w:type="pct"/>
                  <w:tcBorders>
                    <w:top w:val="single" w:color="auto" w:sz="2" w:space="0"/>
                    <w:left w:val="single" w:color="auto" w:sz="4" w:space="0"/>
                    <w:bottom w:val="single" w:color="auto" w:sz="4" w:space="0"/>
                    <w:right w:val="single" w:color="auto" w:sz="4" w:space="0"/>
                    <w:tl2br w:val="nil"/>
                    <w:tr2bl w:val="nil"/>
                  </w:tcBorders>
                  <w:noWrap w:val="0"/>
                  <w:vAlign w:val="center"/>
                </w:tcPr>
                <w:p w14:paraId="303F83A4">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eastAsia" w:ascii="Times New Roman" w:hAnsi="Times New Roman" w:cs="Times New Roman"/>
                      <w:b w:val="0"/>
                      <w:bCs/>
                      <w:color w:val="auto"/>
                      <w:sz w:val="21"/>
                      <w:szCs w:val="24"/>
                      <w:lang w:val="en-US" w:eastAsia="zh-CN"/>
                    </w:rPr>
                    <w:t>0.0019</w:t>
                  </w:r>
                </w:p>
              </w:tc>
              <w:tc>
                <w:tcPr>
                  <w:tcW w:w="466" w:type="pct"/>
                  <w:tcBorders>
                    <w:top w:val="single" w:color="auto" w:sz="2" w:space="0"/>
                    <w:left w:val="single" w:color="auto" w:sz="4" w:space="0"/>
                    <w:bottom w:val="single" w:color="auto" w:sz="4" w:space="0"/>
                    <w:right w:val="single" w:color="auto" w:sz="4" w:space="0"/>
                    <w:tl2br w:val="nil"/>
                    <w:tr2bl w:val="nil"/>
                  </w:tcBorders>
                  <w:noWrap w:val="0"/>
                  <w:vAlign w:val="center"/>
                </w:tcPr>
                <w:p w14:paraId="27249546">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eastAsia" w:ascii="Times New Roman" w:hAnsi="Times New Roman" w:cs="Times New Roman"/>
                      <w:b w:val="0"/>
                      <w:bCs/>
                      <w:color w:val="auto"/>
                      <w:sz w:val="21"/>
                      <w:szCs w:val="24"/>
                      <w:lang w:val="en-US" w:eastAsia="zh-CN"/>
                    </w:rPr>
                    <w:t>0.0016</w:t>
                  </w:r>
                </w:p>
              </w:tc>
              <w:tc>
                <w:tcPr>
                  <w:tcW w:w="53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0141B87D">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eastAsia" w:ascii="Times New Roman" w:hAnsi="Times New Roman" w:cs="Times New Roman"/>
                      <w:b w:val="0"/>
                      <w:bCs/>
                      <w:color w:val="auto"/>
                      <w:sz w:val="21"/>
                      <w:szCs w:val="24"/>
                      <w:lang w:val="en-US" w:eastAsia="zh-CN"/>
                    </w:rPr>
                    <w:t>0.00011</w:t>
                  </w:r>
                </w:p>
              </w:tc>
              <w:tc>
                <w:tcPr>
                  <w:tcW w:w="553" w:type="pct"/>
                  <w:tcBorders>
                    <w:top w:val="single" w:color="auto" w:sz="2" w:space="0"/>
                    <w:left w:val="single" w:color="auto" w:sz="4" w:space="0"/>
                    <w:bottom w:val="single" w:color="auto" w:sz="4" w:space="0"/>
                    <w:right w:val="single" w:color="auto" w:sz="2" w:space="0"/>
                    <w:tl2br w:val="nil"/>
                    <w:tr2bl w:val="nil"/>
                  </w:tcBorders>
                  <w:noWrap w:val="0"/>
                  <w:vAlign w:val="center"/>
                </w:tcPr>
                <w:p w14:paraId="45BDDF37">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eastAsia" w:ascii="Times New Roman" w:hAnsi="Times New Roman" w:cs="Times New Roman"/>
                      <w:b w:val="0"/>
                      <w:bCs/>
                      <w:color w:val="auto"/>
                      <w:sz w:val="21"/>
                      <w:szCs w:val="24"/>
                      <w:lang w:val="en-US" w:eastAsia="zh-CN"/>
                    </w:rPr>
                    <w:t>0.000046</w:t>
                  </w:r>
                </w:p>
              </w:tc>
            </w:tr>
            <w:tr w14:paraId="30F66C6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66" w:type="pct"/>
                  <w:vMerge w:val="continue"/>
                  <w:tcBorders>
                    <w:top w:val="single" w:color="auto" w:sz="4" w:space="0"/>
                    <w:left w:val="single" w:color="auto" w:sz="2" w:space="0"/>
                    <w:bottom w:val="single" w:color="auto" w:sz="4" w:space="0"/>
                    <w:right w:val="single" w:color="auto" w:sz="4" w:space="0"/>
                    <w:tl2br w:val="nil"/>
                    <w:tr2bl w:val="nil"/>
                  </w:tcBorders>
                  <w:noWrap w:val="0"/>
                  <w:vAlign w:val="center"/>
                </w:tcPr>
                <w:p w14:paraId="36EC7C10">
                  <w:pPr>
                    <w:adjustRightInd w:val="0"/>
                    <w:snapToGrid w:val="0"/>
                    <w:spacing w:beforeLines="0" w:afterLines="0"/>
                    <w:jc w:val="center"/>
                    <w:rPr>
                      <w:rFonts w:hint="default" w:ascii="Times New Roman" w:hAnsi="Times New Roman" w:eastAsia="宋体" w:cs="Times New Roman"/>
                      <w:b/>
                      <w:color w:val="auto"/>
                      <w:sz w:val="21"/>
                      <w:szCs w:val="24"/>
                    </w:rPr>
                  </w:pPr>
                </w:p>
              </w:tc>
              <w:tc>
                <w:tcPr>
                  <w:tcW w:w="52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4639218">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地面清洗水</w:t>
                  </w:r>
                </w:p>
              </w:tc>
              <w:tc>
                <w:tcPr>
                  <w:tcW w:w="98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220FDF8A">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产生浓度（mg/L）</w:t>
                  </w:r>
                </w:p>
              </w:tc>
              <w:tc>
                <w:tcPr>
                  <w:tcW w:w="37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4760E42A">
                  <w:pPr>
                    <w:widowControl/>
                    <w:spacing w:beforeLines="0" w:afterLines="0"/>
                    <w:jc w:val="center"/>
                    <w:textAlignment w:val="center"/>
                    <w:rPr>
                      <w:rFonts w:hint="default" w:ascii="Times New Roman" w:hAnsi="Times New Roman" w:cs="Times New Roman"/>
                      <w:b w:val="0"/>
                      <w:bCs/>
                      <w:color w:val="auto"/>
                      <w:kern w:val="0"/>
                      <w:sz w:val="21"/>
                      <w:szCs w:val="21"/>
                      <w:lang w:val="en-US" w:eastAsia="zh-CN" w:bidi="ar"/>
                    </w:rPr>
                  </w:pPr>
                  <w:r>
                    <w:rPr>
                      <w:rFonts w:hint="default" w:ascii="Times New Roman" w:hAnsi="Times New Roman" w:cs="Times New Roman"/>
                      <w:b w:val="0"/>
                      <w:bCs/>
                      <w:color w:val="auto"/>
                      <w:kern w:val="0"/>
                      <w:sz w:val="21"/>
                      <w:szCs w:val="21"/>
                      <w:lang w:val="en-US" w:eastAsia="zh-CN" w:bidi="ar"/>
                    </w:rPr>
                    <w:t>/</w:t>
                  </w:r>
                </w:p>
              </w:tc>
              <w:tc>
                <w:tcPr>
                  <w:tcW w:w="53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5053F4C8">
                  <w:pPr>
                    <w:widowControl/>
                    <w:spacing w:beforeLines="0" w:afterLines="0"/>
                    <w:jc w:val="center"/>
                    <w:textAlignment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450</w:t>
                  </w:r>
                </w:p>
              </w:tc>
              <w:tc>
                <w:tcPr>
                  <w:tcW w:w="555" w:type="pct"/>
                  <w:tcBorders>
                    <w:top w:val="single" w:color="auto" w:sz="2" w:space="0"/>
                    <w:left w:val="single" w:color="auto" w:sz="4" w:space="0"/>
                    <w:bottom w:val="single" w:color="auto" w:sz="4" w:space="0"/>
                    <w:right w:val="single" w:color="auto" w:sz="4" w:space="0"/>
                    <w:tl2br w:val="nil"/>
                    <w:tr2bl w:val="nil"/>
                  </w:tcBorders>
                  <w:noWrap w:val="0"/>
                  <w:vAlign w:val="center"/>
                </w:tcPr>
                <w:p w14:paraId="36815189">
                  <w:pPr>
                    <w:widowControl/>
                    <w:spacing w:beforeLines="0" w:afterLines="0"/>
                    <w:jc w:val="center"/>
                    <w:textAlignment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300</w:t>
                  </w:r>
                </w:p>
              </w:tc>
              <w:tc>
                <w:tcPr>
                  <w:tcW w:w="466" w:type="pct"/>
                  <w:tcBorders>
                    <w:top w:val="single" w:color="auto" w:sz="2" w:space="0"/>
                    <w:left w:val="single" w:color="auto" w:sz="4" w:space="0"/>
                    <w:bottom w:val="single" w:color="auto" w:sz="4" w:space="0"/>
                    <w:right w:val="single" w:color="auto" w:sz="4" w:space="0"/>
                    <w:tl2br w:val="nil"/>
                    <w:tr2bl w:val="nil"/>
                  </w:tcBorders>
                  <w:noWrap w:val="0"/>
                  <w:vAlign w:val="center"/>
                </w:tcPr>
                <w:p w14:paraId="561E61F5">
                  <w:pPr>
                    <w:widowControl/>
                    <w:spacing w:beforeLines="0" w:afterLines="0"/>
                    <w:jc w:val="center"/>
                    <w:textAlignment w:val="center"/>
                    <w:rPr>
                      <w:rFonts w:hint="default" w:ascii="Times New Roman" w:hAnsi="Times New Roman" w:cs="Times New Roman"/>
                      <w:b w:val="0"/>
                      <w:bCs/>
                      <w:color w:val="auto"/>
                      <w:sz w:val="21"/>
                      <w:szCs w:val="24"/>
                    </w:rPr>
                  </w:pPr>
                  <w:r>
                    <w:rPr>
                      <w:rFonts w:hint="default" w:ascii="Times New Roman" w:hAnsi="Times New Roman" w:cs="Times New Roman"/>
                      <w:b w:val="0"/>
                      <w:bCs/>
                      <w:color w:val="auto"/>
                      <w:kern w:val="0"/>
                      <w:sz w:val="21"/>
                      <w:szCs w:val="21"/>
                      <w:lang w:bidi="ar"/>
                    </w:rPr>
                    <w:t>250</w:t>
                  </w:r>
                </w:p>
              </w:tc>
              <w:tc>
                <w:tcPr>
                  <w:tcW w:w="53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6E117F27">
                  <w:pPr>
                    <w:widowControl/>
                    <w:spacing w:beforeLines="0" w:afterLines="0"/>
                    <w:jc w:val="center"/>
                    <w:textAlignment w:val="center"/>
                    <w:rPr>
                      <w:rFonts w:hint="default" w:ascii="Times New Roman" w:hAnsi="Times New Roman" w:eastAsia="宋体" w:cs="Times New Roman"/>
                      <w:b w:val="0"/>
                      <w:bCs/>
                      <w:color w:val="auto"/>
                      <w:sz w:val="21"/>
                      <w:szCs w:val="24"/>
                    </w:rPr>
                  </w:pPr>
                  <w:r>
                    <w:rPr>
                      <w:rFonts w:hint="default" w:ascii="Times New Roman" w:hAnsi="Times New Roman" w:cs="Times New Roman"/>
                      <w:b w:val="0"/>
                      <w:bCs/>
                      <w:color w:val="auto"/>
                      <w:kern w:val="0"/>
                      <w:sz w:val="21"/>
                      <w:szCs w:val="21"/>
                      <w:lang w:bidi="ar"/>
                    </w:rPr>
                    <w:t>20</w:t>
                  </w:r>
                </w:p>
              </w:tc>
              <w:tc>
                <w:tcPr>
                  <w:tcW w:w="553" w:type="pct"/>
                  <w:tcBorders>
                    <w:top w:val="single" w:color="auto" w:sz="2" w:space="0"/>
                    <w:left w:val="single" w:color="auto" w:sz="4" w:space="0"/>
                    <w:bottom w:val="single" w:color="auto" w:sz="4" w:space="0"/>
                    <w:right w:val="single" w:color="auto" w:sz="2" w:space="0"/>
                    <w:tl2br w:val="nil"/>
                    <w:tr2bl w:val="nil"/>
                  </w:tcBorders>
                  <w:noWrap w:val="0"/>
                  <w:vAlign w:val="center"/>
                </w:tcPr>
                <w:p w14:paraId="01995281">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w:t>
                  </w:r>
                </w:p>
              </w:tc>
            </w:tr>
            <w:tr w14:paraId="317E7B6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66" w:type="pct"/>
                  <w:vMerge w:val="continue"/>
                  <w:tcBorders>
                    <w:top w:val="single" w:color="auto" w:sz="4" w:space="0"/>
                    <w:left w:val="single" w:color="auto" w:sz="2" w:space="0"/>
                    <w:bottom w:val="single" w:color="auto" w:sz="4" w:space="0"/>
                    <w:right w:val="single" w:color="auto" w:sz="4" w:space="0"/>
                    <w:tl2br w:val="nil"/>
                    <w:tr2bl w:val="nil"/>
                  </w:tcBorders>
                  <w:noWrap w:val="0"/>
                  <w:vAlign w:val="center"/>
                </w:tcPr>
                <w:p w14:paraId="55BAADFB">
                  <w:pPr>
                    <w:adjustRightInd w:val="0"/>
                    <w:snapToGrid w:val="0"/>
                    <w:spacing w:beforeLines="0" w:afterLines="0"/>
                    <w:jc w:val="center"/>
                    <w:rPr>
                      <w:rFonts w:hint="default" w:ascii="Times New Roman" w:hAnsi="Times New Roman" w:eastAsia="宋体" w:cs="Times New Roman"/>
                      <w:b/>
                      <w:color w:val="auto"/>
                      <w:sz w:val="21"/>
                      <w:szCs w:val="24"/>
                    </w:rPr>
                  </w:pPr>
                </w:p>
              </w:tc>
              <w:tc>
                <w:tcPr>
                  <w:tcW w:w="52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E2D555A">
                  <w:pPr>
                    <w:adjustRightInd w:val="0"/>
                    <w:snapToGrid w:val="0"/>
                    <w:spacing w:beforeLines="0" w:afterLines="0"/>
                    <w:jc w:val="center"/>
                    <w:rPr>
                      <w:rFonts w:hint="default" w:ascii="Times New Roman" w:hAnsi="Times New Roman" w:eastAsia="宋体" w:cs="Times New Roman"/>
                      <w:b w:val="0"/>
                      <w:bCs/>
                      <w:color w:val="auto"/>
                      <w:sz w:val="21"/>
                      <w:szCs w:val="24"/>
                    </w:rPr>
                  </w:pPr>
                </w:p>
              </w:tc>
              <w:tc>
                <w:tcPr>
                  <w:tcW w:w="98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2B198D20">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产生量（t/a）</w:t>
                  </w:r>
                </w:p>
              </w:tc>
              <w:tc>
                <w:tcPr>
                  <w:tcW w:w="37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35B4B6B5">
                  <w:pPr>
                    <w:widowControl/>
                    <w:spacing w:beforeLines="0" w:afterLines="0"/>
                    <w:jc w:val="center"/>
                    <w:textAlignment w:val="center"/>
                    <w:rPr>
                      <w:rFonts w:hint="default" w:ascii="Times New Roman" w:hAnsi="Times New Roman" w:cs="Times New Roman"/>
                      <w:b w:val="0"/>
                      <w:bCs/>
                      <w:color w:val="auto"/>
                      <w:kern w:val="0"/>
                      <w:sz w:val="21"/>
                      <w:szCs w:val="21"/>
                      <w:lang w:val="en-US" w:eastAsia="zh-CN" w:bidi="ar"/>
                    </w:rPr>
                  </w:pPr>
                  <w:r>
                    <w:rPr>
                      <w:rFonts w:hint="default" w:ascii="Times New Roman" w:hAnsi="Times New Roman" w:cs="Times New Roman"/>
                      <w:b w:val="0"/>
                      <w:bCs/>
                      <w:color w:val="auto"/>
                      <w:kern w:val="0"/>
                      <w:sz w:val="21"/>
                      <w:szCs w:val="21"/>
                      <w:lang w:val="en-US" w:eastAsia="zh-CN" w:bidi="ar"/>
                    </w:rPr>
                    <w:t>54</w:t>
                  </w:r>
                </w:p>
              </w:tc>
              <w:tc>
                <w:tcPr>
                  <w:tcW w:w="53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6CD7058E">
                  <w:pPr>
                    <w:widowControl/>
                    <w:spacing w:beforeLines="0" w:afterLines="0"/>
                    <w:jc w:val="center"/>
                    <w:textAlignment w:val="center"/>
                    <w:rPr>
                      <w:rFonts w:hint="default" w:ascii="Times New Roman" w:hAnsi="Times New Roman" w:cs="Times New Roman"/>
                      <w:b w:val="0"/>
                      <w:bCs/>
                      <w:color w:val="auto"/>
                      <w:kern w:val="0"/>
                      <w:sz w:val="21"/>
                      <w:szCs w:val="21"/>
                      <w:lang w:val="en-US" w:eastAsia="zh-CN" w:bidi="ar"/>
                    </w:rPr>
                  </w:pPr>
                  <w:r>
                    <w:rPr>
                      <w:rFonts w:hint="eastAsia" w:ascii="Times New Roman" w:hAnsi="Times New Roman" w:cs="Times New Roman"/>
                      <w:b w:val="0"/>
                      <w:bCs/>
                      <w:color w:val="auto"/>
                      <w:kern w:val="0"/>
                      <w:sz w:val="21"/>
                      <w:szCs w:val="21"/>
                      <w:lang w:val="en-US" w:eastAsia="zh-CN" w:bidi="ar"/>
                    </w:rPr>
                    <w:t>0.</w:t>
                  </w:r>
                  <w:r>
                    <w:rPr>
                      <w:rFonts w:hint="eastAsia" w:cs="Times New Roman"/>
                      <w:b w:val="0"/>
                      <w:bCs/>
                      <w:color w:val="auto"/>
                      <w:kern w:val="0"/>
                      <w:sz w:val="21"/>
                      <w:szCs w:val="21"/>
                      <w:lang w:val="en-US" w:eastAsia="zh-CN" w:bidi="ar"/>
                    </w:rPr>
                    <w:t>0</w:t>
                  </w:r>
                  <w:r>
                    <w:rPr>
                      <w:rFonts w:hint="eastAsia" w:ascii="Times New Roman" w:hAnsi="Times New Roman" w:cs="Times New Roman"/>
                      <w:b w:val="0"/>
                      <w:bCs/>
                      <w:color w:val="auto"/>
                      <w:kern w:val="0"/>
                      <w:sz w:val="21"/>
                      <w:szCs w:val="21"/>
                      <w:lang w:val="en-US" w:eastAsia="zh-CN" w:bidi="ar"/>
                    </w:rPr>
                    <w:t>24</w:t>
                  </w:r>
                </w:p>
              </w:tc>
              <w:tc>
                <w:tcPr>
                  <w:tcW w:w="555" w:type="pct"/>
                  <w:tcBorders>
                    <w:top w:val="single" w:color="auto" w:sz="2" w:space="0"/>
                    <w:left w:val="single" w:color="auto" w:sz="4" w:space="0"/>
                    <w:bottom w:val="single" w:color="auto" w:sz="4" w:space="0"/>
                    <w:right w:val="single" w:color="auto" w:sz="4" w:space="0"/>
                    <w:tl2br w:val="nil"/>
                    <w:tr2bl w:val="nil"/>
                  </w:tcBorders>
                  <w:noWrap w:val="0"/>
                  <w:vAlign w:val="center"/>
                </w:tcPr>
                <w:p w14:paraId="460E60B3">
                  <w:pPr>
                    <w:widowControl/>
                    <w:spacing w:beforeLines="0" w:afterLines="0"/>
                    <w:jc w:val="center"/>
                    <w:textAlignment w:val="center"/>
                    <w:rPr>
                      <w:rFonts w:hint="default" w:ascii="Times New Roman" w:hAnsi="Times New Roman" w:cs="Times New Roman"/>
                      <w:b w:val="0"/>
                      <w:bCs/>
                      <w:color w:val="auto"/>
                      <w:kern w:val="0"/>
                      <w:sz w:val="21"/>
                      <w:szCs w:val="21"/>
                      <w:lang w:val="en-US" w:eastAsia="zh-CN" w:bidi="ar"/>
                    </w:rPr>
                  </w:pPr>
                  <w:r>
                    <w:rPr>
                      <w:rFonts w:hint="eastAsia" w:ascii="Times New Roman" w:hAnsi="Times New Roman" w:cs="Times New Roman"/>
                      <w:b w:val="0"/>
                      <w:bCs/>
                      <w:color w:val="auto"/>
                      <w:kern w:val="0"/>
                      <w:sz w:val="21"/>
                      <w:szCs w:val="21"/>
                      <w:lang w:val="en-US" w:eastAsia="zh-CN" w:bidi="ar"/>
                    </w:rPr>
                    <w:t>0.</w:t>
                  </w:r>
                  <w:r>
                    <w:rPr>
                      <w:rFonts w:hint="eastAsia" w:cs="Times New Roman"/>
                      <w:b w:val="0"/>
                      <w:bCs/>
                      <w:color w:val="auto"/>
                      <w:kern w:val="0"/>
                      <w:sz w:val="21"/>
                      <w:szCs w:val="21"/>
                      <w:lang w:val="en-US" w:eastAsia="zh-CN" w:bidi="ar"/>
                    </w:rPr>
                    <w:t>0</w:t>
                  </w:r>
                  <w:r>
                    <w:rPr>
                      <w:rFonts w:hint="eastAsia" w:ascii="Times New Roman" w:hAnsi="Times New Roman" w:cs="Times New Roman"/>
                      <w:b w:val="0"/>
                      <w:bCs/>
                      <w:color w:val="auto"/>
                      <w:kern w:val="0"/>
                      <w:sz w:val="21"/>
                      <w:szCs w:val="21"/>
                      <w:lang w:val="en-US" w:eastAsia="zh-CN" w:bidi="ar"/>
                    </w:rPr>
                    <w:t>16</w:t>
                  </w:r>
                </w:p>
              </w:tc>
              <w:tc>
                <w:tcPr>
                  <w:tcW w:w="466" w:type="pct"/>
                  <w:tcBorders>
                    <w:top w:val="single" w:color="auto" w:sz="2" w:space="0"/>
                    <w:left w:val="single" w:color="auto" w:sz="4" w:space="0"/>
                    <w:bottom w:val="single" w:color="auto" w:sz="4" w:space="0"/>
                    <w:right w:val="single" w:color="auto" w:sz="4" w:space="0"/>
                    <w:tl2br w:val="nil"/>
                    <w:tr2bl w:val="nil"/>
                  </w:tcBorders>
                  <w:noWrap w:val="0"/>
                  <w:vAlign w:val="center"/>
                </w:tcPr>
                <w:p w14:paraId="0E229D67">
                  <w:pPr>
                    <w:widowControl/>
                    <w:spacing w:beforeLines="0" w:afterLines="0"/>
                    <w:jc w:val="center"/>
                    <w:textAlignment w:val="center"/>
                    <w:rPr>
                      <w:rFonts w:hint="default" w:ascii="Times New Roman" w:hAnsi="Times New Roman" w:cs="Times New Roman"/>
                      <w:b w:val="0"/>
                      <w:bCs/>
                      <w:color w:val="auto"/>
                      <w:kern w:val="0"/>
                      <w:sz w:val="21"/>
                      <w:szCs w:val="21"/>
                      <w:lang w:val="en-US" w:eastAsia="zh-CN" w:bidi="ar"/>
                    </w:rPr>
                  </w:pPr>
                  <w:r>
                    <w:rPr>
                      <w:rFonts w:hint="eastAsia" w:ascii="Times New Roman" w:hAnsi="Times New Roman" w:cs="Times New Roman"/>
                      <w:b w:val="0"/>
                      <w:bCs/>
                      <w:color w:val="auto"/>
                      <w:kern w:val="0"/>
                      <w:sz w:val="21"/>
                      <w:szCs w:val="21"/>
                      <w:lang w:val="en-US" w:eastAsia="zh-CN" w:bidi="ar"/>
                    </w:rPr>
                    <w:t>0.</w:t>
                  </w:r>
                  <w:r>
                    <w:rPr>
                      <w:rFonts w:hint="eastAsia" w:cs="Times New Roman"/>
                      <w:b w:val="0"/>
                      <w:bCs/>
                      <w:color w:val="auto"/>
                      <w:kern w:val="0"/>
                      <w:sz w:val="21"/>
                      <w:szCs w:val="21"/>
                      <w:lang w:val="en-US" w:eastAsia="zh-CN" w:bidi="ar"/>
                    </w:rPr>
                    <w:t>0</w:t>
                  </w:r>
                  <w:r>
                    <w:rPr>
                      <w:rFonts w:hint="eastAsia" w:ascii="Times New Roman" w:hAnsi="Times New Roman" w:cs="Times New Roman"/>
                      <w:b w:val="0"/>
                      <w:bCs/>
                      <w:color w:val="auto"/>
                      <w:kern w:val="0"/>
                      <w:sz w:val="21"/>
                      <w:szCs w:val="21"/>
                      <w:lang w:val="en-US" w:eastAsia="zh-CN" w:bidi="ar"/>
                    </w:rPr>
                    <w:t>14</w:t>
                  </w:r>
                </w:p>
              </w:tc>
              <w:tc>
                <w:tcPr>
                  <w:tcW w:w="53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4E648B2D">
                  <w:pPr>
                    <w:widowControl/>
                    <w:spacing w:beforeLines="0" w:afterLine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cs="Times New Roman"/>
                      <w:b w:val="0"/>
                      <w:bCs/>
                      <w:color w:val="auto"/>
                      <w:kern w:val="0"/>
                      <w:sz w:val="21"/>
                      <w:szCs w:val="21"/>
                      <w:lang w:val="en-US" w:eastAsia="zh-CN" w:bidi="ar"/>
                    </w:rPr>
                    <w:t>0.0</w:t>
                  </w:r>
                  <w:r>
                    <w:rPr>
                      <w:rFonts w:hint="eastAsia" w:cs="Times New Roman"/>
                      <w:b w:val="0"/>
                      <w:bCs/>
                      <w:color w:val="auto"/>
                      <w:kern w:val="0"/>
                      <w:sz w:val="21"/>
                      <w:szCs w:val="21"/>
                      <w:lang w:val="en-US" w:eastAsia="zh-CN" w:bidi="ar"/>
                    </w:rPr>
                    <w:t>0</w:t>
                  </w:r>
                  <w:r>
                    <w:rPr>
                      <w:rFonts w:hint="eastAsia" w:ascii="Times New Roman" w:hAnsi="Times New Roman" w:cs="Times New Roman"/>
                      <w:b w:val="0"/>
                      <w:bCs/>
                      <w:color w:val="auto"/>
                      <w:kern w:val="0"/>
                      <w:sz w:val="21"/>
                      <w:szCs w:val="21"/>
                      <w:lang w:val="en-US" w:eastAsia="zh-CN" w:bidi="ar"/>
                    </w:rPr>
                    <w:t>11</w:t>
                  </w:r>
                </w:p>
              </w:tc>
              <w:tc>
                <w:tcPr>
                  <w:tcW w:w="553" w:type="pct"/>
                  <w:tcBorders>
                    <w:top w:val="single" w:color="auto" w:sz="2" w:space="0"/>
                    <w:left w:val="single" w:color="auto" w:sz="4" w:space="0"/>
                    <w:bottom w:val="single" w:color="auto" w:sz="4" w:space="0"/>
                    <w:right w:val="single" w:color="auto" w:sz="2" w:space="0"/>
                    <w:tl2br w:val="nil"/>
                    <w:tr2bl w:val="nil"/>
                  </w:tcBorders>
                  <w:noWrap w:val="0"/>
                  <w:vAlign w:val="center"/>
                </w:tcPr>
                <w:p w14:paraId="048F745A">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w:t>
                  </w:r>
                </w:p>
              </w:tc>
            </w:tr>
            <w:tr w14:paraId="3FE643E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6" w:type="pct"/>
                  <w:vMerge w:val="continue"/>
                  <w:tcBorders>
                    <w:top w:val="single" w:color="auto" w:sz="4" w:space="0"/>
                    <w:left w:val="single" w:color="auto" w:sz="2" w:space="0"/>
                    <w:bottom w:val="single" w:color="auto" w:sz="4" w:space="0"/>
                    <w:right w:val="single" w:color="auto" w:sz="4" w:space="0"/>
                    <w:tl2br w:val="nil"/>
                    <w:tr2bl w:val="nil"/>
                  </w:tcBorders>
                  <w:noWrap w:val="0"/>
                  <w:vAlign w:val="center"/>
                </w:tcPr>
                <w:p w14:paraId="4498C3DF">
                  <w:pPr>
                    <w:adjustRightInd w:val="0"/>
                    <w:snapToGrid w:val="0"/>
                    <w:spacing w:beforeLines="0" w:afterLines="0"/>
                    <w:jc w:val="center"/>
                    <w:rPr>
                      <w:rFonts w:hint="default" w:ascii="Times New Roman" w:hAnsi="Times New Roman" w:eastAsia="宋体" w:cs="Times New Roman"/>
                      <w:b/>
                      <w:color w:val="auto"/>
                      <w:sz w:val="21"/>
                      <w:szCs w:val="24"/>
                    </w:rPr>
                  </w:pPr>
                </w:p>
              </w:tc>
              <w:tc>
                <w:tcPr>
                  <w:tcW w:w="52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3A10D96">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鸭蛋清洗废水</w:t>
                  </w:r>
                </w:p>
              </w:tc>
              <w:tc>
                <w:tcPr>
                  <w:tcW w:w="98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5B1CD847">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产生浓度（mg/L）</w:t>
                  </w:r>
                </w:p>
              </w:tc>
              <w:tc>
                <w:tcPr>
                  <w:tcW w:w="37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3F1E84C8">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w:t>
                  </w:r>
                </w:p>
              </w:tc>
              <w:tc>
                <w:tcPr>
                  <w:tcW w:w="53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23B98168">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850</w:t>
                  </w:r>
                </w:p>
              </w:tc>
              <w:tc>
                <w:tcPr>
                  <w:tcW w:w="555" w:type="pct"/>
                  <w:tcBorders>
                    <w:top w:val="single" w:color="auto" w:sz="2" w:space="0"/>
                    <w:left w:val="single" w:color="auto" w:sz="4" w:space="0"/>
                    <w:bottom w:val="single" w:color="auto" w:sz="4" w:space="0"/>
                    <w:right w:val="single" w:color="auto" w:sz="4" w:space="0"/>
                    <w:tl2br w:val="nil"/>
                    <w:tr2bl w:val="nil"/>
                  </w:tcBorders>
                  <w:noWrap w:val="0"/>
                  <w:vAlign w:val="center"/>
                </w:tcPr>
                <w:p w14:paraId="4F08A6DF">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350</w:t>
                  </w:r>
                </w:p>
              </w:tc>
              <w:tc>
                <w:tcPr>
                  <w:tcW w:w="466" w:type="pct"/>
                  <w:tcBorders>
                    <w:top w:val="single" w:color="auto" w:sz="2" w:space="0"/>
                    <w:left w:val="single" w:color="auto" w:sz="4" w:space="0"/>
                    <w:bottom w:val="single" w:color="auto" w:sz="4" w:space="0"/>
                    <w:right w:val="single" w:color="auto" w:sz="4" w:space="0"/>
                    <w:tl2br w:val="nil"/>
                    <w:tr2bl w:val="nil"/>
                  </w:tcBorders>
                  <w:noWrap w:val="0"/>
                  <w:vAlign w:val="center"/>
                </w:tcPr>
                <w:p w14:paraId="45EF7A0F">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300</w:t>
                  </w:r>
                </w:p>
              </w:tc>
              <w:tc>
                <w:tcPr>
                  <w:tcW w:w="53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20B820AF">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20</w:t>
                  </w:r>
                </w:p>
              </w:tc>
              <w:tc>
                <w:tcPr>
                  <w:tcW w:w="553" w:type="pct"/>
                  <w:tcBorders>
                    <w:top w:val="single" w:color="auto" w:sz="2" w:space="0"/>
                    <w:left w:val="single" w:color="auto" w:sz="4" w:space="0"/>
                    <w:bottom w:val="single" w:color="auto" w:sz="4" w:space="0"/>
                    <w:right w:val="single" w:color="auto" w:sz="2" w:space="0"/>
                    <w:tl2br w:val="nil"/>
                    <w:tr2bl w:val="nil"/>
                  </w:tcBorders>
                  <w:noWrap w:val="0"/>
                  <w:vAlign w:val="center"/>
                </w:tcPr>
                <w:p w14:paraId="62510C42">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15</w:t>
                  </w:r>
                </w:p>
              </w:tc>
            </w:tr>
            <w:tr w14:paraId="305548A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66" w:type="pct"/>
                  <w:vMerge w:val="continue"/>
                  <w:tcBorders>
                    <w:top w:val="single" w:color="auto" w:sz="4" w:space="0"/>
                    <w:left w:val="single" w:color="auto" w:sz="2" w:space="0"/>
                    <w:bottom w:val="single" w:color="auto" w:sz="4" w:space="0"/>
                    <w:right w:val="single" w:color="auto" w:sz="4" w:space="0"/>
                    <w:tl2br w:val="nil"/>
                    <w:tr2bl w:val="nil"/>
                  </w:tcBorders>
                  <w:noWrap w:val="0"/>
                  <w:vAlign w:val="center"/>
                </w:tcPr>
                <w:p w14:paraId="73C37225">
                  <w:pPr>
                    <w:adjustRightInd w:val="0"/>
                    <w:snapToGrid w:val="0"/>
                    <w:spacing w:beforeLines="0" w:afterLines="0"/>
                    <w:jc w:val="center"/>
                    <w:rPr>
                      <w:rFonts w:hint="default" w:ascii="Times New Roman" w:hAnsi="Times New Roman" w:eastAsia="宋体" w:cs="Times New Roman"/>
                      <w:b/>
                      <w:color w:val="auto"/>
                      <w:sz w:val="21"/>
                      <w:szCs w:val="24"/>
                    </w:rPr>
                  </w:pPr>
                </w:p>
              </w:tc>
              <w:tc>
                <w:tcPr>
                  <w:tcW w:w="52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7402C51">
                  <w:pPr>
                    <w:adjustRightInd w:val="0"/>
                    <w:snapToGrid w:val="0"/>
                    <w:spacing w:beforeLines="0" w:afterLines="0"/>
                    <w:jc w:val="center"/>
                    <w:rPr>
                      <w:rFonts w:hint="default" w:ascii="Times New Roman" w:hAnsi="Times New Roman" w:eastAsia="宋体" w:cs="Times New Roman"/>
                      <w:b w:val="0"/>
                      <w:bCs/>
                      <w:color w:val="auto"/>
                      <w:sz w:val="21"/>
                      <w:szCs w:val="24"/>
                    </w:rPr>
                  </w:pPr>
                </w:p>
              </w:tc>
              <w:tc>
                <w:tcPr>
                  <w:tcW w:w="98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048CF309">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产生量（t/a）</w:t>
                  </w:r>
                </w:p>
              </w:tc>
              <w:tc>
                <w:tcPr>
                  <w:tcW w:w="37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6A704945">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1</w:t>
                  </w:r>
                </w:p>
              </w:tc>
              <w:tc>
                <w:tcPr>
                  <w:tcW w:w="53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62F5591B">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0.00085</w:t>
                  </w:r>
                </w:p>
              </w:tc>
              <w:tc>
                <w:tcPr>
                  <w:tcW w:w="555" w:type="pct"/>
                  <w:tcBorders>
                    <w:top w:val="single" w:color="auto" w:sz="2" w:space="0"/>
                    <w:left w:val="single" w:color="auto" w:sz="4" w:space="0"/>
                    <w:bottom w:val="single" w:color="auto" w:sz="4" w:space="0"/>
                    <w:right w:val="single" w:color="auto" w:sz="4" w:space="0"/>
                    <w:tl2br w:val="nil"/>
                    <w:tr2bl w:val="nil"/>
                  </w:tcBorders>
                  <w:noWrap w:val="0"/>
                  <w:vAlign w:val="center"/>
                </w:tcPr>
                <w:p w14:paraId="74813C5B">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0.00035</w:t>
                  </w:r>
                </w:p>
              </w:tc>
              <w:tc>
                <w:tcPr>
                  <w:tcW w:w="466" w:type="pct"/>
                  <w:tcBorders>
                    <w:top w:val="single" w:color="auto" w:sz="2" w:space="0"/>
                    <w:left w:val="single" w:color="auto" w:sz="4" w:space="0"/>
                    <w:bottom w:val="single" w:color="auto" w:sz="4" w:space="0"/>
                    <w:right w:val="single" w:color="auto" w:sz="4" w:space="0"/>
                    <w:tl2br w:val="nil"/>
                    <w:tr2bl w:val="nil"/>
                  </w:tcBorders>
                  <w:noWrap w:val="0"/>
                  <w:vAlign w:val="center"/>
                </w:tcPr>
                <w:p w14:paraId="0D75860C">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0.0003</w:t>
                  </w:r>
                </w:p>
              </w:tc>
              <w:tc>
                <w:tcPr>
                  <w:tcW w:w="53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7D51D496">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0.00002</w:t>
                  </w:r>
                </w:p>
              </w:tc>
              <w:tc>
                <w:tcPr>
                  <w:tcW w:w="553" w:type="pct"/>
                  <w:tcBorders>
                    <w:top w:val="single" w:color="auto" w:sz="2" w:space="0"/>
                    <w:left w:val="single" w:color="auto" w:sz="4" w:space="0"/>
                    <w:bottom w:val="single" w:color="auto" w:sz="4" w:space="0"/>
                    <w:right w:val="single" w:color="auto" w:sz="2" w:space="0"/>
                    <w:tl2br w:val="nil"/>
                    <w:tr2bl w:val="nil"/>
                  </w:tcBorders>
                  <w:noWrap w:val="0"/>
                  <w:vAlign w:val="center"/>
                </w:tcPr>
                <w:p w14:paraId="1D5FECB3">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0.000015</w:t>
                  </w:r>
                </w:p>
              </w:tc>
            </w:tr>
            <w:tr w14:paraId="7E2FAEF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66" w:type="pct"/>
                  <w:vMerge w:val="continue"/>
                  <w:tcBorders>
                    <w:top w:val="single" w:color="auto" w:sz="4" w:space="0"/>
                    <w:left w:val="single" w:color="auto" w:sz="2" w:space="0"/>
                    <w:bottom w:val="single" w:color="auto" w:sz="4" w:space="0"/>
                    <w:right w:val="single" w:color="auto" w:sz="4" w:space="0"/>
                    <w:tl2br w:val="nil"/>
                    <w:tr2bl w:val="nil"/>
                  </w:tcBorders>
                  <w:noWrap w:val="0"/>
                  <w:vAlign w:val="center"/>
                </w:tcPr>
                <w:p w14:paraId="30800240">
                  <w:pPr>
                    <w:adjustRightInd w:val="0"/>
                    <w:snapToGrid w:val="0"/>
                    <w:spacing w:beforeLines="0" w:afterLines="0"/>
                    <w:jc w:val="center"/>
                    <w:rPr>
                      <w:rFonts w:hint="default" w:ascii="Times New Roman" w:hAnsi="Times New Roman" w:eastAsia="宋体" w:cs="Times New Roman"/>
                      <w:b/>
                      <w:color w:val="auto"/>
                      <w:sz w:val="21"/>
                      <w:szCs w:val="24"/>
                    </w:rPr>
                  </w:pPr>
                </w:p>
              </w:tc>
              <w:tc>
                <w:tcPr>
                  <w:tcW w:w="52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1433579">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软水制备浓水</w:t>
                  </w:r>
                </w:p>
              </w:tc>
              <w:tc>
                <w:tcPr>
                  <w:tcW w:w="98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4A933CB6">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产生浓度（mg/L）</w:t>
                  </w:r>
                </w:p>
              </w:tc>
              <w:tc>
                <w:tcPr>
                  <w:tcW w:w="37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557CF7CB">
                  <w:pPr>
                    <w:widowControl/>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w:t>
                  </w:r>
                </w:p>
              </w:tc>
              <w:tc>
                <w:tcPr>
                  <w:tcW w:w="53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7755CFE6">
                  <w:pPr>
                    <w:widowControl/>
                    <w:jc w:val="center"/>
                    <w:textAlignment w:val="center"/>
                    <w:rPr>
                      <w:rFonts w:hint="default" w:ascii="Times New Roman" w:hAnsi="Times New Roman" w:cs="Times New Roman"/>
                      <w:b w:val="0"/>
                      <w:bCs/>
                      <w:color w:val="auto"/>
                      <w:sz w:val="21"/>
                      <w:szCs w:val="24"/>
                    </w:rPr>
                  </w:pPr>
                  <w:r>
                    <w:rPr>
                      <w:rFonts w:hint="default" w:ascii="Times New Roman" w:hAnsi="Times New Roman" w:eastAsia="宋体" w:cs="Times New Roman"/>
                      <w:b w:val="0"/>
                      <w:bCs/>
                      <w:color w:val="auto"/>
                      <w:kern w:val="0"/>
                      <w:sz w:val="21"/>
                      <w:szCs w:val="21"/>
                      <w:lang w:bidi="ar"/>
                    </w:rPr>
                    <w:t>80</w:t>
                  </w:r>
                </w:p>
              </w:tc>
              <w:tc>
                <w:tcPr>
                  <w:tcW w:w="555" w:type="pct"/>
                  <w:tcBorders>
                    <w:top w:val="single" w:color="auto" w:sz="2" w:space="0"/>
                    <w:left w:val="single" w:color="auto" w:sz="4" w:space="0"/>
                    <w:bottom w:val="single" w:color="auto" w:sz="4" w:space="0"/>
                    <w:right w:val="single" w:color="auto" w:sz="4" w:space="0"/>
                    <w:tl2br w:val="nil"/>
                    <w:tr2bl w:val="nil"/>
                  </w:tcBorders>
                  <w:noWrap w:val="0"/>
                  <w:vAlign w:val="center"/>
                </w:tcPr>
                <w:p w14:paraId="24043673">
                  <w:pPr>
                    <w:widowControl/>
                    <w:jc w:val="center"/>
                    <w:textAlignment w:val="center"/>
                    <w:rPr>
                      <w:rFonts w:hint="default" w:ascii="Times New Roman" w:hAnsi="Times New Roman" w:cs="Times New Roman"/>
                      <w:b w:val="0"/>
                      <w:bCs/>
                      <w:color w:val="auto"/>
                      <w:sz w:val="21"/>
                      <w:szCs w:val="24"/>
                    </w:rPr>
                  </w:pPr>
                  <w:r>
                    <w:rPr>
                      <w:rFonts w:hint="default" w:ascii="Times New Roman" w:hAnsi="Times New Roman" w:eastAsia="宋体" w:cs="Times New Roman"/>
                      <w:b w:val="0"/>
                      <w:bCs/>
                      <w:color w:val="auto"/>
                      <w:kern w:val="0"/>
                      <w:sz w:val="21"/>
                      <w:szCs w:val="21"/>
                      <w:lang w:bidi="ar"/>
                    </w:rPr>
                    <w:t>50</w:t>
                  </w:r>
                </w:p>
              </w:tc>
              <w:tc>
                <w:tcPr>
                  <w:tcW w:w="466" w:type="pct"/>
                  <w:tcBorders>
                    <w:top w:val="single" w:color="auto" w:sz="2" w:space="0"/>
                    <w:left w:val="single" w:color="auto" w:sz="4" w:space="0"/>
                    <w:bottom w:val="single" w:color="auto" w:sz="4" w:space="0"/>
                    <w:right w:val="single" w:color="auto" w:sz="4" w:space="0"/>
                    <w:tl2br w:val="nil"/>
                    <w:tr2bl w:val="nil"/>
                  </w:tcBorders>
                  <w:noWrap w:val="0"/>
                  <w:vAlign w:val="center"/>
                </w:tcPr>
                <w:p w14:paraId="0B4269C6">
                  <w:pPr>
                    <w:widowControl/>
                    <w:jc w:val="center"/>
                    <w:textAlignment w:val="center"/>
                    <w:rPr>
                      <w:rFonts w:hint="default" w:ascii="Times New Roman" w:hAnsi="Times New Roman" w:cs="Times New Roman"/>
                      <w:b w:val="0"/>
                      <w:bCs/>
                      <w:color w:val="auto"/>
                      <w:sz w:val="21"/>
                      <w:szCs w:val="24"/>
                    </w:rPr>
                  </w:pPr>
                  <w:r>
                    <w:rPr>
                      <w:rFonts w:hint="default" w:ascii="Times New Roman" w:hAnsi="Times New Roman" w:eastAsia="宋体" w:cs="Times New Roman"/>
                      <w:b w:val="0"/>
                      <w:bCs/>
                      <w:color w:val="auto"/>
                      <w:kern w:val="0"/>
                      <w:sz w:val="21"/>
                      <w:szCs w:val="21"/>
                      <w:lang w:bidi="ar"/>
                    </w:rPr>
                    <w:t>50</w:t>
                  </w:r>
                </w:p>
              </w:tc>
              <w:tc>
                <w:tcPr>
                  <w:tcW w:w="53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15726C2B">
                  <w:pPr>
                    <w:widowControl/>
                    <w:jc w:val="center"/>
                    <w:textAlignment w:val="center"/>
                    <w:rPr>
                      <w:rFonts w:hint="default" w:ascii="Times New Roman" w:hAnsi="Times New Roman" w:eastAsia="宋体" w:cs="Times New Roman"/>
                      <w:b w:val="0"/>
                      <w:bCs/>
                      <w:color w:val="auto"/>
                      <w:sz w:val="21"/>
                      <w:szCs w:val="24"/>
                      <w:lang w:eastAsia="zh-CN"/>
                    </w:rPr>
                  </w:pPr>
                  <w:r>
                    <w:rPr>
                      <w:rFonts w:hint="default" w:ascii="Times New Roman" w:hAnsi="Times New Roman" w:cs="Times New Roman"/>
                      <w:b w:val="0"/>
                      <w:bCs/>
                      <w:color w:val="auto"/>
                      <w:kern w:val="0"/>
                      <w:sz w:val="21"/>
                      <w:szCs w:val="21"/>
                      <w:lang w:eastAsia="zh-CN" w:bidi="ar"/>
                    </w:rPr>
                    <w:t>/</w:t>
                  </w:r>
                </w:p>
              </w:tc>
              <w:tc>
                <w:tcPr>
                  <w:tcW w:w="553" w:type="pct"/>
                  <w:tcBorders>
                    <w:top w:val="single" w:color="auto" w:sz="2" w:space="0"/>
                    <w:left w:val="single" w:color="auto" w:sz="4" w:space="0"/>
                    <w:bottom w:val="single" w:color="auto" w:sz="4" w:space="0"/>
                    <w:right w:val="single" w:color="auto" w:sz="2" w:space="0"/>
                    <w:tl2br w:val="nil"/>
                    <w:tr2bl w:val="nil"/>
                  </w:tcBorders>
                  <w:noWrap w:val="0"/>
                  <w:vAlign w:val="center"/>
                </w:tcPr>
                <w:p w14:paraId="3F1B76CF">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w:t>
                  </w:r>
                </w:p>
              </w:tc>
            </w:tr>
            <w:tr w14:paraId="40DF38C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66" w:type="pct"/>
                  <w:vMerge w:val="continue"/>
                  <w:tcBorders>
                    <w:top w:val="single" w:color="auto" w:sz="4" w:space="0"/>
                    <w:left w:val="single" w:color="auto" w:sz="2" w:space="0"/>
                    <w:bottom w:val="single" w:color="auto" w:sz="4" w:space="0"/>
                    <w:right w:val="single" w:color="auto" w:sz="4" w:space="0"/>
                    <w:tl2br w:val="nil"/>
                    <w:tr2bl w:val="nil"/>
                  </w:tcBorders>
                  <w:noWrap w:val="0"/>
                  <w:vAlign w:val="center"/>
                </w:tcPr>
                <w:p w14:paraId="7F60ACB8">
                  <w:pPr>
                    <w:adjustRightInd w:val="0"/>
                    <w:snapToGrid w:val="0"/>
                    <w:spacing w:beforeLines="0" w:afterLines="0"/>
                    <w:jc w:val="center"/>
                    <w:rPr>
                      <w:rFonts w:hint="default" w:ascii="Times New Roman" w:hAnsi="Times New Roman" w:eastAsia="宋体" w:cs="Times New Roman"/>
                      <w:b/>
                      <w:color w:val="auto"/>
                      <w:sz w:val="21"/>
                      <w:szCs w:val="24"/>
                    </w:rPr>
                  </w:pPr>
                </w:p>
              </w:tc>
              <w:tc>
                <w:tcPr>
                  <w:tcW w:w="52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9789FFA">
                  <w:pPr>
                    <w:adjustRightInd w:val="0"/>
                    <w:snapToGrid w:val="0"/>
                    <w:spacing w:beforeLines="0" w:afterLines="0"/>
                    <w:jc w:val="center"/>
                    <w:rPr>
                      <w:rFonts w:hint="default" w:ascii="Times New Roman" w:hAnsi="Times New Roman" w:eastAsia="宋体" w:cs="Times New Roman"/>
                      <w:b w:val="0"/>
                      <w:bCs/>
                      <w:color w:val="auto"/>
                      <w:sz w:val="21"/>
                      <w:szCs w:val="24"/>
                    </w:rPr>
                  </w:pPr>
                </w:p>
              </w:tc>
              <w:tc>
                <w:tcPr>
                  <w:tcW w:w="98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4A3A7835">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产生量（t/a）</w:t>
                  </w:r>
                </w:p>
              </w:tc>
              <w:tc>
                <w:tcPr>
                  <w:tcW w:w="37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552FA6A4">
                  <w:pPr>
                    <w:widowControl/>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cs="Times New Roman"/>
                      <w:b w:val="0"/>
                      <w:bCs/>
                      <w:color w:val="auto"/>
                      <w:kern w:val="0"/>
                      <w:sz w:val="21"/>
                      <w:szCs w:val="21"/>
                      <w:lang w:val="en-US" w:eastAsia="zh-CN" w:bidi="ar"/>
                    </w:rPr>
                    <w:t>73</w:t>
                  </w:r>
                  <w:r>
                    <w:rPr>
                      <w:rFonts w:hint="eastAsia" w:cs="Times New Roman"/>
                      <w:b w:val="0"/>
                      <w:bCs/>
                      <w:color w:val="auto"/>
                      <w:kern w:val="0"/>
                      <w:sz w:val="21"/>
                      <w:szCs w:val="21"/>
                      <w:lang w:val="en-US" w:eastAsia="zh-CN" w:bidi="ar"/>
                    </w:rPr>
                    <w:t>.</w:t>
                  </w:r>
                  <w:r>
                    <w:rPr>
                      <w:rFonts w:hint="default" w:ascii="Times New Roman" w:hAnsi="Times New Roman" w:cs="Times New Roman"/>
                      <w:b w:val="0"/>
                      <w:bCs/>
                      <w:color w:val="auto"/>
                      <w:kern w:val="0"/>
                      <w:sz w:val="21"/>
                      <w:szCs w:val="21"/>
                      <w:lang w:val="en-US" w:eastAsia="zh-CN" w:bidi="ar"/>
                    </w:rPr>
                    <w:t>5</w:t>
                  </w:r>
                </w:p>
              </w:tc>
              <w:tc>
                <w:tcPr>
                  <w:tcW w:w="53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320D8234">
                  <w:pPr>
                    <w:widowControl/>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cs="Times New Roman"/>
                      <w:b w:val="0"/>
                      <w:bCs/>
                      <w:color w:val="auto"/>
                      <w:kern w:val="0"/>
                      <w:sz w:val="21"/>
                      <w:szCs w:val="21"/>
                      <w:lang w:val="en-US" w:eastAsia="zh-CN" w:bidi="ar"/>
                    </w:rPr>
                    <w:t>0.0</w:t>
                  </w:r>
                  <w:r>
                    <w:rPr>
                      <w:rFonts w:hint="eastAsia" w:cs="Times New Roman"/>
                      <w:b w:val="0"/>
                      <w:bCs/>
                      <w:color w:val="auto"/>
                      <w:kern w:val="0"/>
                      <w:sz w:val="21"/>
                      <w:szCs w:val="21"/>
                      <w:lang w:val="en-US" w:eastAsia="zh-CN" w:bidi="ar"/>
                    </w:rPr>
                    <w:t>0</w:t>
                  </w:r>
                  <w:r>
                    <w:rPr>
                      <w:rFonts w:hint="default" w:ascii="Times New Roman" w:hAnsi="Times New Roman" w:cs="Times New Roman"/>
                      <w:b w:val="0"/>
                      <w:bCs/>
                      <w:color w:val="auto"/>
                      <w:kern w:val="0"/>
                      <w:sz w:val="21"/>
                      <w:szCs w:val="21"/>
                      <w:lang w:val="en-US" w:eastAsia="zh-CN" w:bidi="ar"/>
                    </w:rPr>
                    <w:t>59</w:t>
                  </w:r>
                </w:p>
              </w:tc>
              <w:tc>
                <w:tcPr>
                  <w:tcW w:w="555" w:type="pct"/>
                  <w:tcBorders>
                    <w:top w:val="single" w:color="auto" w:sz="2" w:space="0"/>
                    <w:left w:val="single" w:color="auto" w:sz="4" w:space="0"/>
                    <w:bottom w:val="single" w:color="auto" w:sz="4" w:space="0"/>
                    <w:right w:val="single" w:color="auto" w:sz="4" w:space="0"/>
                    <w:tl2br w:val="nil"/>
                    <w:tr2bl w:val="nil"/>
                  </w:tcBorders>
                  <w:noWrap w:val="0"/>
                  <w:vAlign w:val="center"/>
                </w:tcPr>
                <w:p w14:paraId="61685B07">
                  <w:pPr>
                    <w:widowControl/>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cs="Times New Roman"/>
                      <w:b w:val="0"/>
                      <w:bCs/>
                      <w:color w:val="auto"/>
                      <w:kern w:val="0"/>
                      <w:sz w:val="21"/>
                      <w:szCs w:val="21"/>
                      <w:lang w:val="en-US" w:eastAsia="zh-CN" w:bidi="ar"/>
                    </w:rPr>
                    <w:t>0.0</w:t>
                  </w:r>
                  <w:r>
                    <w:rPr>
                      <w:rFonts w:hint="eastAsia" w:cs="Times New Roman"/>
                      <w:b w:val="0"/>
                      <w:bCs/>
                      <w:color w:val="auto"/>
                      <w:kern w:val="0"/>
                      <w:sz w:val="21"/>
                      <w:szCs w:val="21"/>
                      <w:lang w:val="en-US" w:eastAsia="zh-CN" w:bidi="ar"/>
                    </w:rPr>
                    <w:t>0</w:t>
                  </w:r>
                  <w:r>
                    <w:rPr>
                      <w:rFonts w:hint="default" w:ascii="Times New Roman" w:hAnsi="Times New Roman" w:cs="Times New Roman"/>
                      <w:b w:val="0"/>
                      <w:bCs/>
                      <w:color w:val="auto"/>
                      <w:kern w:val="0"/>
                      <w:sz w:val="21"/>
                      <w:szCs w:val="21"/>
                      <w:lang w:val="en-US" w:eastAsia="zh-CN" w:bidi="ar"/>
                    </w:rPr>
                    <w:t>37</w:t>
                  </w:r>
                </w:p>
              </w:tc>
              <w:tc>
                <w:tcPr>
                  <w:tcW w:w="466" w:type="pct"/>
                  <w:tcBorders>
                    <w:top w:val="single" w:color="auto" w:sz="2" w:space="0"/>
                    <w:left w:val="single" w:color="auto" w:sz="4" w:space="0"/>
                    <w:bottom w:val="single" w:color="auto" w:sz="4" w:space="0"/>
                    <w:right w:val="single" w:color="auto" w:sz="4" w:space="0"/>
                    <w:tl2br w:val="nil"/>
                    <w:tr2bl w:val="nil"/>
                  </w:tcBorders>
                  <w:noWrap w:val="0"/>
                  <w:vAlign w:val="center"/>
                </w:tcPr>
                <w:p w14:paraId="6ED76A86">
                  <w:pPr>
                    <w:widowControl/>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cs="Times New Roman"/>
                      <w:b w:val="0"/>
                      <w:bCs/>
                      <w:color w:val="auto"/>
                      <w:kern w:val="0"/>
                      <w:sz w:val="21"/>
                      <w:szCs w:val="21"/>
                      <w:lang w:val="en-US" w:eastAsia="zh-CN" w:bidi="ar"/>
                    </w:rPr>
                    <w:t>0.0</w:t>
                  </w:r>
                  <w:r>
                    <w:rPr>
                      <w:rFonts w:hint="eastAsia" w:cs="Times New Roman"/>
                      <w:b w:val="0"/>
                      <w:bCs/>
                      <w:color w:val="auto"/>
                      <w:kern w:val="0"/>
                      <w:sz w:val="21"/>
                      <w:szCs w:val="21"/>
                      <w:lang w:val="en-US" w:eastAsia="zh-CN" w:bidi="ar"/>
                    </w:rPr>
                    <w:t>0</w:t>
                  </w:r>
                  <w:r>
                    <w:rPr>
                      <w:rFonts w:hint="default" w:ascii="Times New Roman" w:hAnsi="Times New Roman" w:cs="Times New Roman"/>
                      <w:b w:val="0"/>
                      <w:bCs/>
                      <w:color w:val="auto"/>
                      <w:kern w:val="0"/>
                      <w:sz w:val="21"/>
                      <w:szCs w:val="21"/>
                      <w:lang w:val="en-US" w:eastAsia="zh-CN" w:bidi="ar"/>
                    </w:rPr>
                    <w:t>37</w:t>
                  </w:r>
                </w:p>
              </w:tc>
              <w:tc>
                <w:tcPr>
                  <w:tcW w:w="53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5273AC4B">
                  <w:pPr>
                    <w:widowControl/>
                    <w:jc w:val="center"/>
                    <w:textAlignment w:val="center"/>
                    <w:rPr>
                      <w:rFonts w:hint="default" w:ascii="Times New Roman" w:hAnsi="Times New Roman" w:cs="Times New Roman"/>
                      <w:b w:val="0"/>
                      <w:bCs/>
                      <w:color w:val="auto"/>
                      <w:kern w:val="0"/>
                      <w:sz w:val="21"/>
                      <w:szCs w:val="21"/>
                      <w:lang w:eastAsia="zh-CN" w:bidi="ar"/>
                    </w:rPr>
                  </w:pPr>
                  <w:r>
                    <w:rPr>
                      <w:rFonts w:hint="default" w:ascii="Times New Roman" w:hAnsi="Times New Roman" w:cs="Times New Roman"/>
                      <w:b w:val="0"/>
                      <w:bCs/>
                      <w:color w:val="auto"/>
                      <w:kern w:val="0"/>
                      <w:sz w:val="21"/>
                      <w:szCs w:val="21"/>
                      <w:lang w:eastAsia="zh-CN" w:bidi="ar"/>
                    </w:rPr>
                    <w:t>/</w:t>
                  </w:r>
                </w:p>
              </w:tc>
              <w:tc>
                <w:tcPr>
                  <w:tcW w:w="553" w:type="pct"/>
                  <w:tcBorders>
                    <w:top w:val="single" w:color="auto" w:sz="2" w:space="0"/>
                    <w:left w:val="single" w:color="auto" w:sz="4" w:space="0"/>
                    <w:bottom w:val="single" w:color="auto" w:sz="4" w:space="0"/>
                    <w:right w:val="single" w:color="auto" w:sz="2" w:space="0"/>
                    <w:tl2br w:val="nil"/>
                    <w:tr2bl w:val="nil"/>
                  </w:tcBorders>
                  <w:noWrap w:val="0"/>
                  <w:vAlign w:val="center"/>
                </w:tcPr>
                <w:p w14:paraId="6BDB300E">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w:t>
                  </w:r>
                </w:p>
              </w:tc>
            </w:tr>
            <w:tr w14:paraId="4F78F5C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66" w:type="pct"/>
                  <w:vMerge w:val="continue"/>
                  <w:tcBorders>
                    <w:top w:val="single" w:color="auto" w:sz="4" w:space="0"/>
                    <w:left w:val="single" w:color="auto" w:sz="2" w:space="0"/>
                    <w:bottom w:val="single" w:color="auto" w:sz="4" w:space="0"/>
                    <w:right w:val="single" w:color="auto" w:sz="4" w:space="0"/>
                    <w:tl2br w:val="nil"/>
                    <w:tr2bl w:val="nil"/>
                  </w:tcBorders>
                  <w:noWrap w:val="0"/>
                  <w:vAlign w:val="center"/>
                </w:tcPr>
                <w:p w14:paraId="48BE5577">
                  <w:pPr>
                    <w:adjustRightInd w:val="0"/>
                    <w:snapToGrid w:val="0"/>
                    <w:spacing w:beforeLines="0" w:afterLines="0"/>
                    <w:jc w:val="center"/>
                    <w:rPr>
                      <w:rFonts w:hint="default" w:ascii="Times New Roman" w:hAnsi="Times New Roman" w:eastAsia="宋体" w:cs="Times New Roman"/>
                      <w:b/>
                      <w:color w:val="auto"/>
                      <w:sz w:val="21"/>
                      <w:szCs w:val="24"/>
                    </w:rPr>
                  </w:pPr>
                </w:p>
              </w:tc>
              <w:tc>
                <w:tcPr>
                  <w:tcW w:w="52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F6876AE">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锅炉排水</w:t>
                  </w:r>
                </w:p>
              </w:tc>
              <w:tc>
                <w:tcPr>
                  <w:tcW w:w="98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28541F12">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产生浓度（mg/L）</w:t>
                  </w:r>
                </w:p>
              </w:tc>
              <w:tc>
                <w:tcPr>
                  <w:tcW w:w="37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5820C971">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w:t>
                  </w:r>
                </w:p>
              </w:tc>
              <w:tc>
                <w:tcPr>
                  <w:tcW w:w="53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518E30DC">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60</w:t>
                  </w:r>
                </w:p>
              </w:tc>
              <w:tc>
                <w:tcPr>
                  <w:tcW w:w="555" w:type="pct"/>
                  <w:tcBorders>
                    <w:top w:val="single" w:color="auto" w:sz="2" w:space="0"/>
                    <w:left w:val="single" w:color="auto" w:sz="4" w:space="0"/>
                    <w:bottom w:val="single" w:color="auto" w:sz="4" w:space="0"/>
                    <w:right w:val="single" w:color="auto" w:sz="4" w:space="0"/>
                    <w:tl2br w:val="nil"/>
                    <w:tr2bl w:val="nil"/>
                  </w:tcBorders>
                  <w:noWrap w:val="0"/>
                  <w:vAlign w:val="center"/>
                </w:tcPr>
                <w:p w14:paraId="4DD80D26">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40</w:t>
                  </w:r>
                </w:p>
              </w:tc>
              <w:tc>
                <w:tcPr>
                  <w:tcW w:w="466" w:type="pct"/>
                  <w:tcBorders>
                    <w:top w:val="single" w:color="auto" w:sz="2" w:space="0"/>
                    <w:left w:val="single" w:color="auto" w:sz="4" w:space="0"/>
                    <w:bottom w:val="single" w:color="auto" w:sz="4" w:space="0"/>
                    <w:right w:val="single" w:color="auto" w:sz="4" w:space="0"/>
                    <w:tl2br w:val="nil"/>
                    <w:tr2bl w:val="nil"/>
                  </w:tcBorders>
                  <w:noWrap w:val="0"/>
                  <w:vAlign w:val="center"/>
                </w:tcPr>
                <w:p w14:paraId="3FFB4C97">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50</w:t>
                  </w:r>
                </w:p>
              </w:tc>
              <w:tc>
                <w:tcPr>
                  <w:tcW w:w="53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47C949B5">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w:t>
                  </w:r>
                </w:p>
              </w:tc>
              <w:tc>
                <w:tcPr>
                  <w:tcW w:w="553" w:type="pct"/>
                  <w:tcBorders>
                    <w:top w:val="single" w:color="auto" w:sz="2" w:space="0"/>
                    <w:left w:val="single" w:color="auto" w:sz="4" w:space="0"/>
                    <w:bottom w:val="single" w:color="auto" w:sz="4" w:space="0"/>
                    <w:right w:val="single" w:color="auto" w:sz="2" w:space="0"/>
                    <w:tl2br w:val="nil"/>
                    <w:tr2bl w:val="nil"/>
                  </w:tcBorders>
                  <w:noWrap w:val="0"/>
                  <w:vAlign w:val="center"/>
                </w:tcPr>
                <w:p w14:paraId="65B99E74">
                  <w:pPr>
                    <w:adjustRightInd w:val="0"/>
                    <w:snapToGrid w:val="0"/>
                    <w:spacing w:beforeLines="0" w:afterLines="0"/>
                    <w:jc w:val="center"/>
                    <w:rPr>
                      <w:rFonts w:hint="default" w:ascii="Times New Roman" w:hAnsi="Times New Roman" w:eastAsia="宋体"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w:t>
                  </w:r>
                </w:p>
              </w:tc>
            </w:tr>
            <w:tr w14:paraId="0F3807E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66" w:type="pct"/>
                  <w:vMerge w:val="continue"/>
                  <w:tcBorders>
                    <w:top w:val="single" w:color="auto" w:sz="4" w:space="0"/>
                    <w:left w:val="single" w:color="auto" w:sz="2" w:space="0"/>
                    <w:bottom w:val="single" w:color="auto" w:sz="4" w:space="0"/>
                    <w:right w:val="single" w:color="auto" w:sz="4" w:space="0"/>
                    <w:tl2br w:val="nil"/>
                    <w:tr2bl w:val="nil"/>
                  </w:tcBorders>
                  <w:noWrap w:val="0"/>
                  <w:vAlign w:val="center"/>
                </w:tcPr>
                <w:p w14:paraId="304CE6AE">
                  <w:pPr>
                    <w:adjustRightInd w:val="0"/>
                    <w:snapToGrid w:val="0"/>
                    <w:spacing w:beforeLines="0" w:afterLines="0"/>
                    <w:jc w:val="center"/>
                    <w:rPr>
                      <w:rFonts w:hint="default" w:ascii="Times New Roman" w:hAnsi="Times New Roman" w:eastAsia="宋体" w:cs="Times New Roman"/>
                      <w:b/>
                      <w:color w:val="auto"/>
                      <w:sz w:val="21"/>
                      <w:szCs w:val="24"/>
                    </w:rPr>
                  </w:pPr>
                </w:p>
              </w:tc>
              <w:tc>
                <w:tcPr>
                  <w:tcW w:w="52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C06A816">
                  <w:pPr>
                    <w:adjustRightInd w:val="0"/>
                    <w:snapToGrid w:val="0"/>
                    <w:spacing w:beforeLines="0" w:afterLines="0"/>
                    <w:jc w:val="center"/>
                    <w:rPr>
                      <w:rFonts w:hint="default" w:ascii="Times New Roman" w:hAnsi="Times New Roman" w:eastAsia="宋体" w:cs="Times New Roman"/>
                      <w:b w:val="0"/>
                      <w:bCs/>
                      <w:color w:val="auto"/>
                      <w:sz w:val="21"/>
                      <w:szCs w:val="24"/>
                    </w:rPr>
                  </w:pPr>
                </w:p>
              </w:tc>
              <w:tc>
                <w:tcPr>
                  <w:tcW w:w="98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2C7EDAA4">
                  <w:pPr>
                    <w:adjustRightInd w:val="0"/>
                    <w:snapToGrid w:val="0"/>
                    <w:spacing w:beforeLines="0" w:afterLines="0"/>
                    <w:jc w:val="center"/>
                    <w:rPr>
                      <w:rFonts w:hint="default" w:ascii="Times New Roman" w:hAnsi="Times New Roman" w:eastAsia="宋体" w:cs="Times New Roman"/>
                      <w:b w:val="0"/>
                      <w:bCs/>
                      <w:color w:val="auto"/>
                      <w:sz w:val="21"/>
                      <w:szCs w:val="24"/>
                    </w:rPr>
                  </w:pPr>
                  <w:r>
                    <w:rPr>
                      <w:rFonts w:hint="default" w:ascii="Times New Roman" w:hAnsi="Times New Roman" w:eastAsia="宋体" w:cs="Times New Roman"/>
                      <w:b w:val="0"/>
                      <w:bCs/>
                      <w:color w:val="auto"/>
                      <w:sz w:val="21"/>
                      <w:szCs w:val="24"/>
                    </w:rPr>
                    <w:t>产生量（t/a）</w:t>
                  </w:r>
                </w:p>
              </w:tc>
              <w:tc>
                <w:tcPr>
                  <w:tcW w:w="37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118801CB">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6</w:t>
                  </w:r>
                  <w:r>
                    <w:rPr>
                      <w:rFonts w:hint="eastAsia" w:cs="Times New Roman"/>
                      <w:b w:val="0"/>
                      <w:bCs/>
                      <w:color w:val="auto"/>
                      <w:sz w:val="21"/>
                      <w:szCs w:val="24"/>
                      <w:lang w:val="en-US" w:eastAsia="zh-CN"/>
                    </w:rPr>
                    <w:t>.</w:t>
                  </w:r>
                  <w:r>
                    <w:rPr>
                      <w:rFonts w:hint="default" w:ascii="Times New Roman" w:hAnsi="Times New Roman" w:cs="Times New Roman"/>
                      <w:b w:val="0"/>
                      <w:bCs/>
                      <w:color w:val="auto"/>
                      <w:sz w:val="21"/>
                      <w:szCs w:val="24"/>
                      <w:lang w:val="en-US" w:eastAsia="zh-CN"/>
                    </w:rPr>
                    <w:t>3</w:t>
                  </w:r>
                </w:p>
              </w:tc>
              <w:tc>
                <w:tcPr>
                  <w:tcW w:w="539" w:type="pct"/>
                  <w:tcBorders>
                    <w:top w:val="single" w:color="auto" w:sz="2" w:space="0"/>
                    <w:left w:val="single" w:color="auto" w:sz="4" w:space="0"/>
                    <w:bottom w:val="single" w:color="auto" w:sz="4" w:space="0"/>
                    <w:right w:val="single" w:color="auto" w:sz="4" w:space="0"/>
                    <w:tl2br w:val="nil"/>
                    <w:tr2bl w:val="nil"/>
                  </w:tcBorders>
                  <w:noWrap w:val="0"/>
                  <w:vAlign w:val="center"/>
                </w:tcPr>
                <w:p w14:paraId="3C90209E">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0.0</w:t>
                  </w:r>
                  <w:r>
                    <w:rPr>
                      <w:rFonts w:hint="eastAsia" w:cs="Times New Roman"/>
                      <w:b w:val="0"/>
                      <w:bCs/>
                      <w:color w:val="auto"/>
                      <w:sz w:val="21"/>
                      <w:szCs w:val="24"/>
                      <w:lang w:val="en-US" w:eastAsia="zh-CN"/>
                    </w:rPr>
                    <w:t>0</w:t>
                  </w:r>
                  <w:r>
                    <w:rPr>
                      <w:rFonts w:hint="default" w:ascii="Times New Roman" w:hAnsi="Times New Roman" w:cs="Times New Roman"/>
                      <w:b w:val="0"/>
                      <w:bCs/>
                      <w:color w:val="auto"/>
                      <w:sz w:val="21"/>
                      <w:szCs w:val="24"/>
                      <w:lang w:val="en-US" w:eastAsia="zh-CN"/>
                    </w:rPr>
                    <w:t>038</w:t>
                  </w:r>
                </w:p>
              </w:tc>
              <w:tc>
                <w:tcPr>
                  <w:tcW w:w="555" w:type="pct"/>
                  <w:tcBorders>
                    <w:top w:val="single" w:color="auto" w:sz="2" w:space="0"/>
                    <w:left w:val="single" w:color="auto" w:sz="4" w:space="0"/>
                    <w:bottom w:val="single" w:color="auto" w:sz="4" w:space="0"/>
                    <w:right w:val="single" w:color="auto" w:sz="4" w:space="0"/>
                    <w:tl2br w:val="nil"/>
                    <w:tr2bl w:val="nil"/>
                  </w:tcBorders>
                  <w:noWrap w:val="0"/>
                  <w:vAlign w:val="center"/>
                </w:tcPr>
                <w:p w14:paraId="625E4E7F">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0.00</w:t>
                  </w:r>
                  <w:r>
                    <w:rPr>
                      <w:rFonts w:hint="eastAsia" w:cs="Times New Roman"/>
                      <w:b w:val="0"/>
                      <w:bCs/>
                      <w:color w:val="auto"/>
                      <w:sz w:val="21"/>
                      <w:szCs w:val="24"/>
                      <w:lang w:val="en-US" w:eastAsia="zh-CN"/>
                    </w:rPr>
                    <w:t>0</w:t>
                  </w:r>
                  <w:r>
                    <w:rPr>
                      <w:rFonts w:hint="default" w:ascii="Times New Roman" w:hAnsi="Times New Roman" w:cs="Times New Roman"/>
                      <w:b w:val="0"/>
                      <w:bCs/>
                      <w:color w:val="auto"/>
                      <w:sz w:val="21"/>
                      <w:szCs w:val="24"/>
                      <w:lang w:val="en-US" w:eastAsia="zh-CN"/>
                    </w:rPr>
                    <w:t>25</w:t>
                  </w:r>
                </w:p>
              </w:tc>
              <w:tc>
                <w:tcPr>
                  <w:tcW w:w="466" w:type="pct"/>
                  <w:tcBorders>
                    <w:top w:val="single" w:color="auto" w:sz="2" w:space="0"/>
                    <w:left w:val="single" w:color="auto" w:sz="4" w:space="0"/>
                    <w:bottom w:val="single" w:color="auto" w:sz="4" w:space="0"/>
                    <w:right w:val="single" w:color="auto" w:sz="4" w:space="0"/>
                    <w:tl2br w:val="nil"/>
                    <w:tr2bl w:val="nil"/>
                  </w:tcBorders>
                  <w:noWrap w:val="0"/>
                  <w:vAlign w:val="center"/>
                </w:tcPr>
                <w:p w14:paraId="18CC539C">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0.0</w:t>
                  </w:r>
                  <w:r>
                    <w:rPr>
                      <w:rFonts w:hint="eastAsia" w:cs="Times New Roman"/>
                      <w:b w:val="0"/>
                      <w:bCs/>
                      <w:color w:val="auto"/>
                      <w:sz w:val="21"/>
                      <w:szCs w:val="24"/>
                      <w:lang w:val="en-US" w:eastAsia="zh-CN"/>
                    </w:rPr>
                    <w:t>0</w:t>
                  </w:r>
                  <w:r>
                    <w:rPr>
                      <w:rFonts w:hint="default" w:ascii="Times New Roman" w:hAnsi="Times New Roman" w:cs="Times New Roman"/>
                      <w:b w:val="0"/>
                      <w:bCs/>
                      <w:color w:val="auto"/>
                      <w:sz w:val="21"/>
                      <w:szCs w:val="24"/>
                      <w:lang w:val="en-US" w:eastAsia="zh-CN"/>
                    </w:rPr>
                    <w:t>032</w:t>
                  </w:r>
                </w:p>
              </w:tc>
              <w:tc>
                <w:tcPr>
                  <w:tcW w:w="532" w:type="pct"/>
                  <w:tcBorders>
                    <w:top w:val="single" w:color="auto" w:sz="2" w:space="0"/>
                    <w:left w:val="single" w:color="auto" w:sz="4" w:space="0"/>
                    <w:bottom w:val="single" w:color="auto" w:sz="4" w:space="0"/>
                    <w:right w:val="single" w:color="auto" w:sz="4" w:space="0"/>
                    <w:tl2br w:val="nil"/>
                    <w:tr2bl w:val="nil"/>
                  </w:tcBorders>
                  <w:noWrap w:val="0"/>
                  <w:vAlign w:val="center"/>
                </w:tcPr>
                <w:p w14:paraId="20D84E22">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w:t>
                  </w:r>
                </w:p>
              </w:tc>
              <w:tc>
                <w:tcPr>
                  <w:tcW w:w="553" w:type="pct"/>
                  <w:tcBorders>
                    <w:top w:val="single" w:color="auto" w:sz="2" w:space="0"/>
                    <w:left w:val="single" w:color="auto" w:sz="4" w:space="0"/>
                    <w:bottom w:val="single" w:color="auto" w:sz="4" w:space="0"/>
                    <w:right w:val="single" w:color="auto" w:sz="2" w:space="0"/>
                    <w:tl2br w:val="nil"/>
                    <w:tr2bl w:val="nil"/>
                  </w:tcBorders>
                  <w:noWrap w:val="0"/>
                  <w:vAlign w:val="center"/>
                </w:tcPr>
                <w:p w14:paraId="19F240AD">
                  <w:pPr>
                    <w:adjustRightInd w:val="0"/>
                    <w:snapToGrid w:val="0"/>
                    <w:spacing w:beforeLines="0" w:afterLines="0"/>
                    <w:jc w:val="center"/>
                    <w:rPr>
                      <w:rFonts w:hint="default" w:ascii="Times New Roman" w:hAnsi="Times New Roman" w:cs="Times New Roman"/>
                      <w:b w:val="0"/>
                      <w:bCs/>
                      <w:color w:val="auto"/>
                      <w:sz w:val="21"/>
                      <w:szCs w:val="24"/>
                      <w:lang w:val="en-US" w:eastAsia="zh-CN"/>
                    </w:rPr>
                  </w:pPr>
                  <w:r>
                    <w:rPr>
                      <w:rFonts w:hint="default" w:ascii="Times New Roman" w:hAnsi="Times New Roman" w:cs="Times New Roman"/>
                      <w:b w:val="0"/>
                      <w:bCs/>
                      <w:color w:val="auto"/>
                      <w:sz w:val="21"/>
                      <w:szCs w:val="24"/>
                      <w:lang w:val="en-US" w:eastAsia="zh-CN"/>
                    </w:rPr>
                    <w:t>/</w:t>
                  </w:r>
                </w:p>
              </w:tc>
            </w:tr>
            <w:tr w14:paraId="39EFB6C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6" w:type="pct"/>
                  <w:vMerge w:val="continue"/>
                  <w:tcBorders>
                    <w:top w:val="single" w:color="auto" w:sz="4" w:space="0"/>
                    <w:left w:val="single" w:color="auto" w:sz="2" w:space="0"/>
                    <w:bottom w:val="single" w:color="auto" w:sz="4" w:space="0"/>
                    <w:right w:val="single" w:color="auto" w:sz="4" w:space="0"/>
                    <w:tl2br w:val="nil"/>
                    <w:tr2bl w:val="nil"/>
                  </w:tcBorders>
                  <w:noWrap w:val="0"/>
                  <w:vAlign w:val="center"/>
                </w:tcPr>
                <w:p w14:paraId="56624EAB">
                  <w:pPr>
                    <w:adjustRightInd w:val="0"/>
                    <w:snapToGrid w:val="0"/>
                    <w:spacing w:beforeLines="0" w:afterLines="0"/>
                    <w:jc w:val="center"/>
                    <w:rPr>
                      <w:rFonts w:hint="default" w:ascii="Times New Roman" w:hAnsi="Times New Roman" w:eastAsia="宋体" w:cs="Times New Roman"/>
                      <w:color w:val="auto"/>
                      <w:sz w:val="21"/>
                      <w:szCs w:val="24"/>
                      <w:lang w:eastAsia="zh-CN"/>
                    </w:rPr>
                  </w:pPr>
                </w:p>
              </w:tc>
              <w:tc>
                <w:tcPr>
                  <w:tcW w:w="52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81EB2A5">
                  <w:pPr>
                    <w:adjustRightInd w:val="0"/>
                    <w:snapToGrid w:val="0"/>
                    <w:spacing w:beforeLines="0" w:afterLine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lang w:val="en-US" w:eastAsia="zh-CN"/>
                    </w:rPr>
                    <w:t>综合</w:t>
                  </w:r>
                  <w:r>
                    <w:rPr>
                      <w:rFonts w:hint="default" w:ascii="Times New Roman" w:hAnsi="Times New Roman" w:eastAsia="宋体" w:cs="Times New Roman"/>
                      <w:color w:val="auto"/>
                      <w:sz w:val="21"/>
                      <w:szCs w:val="24"/>
                    </w:rPr>
                    <w:t>废水</w:t>
                  </w:r>
                </w:p>
              </w:tc>
              <w:tc>
                <w:tcPr>
                  <w:tcW w:w="9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C849E1">
                  <w:pPr>
                    <w:adjustRightInd w:val="0"/>
                    <w:snapToGrid w:val="0"/>
                    <w:spacing w:beforeLines="0" w:afterLines="0"/>
                    <w:jc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产生浓度（mg/L）</w:t>
                  </w:r>
                </w:p>
              </w:tc>
              <w:tc>
                <w:tcPr>
                  <w:tcW w:w="3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52CBE8">
                  <w:pPr>
                    <w:adjustRightInd w:val="0"/>
                    <w:spacing w:beforeLines="0" w:afterLines="0" w:line="360" w:lineRule="exact"/>
                    <w:ind w:left="-105" w:leftChars="-50" w:right="-105" w:rightChars="-5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w:t>
                  </w: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65DBE3">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265</w:t>
                  </w:r>
                </w:p>
              </w:tc>
              <w:tc>
                <w:tcPr>
                  <w:tcW w:w="55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82E2DE">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160</w:t>
                  </w:r>
                </w:p>
              </w:tc>
              <w:tc>
                <w:tcPr>
                  <w:tcW w:w="4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681C51">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144</w:t>
                  </w:r>
                </w:p>
              </w:tc>
              <w:tc>
                <w:tcPr>
                  <w:tcW w:w="53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7ED037">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9</w:t>
                  </w:r>
                </w:p>
              </w:tc>
              <w:tc>
                <w:tcPr>
                  <w:tcW w:w="553" w:type="pct"/>
                  <w:tcBorders>
                    <w:top w:val="single" w:color="auto" w:sz="4" w:space="0"/>
                    <w:left w:val="single" w:color="auto" w:sz="4" w:space="0"/>
                    <w:bottom w:val="single" w:color="auto" w:sz="4" w:space="0"/>
                    <w:right w:val="single" w:color="auto" w:sz="2" w:space="0"/>
                    <w:tl2br w:val="nil"/>
                    <w:tr2bl w:val="nil"/>
                  </w:tcBorders>
                  <w:noWrap w:val="0"/>
                  <w:vAlign w:val="center"/>
                </w:tcPr>
                <w:p w14:paraId="1854824E">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0</w:t>
                  </w:r>
                </w:p>
              </w:tc>
            </w:tr>
            <w:tr w14:paraId="7627C4E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6" w:type="pct"/>
                  <w:vMerge w:val="continue"/>
                  <w:tcBorders>
                    <w:top w:val="single" w:color="auto" w:sz="4" w:space="0"/>
                    <w:left w:val="single" w:color="auto" w:sz="2" w:space="0"/>
                    <w:bottom w:val="single" w:color="auto" w:sz="4" w:space="0"/>
                    <w:right w:val="single" w:color="auto" w:sz="4" w:space="0"/>
                    <w:tl2br w:val="nil"/>
                    <w:tr2bl w:val="nil"/>
                  </w:tcBorders>
                  <w:noWrap w:val="0"/>
                  <w:vAlign w:val="center"/>
                </w:tcPr>
                <w:p w14:paraId="6D230821">
                  <w:pPr>
                    <w:adjustRightInd w:val="0"/>
                    <w:snapToGrid w:val="0"/>
                    <w:spacing w:beforeLines="0" w:afterLines="0"/>
                    <w:jc w:val="center"/>
                    <w:rPr>
                      <w:rFonts w:hint="default" w:ascii="Times New Roman" w:hAnsi="Times New Roman" w:eastAsia="宋体" w:cs="Times New Roman"/>
                      <w:color w:val="auto"/>
                      <w:sz w:val="21"/>
                      <w:szCs w:val="24"/>
                      <w:lang w:eastAsia="zh-CN"/>
                    </w:rPr>
                  </w:pPr>
                </w:p>
              </w:tc>
              <w:tc>
                <w:tcPr>
                  <w:tcW w:w="52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3D4C35D">
                  <w:pPr>
                    <w:adjustRightInd w:val="0"/>
                    <w:snapToGrid w:val="0"/>
                    <w:spacing w:beforeLines="0" w:afterLines="0"/>
                    <w:jc w:val="center"/>
                    <w:rPr>
                      <w:rFonts w:hint="default" w:ascii="Times New Roman" w:hAnsi="Times New Roman" w:cs="Times New Roman"/>
                      <w:color w:val="auto"/>
                      <w:sz w:val="21"/>
                      <w:szCs w:val="24"/>
                      <w:lang w:val="en-US" w:eastAsia="zh-CN"/>
                    </w:rPr>
                  </w:pPr>
                </w:p>
              </w:tc>
              <w:tc>
                <w:tcPr>
                  <w:tcW w:w="9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C9D3C6">
                  <w:pPr>
                    <w:adjustRightInd w:val="0"/>
                    <w:snapToGrid w:val="0"/>
                    <w:spacing w:beforeLines="0" w:afterLines="0"/>
                    <w:jc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产生量（t/a）</w:t>
                  </w:r>
                </w:p>
              </w:tc>
              <w:tc>
                <w:tcPr>
                  <w:tcW w:w="3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47C119">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default" w:ascii="Times New Roman" w:hAnsi="Times New Roman" w:cs="Times New Roman"/>
                      <w:color w:val="auto"/>
                      <w:sz w:val="21"/>
                      <w:szCs w:val="24"/>
                      <w:lang w:val="en-US" w:eastAsia="zh-CN"/>
                    </w:rPr>
                    <w:t>1</w:t>
                  </w:r>
                  <w:r>
                    <w:rPr>
                      <w:rFonts w:hint="eastAsia" w:cs="Times New Roman"/>
                      <w:color w:val="auto"/>
                      <w:sz w:val="21"/>
                      <w:szCs w:val="24"/>
                      <w:lang w:val="en-US" w:eastAsia="zh-CN"/>
                    </w:rPr>
                    <w:t>38.5</w:t>
                  </w:r>
                  <w:r>
                    <w:rPr>
                      <w:rFonts w:hint="default" w:ascii="Times New Roman" w:hAnsi="Times New Roman" w:cs="Times New Roman"/>
                      <w:color w:val="auto"/>
                      <w:sz w:val="21"/>
                      <w:szCs w:val="24"/>
                      <w:lang w:val="en-US" w:eastAsia="zh-CN"/>
                    </w:rPr>
                    <w:t>3</w:t>
                  </w: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CC9167">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0.037</w:t>
                  </w:r>
                </w:p>
              </w:tc>
              <w:tc>
                <w:tcPr>
                  <w:tcW w:w="55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9E6AD9">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0.022</w:t>
                  </w:r>
                </w:p>
              </w:tc>
              <w:tc>
                <w:tcPr>
                  <w:tcW w:w="4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7FB43B">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0.020</w:t>
                  </w:r>
                </w:p>
              </w:tc>
              <w:tc>
                <w:tcPr>
                  <w:tcW w:w="53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685EDA">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0.0012</w:t>
                  </w:r>
                </w:p>
              </w:tc>
              <w:tc>
                <w:tcPr>
                  <w:tcW w:w="553" w:type="pct"/>
                  <w:tcBorders>
                    <w:top w:val="single" w:color="auto" w:sz="4" w:space="0"/>
                    <w:left w:val="single" w:color="auto" w:sz="4" w:space="0"/>
                    <w:bottom w:val="single" w:color="auto" w:sz="4" w:space="0"/>
                    <w:right w:val="single" w:color="auto" w:sz="2" w:space="0"/>
                    <w:tl2br w:val="nil"/>
                    <w:tr2bl w:val="nil"/>
                  </w:tcBorders>
                  <w:noWrap w:val="0"/>
                  <w:vAlign w:val="center"/>
                </w:tcPr>
                <w:p w14:paraId="35332AE5">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0.000061</w:t>
                  </w:r>
                </w:p>
              </w:tc>
            </w:tr>
            <w:tr w14:paraId="168B9A0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6" w:type="pct"/>
                  <w:vMerge w:val="continue"/>
                  <w:tcBorders>
                    <w:left w:val="single" w:color="auto" w:sz="2" w:space="0"/>
                    <w:bottom w:val="single" w:color="auto" w:sz="4" w:space="0"/>
                    <w:right w:val="single" w:color="auto" w:sz="4" w:space="0"/>
                    <w:tl2br w:val="nil"/>
                    <w:tr2bl w:val="nil"/>
                  </w:tcBorders>
                  <w:noWrap w:val="0"/>
                  <w:vAlign w:val="center"/>
                </w:tcPr>
                <w:p w14:paraId="7E7D1631">
                  <w:pPr>
                    <w:adjustRightInd w:val="0"/>
                    <w:snapToGrid w:val="0"/>
                    <w:spacing w:beforeLines="0" w:afterLines="0"/>
                    <w:jc w:val="center"/>
                    <w:rPr>
                      <w:rFonts w:hint="default" w:ascii="Times New Roman" w:hAnsi="Times New Roman" w:cs="Times New Roman"/>
                      <w:color w:val="auto"/>
                      <w:sz w:val="21"/>
                      <w:szCs w:val="24"/>
                    </w:rPr>
                  </w:pPr>
                </w:p>
              </w:tc>
              <w:tc>
                <w:tcPr>
                  <w:tcW w:w="1507"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16F74D9">
                  <w:pPr>
                    <w:adjustRightInd w:val="0"/>
                    <w:snapToGrid w:val="0"/>
                    <w:spacing w:beforeLines="0" w:afterLines="0"/>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污水处理站设计进水水质（mg/L）</w:t>
                  </w:r>
                </w:p>
              </w:tc>
              <w:tc>
                <w:tcPr>
                  <w:tcW w:w="3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964C69">
                  <w:pPr>
                    <w:adjustRightInd w:val="0"/>
                    <w:spacing w:beforeLines="0" w:afterLines="0" w:line="360" w:lineRule="exact"/>
                    <w:ind w:left="-105" w:leftChars="-50" w:right="-105" w:rightChars="-50"/>
                    <w:jc w:val="center"/>
                    <w:rPr>
                      <w:rFonts w:hint="default" w:ascii="Times New Roman" w:hAnsi="Times New Roman" w:cs="Times New Roman"/>
                      <w:color w:val="auto"/>
                      <w:sz w:val="21"/>
                      <w:szCs w:val="24"/>
                    </w:rPr>
                  </w:pP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6B9E9C">
                  <w:pPr>
                    <w:adjustRightInd w:val="0"/>
                    <w:spacing w:beforeLines="0" w:afterLines="0" w:line="360" w:lineRule="exact"/>
                    <w:ind w:left="-105" w:leftChars="-50" w:right="-105" w:rightChars="-5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500</w:t>
                  </w:r>
                </w:p>
              </w:tc>
              <w:tc>
                <w:tcPr>
                  <w:tcW w:w="55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F8E3B6">
                  <w:pPr>
                    <w:adjustRightInd w:val="0"/>
                    <w:spacing w:beforeLines="0" w:afterLines="0" w:line="360" w:lineRule="exact"/>
                    <w:ind w:left="-105" w:leftChars="-50" w:right="-105" w:rightChars="-5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200</w:t>
                  </w:r>
                </w:p>
              </w:tc>
              <w:tc>
                <w:tcPr>
                  <w:tcW w:w="4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5E3F43">
                  <w:pPr>
                    <w:adjustRightInd w:val="0"/>
                    <w:spacing w:beforeLines="0" w:afterLines="0" w:line="360" w:lineRule="exact"/>
                    <w:ind w:left="-105" w:leftChars="-50" w:right="-105" w:rightChars="-5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200</w:t>
                  </w:r>
                </w:p>
              </w:tc>
              <w:tc>
                <w:tcPr>
                  <w:tcW w:w="53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FC96E9">
                  <w:pPr>
                    <w:adjustRightInd w:val="0"/>
                    <w:spacing w:beforeLines="0" w:afterLines="0" w:line="360" w:lineRule="exact"/>
                    <w:ind w:left="-105" w:leftChars="-50" w:right="-105" w:rightChars="-5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30</w:t>
                  </w:r>
                </w:p>
              </w:tc>
              <w:tc>
                <w:tcPr>
                  <w:tcW w:w="553" w:type="pct"/>
                  <w:tcBorders>
                    <w:top w:val="single" w:color="auto" w:sz="4" w:space="0"/>
                    <w:left w:val="single" w:color="auto" w:sz="4" w:space="0"/>
                    <w:bottom w:val="single" w:color="auto" w:sz="4" w:space="0"/>
                    <w:right w:val="single" w:color="auto" w:sz="2" w:space="0"/>
                    <w:tl2br w:val="nil"/>
                    <w:tr2bl w:val="nil"/>
                  </w:tcBorders>
                  <w:noWrap w:val="0"/>
                  <w:vAlign w:val="center"/>
                </w:tcPr>
                <w:p w14:paraId="6A51BAF7">
                  <w:pPr>
                    <w:adjustRightInd w:val="0"/>
                    <w:spacing w:beforeLines="0" w:afterLines="0" w:line="360" w:lineRule="exact"/>
                    <w:ind w:left="-105" w:leftChars="-50" w:right="-105" w:rightChars="-5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25</w:t>
                  </w:r>
                </w:p>
              </w:tc>
            </w:tr>
            <w:tr w14:paraId="6971DDE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73" w:type="pct"/>
                  <w:gridSpan w:val="3"/>
                  <w:tcBorders>
                    <w:left w:val="single" w:color="auto" w:sz="2" w:space="0"/>
                    <w:bottom w:val="single" w:color="auto" w:sz="4" w:space="0"/>
                    <w:right w:val="single" w:color="auto" w:sz="4" w:space="0"/>
                    <w:tl2br w:val="nil"/>
                    <w:tr2bl w:val="nil"/>
                  </w:tcBorders>
                  <w:noWrap w:val="0"/>
                  <w:vAlign w:val="center"/>
                </w:tcPr>
                <w:p w14:paraId="1F9A5C5A">
                  <w:pPr>
                    <w:widowControl/>
                    <w:spacing w:beforeLines="0" w:afterLines="0"/>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污水处理站出水水质（mg/L）</w:t>
                  </w:r>
                </w:p>
              </w:tc>
              <w:tc>
                <w:tcPr>
                  <w:tcW w:w="3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67B2E7">
                  <w:pPr>
                    <w:adjustRightInd w:val="0"/>
                    <w:spacing w:line="360" w:lineRule="exact"/>
                    <w:ind w:left="-105" w:leftChars="-50" w:right="-105" w:rightChars="-50"/>
                    <w:jc w:val="center"/>
                    <w:rPr>
                      <w:rFonts w:hint="default" w:ascii="Times New Roman" w:hAnsi="Times New Roman" w:eastAsia="宋体" w:cs="Times New Roman"/>
                      <w:color w:val="auto"/>
                      <w:sz w:val="21"/>
                      <w:szCs w:val="24"/>
                    </w:rPr>
                  </w:pP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322B97">
                  <w:pPr>
                    <w:adjustRightInd w:val="0"/>
                    <w:spacing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ascii="Times New Roman" w:hAnsi="Times New Roman" w:cs="Times New Roman"/>
                      <w:color w:val="auto"/>
                      <w:sz w:val="21"/>
                      <w:szCs w:val="24"/>
                      <w:lang w:val="en-US" w:eastAsia="zh-CN"/>
                    </w:rPr>
                    <w:t>65</w:t>
                  </w:r>
                </w:p>
              </w:tc>
              <w:tc>
                <w:tcPr>
                  <w:tcW w:w="55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27532C">
                  <w:pPr>
                    <w:adjustRightInd w:val="0"/>
                    <w:spacing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8</w:t>
                  </w:r>
                </w:p>
              </w:tc>
              <w:tc>
                <w:tcPr>
                  <w:tcW w:w="4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592535">
                  <w:pPr>
                    <w:adjustRightInd w:val="0"/>
                    <w:spacing w:line="360" w:lineRule="exact"/>
                    <w:ind w:left="-105" w:leftChars="-50" w:right="-105" w:rightChars="-50"/>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18</w:t>
                  </w:r>
                </w:p>
              </w:tc>
              <w:tc>
                <w:tcPr>
                  <w:tcW w:w="53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0E15C7">
                  <w:pPr>
                    <w:adjustRightInd w:val="0"/>
                    <w:spacing w:line="360" w:lineRule="exact"/>
                    <w:ind w:left="-105" w:leftChars="-50" w:right="-105" w:rightChars="-50"/>
                    <w:jc w:val="center"/>
                    <w:rPr>
                      <w:rFonts w:hint="eastAsia" w:ascii="Times New Roman" w:hAnsi="Times New Roman" w:eastAsia="宋体" w:cs="Times New Roman"/>
                      <w:color w:val="auto"/>
                      <w:sz w:val="21"/>
                      <w:szCs w:val="24"/>
                      <w:lang w:eastAsia="zh-CN"/>
                    </w:rPr>
                  </w:pPr>
                  <w:r>
                    <w:rPr>
                      <w:rFonts w:hint="eastAsia" w:cs="Times New Roman"/>
                      <w:color w:val="auto"/>
                      <w:sz w:val="21"/>
                      <w:szCs w:val="24"/>
                      <w:lang w:val="en-US" w:eastAsia="zh-CN"/>
                    </w:rPr>
                    <w:t>2</w:t>
                  </w:r>
                </w:p>
              </w:tc>
              <w:tc>
                <w:tcPr>
                  <w:tcW w:w="553" w:type="pct"/>
                  <w:tcBorders>
                    <w:top w:val="single" w:color="auto" w:sz="4" w:space="0"/>
                    <w:left w:val="single" w:color="auto" w:sz="4" w:space="0"/>
                    <w:bottom w:val="single" w:color="auto" w:sz="4" w:space="0"/>
                    <w:right w:val="single" w:color="auto" w:sz="2" w:space="0"/>
                    <w:tl2br w:val="nil"/>
                    <w:tr2bl w:val="nil"/>
                  </w:tcBorders>
                  <w:noWrap w:val="0"/>
                  <w:vAlign w:val="center"/>
                </w:tcPr>
                <w:p w14:paraId="0428AB86">
                  <w:pPr>
                    <w:adjustRightInd w:val="0"/>
                    <w:spacing w:line="360" w:lineRule="exact"/>
                    <w:ind w:left="-105" w:leftChars="-50" w:right="-105" w:rightChars="-50"/>
                    <w:jc w:val="center"/>
                    <w:rPr>
                      <w:rFonts w:hint="eastAsia" w:ascii="Times New Roman" w:hAnsi="Times New Roman" w:eastAsia="宋体" w:cs="Times New Roman"/>
                      <w:color w:val="auto"/>
                      <w:sz w:val="21"/>
                      <w:szCs w:val="24"/>
                      <w:lang w:eastAsia="zh-CN"/>
                    </w:rPr>
                  </w:pPr>
                  <w:r>
                    <w:rPr>
                      <w:rFonts w:hint="eastAsia" w:cs="Times New Roman"/>
                      <w:color w:val="auto"/>
                      <w:sz w:val="21"/>
                      <w:szCs w:val="24"/>
                      <w:lang w:val="en-US" w:eastAsia="zh-CN"/>
                    </w:rPr>
                    <w:t>0</w:t>
                  </w:r>
                </w:p>
              </w:tc>
            </w:tr>
            <w:tr w14:paraId="6AA2457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73" w:type="pct"/>
                  <w:gridSpan w:val="3"/>
                  <w:tcBorders>
                    <w:top w:val="single" w:color="auto" w:sz="4" w:space="0"/>
                    <w:left w:val="single" w:color="auto" w:sz="2" w:space="0"/>
                    <w:right w:val="single" w:color="auto" w:sz="4" w:space="0"/>
                    <w:tl2br w:val="nil"/>
                    <w:tr2bl w:val="nil"/>
                  </w:tcBorders>
                  <w:noWrap w:val="0"/>
                  <w:vAlign w:val="center"/>
                </w:tcPr>
                <w:p w14:paraId="2196B08D">
                  <w:pPr>
                    <w:adjustRightInd w:val="0"/>
                    <w:snapToGrid w:val="0"/>
                    <w:spacing w:beforeLines="0" w:afterLines="0"/>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总净化效率（%）</w:t>
                  </w:r>
                </w:p>
              </w:tc>
              <w:tc>
                <w:tcPr>
                  <w:tcW w:w="3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8E6C1A">
                  <w:pPr>
                    <w:adjustRightInd w:val="0"/>
                    <w:spacing w:beforeLines="0" w:afterLines="0" w:line="360" w:lineRule="exact"/>
                    <w:ind w:left="-105" w:leftChars="-50" w:right="-105" w:rightChars="-50"/>
                    <w:jc w:val="center"/>
                    <w:rPr>
                      <w:rFonts w:hint="default" w:ascii="Times New Roman" w:hAnsi="Times New Roman" w:cs="Times New Roman"/>
                      <w:color w:val="auto"/>
                      <w:sz w:val="21"/>
                      <w:szCs w:val="24"/>
                      <w:lang w:val="en-US" w:eastAsia="zh-CN"/>
                    </w:rPr>
                  </w:pP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E330A7">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75</w:t>
                  </w:r>
                </w:p>
              </w:tc>
              <w:tc>
                <w:tcPr>
                  <w:tcW w:w="55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10FA6D">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95</w:t>
                  </w:r>
                </w:p>
              </w:tc>
              <w:tc>
                <w:tcPr>
                  <w:tcW w:w="4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E8EF2F">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88</w:t>
                  </w:r>
                </w:p>
              </w:tc>
              <w:tc>
                <w:tcPr>
                  <w:tcW w:w="53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A35C7B">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cs="Times New Roman"/>
                      <w:color w:val="auto"/>
                      <w:sz w:val="21"/>
                      <w:szCs w:val="24"/>
                      <w:lang w:val="en-US" w:eastAsia="zh-CN"/>
                    </w:rPr>
                    <w:t>78</w:t>
                  </w:r>
                </w:p>
              </w:tc>
              <w:tc>
                <w:tcPr>
                  <w:tcW w:w="553" w:type="pct"/>
                  <w:tcBorders>
                    <w:top w:val="single" w:color="auto" w:sz="4" w:space="0"/>
                    <w:left w:val="single" w:color="auto" w:sz="4" w:space="0"/>
                    <w:bottom w:val="single" w:color="auto" w:sz="4" w:space="0"/>
                    <w:right w:val="single" w:color="auto" w:sz="2" w:space="0"/>
                    <w:tl2br w:val="nil"/>
                    <w:tr2bl w:val="nil"/>
                  </w:tcBorders>
                  <w:noWrap w:val="0"/>
                  <w:vAlign w:val="center"/>
                </w:tcPr>
                <w:p w14:paraId="06BBA58E">
                  <w:pPr>
                    <w:adjustRightInd w:val="0"/>
                    <w:spacing w:beforeLines="0" w:afterLines="0" w:line="360" w:lineRule="exact"/>
                    <w:ind w:left="-105" w:leftChars="-50" w:right="-105" w:rightChars="-50"/>
                    <w:jc w:val="center"/>
                    <w:rPr>
                      <w:rFonts w:hint="default" w:ascii="Times New Roman" w:hAnsi="Times New Roman" w:eastAsia="宋体" w:cs="Times New Roman"/>
                      <w:color w:val="auto"/>
                      <w:sz w:val="21"/>
                      <w:szCs w:val="24"/>
                      <w:lang w:val="en-US" w:eastAsia="zh-CN"/>
                    </w:rPr>
                  </w:pPr>
                  <w:r>
                    <w:rPr>
                      <w:rFonts w:hint="eastAsia" w:ascii="Times New Roman" w:hAnsi="Times New Roman" w:cs="Times New Roman"/>
                      <w:color w:val="auto"/>
                      <w:sz w:val="21"/>
                      <w:szCs w:val="24"/>
                      <w:lang w:val="en-US" w:eastAsia="zh-CN"/>
                    </w:rPr>
                    <w:t>/</w:t>
                  </w:r>
                </w:p>
              </w:tc>
            </w:tr>
            <w:tr w14:paraId="7EA6FD4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66" w:type="pct"/>
                  <w:tcBorders>
                    <w:top w:val="single" w:color="auto" w:sz="4" w:space="0"/>
                    <w:left w:val="single" w:color="auto" w:sz="2" w:space="0"/>
                    <w:bottom w:val="single" w:color="auto" w:sz="2" w:space="0"/>
                    <w:right w:val="single" w:color="auto" w:sz="4" w:space="0"/>
                    <w:tl2br w:val="nil"/>
                    <w:tr2bl w:val="nil"/>
                  </w:tcBorders>
                  <w:noWrap w:val="0"/>
                  <w:vAlign w:val="center"/>
                </w:tcPr>
                <w:p w14:paraId="5B7E3A2E">
                  <w:pPr>
                    <w:adjustRightInd w:val="0"/>
                    <w:snapToGrid w:val="0"/>
                    <w:spacing w:beforeLines="0" w:afterLines="0"/>
                    <w:ind w:left="-105" w:leftChars="-50" w:right="-105" w:rightChars="-5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标准来源</w:t>
                  </w:r>
                </w:p>
              </w:tc>
              <w:tc>
                <w:tcPr>
                  <w:tcW w:w="1507" w:type="pct"/>
                  <w:gridSpan w:val="2"/>
                  <w:tcBorders>
                    <w:top w:val="single" w:color="auto" w:sz="4" w:space="0"/>
                    <w:left w:val="single" w:color="auto" w:sz="4" w:space="0"/>
                    <w:bottom w:val="single" w:color="auto" w:sz="2" w:space="0"/>
                    <w:right w:val="single" w:color="auto" w:sz="4" w:space="0"/>
                    <w:tl2br w:val="nil"/>
                    <w:tr2bl w:val="nil"/>
                  </w:tcBorders>
                  <w:noWrap w:val="0"/>
                  <w:vAlign w:val="center"/>
                </w:tcPr>
                <w:p w14:paraId="5CD5EF64">
                  <w:pPr>
                    <w:adjustRightInd w:val="0"/>
                    <w:snapToGrid w:val="0"/>
                    <w:spacing w:beforeLines="0" w:afterLines="0"/>
                    <w:ind w:left="-105" w:leftChars="-50" w:right="-105" w:rightChars="-50"/>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《城市污水再生利用城市杂用水水质》GB/T 18920-2020</w:t>
                  </w:r>
                </w:p>
              </w:tc>
              <w:tc>
                <w:tcPr>
                  <w:tcW w:w="379" w:type="pct"/>
                  <w:tcBorders>
                    <w:top w:val="single" w:color="auto" w:sz="4" w:space="0"/>
                    <w:left w:val="single" w:color="auto" w:sz="4" w:space="0"/>
                    <w:bottom w:val="single" w:color="auto" w:sz="2" w:space="0"/>
                    <w:right w:val="single" w:color="auto" w:sz="4" w:space="0"/>
                    <w:tl2br w:val="nil"/>
                    <w:tr2bl w:val="nil"/>
                  </w:tcBorders>
                  <w:noWrap w:val="0"/>
                  <w:vAlign w:val="center"/>
                </w:tcPr>
                <w:p w14:paraId="4A424CBB">
                  <w:pPr>
                    <w:adjustRightInd w:val="0"/>
                    <w:snapToGrid w:val="0"/>
                    <w:spacing w:beforeLines="0" w:afterLines="0"/>
                    <w:ind w:left="-105" w:leftChars="-50" w:right="-105" w:rightChars="-50"/>
                    <w:jc w:val="center"/>
                    <w:rPr>
                      <w:rFonts w:hint="default" w:ascii="Times New Roman" w:hAnsi="Times New Roman" w:cs="Times New Roman"/>
                      <w:color w:val="auto"/>
                      <w:sz w:val="21"/>
                      <w:szCs w:val="24"/>
                    </w:rPr>
                  </w:pPr>
                </w:p>
              </w:tc>
              <w:tc>
                <w:tcPr>
                  <w:tcW w:w="539" w:type="pct"/>
                  <w:tcBorders>
                    <w:top w:val="single" w:color="auto" w:sz="4" w:space="0"/>
                    <w:left w:val="single" w:color="auto" w:sz="4" w:space="0"/>
                    <w:bottom w:val="single" w:color="auto" w:sz="2" w:space="0"/>
                    <w:right w:val="single" w:color="auto" w:sz="4" w:space="0"/>
                    <w:tl2br w:val="nil"/>
                    <w:tr2bl w:val="nil"/>
                  </w:tcBorders>
                  <w:noWrap w:val="0"/>
                  <w:vAlign w:val="center"/>
                </w:tcPr>
                <w:p w14:paraId="71ACA001">
                  <w:pPr>
                    <w:adjustRightInd w:val="0"/>
                    <w:snapToGrid w:val="0"/>
                    <w:spacing w:beforeLines="0" w:afterLines="0"/>
                    <w:ind w:left="-105" w:leftChars="-50" w:right="-105" w:rightChars="-5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w:t>
                  </w:r>
                </w:p>
              </w:tc>
              <w:tc>
                <w:tcPr>
                  <w:tcW w:w="555" w:type="pct"/>
                  <w:tcBorders>
                    <w:top w:val="single" w:color="auto" w:sz="4" w:space="0"/>
                    <w:left w:val="single" w:color="auto" w:sz="4" w:space="0"/>
                    <w:bottom w:val="single" w:color="auto" w:sz="2" w:space="0"/>
                    <w:right w:val="single" w:color="auto" w:sz="4" w:space="0"/>
                    <w:tl2br w:val="nil"/>
                    <w:tr2bl w:val="nil"/>
                  </w:tcBorders>
                  <w:noWrap w:val="0"/>
                  <w:vAlign w:val="center"/>
                </w:tcPr>
                <w:p w14:paraId="476C0C3A">
                  <w:pPr>
                    <w:adjustRightInd w:val="0"/>
                    <w:snapToGrid w:val="0"/>
                    <w:spacing w:beforeLines="0" w:afterLines="0"/>
                    <w:ind w:left="-105" w:leftChars="-50" w:right="-105" w:rightChars="-50"/>
                    <w:jc w:val="center"/>
                    <w:rPr>
                      <w:rFonts w:hint="default" w:ascii="Times New Roman" w:hAnsi="Times New Roman" w:eastAsia="宋体" w:cs="Times New Roman"/>
                      <w:color w:val="auto"/>
                      <w:sz w:val="21"/>
                      <w:szCs w:val="24"/>
                      <w:lang w:val="en-US" w:eastAsia="zh-CN"/>
                    </w:rPr>
                  </w:pPr>
                  <w:r>
                    <w:rPr>
                      <w:rFonts w:hint="default" w:ascii="Times New Roman" w:hAnsi="Times New Roman" w:cs="Times New Roman"/>
                      <w:color w:val="auto"/>
                      <w:sz w:val="21"/>
                      <w:szCs w:val="24"/>
                    </w:rPr>
                    <w:t>≤</w:t>
                  </w:r>
                  <w:r>
                    <w:rPr>
                      <w:rFonts w:hint="eastAsia" w:cs="Times New Roman"/>
                      <w:color w:val="auto"/>
                      <w:sz w:val="21"/>
                      <w:szCs w:val="24"/>
                      <w:lang w:val="en-US" w:eastAsia="zh-CN"/>
                    </w:rPr>
                    <w:t>10</w:t>
                  </w:r>
                </w:p>
              </w:tc>
              <w:tc>
                <w:tcPr>
                  <w:tcW w:w="466" w:type="pct"/>
                  <w:tcBorders>
                    <w:top w:val="single" w:color="auto" w:sz="4" w:space="0"/>
                    <w:left w:val="single" w:color="auto" w:sz="4" w:space="0"/>
                    <w:bottom w:val="single" w:color="auto" w:sz="2" w:space="0"/>
                    <w:right w:val="single" w:color="auto" w:sz="4" w:space="0"/>
                    <w:tl2br w:val="nil"/>
                    <w:tr2bl w:val="nil"/>
                  </w:tcBorders>
                  <w:noWrap w:val="0"/>
                  <w:vAlign w:val="center"/>
                </w:tcPr>
                <w:p w14:paraId="41BAE326">
                  <w:pPr>
                    <w:adjustRightInd w:val="0"/>
                    <w:snapToGrid w:val="0"/>
                    <w:spacing w:beforeLines="0" w:afterLines="0"/>
                    <w:ind w:left="-105" w:leftChars="-50" w:right="-105" w:rightChars="-5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w:t>
                  </w:r>
                </w:p>
              </w:tc>
              <w:tc>
                <w:tcPr>
                  <w:tcW w:w="532" w:type="pct"/>
                  <w:tcBorders>
                    <w:top w:val="single" w:color="auto" w:sz="4" w:space="0"/>
                    <w:left w:val="single" w:color="auto" w:sz="4" w:space="0"/>
                    <w:bottom w:val="single" w:color="auto" w:sz="2" w:space="0"/>
                    <w:right w:val="single" w:color="auto" w:sz="4" w:space="0"/>
                    <w:tl2br w:val="nil"/>
                    <w:tr2bl w:val="nil"/>
                  </w:tcBorders>
                  <w:noWrap w:val="0"/>
                  <w:vAlign w:val="center"/>
                </w:tcPr>
                <w:p w14:paraId="02FDC293">
                  <w:pPr>
                    <w:adjustRightInd w:val="0"/>
                    <w:snapToGrid w:val="0"/>
                    <w:spacing w:beforeLines="0" w:afterLines="0"/>
                    <w:ind w:left="-105" w:leftChars="-50" w:right="-105" w:rightChars="-50"/>
                    <w:jc w:val="center"/>
                    <w:rPr>
                      <w:rFonts w:hint="eastAsia" w:ascii="Times New Roman" w:hAnsi="Times New Roman" w:eastAsia="宋体" w:cs="Times New Roman"/>
                      <w:color w:val="auto"/>
                      <w:sz w:val="21"/>
                      <w:szCs w:val="24"/>
                      <w:lang w:val="en-US" w:eastAsia="zh-CN"/>
                    </w:rPr>
                  </w:pPr>
                  <w:r>
                    <w:rPr>
                      <w:rFonts w:hint="default" w:ascii="Times New Roman" w:hAnsi="Times New Roman" w:cs="Times New Roman"/>
                      <w:color w:val="auto"/>
                      <w:sz w:val="21"/>
                      <w:szCs w:val="24"/>
                    </w:rPr>
                    <w:t>≤</w:t>
                  </w:r>
                  <w:r>
                    <w:rPr>
                      <w:rFonts w:hint="eastAsia" w:cs="Times New Roman"/>
                      <w:color w:val="auto"/>
                      <w:sz w:val="21"/>
                      <w:szCs w:val="24"/>
                      <w:lang w:val="en-US" w:eastAsia="zh-CN"/>
                    </w:rPr>
                    <w:t>8</w:t>
                  </w:r>
                </w:p>
              </w:tc>
              <w:tc>
                <w:tcPr>
                  <w:tcW w:w="553" w:type="pct"/>
                  <w:tcBorders>
                    <w:top w:val="single" w:color="auto" w:sz="4" w:space="0"/>
                    <w:left w:val="single" w:color="auto" w:sz="4" w:space="0"/>
                    <w:bottom w:val="single" w:color="auto" w:sz="2" w:space="0"/>
                    <w:right w:val="single" w:color="auto" w:sz="2" w:space="0"/>
                    <w:tl2br w:val="nil"/>
                    <w:tr2bl w:val="nil"/>
                  </w:tcBorders>
                  <w:noWrap w:val="0"/>
                  <w:vAlign w:val="center"/>
                </w:tcPr>
                <w:p w14:paraId="65C15FD2">
                  <w:pPr>
                    <w:adjustRightInd w:val="0"/>
                    <w:snapToGrid w:val="0"/>
                    <w:spacing w:beforeLines="0" w:afterLines="0"/>
                    <w:ind w:left="-105" w:leftChars="-50" w:right="-105" w:rightChars="-5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w:t>
                  </w:r>
                </w:p>
              </w:tc>
            </w:tr>
          </w:tbl>
          <w:p w14:paraId="3A12F6B3">
            <w:pPr>
              <w:pStyle w:val="12"/>
              <w:spacing w:beforeLines="0" w:afterLines="0" w:line="360" w:lineRule="auto"/>
              <w:ind w:left="0" w:leftChars="0" w:firstLine="480" w:firstLineChars="200"/>
              <w:rPr>
                <w:rFonts w:hint="eastAsia" w:cs="Times New Roman"/>
                <w:b/>
                <w:color w:val="auto"/>
                <w:kern w:val="0"/>
                <w:sz w:val="24"/>
                <w:szCs w:val="24"/>
                <w:lang w:eastAsia="zh-CN"/>
              </w:rPr>
            </w:pPr>
            <w:r>
              <w:rPr>
                <w:rFonts w:hint="eastAsia" w:eastAsia="宋体"/>
                <w:color w:val="auto"/>
                <w:sz w:val="24"/>
                <w:szCs w:val="24"/>
              </w:rPr>
              <w:t>项目废水经自建污水处理站处理后水质满足《城市污水再生利用城市杂用水水质》GB/T 18920-2020绿化水质要求</w:t>
            </w:r>
            <w:r>
              <w:rPr>
                <w:rFonts w:hint="eastAsia"/>
                <w:color w:val="auto"/>
                <w:sz w:val="24"/>
                <w:szCs w:val="24"/>
                <w:lang w:eastAsia="zh-CN"/>
              </w:rPr>
              <w:t>。</w:t>
            </w:r>
            <w:r>
              <w:rPr>
                <w:rFonts w:hint="eastAsia" w:eastAsia="宋体"/>
                <w:color w:val="auto"/>
                <w:sz w:val="24"/>
                <w:szCs w:val="24"/>
              </w:rPr>
              <w:t>本项目</w:t>
            </w:r>
            <w:r>
              <w:rPr>
                <w:rFonts w:hint="eastAsia"/>
                <w:color w:val="auto"/>
                <w:sz w:val="24"/>
                <w:szCs w:val="24"/>
                <w:lang w:val="en-US" w:eastAsia="zh-CN"/>
              </w:rPr>
              <w:t>厂区可用</w:t>
            </w:r>
            <w:r>
              <w:rPr>
                <w:rFonts w:hint="eastAsia" w:eastAsia="宋体"/>
                <w:color w:val="auto"/>
                <w:sz w:val="24"/>
                <w:szCs w:val="24"/>
              </w:rPr>
              <w:t>绿化面积约</w:t>
            </w:r>
            <w:r>
              <w:rPr>
                <w:rFonts w:hint="eastAsia"/>
                <w:color w:val="auto"/>
                <w:sz w:val="24"/>
                <w:szCs w:val="24"/>
                <w:lang w:val="en-US" w:eastAsia="zh-CN"/>
              </w:rPr>
              <w:t>300</w:t>
            </w:r>
            <w:r>
              <w:rPr>
                <w:rFonts w:hint="eastAsia" w:eastAsia="宋体"/>
                <w:color w:val="auto"/>
                <w:sz w:val="24"/>
                <w:szCs w:val="24"/>
              </w:rPr>
              <w:t>m</w:t>
            </w:r>
            <w:r>
              <w:rPr>
                <w:rFonts w:hint="default"/>
                <w:color w:val="auto"/>
                <w:sz w:val="24"/>
                <w:szCs w:val="24"/>
                <w:vertAlign w:val="superscript"/>
              </w:rPr>
              <w:t>2</w:t>
            </w:r>
            <w:r>
              <w:rPr>
                <w:rFonts w:hint="eastAsia" w:eastAsia="宋体"/>
                <w:color w:val="auto"/>
                <w:sz w:val="24"/>
                <w:szCs w:val="24"/>
              </w:rPr>
              <w:t>，根据《安徽省行业用水定额》（DB34/T 679-2014）中的相关规定，取0.9m</w:t>
            </w:r>
            <w:r>
              <w:rPr>
                <w:rFonts w:hint="default"/>
                <w:color w:val="auto"/>
                <w:sz w:val="24"/>
                <w:szCs w:val="24"/>
                <w:vertAlign w:val="superscript"/>
              </w:rPr>
              <w:t>3</w:t>
            </w:r>
            <w:r>
              <w:rPr>
                <w:rFonts w:hint="default"/>
                <w:color w:val="auto"/>
                <w:sz w:val="24"/>
                <w:szCs w:val="24"/>
              </w:rPr>
              <w:t>/m</w:t>
            </w:r>
            <w:r>
              <w:rPr>
                <w:rFonts w:hint="default"/>
                <w:color w:val="auto"/>
                <w:sz w:val="24"/>
                <w:szCs w:val="24"/>
                <w:vertAlign w:val="superscript"/>
              </w:rPr>
              <w:t>2</w:t>
            </w:r>
            <w:r>
              <w:rPr>
                <w:rFonts w:hint="default"/>
                <w:color w:val="auto"/>
                <w:sz w:val="24"/>
                <w:szCs w:val="24"/>
              </w:rPr>
              <w:t>·a</w:t>
            </w:r>
            <w:r>
              <w:rPr>
                <w:rFonts w:hint="eastAsia" w:eastAsia="宋体"/>
                <w:color w:val="auto"/>
                <w:sz w:val="24"/>
                <w:szCs w:val="24"/>
              </w:rPr>
              <w:t>计，则绿化用水量约为</w:t>
            </w:r>
            <w:r>
              <w:rPr>
                <w:rFonts w:hint="eastAsia"/>
                <w:color w:val="auto"/>
                <w:sz w:val="24"/>
                <w:szCs w:val="24"/>
                <w:lang w:val="en-US" w:eastAsia="zh-CN"/>
              </w:rPr>
              <w:t>270</w:t>
            </w:r>
            <w:r>
              <w:rPr>
                <w:rFonts w:hint="eastAsia" w:eastAsia="宋体"/>
                <w:color w:val="auto"/>
                <w:sz w:val="24"/>
                <w:szCs w:val="24"/>
              </w:rPr>
              <w:t>t/a，废水排放量为</w:t>
            </w:r>
            <w:r>
              <w:rPr>
                <w:rFonts w:hint="eastAsia"/>
                <w:color w:val="auto"/>
                <w:sz w:val="24"/>
                <w:szCs w:val="24"/>
                <w:lang w:val="en-US" w:eastAsia="zh-CN"/>
              </w:rPr>
              <w:t>138.53</w:t>
            </w:r>
            <w:r>
              <w:rPr>
                <w:rFonts w:hint="eastAsia" w:eastAsia="宋体"/>
                <w:color w:val="auto"/>
                <w:sz w:val="24"/>
                <w:szCs w:val="24"/>
              </w:rPr>
              <w:t>t/a，全部用于绿化，可以满足绿化要求。考虑到雨季期间生产废水不进行绿化，需建一座雨水池，按连续降雨20天计算，20*</w:t>
            </w:r>
            <w:r>
              <w:rPr>
                <w:rFonts w:hint="eastAsia"/>
                <w:color w:val="auto"/>
                <w:sz w:val="24"/>
                <w:szCs w:val="24"/>
                <w:lang w:val="en-US" w:eastAsia="zh-CN"/>
              </w:rPr>
              <w:t>0.47</w:t>
            </w:r>
            <w:r>
              <w:rPr>
                <w:rFonts w:hint="eastAsia" w:eastAsia="宋体"/>
                <w:color w:val="auto"/>
                <w:sz w:val="24"/>
                <w:szCs w:val="24"/>
              </w:rPr>
              <w:t>m</w:t>
            </w:r>
            <w:r>
              <w:rPr>
                <w:rFonts w:hint="default"/>
                <w:color w:val="auto"/>
                <w:sz w:val="24"/>
                <w:szCs w:val="24"/>
                <w:vertAlign w:val="superscript"/>
              </w:rPr>
              <w:t>3</w:t>
            </w:r>
            <w:r>
              <w:rPr>
                <w:rFonts w:hint="default"/>
                <w:color w:val="auto"/>
                <w:sz w:val="24"/>
                <w:szCs w:val="24"/>
              </w:rPr>
              <w:t>=</w:t>
            </w:r>
            <w:r>
              <w:rPr>
                <w:rFonts w:hint="eastAsia"/>
                <w:color w:val="auto"/>
                <w:sz w:val="24"/>
                <w:szCs w:val="24"/>
                <w:lang w:val="en-US" w:eastAsia="zh-CN"/>
              </w:rPr>
              <w:t>0.94</w:t>
            </w:r>
            <w:r>
              <w:rPr>
                <w:rFonts w:hint="default"/>
                <w:color w:val="auto"/>
                <w:sz w:val="24"/>
                <w:szCs w:val="24"/>
              </w:rPr>
              <w:t>m</w:t>
            </w:r>
            <w:r>
              <w:rPr>
                <w:rFonts w:hint="default"/>
                <w:color w:val="auto"/>
                <w:sz w:val="24"/>
                <w:szCs w:val="24"/>
                <w:vertAlign w:val="superscript"/>
              </w:rPr>
              <w:t>3</w:t>
            </w:r>
            <w:r>
              <w:rPr>
                <w:rFonts w:hint="eastAsia" w:eastAsia="宋体"/>
                <w:color w:val="auto"/>
                <w:sz w:val="24"/>
                <w:szCs w:val="24"/>
              </w:rPr>
              <w:t>，故需建一座</w:t>
            </w:r>
            <w:r>
              <w:rPr>
                <w:rFonts w:hint="eastAsia"/>
                <w:color w:val="auto"/>
                <w:sz w:val="24"/>
                <w:szCs w:val="24"/>
                <w:lang w:val="en-US" w:eastAsia="zh-CN"/>
              </w:rPr>
              <w:t>1</w:t>
            </w:r>
            <w:r>
              <w:rPr>
                <w:rFonts w:hint="eastAsia" w:eastAsia="宋体"/>
                <w:color w:val="auto"/>
                <w:sz w:val="24"/>
                <w:szCs w:val="24"/>
              </w:rPr>
              <w:t>m</w:t>
            </w:r>
            <w:r>
              <w:rPr>
                <w:rFonts w:hint="default"/>
                <w:color w:val="auto"/>
                <w:sz w:val="24"/>
                <w:szCs w:val="24"/>
                <w:vertAlign w:val="superscript"/>
              </w:rPr>
              <w:t>3</w:t>
            </w:r>
            <w:r>
              <w:rPr>
                <w:rFonts w:hint="eastAsia" w:eastAsia="宋体"/>
                <w:color w:val="auto"/>
                <w:sz w:val="24"/>
                <w:szCs w:val="24"/>
              </w:rPr>
              <w:t>的雨水池。</w:t>
            </w:r>
          </w:p>
          <w:p w14:paraId="321F4C83">
            <w:pPr>
              <w:adjustRightInd w:val="0"/>
              <w:spacing w:line="360" w:lineRule="auto"/>
              <w:ind w:firstLine="482" w:firstLineChars="200"/>
              <w:jc w:val="left"/>
              <w:rPr>
                <w:rFonts w:hint="default" w:ascii="Times New Roman" w:hAnsi="Times New Roman" w:eastAsia="宋体" w:cs="Times New Roman"/>
                <w:color w:val="auto"/>
                <w:kern w:val="0"/>
                <w:sz w:val="24"/>
                <w:szCs w:val="24"/>
                <w:lang w:eastAsia="zh-CN"/>
              </w:rPr>
            </w:pPr>
            <w:r>
              <w:rPr>
                <w:rFonts w:hint="eastAsia" w:cs="Times New Roman"/>
                <w:b/>
                <w:color w:val="auto"/>
                <w:kern w:val="0"/>
                <w:sz w:val="24"/>
                <w:szCs w:val="24"/>
                <w:lang w:eastAsia="zh-CN"/>
              </w:rPr>
              <w:t>（</w:t>
            </w:r>
            <w:r>
              <w:rPr>
                <w:rFonts w:hint="eastAsia" w:cs="Times New Roman"/>
                <w:b/>
                <w:color w:val="auto"/>
                <w:kern w:val="0"/>
                <w:sz w:val="24"/>
                <w:szCs w:val="24"/>
                <w:lang w:val="en-US" w:eastAsia="zh-CN"/>
              </w:rPr>
              <w:t>3</w:t>
            </w:r>
            <w:r>
              <w:rPr>
                <w:rFonts w:hint="eastAsia" w:cs="Times New Roman"/>
                <w:b/>
                <w:color w:val="auto"/>
                <w:kern w:val="0"/>
                <w:sz w:val="24"/>
                <w:szCs w:val="24"/>
                <w:lang w:eastAsia="zh-CN"/>
              </w:rPr>
              <w:t>）</w:t>
            </w:r>
            <w:r>
              <w:rPr>
                <w:rFonts w:hint="default" w:ascii="Times New Roman" w:hAnsi="Times New Roman" w:cs="Times New Roman"/>
                <w:b/>
                <w:color w:val="auto"/>
                <w:kern w:val="0"/>
                <w:sz w:val="24"/>
                <w:szCs w:val="24"/>
              </w:rPr>
              <w:t>废水监测</w:t>
            </w:r>
            <w:r>
              <w:rPr>
                <w:rFonts w:hint="default" w:ascii="Times New Roman" w:hAnsi="Times New Roman" w:cs="Times New Roman"/>
                <w:b/>
                <w:color w:val="auto"/>
                <w:kern w:val="0"/>
                <w:sz w:val="24"/>
                <w:szCs w:val="24"/>
                <w:lang w:eastAsia="zh-CN"/>
              </w:rPr>
              <w:t>计划</w:t>
            </w:r>
          </w:p>
          <w:p w14:paraId="2D0858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color w:val="auto"/>
                <w:kern w:val="0"/>
                <w:sz w:val="24"/>
                <w:szCs w:val="24"/>
                <w:lang w:val="en-US" w:eastAsia="zh-CN"/>
              </w:rPr>
            </w:pPr>
            <w:r>
              <w:rPr>
                <w:rFonts w:hint="eastAsia" w:eastAsia="宋体"/>
                <w:color w:val="auto"/>
                <w:kern w:val="0"/>
                <w:sz w:val="24"/>
                <w:szCs w:val="24"/>
              </w:rPr>
              <w:t>本项目生活污水经隔油池、化粪池处理后</w:t>
            </w:r>
            <w:r>
              <w:rPr>
                <w:rFonts w:hint="eastAsia"/>
                <w:color w:val="auto"/>
                <w:kern w:val="0"/>
                <w:sz w:val="24"/>
                <w:szCs w:val="24"/>
                <w:lang w:val="en-US" w:eastAsia="zh-CN"/>
              </w:rPr>
              <w:t>用于农田堆肥，</w:t>
            </w:r>
            <w:r>
              <w:rPr>
                <w:rFonts w:hint="eastAsia" w:eastAsia="宋体"/>
                <w:color w:val="auto"/>
                <w:kern w:val="0"/>
                <w:sz w:val="24"/>
                <w:szCs w:val="24"/>
              </w:rPr>
              <w:t>生产废水经自建污水处理站预处理后用于厂区绿化</w:t>
            </w:r>
            <w:r>
              <w:rPr>
                <w:rFonts w:hint="eastAsia"/>
                <w:color w:val="auto"/>
                <w:kern w:val="0"/>
                <w:sz w:val="24"/>
                <w:szCs w:val="24"/>
                <w:lang w:eastAsia="zh-CN"/>
              </w:rPr>
              <w:t>。</w:t>
            </w:r>
            <w:r>
              <w:rPr>
                <w:rFonts w:hint="eastAsia"/>
                <w:color w:val="auto"/>
                <w:kern w:val="0"/>
                <w:sz w:val="24"/>
                <w:szCs w:val="24"/>
                <w:lang w:val="en-US" w:eastAsia="zh-CN"/>
              </w:rPr>
              <w:t>无外排废水，故废水无须自行监测。</w:t>
            </w:r>
          </w:p>
          <w:p w14:paraId="44ABC707">
            <w:pPr>
              <w:adjustRightInd w:val="0"/>
              <w:snapToGrid w:val="0"/>
              <w:spacing w:line="240" w:lineRule="auto"/>
              <w:ind w:firstLine="482" w:firstLineChars="200"/>
              <w:jc w:val="left"/>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3、噪声</w:t>
            </w:r>
          </w:p>
          <w:p w14:paraId="34CFBF07">
            <w:pPr>
              <w:numPr>
                <w:ilvl w:val="0"/>
                <w:numId w:val="0"/>
              </w:numPr>
              <w:adjustRightInd w:val="0"/>
              <w:snapToGrid w:val="0"/>
              <w:spacing w:beforeLines="0" w:afterLines="0" w:line="520" w:lineRule="exact"/>
              <w:ind w:firstLine="482" w:firstLineChars="200"/>
              <w:rPr>
                <w:rFonts w:hint="default" w:ascii="Times New Roman" w:hAnsi="Times New Roman" w:eastAsia="Times New Roman" w:cs="Times New Roman"/>
                <w:b/>
                <w:color w:val="auto"/>
                <w:sz w:val="24"/>
                <w:szCs w:val="24"/>
              </w:rPr>
            </w:pPr>
            <w:r>
              <w:rPr>
                <w:rFonts w:hint="eastAsia" w:cs="Times New Roman"/>
                <w:b/>
                <w:color w:val="auto"/>
                <w:sz w:val="24"/>
                <w:szCs w:val="24"/>
                <w:lang w:eastAsia="zh-CN"/>
              </w:rPr>
              <w:t>（</w:t>
            </w:r>
            <w:r>
              <w:rPr>
                <w:rFonts w:hint="eastAsia" w:cs="Times New Roman"/>
                <w:b/>
                <w:color w:val="auto"/>
                <w:sz w:val="24"/>
                <w:szCs w:val="24"/>
                <w:lang w:val="en-US" w:eastAsia="zh-CN"/>
              </w:rPr>
              <w:t>1</w:t>
            </w:r>
            <w:r>
              <w:rPr>
                <w:rFonts w:hint="eastAsia" w:cs="Times New Roman"/>
                <w:b/>
                <w:color w:val="auto"/>
                <w:sz w:val="24"/>
                <w:szCs w:val="24"/>
                <w:lang w:eastAsia="zh-CN"/>
              </w:rPr>
              <w:t>）</w:t>
            </w:r>
            <w:r>
              <w:rPr>
                <w:rFonts w:hint="default" w:ascii="Times New Roman" w:hAnsi="Times New Roman" w:eastAsia="宋体" w:cs="Times New Roman"/>
                <w:b/>
                <w:color w:val="auto"/>
                <w:sz w:val="24"/>
                <w:szCs w:val="24"/>
              </w:rPr>
              <w:t>噪声源分析</w:t>
            </w:r>
          </w:p>
          <w:p w14:paraId="72DBDD89">
            <w:pPr>
              <w:tabs>
                <w:tab w:val="left" w:pos="900"/>
              </w:tabs>
              <w:spacing w:beforeLines="0" w:afterLines="0" w:line="360" w:lineRule="auto"/>
              <w:ind w:firstLine="480" w:firstLineChars="200"/>
              <w:rPr>
                <w:rFonts w:hint="default" w:ascii="Times New Roman" w:hAnsi="Times New Roman" w:eastAsia="宋体" w:cs="Times New Roman"/>
                <w:b/>
                <w:bCs/>
                <w:color w:val="auto"/>
                <w:spacing w:val="0"/>
                <w:kern w:val="0"/>
                <w:sz w:val="24"/>
                <w:szCs w:val="24"/>
                <w:lang w:val="en-US" w:eastAsia="zh-CN" w:bidi="ar-SA"/>
              </w:rPr>
            </w:pPr>
            <w:r>
              <w:rPr>
                <w:rFonts w:hint="default" w:ascii="Times New Roman" w:hAnsi="Times New Roman" w:cs="Times New Roman"/>
                <w:color w:val="auto"/>
                <w:sz w:val="24"/>
                <w:szCs w:val="24"/>
              </w:rPr>
              <w:t>本项目主要噪声源为设备运行时产生的设备噪声，工程主要噪声源情况见下表：</w:t>
            </w:r>
          </w:p>
          <w:p w14:paraId="39E92D9B">
            <w:pPr>
              <w:pStyle w:val="47"/>
              <w:snapToGrid w:val="0"/>
              <w:spacing w:beforeLines="0" w:afterLines="0" w:line="520" w:lineRule="exact"/>
              <w:ind w:firstLine="0"/>
              <w:jc w:val="center"/>
              <w:rPr>
                <w:rFonts w:hint="eastAsia" w:ascii="Times New Roman" w:eastAsia="Times New Roman"/>
                <w:b/>
                <w:smallCaps/>
                <w:color w:val="auto"/>
                <w:sz w:val="21"/>
                <w:szCs w:val="16"/>
              </w:rPr>
            </w:pPr>
            <w:r>
              <w:rPr>
                <w:rFonts w:hint="default"/>
                <w:b/>
                <w:color w:val="auto"/>
                <w:kern w:val="2"/>
                <w:sz w:val="21"/>
                <w:szCs w:val="21"/>
              </w:rPr>
              <w:t>表</w:t>
            </w:r>
            <w:r>
              <w:rPr>
                <w:rFonts w:hint="eastAsia" w:ascii="Times New Roman" w:eastAsia="Times New Roman"/>
                <w:b/>
                <w:color w:val="auto"/>
                <w:kern w:val="2"/>
                <w:sz w:val="21"/>
                <w:szCs w:val="21"/>
                <w:lang w:val="en-US" w:eastAsia="zh-CN"/>
              </w:rPr>
              <w:t>4-11</w:t>
            </w:r>
            <w:r>
              <w:rPr>
                <w:rFonts w:hint="eastAsia" w:ascii="Times New Roman" w:eastAsia="Times New Roman"/>
                <w:b/>
                <w:color w:val="auto"/>
                <w:kern w:val="2"/>
                <w:sz w:val="21"/>
                <w:szCs w:val="21"/>
              </w:rPr>
              <w:t xml:space="preserve">  </w:t>
            </w:r>
            <w:r>
              <w:rPr>
                <w:rFonts w:hint="default"/>
                <w:b/>
                <w:smallCaps/>
                <w:color w:val="auto"/>
                <w:sz w:val="21"/>
                <w:szCs w:val="16"/>
              </w:rPr>
              <w:t>项目室内噪声源的平均声压级</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228"/>
              <w:gridCol w:w="859"/>
              <w:gridCol w:w="998"/>
              <w:gridCol w:w="483"/>
              <w:gridCol w:w="615"/>
              <w:gridCol w:w="359"/>
              <w:gridCol w:w="566"/>
              <w:gridCol w:w="809"/>
              <w:gridCol w:w="528"/>
              <w:gridCol w:w="809"/>
              <w:gridCol w:w="790"/>
              <w:gridCol w:w="625"/>
            </w:tblGrid>
            <w:tr w14:paraId="31E1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41C8EDE">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序号</w:t>
                  </w:r>
                </w:p>
              </w:tc>
              <w:tc>
                <w:tcPr>
                  <w:tcW w:w="67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8C9B67A">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声源名称</w:t>
                  </w:r>
                </w:p>
              </w:tc>
              <w:tc>
                <w:tcPr>
                  <w:tcW w:w="47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0A78242">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声压级/距声源距离）/</w:t>
                  </w:r>
                  <w:r>
                    <w:rPr>
                      <w:rFonts w:hint="default" w:ascii="Times New Roman" w:hAnsi="Times New Roman" w:eastAsia="宋体" w:cs="Times New Roman"/>
                      <w:b/>
                      <w:color w:val="auto"/>
                      <w:sz w:val="21"/>
                      <w:szCs w:val="21"/>
                      <w:lang w:eastAsia="zh-CN"/>
                    </w:rPr>
                    <w:t>（</w:t>
                  </w:r>
                  <w:r>
                    <w:rPr>
                      <w:rFonts w:hint="default" w:ascii="Times New Roman" w:hAnsi="Times New Roman" w:cs="Times New Roman"/>
                      <w:b/>
                      <w:color w:val="auto"/>
                      <w:sz w:val="21"/>
                      <w:szCs w:val="21"/>
                    </w:rPr>
                    <w:t>dB</w:t>
                  </w:r>
                  <w:r>
                    <w:rPr>
                      <w:rFonts w:hint="default" w:ascii="Times New Roman" w:hAnsi="Times New Roman" w:eastAsia="宋体" w:cs="Times New Roman"/>
                      <w:b/>
                      <w:color w:val="auto"/>
                      <w:sz w:val="21"/>
                      <w:szCs w:val="21"/>
                      <w:lang w:eastAsia="zh-CN"/>
                    </w:rPr>
                    <w:t>（</w:t>
                  </w:r>
                  <w:r>
                    <w:rPr>
                      <w:rFonts w:hint="default" w:ascii="Times New Roman" w:hAnsi="Times New Roman" w:cs="Times New Roman"/>
                      <w:b/>
                      <w:color w:val="auto"/>
                      <w:sz w:val="21"/>
                      <w:szCs w:val="21"/>
                    </w:rPr>
                    <w:t>A</w:t>
                  </w:r>
                  <w:r>
                    <w:rPr>
                      <w:rFonts w:hint="default" w:ascii="Times New Roman" w:hAnsi="Times New Roman" w:eastAsia="宋体" w:cs="Times New Roman"/>
                      <w:b/>
                      <w:color w:val="auto"/>
                      <w:sz w:val="21"/>
                      <w:szCs w:val="21"/>
                    </w:rPr>
                    <w:t>）/m）</w:t>
                  </w:r>
                </w:p>
              </w:tc>
              <w:tc>
                <w:tcPr>
                  <w:tcW w:w="54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B5EEAE7">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声源控制措施</w:t>
                  </w:r>
                </w:p>
                <w:p w14:paraId="6F05CC79">
                  <w:pPr>
                    <w:widowControl/>
                    <w:adjustRightInd w:val="0"/>
                    <w:spacing w:beforeLines="0" w:afterLines="0"/>
                    <w:jc w:val="center"/>
                    <w:rPr>
                      <w:rFonts w:hint="default" w:ascii="Times New Roman" w:hAnsi="Times New Roman" w:cs="Times New Roman"/>
                      <w:b/>
                      <w:color w:val="auto"/>
                      <w:sz w:val="21"/>
                      <w:szCs w:val="21"/>
                    </w:rPr>
                  </w:pPr>
                </w:p>
              </w:tc>
              <w:tc>
                <w:tcPr>
                  <w:tcW w:w="80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7C6D3C52">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空间相对位置/m</w:t>
                  </w:r>
                </w:p>
              </w:tc>
              <w:tc>
                <w:tcPr>
                  <w:tcW w:w="31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CD3CADB">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距室内边界距离/m</w:t>
                  </w:r>
                </w:p>
              </w:tc>
              <w:tc>
                <w:tcPr>
                  <w:tcW w:w="44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2B307ED">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室内边界声级/dB</w:t>
                  </w:r>
                  <w:r>
                    <w:rPr>
                      <w:rFonts w:hint="default" w:ascii="Times New Roman" w:hAnsi="Times New Roman" w:eastAsia="宋体" w:cs="Times New Roman"/>
                      <w:b/>
                      <w:color w:val="auto"/>
                      <w:sz w:val="21"/>
                      <w:szCs w:val="21"/>
                      <w:lang w:eastAsia="zh-CN"/>
                    </w:rPr>
                    <w:t>（</w:t>
                  </w:r>
                  <w:r>
                    <w:rPr>
                      <w:rFonts w:hint="default" w:ascii="Times New Roman" w:hAnsi="Times New Roman" w:cs="Times New Roman"/>
                      <w:b/>
                      <w:color w:val="auto"/>
                      <w:sz w:val="21"/>
                      <w:szCs w:val="21"/>
                    </w:rPr>
                    <w:t>A</w:t>
                  </w:r>
                  <w:r>
                    <w:rPr>
                      <w:rFonts w:hint="default" w:ascii="Times New Roman" w:hAnsi="Times New Roman" w:eastAsia="宋体" w:cs="Times New Roman"/>
                      <w:b/>
                      <w:color w:val="auto"/>
                      <w:sz w:val="21"/>
                      <w:szCs w:val="21"/>
                    </w:rPr>
                    <w:t>）</w:t>
                  </w:r>
                </w:p>
              </w:tc>
              <w:tc>
                <w:tcPr>
                  <w:tcW w:w="29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AB47014">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运行时段</w:t>
                  </w:r>
                </w:p>
              </w:tc>
              <w:tc>
                <w:tcPr>
                  <w:tcW w:w="44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1C02E35">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建筑插入损失/dB</w:t>
                  </w:r>
                  <w:r>
                    <w:rPr>
                      <w:rFonts w:hint="default" w:ascii="Times New Roman" w:hAnsi="Times New Roman" w:eastAsia="宋体" w:cs="Times New Roman"/>
                      <w:b/>
                      <w:color w:val="auto"/>
                      <w:sz w:val="21"/>
                      <w:szCs w:val="21"/>
                      <w:lang w:eastAsia="zh-CN"/>
                    </w:rPr>
                    <w:t>（</w:t>
                  </w:r>
                  <w:r>
                    <w:rPr>
                      <w:rFonts w:hint="default" w:ascii="Times New Roman" w:hAnsi="Times New Roman" w:cs="Times New Roman"/>
                      <w:b/>
                      <w:color w:val="auto"/>
                      <w:sz w:val="21"/>
                      <w:szCs w:val="21"/>
                    </w:rPr>
                    <w:t>A</w:t>
                  </w:r>
                  <w:r>
                    <w:rPr>
                      <w:rFonts w:hint="default" w:ascii="Times New Roman" w:hAnsi="Times New Roman" w:eastAsia="宋体" w:cs="Times New Roman"/>
                      <w:b/>
                      <w:color w:val="auto"/>
                      <w:sz w:val="21"/>
                      <w:szCs w:val="21"/>
                    </w:rPr>
                    <w:t>）</w:t>
                  </w:r>
                </w:p>
              </w:tc>
              <w:tc>
                <w:tcPr>
                  <w:tcW w:w="777"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450BC42">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建筑物外噪声</w:t>
                  </w:r>
                </w:p>
              </w:tc>
            </w:tr>
            <w:tr w14:paraId="76D6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383BEBA">
                  <w:pPr>
                    <w:widowControl/>
                    <w:adjustRightInd w:val="0"/>
                    <w:spacing w:beforeLines="0" w:afterLines="0"/>
                    <w:jc w:val="center"/>
                    <w:rPr>
                      <w:rFonts w:hint="default" w:ascii="Times New Roman" w:hAnsi="Times New Roman" w:cs="Times New Roman"/>
                      <w:b/>
                      <w:color w:val="auto"/>
                      <w:sz w:val="21"/>
                      <w:szCs w:val="21"/>
                    </w:rPr>
                  </w:pPr>
                </w:p>
              </w:tc>
              <w:tc>
                <w:tcPr>
                  <w:tcW w:w="67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5FC631D">
                  <w:pPr>
                    <w:widowControl/>
                    <w:adjustRightInd w:val="0"/>
                    <w:spacing w:beforeLines="0" w:afterLines="0"/>
                    <w:jc w:val="center"/>
                    <w:rPr>
                      <w:rFonts w:hint="default" w:ascii="Times New Roman" w:hAnsi="Times New Roman" w:cs="Times New Roman"/>
                      <w:b/>
                      <w:color w:val="auto"/>
                      <w:sz w:val="21"/>
                      <w:szCs w:val="21"/>
                    </w:rPr>
                  </w:pPr>
                </w:p>
              </w:tc>
              <w:tc>
                <w:tcPr>
                  <w:tcW w:w="47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D106609">
                  <w:pPr>
                    <w:widowControl/>
                    <w:adjustRightInd w:val="0"/>
                    <w:spacing w:beforeLines="0" w:afterLines="0"/>
                    <w:jc w:val="center"/>
                    <w:rPr>
                      <w:rFonts w:hint="default" w:ascii="Times New Roman" w:hAnsi="Times New Roman" w:cs="Times New Roman"/>
                      <w:b/>
                      <w:color w:val="auto"/>
                      <w:sz w:val="21"/>
                      <w:szCs w:val="21"/>
                    </w:rPr>
                  </w:pPr>
                </w:p>
              </w:tc>
              <w:tc>
                <w:tcPr>
                  <w:tcW w:w="54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4DC6109">
                  <w:pPr>
                    <w:widowControl/>
                    <w:adjustRightInd w:val="0"/>
                    <w:spacing w:beforeLines="0" w:afterLines="0"/>
                    <w:jc w:val="center"/>
                    <w:rPr>
                      <w:rFonts w:hint="default" w:ascii="Times New Roman" w:hAnsi="Times New Roman" w:cs="Times New Roman"/>
                      <w:b/>
                      <w:color w:val="auto"/>
                      <w:sz w:val="21"/>
                      <w:szCs w:val="21"/>
                    </w:rPr>
                  </w:pPr>
                </w:p>
              </w:tc>
              <w:tc>
                <w:tcPr>
                  <w:tcW w:w="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943B6D">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X</w:t>
                  </w:r>
                </w:p>
              </w:tc>
              <w:tc>
                <w:tcPr>
                  <w:tcW w:w="3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87404A">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Y</w:t>
                  </w:r>
                </w:p>
              </w:tc>
              <w:tc>
                <w:tcPr>
                  <w:tcW w:w="1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BC7773">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Z</w:t>
                  </w:r>
                </w:p>
              </w:tc>
              <w:tc>
                <w:tcPr>
                  <w:tcW w:w="31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E549448">
                  <w:pPr>
                    <w:widowControl/>
                    <w:adjustRightInd w:val="0"/>
                    <w:spacing w:beforeLines="0" w:afterLines="0"/>
                    <w:jc w:val="center"/>
                    <w:rPr>
                      <w:rFonts w:hint="default" w:ascii="Times New Roman" w:hAnsi="Times New Roman" w:cs="Times New Roman"/>
                      <w:b/>
                      <w:color w:val="auto"/>
                      <w:sz w:val="21"/>
                      <w:szCs w:val="21"/>
                    </w:rPr>
                  </w:pPr>
                </w:p>
              </w:tc>
              <w:tc>
                <w:tcPr>
                  <w:tcW w:w="4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898CB7F">
                  <w:pPr>
                    <w:widowControl/>
                    <w:adjustRightInd w:val="0"/>
                    <w:spacing w:beforeLines="0" w:afterLines="0"/>
                    <w:jc w:val="center"/>
                    <w:rPr>
                      <w:rFonts w:hint="default" w:ascii="Times New Roman" w:hAnsi="Times New Roman" w:cs="Times New Roman"/>
                      <w:b/>
                      <w:color w:val="auto"/>
                      <w:sz w:val="21"/>
                      <w:szCs w:val="21"/>
                    </w:rPr>
                  </w:pPr>
                </w:p>
              </w:tc>
              <w:tc>
                <w:tcPr>
                  <w:tcW w:w="29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6029AD1">
                  <w:pPr>
                    <w:widowControl/>
                    <w:adjustRightInd w:val="0"/>
                    <w:spacing w:beforeLines="0" w:afterLines="0"/>
                    <w:jc w:val="center"/>
                    <w:rPr>
                      <w:rFonts w:hint="default" w:ascii="Times New Roman" w:hAnsi="Times New Roman" w:cs="Times New Roman"/>
                      <w:b/>
                      <w:color w:val="auto"/>
                      <w:sz w:val="21"/>
                      <w:szCs w:val="21"/>
                    </w:rPr>
                  </w:pPr>
                </w:p>
              </w:tc>
              <w:tc>
                <w:tcPr>
                  <w:tcW w:w="4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E687B6F">
                  <w:pPr>
                    <w:widowControl/>
                    <w:adjustRightInd w:val="0"/>
                    <w:spacing w:beforeLines="0" w:afterLines="0"/>
                    <w:jc w:val="center"/>
                    <w:rPr>
                      <w:rFonts w:hint="default" w:ascii="Times New Roman" w:hAnsi="Times New Roman" w:cs="Times New Roman"/>
                      <w:b/>
                      <w:color w:val="auto"/>
                      <w:sz w:val="21"/>
                      <w:szCs w:val="21"/>
                    </w:rPr>
                  </w:pPr>
                </w:p>
              </w:tc>
              <w:tc>
                <w:tcPr>
                  <w:tcW w:w="4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E1481B">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声压级/dB</w:t>
                  </w:r>
                  <w:r>
                    <w:rPr>
                      <w:rFonts w:hint="default" w:ascii="Times New Roman" w:hAnsi="Times New Roman" w:eastAsia="宋体" w:cs="Times New Roman"/>
                      <w:b/>
                      <w:color w:val="auto"/>
                      <w:sz w:val="21"/>
                      <w:szCs w:val="21"/>
                      <w:lang w:eastAsia="zh-CN"/>
                    </w:rPr>
                    <w:t>（</w:t>
                  </w:r>
                  <w:r>
                    <w:rPr>
                      <w:rFonts w:hint="default" w:ascii="Times New Roman" w:hAnsi="Times New Roman" w:cs="Times New Roman"/>
                      <w:b/>
                      <w:color w:val="auto"/>
                      <w:sz w:val="21"/>
                      <w:szCs w:val="21"/>
                    </w:rPr>
                    <w:t>A</w:t>
                  </w:r>
                  <w:r>
                    <w:rPr>
                      <w:rFonts w:hint="default" w:ascii="Times New Roman" w:hAnsi="Times New Roman" w:eastAsia="宋体" w:cs="Times New Roman"/>
                      <w:b/>
                      <w:color w:val="auto"/>
                      <w:sz w:val="21"/>
                      <w:szCs w:val="21"/>
                    </w:rPr>
                    <w:t>）</w:t>
                  </w:r>
                </w:p>
              </w:tc>
              <w:tc>
                <w:tcPr>
                  <w:tcW w:w="3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C3CB3B">
                  <w:pPr>
                    <w:widowControl/>
                    <w:adjustRightInd w:val="0"/>
                    <w:spacing w:beforeLines="0" w:afterLines="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建筑物外距离</w:t>
                  </w:r>
                </w:p>
              </w:tc>
            </w:tr>
            <w:tr w14:paraId="2A49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3A679D">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AC5996">
                  <w:pPr>
                    <w:spacing w:beforeLines="0" w:afterLines="0"/>
                    <w:jc w:val="center"/>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粉丝生产线</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47E829">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70/1</w:t>
                  </w:r>
                </w:p>
              </w:tc>
              <w:tc>
                <w:tcPr>
                  <w:tcW w:w="548" w:type="pct"/>
                  <w:vMerge w:val="restart"/>
                  <w:tcBorders>
                    <w:top w:val="single" w:color="auto" w:sz="4" w:space="0"/>
                    <w:left w:val="single" w:color="auto" w:sz="4" w:space="0"/>
                    <w:right w:val="single" w:color="auto" w:sz="4" w:space="0"/>
                    <w:tl2br w:val="nil"/>
                    <w:tr2bl w:val="nil"/>
                  </w:tcBorders>
                  <w:noWrap w:val="0"/>
                  <w:vAlign w:val="center"/>
                </w:tcPr>
                <w:p w14:paraId="35468B60">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选用低噪声设备、合理布局、墙体隔声、设置减震垫</w:t>
                  </w:r>
                </w:p>
              </w:tc>
              <w:tc>
                <w:tcPr>
                  <w:tcW w:w="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EB6412">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c>
                <w:tcPr>
                  <w:tcW w:w="3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2BC4A4">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w:t>
                  </w:r>
                </w:p>
              </w:tc>
              <w:tc>
                <w:tcPr>
                  <w:tcW w:w="1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A5E9AA">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1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4759CC">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4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3F0BC9">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2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4C1B09">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昼</w:t>
                  </w:r>
                </w:p>
              </w:tc>
              <w:tc>
                <w:tcPr>
                  <w:tcW w:w="4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49A0A6">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15</w:t>
                  </w:r>
                </w:p>
              </w:tc>
              <w:tc>
                <w:tcPr>
                  <w:tcW w:w="4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5C3EB1">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3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F89249">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0AC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202E58">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EB20E4">
                  <w:pPr>
                    <w:spacing w:beforeLines="0" w:afterLines="0"/>
                    <w:jc w:val="center"/>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松花蛋生产线</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E06DD0">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70/1</w:t>
                  </w:r>
                </w:p>
              </w:tc>
              <w:tc>
                <w:tcPr>
                  <w:tcW w:w="548" w:type="pct"/>
                  <w:vMerge w:val="continue"/>
                  <w:tcBorders>
                    <w:left w:val="single" w:color="auto" w:sz="4" w:space="0"/>
                    <w:right w:val="single" w:color="auto" w:sz="4" w:space="0"/>
                    <w:tl2br w:val="nil"/>
                    <w:tr2bl w:val="nil"/>
                  </w:tcBorders>
                  <w:noWrap w:val="0"/>
                  <w:vAlign w:val="center"/>
                </w:tcPr>
                <w:p w14:paraId="600F08BA">
                  <w:pPr>
                    <w:widowControl/>
                    <w:adjustRightInd w:val="0"/>
                    <w:spacing w:beforeLines="0" w:afterLines="0"/>
                    <w:jc w:val="center"/>
                    <w:rPr>
                      <w:rFonts w:hint="default" w:ascii="Times New Roman" w:hAnsi="Times New Roman" w:cs="Times New Roman"/>
                      <w:color w:val="auto"/>
                      <w:sz w:val="21"/>
                      <w:szCs w:val="21"/>
                    </w:rPr>
                  </w:pPr>
                </w:p>
              </w:tc>
              <w:tc>
                <w:tcPr>
                  <w:tcW w:w="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4D35C8">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266079">
                  <w:pPr>
                    <w:widowControl/>
                    <w:adjustRightInd w:val="0"/>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52</w:t>
                  </w:r>
                </w:p>
              </w:tc>
              <w:tc>
                <w:tcPr>
                  <w:tcW w:w="1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B93A41">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31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91CF94">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4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6DAD94">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62</w:t>
                  </w:r>
                </w:p>
              </w:tc>
              <w:tc>
                <w:tcPr>
                  <w:tcW w:w="2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5F9CC5">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昼</w:t>
                  </w:r>
                </w:p>
              </w:tc>
              <w:tc>
                <w:tcPr>
                  <w:tcW w:w="4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4BAC6B">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15</w:t>
                  </w:r>
                </w:p>
              </w:tc>
              <w:tc>
                <w:tcPr>
                  <w:tcW w:w="4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AFFB7A">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53</w:t>
                  </w:r>
                </w:p>
              </w:tc>
              <w:tc>
                <w:tcPr>
                  <w:tcW w:w="3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798DE3">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B34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FDD253">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A28593">
                  <w:pPr>
                    <w:spacing w:beforeLines="0" w:afterLines="0"/>
                    <w:jc w:val="center"/>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变蛋生产线</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4A763F">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70/1</w:t>
                  </w:r>
                </w:p>
              </w:tc>
              <w:tc>
                <w:tcPr>
                  <w:tcW w:w="548" w:type="pct"/>
                  <w:vMerge w:val="continue"/>
                  <w:tcBorders>
                    <w:left w:val="single" w:color="auto" w:sz="4" w:space="0"/>
                    <w:right w:val="single" w:color="auto" w:sz="4" w:space="0"/>
                    <w:tl2br w:val="nil"/>
                    <w:tr2bl w:val="nil"/>
                  </w:tcBorders>
                  <w:noWrap w:val="0"/>
                  <w:vAlign w:val="center"/>
                </w:tcPr>
                <w:p w14:paraId="21665F9E">
                  <w:pPr>
                    <w:widowControl/>
                    <w:adjustRightInd w:val="0"/>
                    <w:spacing w:beforeLines="0" w:afterLines="0"/>
                    <w:jc w:val="center"/>
                    <w:rPr>
                      <w:rFonts w:hint="default" w:ascii="Times New Roman" w:hAnsi="Times New Roman" w:cs="Times New Roman"/>
                      <w:color w:val="auto"/>
                      <w:sz w:val="21"/>
                      <w:szCs w:val="21"/>
                    </w:rPr>
                  </w:pPr>
                </w:p>
              </w:tc>
              <w:tc>
                <w:tcPr>
                  <w:tcW w:w="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A4F8AC">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3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F55A93">
                  <w:pPr>
                    <w:widowControl/>
                    <w:adjustRightInd w:val="0"/>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52</w:t>
                  </w:r>
                </w:p>
              </w:tc>
              <w:tc>
                <w:tcPr>
                  <w:tcW w:w="1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F84F22">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31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60D81E">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4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B87E40">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65</w:t>
                  </w:r>
                </w:p>
              </w:tc>
              <w:tc>
                <w:tcPr>
                  <w:tcW w:w="2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454080">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昼</w:t>
                  </w:r>
                </w:p>
              </w:tc>
              <w:tc>
                <w:tcPr>
                  <w:tcW w:w="4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413ADE">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15</w:t>
                  </w:r>
                </w:p>
              </w:tc>
              <w:tc>
                <w:tcPr>
                  <w:tcW w:w="4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F7EC1B">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50</w:t>
                  </w:r>
                </w:p>
              </w:tc>
              <w:tc>
                <w:tcPr>
                  <w:tcW w:w="3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0095B7">
                  <w:pPr>
                    <w:widowControl/>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AFB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7222C4">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EDD29E">
                  <w:pPr>
                    <w:spacing w:beforeLines="0" w:afterLines="0"/>
                    <w:jc w:val="center"/>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豆制品生产线</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5D2755">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70/1</w:t>
                  </w:r>
                </w:p>
              </w:tc>
              <w:tc>
                <w:tcPr>
                  <w:tcW w:w="548" w:type="pct"/>
                  <w:vMerge w:val="continue"/>
                  <w:tcBorders>
                    <w:left w:val="single" w:color="auto" w:sz="4" w:space="0"/>
                    <w:right w:val="single" w:color="auto" w:sz="4" w:space="0"/>
                    <w:tl2br w:val="nil"/>
                    <w:tr2bl w:val="nil"/>
                  </w:tcBorders>
                  <w:noWrap w:val="0"/>
                  <w:vAlign w:val="center"/>
                </w:tcPr>
                <w:p w14:paraId="34CA5F40">
                  <w:pPr>
                    <w:widowControl/>
                    <w:adjustRightInd w:val="0"/>
                    <w:spacing w:beforeLines="0" w:afterLines="0"/>
                    <w:jc w:val="center"/>
                    <w:rPr>
                      <w:rFonts w:hint="default" w:ascii="Times New Roman" w:hAnsi="Times New Roman" w:cs="Times New Roman"/>
                      <w:color w:val="auto"/>
                      <w:sz w:val="21"/>
                      <w:szCs w:val="21"/>
                    </w:rPr>
                  </w:pPr>
                </w:p>
              </w:tc>
              <w:tc>
                <w:tcPr>
                  <w:tcW w:w="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DDB2A2">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3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EC366D">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w:t>
                  </w:r>
                </w:p>
              </w:tc>
              <w:tc>
                <w:tcPr>
                  <w:tcW w:w="1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505E28">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1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59EA07">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4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A7827E">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c>
                <w:tcPr>
                  <w:tcW w:w="2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06C525">
                  <w:pPr>
                    <w:widowControl/>
                    <w:adjustRightIn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昼</w:t>
                  </w:r>
                </w:p>
              </w:tc>
              <w:tc>
                <w:tcPr>
                  <w:tcW w:w="4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F13ACB">
                  <w:pPr>
                    <w:widowControl/>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4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940D30">
                  <w:pPr>
                    <w:widowControl/>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50</w:t>
                  </w:r>
                </w:p>
              </w:tc>
              <w:tc>
                <w:tcPr>
                  <w:tcW w:w="3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AF5CCE">
                  <w:pPr>
                    <w:widowControl/>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411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6F02A7">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62DD72">
                  <w:pPr>
                    <w:spacing w:beforeLines="0" w:afterLine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油炸锅</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E07BF0">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75/1</w:t>
                  </w:r>
                </w:p>
              </w:tc>
              <w:tc>
                <w:tcPr>
                  <w:tcW w:w="548" w:type="pct"/>
                  <w:vMerge w:val="continue"/>
                  <w:tcBorders>
                    <w:left w:val="single" w:color="auto" w:sz="4" w:space="0"/>
                    <w:right w:val="single" w:color="auto" w:sz="4" w:space="0"/>
                    <w:tl2br w:val="nil"/>
                    <w:tr2bl w:val="nil"/>
                  </w:tcBorders>
                  <w:noWrap w:val="0"/>
                  <w:vAlign w:val="center"/>
                </w:tcPr>
                <w:p w14:paraId="1C0B5A16">
                  <w:pPr>
                    <w:widowControl/>
                    <w:adjustRightInd w:val="0"/>
                    <w:spacing w:beforeLines="0" w:afterLines="0"/>
                    <w:jc w:val="center"/>
                    <w:rPr>
                      <w:rFonts w:hint="default" w:ascii="Times New Roman" w:hAnsi="Times New Roman" w:cs="Times New Roman"/>
                      <w:color w:val="auto"/>
                      <w:sz w:val="21"/>
                      <w:szCs w:val="21"/>
                    </w:rPr>
                  </w:pPr>
                </w:p>
              </w:tc>
              <w:tc>
                <w:tcPr>
                  <w:tcW w:w="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E27130">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3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D686FB">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w:t>
                  </w:r>
                </w:p>
              </w:tc>
              <w:tc>
                <w:tcPr>
                  <w:tcW w:w="1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F1B42E">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31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4F6929">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4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21953D">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68</w:t>
                  </w:r>
                </w:p>
              </w:tc>
              <w:tc>
                <w:tcPr>
                  <w:tcW w:w="2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5974BC">
                  <w:pPr>
                    <w:widowControl/>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w:t>
                  </w:r>
                </w:p>
              </w:tc>
              <w:tc>
                <w:tcPr>
                  <w:tcW w:w="4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EFAF87">
                  <w:pPr>
                    <w:widowControl/>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4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EBF481">
                  <w:pPr>
                    <w:widowControl/>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3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A6B7C0">
                  <w:pPr>
                    <w:widowControl/>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58D4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5AC026">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80DF27">
                  <w:pPr>
                    <w:spacing w:beforeLines="0" w:afterLine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天然气锅炉</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037F26">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75/1</w:t>
                  </w:r>
                </w:p>
              </w:tc>
              <w:tc>
                <w:tcPr>
                  <w:tcW w:w="548" w:type="pct"/>
                  <w:vMerge w:val="continue"/>
                  <w:tcBorders>
                    <w:left w:val="single" w:color="auto" w:sz="4" w:space="0"/>
                    <w:right w:val="single" w:color="auto" w:sz="4" w:space="0"/>
                    <w:tl2br w:val="nil"/>
                    <w:tr2bl w:val="nil"/>
                  </w:tcBorders>
                  <w:noWrap w:val="0"/>
                  <w:vAlign w:val="center"/>
                </w:tcPr>
                <w:p w14:paraId="5BFDE312">
                  <w:pPr>
                    <w:widowControl/>
                    <w:adjustRightInd w:val="0"/>
                    <w:spacing w:beforeLines="0" w:afterLines="0"/>
                    <w:jc w:val="center"/>
                    <w:rPr>
                      <w:rFonts w:hint="default" w:ascii="Times New Roman" w:hAnsi="Times New Roman" w:cs="Times New Roman"/>
                      <w:color w:val="auto"/>
                      <w:sz w:val="21"/>
                      <w:szCs w:val="21"/>
                    </w:rPr>
                  </w:pPr>
                </w:p>
              </w:tc>
              <w:tc>
                <w:tcPr>
                  <w:tcW w:w="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B0913D">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18</w:t>
                  </w:r>
                </w:p>
              </w:tc>
              <w:tc>
                <w:tcPr>
                  <w:tcW w:w="3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487DDD">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22</w:t>
                  </w:r>
                </w:p>
              </w:tc>
              <w:tc>
                <w:tcPr>
                  <w:tcW w:w="1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A39C8A">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w:t>
                  </w:r>
                </w:p>
              </w:tc>
              <w:tc>
                <w:tcPr>
                  <w:tcW w:w="31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5EB03D">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4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AD1506">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68</w:t>
                  </w:r>
                </w:p>
              </w:tc>
              <w:tc>
                <w:tcPr>
                  <w:tcW w:w="2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12D675">
                  <w:pPr>
                    <w:widowControl/>
                    <w:adjustRightInd w:val="0"/>
                    <w:spacing w:beforeLines="0" w:afterLines="0"/>
                    <w:jc w:val="center"/>
                    <w:rPr>
                      <w:rFonts w:hint="default" w:ascii="Times New Roman" w:hAnsi="Times New Roman" w:cs="Times New Roman"/>
                      <w:color w:val="auto"/>
                      <w:sz w:val="21"/>
                      <w:szCs w:val="21"/>
                    </w:rPr>
                  </w:pPr>
                  <w:r>
                    <w:rPr>
                      <w:rFonts w:hint="default" w:ascii="宋体"/>
                      <w:color w:val="auto"/>
                      <w:sz w:val="21"/>
                      <w:szCs w:val="21"/>
                    </w:rPr>
                    <w:t>昼</w:t>
                  </w:r>
                </w:p>
              </w:tc>
              <w:tc>
                <w:tcPr>
                  <w:tcW w:w="4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BD6B3F">
                  <w:pPr>
                    <w:widowControl/>
                    <w:adjustRightInd w:val="0"/>
                    <w:spacing w:beforeLines="0" w:afterLines="0"/>
                    <w:jc w:val="center"/>
                    <w:rPr>
                      <w:rFonts w:hint="default" w:ascii="Times New Roman" w:hAnsi="Times New Roman" w:cs="Times New Roman"/>
                      <w:color w:val="auto"/>
                      <w:sz w:val="21"/>
                      <w:szCs w:val="21"/>
                    </w:rPr>
                  </w:pPr>
                  <w:r>
                    <w:rPr>
                      <w:rFonts w:hint="default"/>
                      <w:color w:val="auto"/>
                      <w:sz w:val="21"/>
                      <w:szCs w:val="21"/>
                    </w:rPr>
                    <w:t>≥15</w:t>
                  </w:r>
                </w:p>
              </w:tc>
              <w:tc>
                <w:tcPr>
                  <w:tcW w:w="4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7C124D">
                  <w:pPr>
                    <w:widowControl/>
                    <w:adjustRightInd w:val="0"/>
                    <w:spacing w:beforeLines="0" w:afterLines="0"/>
                    <w:jc w:val="center"/>
                    <w:rPr>
                      <w:rFonts w:hint="eastAsia" w:ascii="Times New Roman" w:hAnsi="Times New Roman" w:eastAsia="宋体" w:cs="Times New Roman"/>
                      <w:color w:val="auto"/>
                      <w:sz w:val="21"/>
                      <w:szCs w:val="21"/>
                      <w:lang w:val="en-US" w:eastAsia="zh-CN"/>
                    </w:rPr>
                  </w:pPr>
                  <w:r>
                    <w:rPr>
                      <w:rFonts w:hint="default"/>
                      <w:color w:val="auto"/>
                      <w:sz w:val="21"/>
                      <w:szCs w:val="21"/>
                    </w:rPr>
                    <w:t>5</w:t>
                  </w:r>
                  <w:r>
                    <w:rPr>
                      <w:rFonts w:hint="eastAsia"/>
                      <w:color w:val="auto"/>
                      <w:sz w:val="21"/>
                      <w:szCs w:val="21"/>
                      <w:lang w:val="en-US" w:eastAsia="zh-CN"/>
                    </w:rPr>
                    <w:t>2</w:t>
                  </w:r>
                </w:p>
              </w:tc>
              <w:tc>
                <w:tcPr>
                  <w:tcW w:w="3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87E641">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color w:val="auto"/>
                      <w:sz w:val="21"/>
                      <w:szCs w:val="21"/>
                    </w:rPr>
                    <w:t>1</w:t>
                  </w:r>
                </w:p>
              </w:tc>
            </w:tr>
            <w:tr w14:paraId="037B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37CEAE">
                  <w:pPr>
                    <w:widowControl/>
                    <w:adjustRightInd w:val="0"/>
                    <w:spacing w:beforeLines="0" w:afterLines="0"/>
                    <w:jc w:val="cente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26AAF3">
                  <w:pPr>
                    <w:spacing w:beforeLines="0" w:afterLines="0"/>
                    <w:jc w:val="center"/>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污泥压滤机</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BA276E">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75/1</w:t>
                  </w:r>
                </w:p>
              </w:tc>
              <w:tc>
                <w:tcPr>
                  <w:tcW w:w="548" w:type="pct"/>
                  <w:vMerge w:val="continue"/>
                  <w:tcBorders>
                    <w:left w:val="single" w:color="auto" w:sz="4" w:space="0"/>
                    <w:bottom w:val="single" w:color="auto" w:sz="4" w:space="0"/>
                    <w:right w:val="single" w:color="auto" w:sz="4" w:space="0"/>
                    <w:tl2br w:val="nil"/>
                    <w:tr2bl w:val="nil"/>
                  </w:tcBorders>
                  <w:noWrap w:val="0"/>
                  <w:vAlign w:val="center"/>
                </w:tcPr>
                <w:p w14:paraId="0D89B580">
                  <w:pPr>
                    <w:widowControl/>
                    <w:adjustRightInd w:val="0"/>
                    <w:spacing w:beforeLines="0" w:afterLines="0"/>
                    <w:jc w:val="center"/>
                    <w:rPr>
                      <w:rFonts w:hint="default" w:ascii="Times New Roman" w:hAnsi="Times New Roman" w:cs="Times New Roman"/>
                      <w:color w:val="auto"/>
                      <w:sz w:val="21"/>
                      <w:szCs w:val="21"/>
                    </w:rPr>
                  </w:pPr>
                </w:p>
              </w:tc>
              <w:tc>
                <w:tcPr>
                  <w:tcW w:w="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4D1EAF">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40</w:t>
                  </w:r>
                </w:p>
              </w:tc>
              <w:tc>
                <w:tcPr>
                  <w:tcW w:w="3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7F74CE">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30</w:t>
                  </w:r>
                </w:p>
              </w:tc>
              <w:tc>
                <w:tcPr>
                  <w:tcW w:w="19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179288">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w:t>
                  </w:r>
                </w:p>
              </w:tc>
              <w:tc>
                <w:tcPr>
                  <w:tcW w:w="31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2CC6DD">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13</w:t>
                  </w:r>
                </w:p>
              </w:tc>
              <w:tc>
                <w:tcPr>
                  <w:tcW w:w="4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42379B">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67</w:t>
                  </w:r>
                </w:p>
              </w:tc>
              <w:tc>
                <w:tcPr>
                  <w:tcW w:w="2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F6DEAC">
                  <w:pPr>
                    <w:widowControl/>
                    <w:adjustRightInd w:val="0"/>
                    <w:spacing w:beforeLines="0" w:afterLines="0"/>
                    <w:jc w:val="center"/>
                    <w:rPr>
                      <w:rFonts w:hint="default" w:ascii="Times New Roman" w:hAnsi="Times New Roman" w:cs="Times New Roman"/>
                      <w:color w:val="auto"/>
                      <w:sz w:val="21"/>
                      <w:szCs w:val="21"/>
                    </w:rPr>
                  </w:pPr>
                  <w:r>
                    <w:rPr>
                      <w:rFonts w:hint="default" w:ascii="宋体"/>
                      <w:color w:val="auto"/>
                      <w:sz w:val="21"/>
                      <w:szCs w:val="21"/>
                    </w:rPr>
                    <w:t>昼</w:t>
                  </w:r>
                </w:p>
              </w:tc>
              <w:tc>
                <w:tcPr>
                  <w:tcW w:w="4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FB18EC">
                  <w:pPr>
                    <w:widowControl/>
                    <w:adjustRightInd w:val="0"/>
                    <w:spacing w:beforeLines="0" w:afterLines="0"/>
                    <w:jc w:val="center"/>
                    <w:rPr>
                      <w:rFonts w:hint="default" w:ascii="Times New Roman" w:hAnsi="Times New Roman" w:cs="Times New Roman"/>
                      <w:color w:val="auto"/>
                      <w:sz w:val="21"/>
                      <w:szCs w:val="21"/>
                    </w:rPr>
                  </w:pPr>
                  <w:r>
                    <w:rPr>
                      <w:rFonts w:hint="default"/>
                      <w:color w:val="auto"/>
                      <w:sz w:val="21"/>
                      <w:szCs w:val="21"/>
                    </w:rPr>
                    <w:t>≥15</w:t>
                  </w:r>
                </w:p>
              </w:tc>
              <w:tc>
                <w:tcPr>
                  <w:tcW w:w="4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BD6756">
                  <w:pPr>
                    <w:widowControl/>
                    <w:adjustRightInd w:val="0"/>
                    <w:spacing w:beforeLines="0" w:afterLines="0"/>
                    <w:jc w:val="center"/>
                    <w:rPr>
                      <w:rFonts w:hint="eastAsia" w:ascii="Times New Roman" w:hAnsi="Times New Roman" w:eastAsia="宋体" w:cs="Times New Roman"/>
                      <w:color w:val="auto"/>
                      <w:sz w:val="21"/>
                      <w:szCs w:val="21"/>
                      <w:lang w:val="en-US" w:eastAsia="zh-CN"/>
                    </w:rPr>
                  </w:pPr>
                  <w:r>
                    <w:rPr>
                      <w:rFonts w:hint="default"/>
                      <w:color w:val="auto"/>
                      <w:sz w:val="21"/>
                      <w:szCs w:val="21"/>
                    </w:rPr>
                    <w:t>5</w:t>
                  </w:r>
                  <w:r>
                    <w:rPr>
                      <w:rFonts w:hint="eastAsia"/>
                      <w:color w:val="auto"/>
                      <w:sz w:val="21"/>
                      <w:szCs w:val="21"/>
                      <w:lang w:val="en-US" w:eastAsia="zh-CN"/>
                    </w:rPr>
                    <w:t>3</w:t>
                  </w:r>
                </w:p>
              </w:tc>
              <w:tc>
                <w:tcPr>
                  <w:tcW w:w="3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46EA0B">
                  <w:pPr>
                    <w:widowControl/>
                    <w:adjustRightInd w:val="0"/>
                    <w:spacing w:beforeLines="0" w:afterLines="0"/>
                    <w:jc w:val="center"/>
                    <w:rPr>
                      <w:rFonts w:hint="default" w:ascii="Times New Roman" w:hAnsi="Times New Roman" w:cs="Times New Roman"/>
                      <w:color w:val="auto"/>
                      <w:sz w:val="21"/>
                      <w:szCs w:val="21"/>
                      <w:lang w:val="en-US" w:eastAsia="zh-CN"/>
                    </w:rPr>
                  </w:pPr>
                  <w:r>
                    <w:rPr>
                      <w:rFonts w:hint="default"/>
                      <w:color w:val="auto"/>
                      <w:sz w:val="21"/>
                      <w:szCs w:val="21"/>
                    </w:rPr>
                    <w:t>1</w:t>
                  </w:r>
                </w:p>
              </w:tc>
            </w:tr>
          </w:tbl>
          <w:p w14:paraId="7084421B">
            <w:pPr>
              <w:pStyle w:val="47"/>
              <w:snapToGrid w:val="0"/>
              <w:spacing w:beforeLines="0" w:afterLines="0" w:line="520" w:lineRule="exact"/>
              <w:ind w:firstLine="0"/>
              <w:rPr>
                <w:rFonts w:hint="default"/>
                <w:b/>
                <w:smallCaps/>
                <w:color w:val="auto"/>
                <w:sz w:val="21"/>
                <w:szCs w:val="21"/>
                <w:lang w:val="en-US" w:eastAsia="zh-CN"/>
              </w:rPr>
            </w:pPr>
            <w:r>
              <w:rPr>
                <w:rFonts w:hint="default"/>
                <w:b/>
                <w:smallCaps/>
                <w:color w:val="auto"/>
                <w:sz w:val="21"/>
                <w:szCs w:val="21"/>
                <w:lang w:val="en-US" w:eastAsia="zh-CN"/>
              </w:rPr>
              <w:t>注：坐标原点为厂区总平面图西南角</w:t>
            </w:r>
          </w:p>
          <w:p w14:paraId="24957A89">
            <w:pPr>
              <w:pStyle w:val="47"/>
              <w:snapToGrid w:val="0"/>
              <w:spacing w:beforeLines="0" w:afterLines="0" w:line="520" w:lineRule="exact"/>
              <w:ind w:firstLine="0"/>
              <w:jc w:val="center"/>
              <w:rPr>
                <w:rFonts w:hint="eastAsia"/>
                <w:b/>
                <w:smallCaps/>
                <w:color w:val="auto"/>
                <w:sz w:val="21"/>
                <w:szCs w:val="21"/>
                <w:lang w:val="en-US" w:eastAsia="zh-CN"/>
              </w:rPr>
            </w:pPr>
            <w:r>
              <w:rPr>
                <w:rFonts w:hint="default" w:ascii="宋体" w:eastAsia="宋体"/>
                <w:b/>
                <w:smallCaps/>
                <w:color w:val="auto"/>
                <w:sz w:val="21"/>
                <w:szCs w:val="21"/>
              </w:rPr>
              <w:t>表</w:t>
            </w:r>
            <w:r>
              <w:rPr>
                <w:rFonts w:hint="eastAsia"/>
                <w:b/>
                <w:color w:val="auto"/>
                <w:sz w:val="21"/>
                <w:szCs w:val="21"/>
                <w:lang w:val="en-US" w:eastAsia="zh-CN"/>
              </w:rPr>
              <w:t>4-12</w:t>
            </w:r>
            <w:r>
              <w:rPr>
                <w:rFonts w:hint="eastAsia"/>
                <w:b/>
                <w:smallCaps/>
                <w:color w:val="auto"/>
                <w:sz w:val="21"/>
                <w:szCs w:val="21"/>
              </w:rPr>
              <w:t xml:space="preserve"> </w:t>
            </w:r>
            <w:r>
              <w:rPr>
                <w:rFonts w:hint="default" w:ascii="宋体" w:eastAsia="宋体"/>
                <w:b/>
                <w:smallCaps/>
                <w:color w:val="auto"/>
                <w:sz w:val="21"/>
                <w:szCs w:val="21"/>
              </w:rPr>
              <w:t>项目室外噪声源的平均声压级</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41"/>
              <w:gridCol w:w="846"/>
              <w:gridCol w:w="628"/>
              <w:gridCol w:w="559"/>
              <w:gridCol w:w="581"/>
              <w:gridCol w:w="1609"/>
              <w:gridCol w:w="1241"/>
              <w:gridCol w:w="1640"/>
              <w:gridCol w:w="524"/>
            </w:tblGrid>
            <w:tr w14:paraId="2D23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52FA8D4">
                  <w:pPr>
                    <w:spacing w:beforeLines="0" w:afterLines="0" w:line="320" w:lineRule="exact"/>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序号</w:t>
                  </w:r>
                </w:p>
              </w:tc>
              <w:tc>
                <w:tcPr>
                  <w:tcW w:w="57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6A9A5EB">
                  <w:pPr>
                    <w:spacing w:beforeLines="0" w:afterLines="0" w:line="320" w:lineRule="exact"/>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声源名称</w:t>
                  </w:r>
                </w:p>
              </w:tc>
              <w:tc>
                <w:tcPr>
                  <w:tcW w:w="46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5EA2F5C">
                  <w:pPr>
                    <w:spacing w:beforeLines="0" w:afterLines="0" w:line="320" w:lineRule="exact"/>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型号</w:t>
                  </w:r>
                </w:p>
              </w:tc>
              <w:tc>
                <w:tcPr>
                  <w:tcW w:w="971"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0FC15D89">
                  <w:pPr>
                    <w:spacing w:beforeLines="0" w:afterLines="0" w:line="320" w:lineRule="exact"/>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空间相对位置/m</w:t>
                  </w:r>
                </w:p>
              </w:tc>
              <w:tc>
                <w:tcPr>
                  <w:tcW w:w="156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12F3693">
                  <w:pPr>
                    <w:adjustRightInd w:val="0"/>
                    <w:snapToGrid w:val="0"/>
                    <w:spacing w:beforeLines="0" w:afterLines="0"/>
                    <w:jc w:val="center"/>
                    <w:rPr>
                      <w:rFonts w:hint="default" w:ascii="Times New Roman" w:hAnsi="Times New Roman" w:cs="Times New Roman"/>
                      <w:b/>
                      <w:snapToGrid w:val="0"/>
                      <w:color w:val="auto"/>
                      <w:sz w:val="21"/>
                      <w:szCs w:val="21"/>
                    </w:rPr>
                  </w:pPr>
                  <w:r>
                    <w:rPr>
                      <w:rFonts w:hint="default" w:ascii="Times New Roman" w:hAnsi="Times New Roman" w:eastAsia="宋体" w:cs="Times New Roman"/>
                      <w:b/>
                      <w:snapToGrid w:val="0"/>
                      <w:color w:val="auto"/>
                      <w:sz w:val="21"/>
                      <w:szCs w:val="21"/>
                    </w:rPr>
                    <w:t>声源源强</w:t>
                  </w:r>
                </w:p>
              </w:tc>
              <w:tc>
                <w:tcPr>
                  <w:tcW w:w="90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AF0294D">
                  <w:pPr>
                    <w:adjustRightInd w:val="0"/>
                    <w:snapToGrid w:val="0"/>
                    <w:spacing w:beforeLines="0" w:afterLines="0"/>
                    <w:jc w:val="center"/>
                    <w:rPr>
                      <w:rFonts w:hint="default" w:ascii="Times New Roman" w:hAnsi="Times New Roman" w:cs="Times New Roman"/>
                      <w:b/>
                      <w:snapToGrid w:val="0"/>
                      <w:color w:val="auto"/>
                      <w:sz w:val="21"/>
                      <w:szCs w:val="21"/>
                    </w:rPr>
                  </w:pPr>
                  <w:r>
                    <w:rPr>
                      <w:rFonts w:hint="default" w:ascii="Times New Roman" w:hAnsi="Times New Roman" w:eastAsia="宋体" w:cs="Times New Roman"/>
                      <w:b/>
                      <w:snapToGrid w:val="0"/>
                      <w:color w:val="auto"/>
                      <w:sz w:val="21"/>
                      <w:szCs w:val="21"/>
                    </w:rPr>
                    <w:t>声源控制措施</w:t>
                  </w:r>
                </w:p>
              </w:tc>
              <w:tc>
                <w:tcPr>
                  <w:tcW w:w="28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108CCE4">
                  <w:pPr>
                    <w:adjustRightInd w:val="0"/>
                    <w:snapToGrid w:val="0"/>
                    <w:spacing w:beforeLines="0" w:afterLines="0"/>
                    <w:jc w:val="center"/>
                    <w:rPr>
                      <w:rFonts w:hint="default" w:ascii="Times New Roman" w:hAnsi="Times New Roman" w:cs="Times New Roman"/>
                      <w:b/>
                      <w:snapToGrid w:val="0"/>
                      <w:color w:val="auto"/>
                      <w:sz w:val="21"/>
                      <w:szCs w:val="21"/>
                    </w:rPr>
                  </w:pPr>
                  <w:r>
                    <w:rPr>
                      <w:rFonts w:hint="default" w:ascii="Times New Roman" w:hAnsi="Times New Roman" w:eastAsia="宋体" w:cs="Times New Roman"/>
                      <w:b/>
                      <w:snapToGrid w:val="0"/>
                      <w:color w:val="auto"/>
                      <w:sz w:val="21"/>
                      <w:szCs w:val="21"/>
                    </w:rPr>
                    <w:t>运行时段</w:t>
                  </w:r>
                </w:p>
              </w:tc>
            </w:tr>
            <w:tr w14:paraId="4DF7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7B52CE3">
                  <w:pPr>
                    <w:spacing w:beforeLines="0" w:afterLines="0" w:line="320" w:lineRule="exact"/>
                    <w:jc w:val="center"/>
                    <w:rPr>
                      <w:rFonts w:hint="default" w:ascii="Times New Roman" w:hAnsi="Times New Roman" w:cs="Times New Roman"/>
                      <w:color w:val="auto"/>
                      <w:sz w:val="21"/>
                      <w:szCs w:val="21"/>
                    </w:rPr>
                  </w:pPr>
                </w:p>
              </w:tc>
              <w:tc>
                <w:tcPr>
                  <w:tcW w:w="57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8731728">
                  <w:pPr>
                    <w:spacing w:beforeLines="0" w:afterLines="0" w:line="320" w:lineRule="exact"/>
                    <w:jc w:val="center"/>
                    <w:rPr>
                      <w:rFonts w:hint="default" w:ascii="Times New Roman" w:hAnsi="Times New Roman" w:cs="Times New Roman"/>
                      <w:color w:val="auto"/>
                      <w:sz w:val="21"/>
                      <w:szCs w:val="21"/>
                    </w:rPr>
                  </w:pPr>
                </w:p>
              </w:tc>
              <w:tc>
                <w:tcPr>
                  <w:tcW w:w="46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2FE8BD4">
                  <w:pPr>
                    <w:spacing w:beforeLines="0" w:afterLines="0" w:line="320" w:lineRule="exact"/>
                    <w:jc w:val="center"/>
                    <w:rPr>
                      <w:rFonts w:hint="default" w:ascii="Times New Roman" w:hAnsi="Times New Roman" w:cs="Times New Roman"/>
                      <w:color w:val="auto"/>
                      <w:sz w:val="21"/>
                      <w:szCs w:val="21"/>
                    </w:rPr>
                  </w:pPr>
                </w:p>
              </w:tc>
              <w:tc>
                <w:tcPr>
                  <w:tcW w:w="3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6E2B5A">
                  <w:pPr>
                    <w:spacing w:beforeLines="0" w:afterLines="0"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w:t>
                  </w:r>
                </w:p>
              </w:tc>
              <w:tc>
                <w:tcPr>
                  <w:tcW w:w="3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314293">
                  <w:pPr>
                    <w:spacing w:beforeLines="0" w:afterLines="0"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w:t>
                  </w:r>
                </w:p>
              </w:tc>
              <w:tc>
                <w:tcPr>
                  <w:tcW w:w="3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87F364">
                  <w:pPr>
                    <w:spacing w:beforeLines="0" w:afterLines="0"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w:t>
                  </w:r>
                </w:p>
              </w:tc>
              <w:tc>
                <w:tcPr>
                  <w:tcW w:w="88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DDC45B">
                  <w:pPr>
                    <w:spacing w:beforeLines="0" w:afterLines="0" w:line="32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声压级/距声源距离）/</w:t>
                  </w:r>
                  <w:r>
                    <w:rPr>
                      <w:rFonts w:hint="default" w:ascii="Times New Roman" w:hAnsi="Times New Roman" w:eastAsia="宋体" w:cs="Times New Roman"/>
                      <w:b/>
                      <w:snapToGrid w:val="0"/>
                      <w:color w:val="auto"/>
                      <w:sz w:val="21"/>
                      <w:szCs w:val="21"/>
                      <w:lang w:eastAsia="zh-CN"/>
                    </w:rPr>
                    <w:t>（</w:t>
                  </w:r>
                  <w:r>
                    <w:rPr>
                      <w:rFonts w:hint="default" w:ascii="Times New Roman" w:hAnsi="Times New Roman" w:cs="Times New Roman"/>
                      <w:b/>
                      <w:snapToGrid w:val="0"/>
                      <w:color w:val="auto"/>
                      <w:sz w:val="21"/>
                      <w:szCs w:val="21"/>
                    </w:rPr>
                    <w:t>dB</w:t>
                  </w:r>
                  <w:r>
                    <w:rPr>
                      <w:rFonts w:hint="default" w:ascii="Times New Roman" w:hAnsi="Times New Roman" w:eastAsia="宋体" w:cs="Times New Roman"/>
                      <w:b/>
                      <w:snapToGrid w:val="0"/>
                      <w:color w:val="auto"/>
                      <w:sz w:val="21"/>
                      <w:szCs w:val="21"/>
                      <w:lang w:eastAsia="zh-CN"/>
                    </w:rPr>
                    <w:t>（</w:t>
                  </w:r>
                  <w:r>
                    <w:rPr>
                      <w:rFonts w:hint="default" w:ascii="Times New Roman" w:hAnsi="Times New Roman" w:cs="Times New Roman"/>
                      <w:b/>
                      <w:snapToGrid w:val="0"/>
                      <w:color w:val="auto"/>
                      <w:sz w:val="21"/>
                      <w:szCs w:val="21"/>
                    </w:rPr>
                    <w:t>A</w:t>
                  </w:r>
                  <w:r>
                    <w:rPr>
                      <w:rFonts w:hint="default" w:ascii="Times New Roman" w:hAnsi="Times New Roman" w:eastAsia="宋体" w:cs="Times New Roman"/>
                      <w:b/>
                      <w:snapToGrid w:val="0"/>
                      <w:color w:val="auto"/>
                      <w:sz w:val="21"/>
                      <w:szCs w:val="21"/>
                    </w:rPr>
                    <w:t>）/m）</w:t>
                  </w:r>
                </w:p>
              </w:tc>
              <w:tc>
                <w:tcPr>
                  <w:tcW w:w="6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ADE377">
                  <w:pPr>
                    <w:spacing w:beforeLines="0" w:afterLines="0" w:line="32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b/>
                      <w:snapToGrid w:val="0"/>
                      <w:color w:val="auto"/>
                      <w:sz w:val="21"/>
                      <w:szCs w:val="21"/>
                    </w:rPr>
                    <w:t>声功率级/dB</w:t>
                  </w:r>
                  <w:r>
                    <w:rPr>
                      <w:rFonts w:hint="default" w:ascii="Times New Roman" w:hAnsi="Times New Roman" w:eastAsia="宋体" w:cs="Times New Roman"/>
                      <w:b/>
                      <w:snapToGrid w:val="0"/>
                      <w:color w:val="auto"/>
                      <w:sz w:val="21"/>
                      <w:szCs w:val="21"/>
                      <w:lang w:eastAsia="zh-CN"/>
                    </w:rPr>
                    <w:t>（</w:t>
                  </w:r>
                  <w:r>
                    <w:rPr>
                      <w:rFonts w:hint="default" w:ascii="Times New Roman" w:hAnsi="Times New Roman" w:cs="Times New Roman"/>
                      <w:b/>
                      <w:snapToGrid w:val="0"/>
                      <w:color w:val="auto"/>
                      <w:sz w:val="21"/>
                      <w:szCs w:val="21"/>
                    </w:rPr>
                    <w:t>A</w:t>
                  </w:r>
                  <w:r>
                    <w:rPr>
                      <w:rFonts w:hint="default" w:ascii="Times New Roman" w:hAnsi="Times New Roman" w:eastAsia="宋体" w:cs="Times New Roman"/>
                      <w:b/>
                      <w:snapToGrid w:val="0"/>
                      <w:color w:val="auto"/>
                      <w:sz w:val="21"/>
                      <w:szCs w:val="21"/>
                    </w:rPr>
                    <w:t>）</w:t>
                  </w:r>
                </w:p>
              </w:tc>
              <w:tc>
                <w:tcPr>
                  <w:tcW w:w="90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51060D4">
                  <w:pPr>
                    <w:spacing w:beforeLines="0" w:afterLines="0" w:line="320" w:lineRule="exact"/>
                    <w:jc w:val="center"/>
                    <w:rPr>
                      <w:rFonts w:hint="default" w:ascii="Times New Roman" w:hAnsi="Times New Roman" w:cs="Times New Roman"/>
                      <w:color w:val="auto"/>
                      <w:sz w:val="21"/>
                      <w:szCs w:val="21"/>
                    </w:rPr>
                  </w:pPr>
                </w:p>
              </w:tc>
              <w:tc>
                <w:tcPr>
                  <w:tcW w:w="28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63B91FE">
                  <w:pPr>
                    <w:spacing w:beforeLines="0" w:afterLines="0" w:line="320" w:lineRule="exact"/>
                    <w:jc w:val="center"/>
                    <w:rPr>
                      <w:rFonts w:hint="default" w:ascii="Times New Roman" w:hAnsi="Times New Roman" w:cs="Times New Roman"/>
                      <w:color w:val="auto"/>
                      <w:sz w:val="21"/>
                      <w:szCs w:val="21"/>
                    </w:rPr>
                  </w:pPr>
                </w:p>
              </w:tc>
            </w:tr>
            <w:tr w14:paraId="387C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D61D8C">
                  <w:pPr>
                    <w:spacing w:beforeLines="0" w:afterLines="0"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2CEE32">
                  <w:pPr>
                    <w:spacing w:beforeLines="0" w:afterLines="0" w:line="320" w:lineRule="exact"/>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水泵</w:t>
                  </w:r>
                </w:p>
              </w:tc>
              <w:tc>
                <w:tcPr>
                  <w:tcW w:w="4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4CEC90">
                  <w:pPr>
                    <w:spacing w:beforeLines="0" w:afterLines="0"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08DFD9">
                  <w:pPr>
                    <w:spacing w:beforeLines="0" w:afterLines="0" w:line="320" w:lineRule="exact"/>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65</w:t>
                  </w:r>
                </w:p>
              </w:tc>
              <w:tc>
                <w:tcPr>
                  <w:tcW w:w="3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A27284">
                  <w:pPr>
                    <w:spacing w:beforeLines="0" w:afterLines="0" w:line="320" w:lineRule="exact"/>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35</w:t>
                  </w:r>
                </w:p>
              </w:tc>
              <w:tc>
                <w:tcPr>
                  <w:tcW w:w="3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AB10EC">
                  <w:pPr>
                    <w:spacing w:beforeLines="0" w:afterLine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88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DACE04">
                  <w:pPr>
                    <w:spacing w:beforeLines="0" w:afterLines="0"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85/1</w:t>
                  </w:r>
                </w:p>
              </w:tc>
              <w:tc>
                <w:tcPr>
                  <w:tcW w:w="6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947471">
                  <w:pPr>
                    <w:spacing w:beforeLines="0" w:afterLines="0" w:line="320" w:lineRule="exact"/>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85</w:t>
                  </w:r>
                </w:p>
              </w:tc>
              <w:tc>
                <w:tcPr>
                  <w:tcW w:w="901" w:type="pct"/>
                  <w:vMerge w:val="restart"/>
                  <w:tcBorders>
                    <w:top w:val="single" w:color="auto" w:sz="4" w:space="0"/>
                    <w:left w:val="single" w:color="auto" w:sz="4" w:space="0"/>
                    <w:right w:val="single" w:color="auto" w:sz="4" w:space="0"/>
                    <w:tl2br w:val="nil"/>
                    <w:tr2bl w:val="nil"/>
                  </w:tcBorders>
                  <w:noWrap w:val="0"/>
                  <w:vAlign w:val="center"/>
                </w:tcPr>
                <w:p w14:paraId="53696EB9">
                  <w:pPr>
                    <w:spacing w:beforeLines="0" w:afterLines="0" w:line="32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选用低噪声设备、合理布局、墙体隔声、设置减震垫</w:t>
                  </w:r>
                </w:p>
              </w:tc>
              <w:tc>
                <w:tcPr>
                  <w:tcW w:w="2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9981B1">
                  <w:pPr>
                    <w:spacing w:beforeLines="0" w:afterLines="0" w:line="32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昼</w:t>
                  </w:r>
                </w:p>
              </w:tc>
            </w:tr>
            <w:tr w14:paraId="2FC1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FCE26F">
                  <w:pPr>
                    <w:spacing w:beforeLines="0" w:afterLines="0"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76E9BB">
                  <w:pPr>
                    <w:spacing w:beforeLines="0" w:afterLines="0"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风机1</w:t>
                  </w:r>
                </w:p>
              </w:tc>
              <w:tc>
                <w:tcPr>
                  <w:tcW w:w="4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DA530A">
                  <w:pPr>
                    <w:spacing w:beforeLines="0" w:afterLines="0"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B8AEB3">
                  <w:pPr>
                    <w:spacing w:beforeLines="0" w:afterLines="0" w:line="32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3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609EF9">
                  <w:pPr>
                    <w:spacing w:beforeLines="0" w:afterLines="0" w:line="320" w:lineRule="exact"/>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30</w:t>
                  </w:r>
                </w:p>
              </w:tc>
              <w:tc>
                <w:tcPr>
                  <w:tcW w:w="3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997720">
                  <w:pPr>
                    <w:spacing w:beforeLines="0" w:afterLine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88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DC1903">
                  <w:pPr>
                    <w:spacing w:beforeLines="0" w:afterLines="0"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85/1</w:t>
                  </w:r>
                </w:p>
              </w:tc>
              <w:tc>
                <w:tcPr>
                  <w:tcW w:w="6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8E6986">
                  <w:pPr>
                    <w:spacing w:beforeLines="0" w:afterLines="0" w:line="320" w:lineRule="exact"/>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85</w:t>
                  </w:r>
                </w:p>
              </w:tc>
              <w:tc>
                <w:tcPr>
                  <w:tcW w:w="901" w:type="pct"/>
                  <w:vMerge w:val="continue"/>
                  <w:tcBorders>
                    <w:left w:val="single" w:color="auto" w:sz="4" w:space="0"/>
                    <w:right w:val="single" w:color="auto" w:sz="4" w:space="0"/>
                    <w:tl2br w:val="nil"/>
                    <w:tr2bl w:val="nil"/>
                  </w:tcBorders>
                  <w:noWrap w:val="0"/>
                  <w:vAlign w:val="center"/>
                </w:tcPr>
                <w:p w14:paraId="49207CF9">
                  <w:pPr>
                    <w:spacing w:beforeLines="0" w:afterLines="0" w:line="320" w:lineRule="exact"/>
                    <w:jc w:val="center"/>
                    <w:rPr>
                      <w:rFonts w:hint="default" w:ascii="Times New Roman" w:hAnsi="Times New Roman" w:eastAsia="宋体" w:cs="Times New Roman"/>
                      <w:color w:val="auto"/>
                      <w:sz w:val="21"/>
                      <w:szCs w:val="21"/>
                    </w:rPr>
                  </w:pPr>
                </w:p>
              </w:tc>
              <w:tc>
                <w:tcPr>
                  <w:tcW w:w="2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068B24">
                  <w:pPr>
                    <w:spacing w:beforeLines="0" w:afterLines="0"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w:t>
                  </w:r>
                </w:p>
              </w:tc>
            </w:tr>
            <w:tr w14:paraId="28D0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2A7F29">
                  <w:pPr>
                    <w:spacing w:beforeLines="0" w:afterLines="0"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5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5D9117">
                  <w:pPr>
                    <w:spacing w:beforeLines="0" w:afterLines="0"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风机</w:t>
                  </w:r>
                  <w:r>
                    <w:rPr>
                      <w:rFonts w:hint="default" w:ascii="Times New Roman" w:hAnsi="Times New Roman" w:cs="Times New Roman"/>
                      <w:color w:val="auto"/>
                      <w:sz w:val="21"/>
                      <w:szCs w:val="21"/>
                      <w:lang w:val="en-US" w:eastAsia="zh-CN"/>
                    </w:rPr>
                    <w:t>2</w:t>
                  </w:r>
                </w:p>
              </w:tc>
              <w:tc>
                <w:tcPr>
                  <w:tcW w:w="4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E16590">
                  <w:pPr>
                    <w:spacing w:beforeLines="0" w:afterLines="0"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A26C12">
                  <w:pPr>
                    <w:spacing w:beforeLines="0" w:afterLines="0" w:line="320" w:lineRule="exa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25</w:t>
                  </w:r>
                </w:p>
              </w:tc>
              <w:tc>
                <w:tcPr>
                  <w:tcW w:w="3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84F130">
                  <w:pPr>
                    <w:spacing w:beforeLines="0" w:afterLines="0" w:line="320" w:lineRule="exact"/>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30</w:t>
                  </w:r>
                </w:p>
              </w:tc>
              <w:tc>
                <w:tcPr>
                  <w:tcW w:w="3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975104">
                  <w:pPr>
                    <w:spacing w:beforeLines="0" w:afterLine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88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C3C76D">
                  <w:pPr>
                    <w:spacing w:beforeLines="0" w:afterLines="0"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85/1</w:t>
                  </w:r>
                </w:p>
              </w:tc>
              <w:tc>
                <w:tcPr>
                  <w:tcW w:w="6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9FB911">
                  <w:pPr>
                    <w:spacing w:beforeLines="0" w:afterLines="0" w:line="320" w:lineRule="exact"/>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85</w:t>
                  </w:r>
                </w:p>
              </w:tc>
              <w:tc>
                <w:tcPr>
                  <w:tcW w:w="901" w:type="pct"/>
                  <w:vMerge w:val="continue"/>
                  <w:tcBorders>
                    <w:left w:val="single" w:color="auto" w:sz="4" w:space="0"/>
                    <w:right w:val="single" w:color="auto" w:sz="4" w:space="0"/>
                    <w:tl2br w:val="nil"/>
                    <w:tr2bl w:val="nil"/>
                  </w:tcBorders>
                  <w:noWrap w:val="0"/>
                  <w:vAlign w:val="center"/>
                </w:tcPr>
                <w:p w14:paraId="18E44CBB">
                  <w:pPr>
                    <w:spacing w:beforeLines="0" w:afterLines="0" w:line="320" w:lineRule="exact"/>
                    <w:jc w:val="center"/>
                    <w:rPr>
                      <w:rFonts w:hint="default" w:ascii="Times New Roman" w:hAnsi="Times New Roman" w:eastAsia="宋体" w:cs="Times New Roman"/>
                      <w:color w:val="auto"/>
                      <w:sz w:val="21"/>
                      <w:szCs w:val="21"/>
                    </w:rPr>
                  </w:pPr>
                </w:p>
              </w:tc>
              <w:tc>
                <w:tcPr>
                  <w:tcW w:w="2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F0CC61">
                  <w:pPr>
                    <w:spacing w:beforeLines="0" w:afterLines="0"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w:t>
                  </w:r>
                </w:p>
              </w:tc>
            </w:tr>
            <w:tr w14:paraId="0AD7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2D40ED">
                  <w:pPr>
                    <w:spacing w:beforeLines="0" w:afterLines="0" w:line="320" w:lineRule="exa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p>
              </w:tc>
              <w:tc>
                <w:tcPr>
                  <w:tcW w:w="5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E39752">
                  <w:pPr>
                    <w:spacing w:beforeLines="0" w:afterLines="0" w:line="320" w:lineRule="exact"/>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风机</w:t>
                  </w:r>
                  <w:r>
                    <w:rPr>
                      <w:rFonts w:hint="eastAsia" w:cs="Times New Roman"/>
                      <w:color w:val="auto"/>
                      <w:sz w:val="21"/>
                      <w:szCs w:val="21"/>
                      <w:lang w:val="en-US" w:eastAsia="zh-CN"/>
                    </w:rPr>
                    <w:t>3</w:t>
                  </w:r>
                </w:p>
              </w:tc>
              <w:tc>
                <w:tcPr>
                  <w:tcW w:w="4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4B36A6">
                  <w:pPr>
                    <w:spacing w:beforeLines="0" w:afterLines="0" w:line="320" w:lineRule="exact"/>
                    <w:jc w:val="center"/>
                    <w:rPr>
                      <w:rFonts w:hint="default" w:ascii="Times New Roman" w:hAnsi="Times New Roman" w:cs="Times New Roman"/>
                      <w:color w:val="auto"/>
                      <w:sz w:val="21"/>
                      <w:szCs w:val="21"/>
                    </w:rPr>
                  </w:pPr>
                </w:p>
              </w:tc>
              <w:tc>
                <w:tcPr>
                  <w:tcW w:w="3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7E3B81">
                  <w:pPr>
                    <w:spacing w:line="320" w:lineRule="exact"/>
                    <w:jc w:val="center"/>
                    <w:rPr>
                      <w:rFonts w:hint="default" w:ascii="Times New Roman" w:hAnsi="Times New Roman" w:cs="Times New Roman"/>
                      <w:color w:val="auto"/>
                      <w:sz w:val="21"/>
                      <w:szCs w:val="21"/>
                      <w:lang w:val="en-US" w:eastAsia="zh-CN"/>
                    </w:rPr>
                  </w:pPr>
                  <w:r>
                    <w:rPr>
                      <w:rFonts w:hint="default"/>
                      <w:color w:val="auto"/>
                      <w:sz w:val="21"/>
                      <w:szCs w:val="21"/>
                    </w:rPr>
                    <w:t>50</w:t>
                  </w:r>
                </w:p>
              </w:tc>
              <w:tc>
                <w:tcPr>
                  <w:tcW w:w="3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C36B95">
                  <w:pPr>
                    <w:spacing w:line="320" w:lineRule="exact"/>
                    <w:jc w:val="center"/>
                    <w:rPr>
                      <w:rFonts w:hint="default" w:ascii="Times New Roman" w:hAnsi="Times New Roman" w:cs="Times New Roman"/>
                      <w:color w:val="auto"/>
                      <w:kern w:val="2"/>
                      <w:sz w:val="21"/>
                      <w:szCs w:val="21"/>
                      <w:lang w:val="en-US" w:eastAsia="zh-CN" w:bidi="ar-SA"/>
                    </w:rPr>
                  </w:pPr>
                  <w:r>
                    <w:rPr>
                      <w:rFonts w:hint="default"/>
                      <w:color w:val="auto"/>
                      <w:sz w:val="21"/>
                      <w:szCs w:val="21"/>
                    </w:rPr>
                    <w:t>30</w:t>
                  </w:r>
                </w:p>
              </w:tc>
              <w:tc>
                <w:tcPr>
                  <w:tcW w:w="3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4CE17D">
                  <w:pPr>
                    <w:jc w:val="center"/>
                    <w:rPr>
                      <w:rFonts w:hint="default" w:ascii="Times New Roman" w:hAnsi="Times New Roman" w:cs="Times New Roman"/>
                      <w:color w:val="auto"/>
                      <w:kern w:val="2"/>
                      <w:sz w:val="21"/>
                      <w:szCs w:val="21"/>
                      <w:lang w:val="en-US" w:eastAsia="zh-CN" w:bidi="ar-SA"/>
                    </w:rPr>
                  </w:pPr>
                  <w:r>
                    <w:rPr>
                      <w:rFonts w:hint="default"/>
                      <w:color w:val="auto"/>
                      <w:sz w:val="21"/>
                      <w:szCs w:val="21"/>
                    </w:rPr>
                    <w:t>1</w:t>
                  </w:r>
                </w:p>
              </w:tc>
              <w:tc>
                <w:tcPr>
                  <w:tcW w:w="88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F6D99A">
                  <w:pPr>
                    <w:spacing w:line="320" w:lineRule="exact"/>
                    <w:jc w:val="center"/>
                    <w:rPr>
                      <w:rFonts w:hint="default" w:ascii="Times New Roman" w:hAnsi="Times New Roman" w:cs="Times New Roman"/>
                      <w:color w:val="auto"/>
                      <w:sz w:val="21"/>
                      <w:szCs w:val="21"/>
                    </w:rPr>
                  </w:pPr>
                  <w:r>
                    <w:rPr>
                      <w:rFonts w:hint="default"/>
                      <w:color w:val="auto"/>
                      <w:sz w:val="21"/>
                      <w:szCs w:val="21"/>
                    </w:rPr>
                    <w:t>85/1</w:t>
                  </w:r>
                </w:p>
              </w:tc>
              <w:tc>
                <w:tcPr>
                  <w:tcW w:w="6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159780">
                  <w:pPr>
                    <w:spacing w:line="320" w:lineRule="exact"/>
                    <w:jc w:val="center"/>
                    <w:rPr>
                      <w:rFonts w:hint="default" w:ascii="Times New Roman" w:hAnsi="Times New Roman" w:cs="Times New Roman"/>
                      <w:snapToGrid w:val="0"/>
                      <w:color w:val="auto"/>
                      <w:sz w:val="21"/>
                      <w:szCs w:val="21"/>
                    </w:rPr>
                  </w:pPr>
                  <w:r>
                    <w:rPr>
                      <w:rFonts w:hint="default"/>
                      <w:snapToGrid w:val="0"/>
                      <w:color w:val="auto"/>
                      <w:sz w:val="21"/>
                      <w:szCs w:val="21"/>
                    </w:rPr>
                    <w:t>85</w:t>
                  </w:r>
                </w:p>
              </w:tc>
              <w:tc>
                <w:tcPr>
                  <w:tcW w:w="901" w:type="pct"/>
                  <w:vMerge w:val="continue"/>
                  <w:tcBorders>
                    <w:left w:val="single" w:color="auto" w:sz="4" w:space="0"/>
                    <w:right w:val="single" w:color="auto" w:sz="4" w:space="0"/>
                    <w:tl2br w:val="nil"/>
                    <w:tr2bl w:val="nil"/>
                  </w:tcBorders>
                  <w:noWrap w:val="0"/>
                  <w:vAlign w:val="center"/>
                </w:tcPr>
                <w:p w14:paraId="3E781F47">
                  <w:pPr>
                    <w:spacing w:beforeLines="0" w:afterLines="0" w:line="320" w:lineRule="exact"/>
                    <w:jc w:val="center"/>
                    <w:rPr>
                      <w:rFonts w:hint="default" w:ascii="Times New Roman" w:hAnsi="Times New Roman" w:eastAsia="宋体" w:cs="Times New Roman"/>
                      <w:color w:val="auto"/>
                      <w:sz w:val="21"/>
                      <w:szCs w:val="21"/>
                    </w:rPr>
                  </w:pPr>
                </w:p>
              </w:tc>
              <w:tc>
                <w:tcPr>
                  <w:tcW w:w="2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76EB5B">
                  <w:pPr>
                    <w:spacing w:beforeLines="0" w:afterLines="0"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w:t>
                  </w:r>
                </w:p>
              </w:tc>
            </w:tr>
          </w:tbl>
          <w:p w14:paraId="288970F6">
            <w:pPr>
              <w:pStyle w:val="47"/>
              <w:snapToGrid w:val="0"/>
              <w:spacing w:line="520" w:lineRule="exact"/>
              <w:ind w:firstLine="0"/>
              <w:rPr>
                <w:rFonts w:hint="default"/>
                <w:color w:val="auto"/>
                <w:lang w:val="en-US" w:eastAsia="zh-CN"/>
              </w:rPr>
            </w:pPr>
            <w:r>
              <w:rPr>
                <w:rFonts w:hint="default"/>
                <w:b/>
                <w:smallCaps/>
                <w:color w:val="auto"/>
                <w:sz w:val="21"/>
                <w:szCs w:val="21"/>
              </w:rPr>
              <w:t>注：坐标原点为厂区总平面图西南角</w:t>
            </w:r>
          </w:p>
          <w:p w14:paraId="6B657722">
            <w:pPr>
              <w:spacing w:beforeLines="0" w:afterLines="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为进一步降低项目运行噪声对周围声环境质量的影响，要求建设单位应做到以下几点：</w:t>
            </w:r>
          </w:p>
          <w:p w14:paraId="4E0E655B">
            <w:pPr>
              <w:spacing w:beforeLines="0" w:afterLines="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1）选用低噪声设备，对噪声相对较大的设备，应加强减振降噪措施，如加装隔振垫、减振器、消声器等；</w:t>
            </w:r>
          </w:p>
          <w:p w14:paraId="4A367142">
            <w:pPr>
              <w:spacing w:beforeLines="0" w:afterLines="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2）加强设备的维护，确保设备处于良好的运转状态，杜绝因设备不正常运转时产生的高噪声现象；</w:t>
            </w:r>
          </w:p>
          <w:p w14:paraId="4C122CDE">
            <w:pPr>
              <w:spacing w:beforeLines="0" w:afterLines="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3）在厂界四周内侧进行绿化，利用树木等绿植减轻噪声污染。</w:t>
            </w:r>
          </w:p>
          <w:p w14:paraId="2ECBC80C">
            <w:pPr>
              <w:spacing w:beforeLines="0" w:afterLines="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项目风机及污水泵、供水水泵均设置在室内，并且部分采取减振、隔声等措施，同时可利用建筑物、构筑物来阻隔声波的传播，可减少对周围环境的影响，场界噪声影响值不会改变建设项目所在区域声环境功能要求，对周围环境的影响较小。</w:t>
            </w:r>
          </w:p>
          <w:p w14:paraId="220B6508">
            <w:pPr>
              <w:spacing w:beforeLines="0" w:afterLines="0"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对敏感点的影响分析</w:t>
            </w:r>
          </w:p>
          <w:p w14:paraId="0A6710BA">
            <w:pPr>
              <w:spacing w:beforeLines="0" w:afterLines="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项目生产均在封闭的车间内进行，根据现场勘查，项目</w:t>
            </w:r>
            <w:r>
              <w:rPr>
                <w:rFonts w:hint="eastAsia" w:cs="Times New Roman"/>
                <w:color w:val="auto"/>
                <w:sz w:val="24"/>
                <w:szCs w:val="24"/>
                <w:lang w:val="en-US" w:eastAsia="zh-CN"/>
              </w:rPr>
              <w:t>北侧25m为左马村</w:t>
            </w:r>
            <w:r>
              <w:rPr>
                <w:rFonts w:hint="default" w:ascii="Times New Roman" w:hAnsi="Times New Roman" w:eastAsia="宋体" w:cs="Times New Roman"/>
                <w:color w:val="auto"/>
                <w:sz w:val="24"/>
                <w:szCs w:val="24"/>
              </w:rPr>
              <w:t>，主要是生产设备噪声，噪声经厂房布局、隔声、减振、降噪、设备维护等方面考虑噪声防治措施后，经距离衰减，基本不对敏感点噪声产生影响。</w:t>
            </w:r>
          </w:p>
          <w:p w14:paraId="67956296">
            <w:pPr>
              <w:spacing w:beforeLines="0" w:afterLines="0" w:line="360" w:lineRule="auto"/>
              <w:ind w:firstLine="480" w:firstLineChars="200"/>
              <w:rPr>
                <w:rFonts w:hint="default" w:ascii="宋体" w:eastAsia="宋体"/>
                <w:color w:val="auto"/>
                <w:sz w:val="24"/>
                <w:szCs w:val="24"/>
              </w:rPr>
            </w:pPr>
            <w:r>
              <w:rPr>
                <w:rFonts w:hint="eastAsia" w:cs="Times New Roman"/>
                <w:color w:val="auto"/>
                <w:sz w:val="24"/>
                <w:szCs w:val="24"/>
                <w:lang w:val="en-US" w:eastAsia="zh-CN"/>
              </w:rPr>
              <w:t>综上，</w:t>
            </w:r>
            <w:r>
              <w:rPr>
                <w:rFonts w:hint="default" w:ascii="Times New Roman" w:hAnsi="Times New Roman" w:eastAsia="宋体" w:cs="Times New Roman"/>
                <w:color w:val="auto"/>
                <w:sz w:val="24"/>
                <w:szCs w:val="24"/>
              </w:rPr>
              <w:t>项目在认真落实上述噪声治理措施后，厂界</w:t>
            </w:r>
            <w:r>
              <w:rPr>
                <w:rFonts w:hint="eastAsia" w:cs="Times New Roman"/>
                <w:color w:val="auto"/>
                <w:sz w:val="24"/>
                <w:szCs w:val="24"/>
                <w:lang w:val="en-US" w:eastAsia="zh-CN"/>
              </w:rPr>
              <w:t>东南西侧</w:t>
            </w:r>
            <w:r>
              <w:rPr>
                <w:rFonts w:hint="default" w:ascii="Times New Roman" w:hAnsi="Times New Roman" w:eastAsia="宋体" w:cs="Times New Roman"/>
                <w:color w:val="auto"/>
                <w:sz w:val="24"/>
                <w:szCs w:val="24"/>
              </w:rPr>
              <w:t>噪声满足《工业企业厂界环境噪声排放标准》（GB12348-2008）中规定的</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类区排放限值</w:t>
            </w:r>
            <w:r>
              <w:rPr>
                <w:rFonts w:hint="eastAsia" w:cs="Times New Roman"/>
                <w:color w:val="auto"/>
                <w:sz w:val="24"/>
                <w:szCs w:val="24"/>
                <w:lang w:eastAsia="zh-CN"/>
              </w:rPr>
              <w:t>，</w:t>
            </w:r>
            <w:r>
              <w:rPr>
                <w:rFonts w:hint="eastAsia" w:cs="Times New Roman"/>
                <w:color w:val="auto"/>
                <w:sz w:val="24"/>
                <w:szCs w:val="24"/>
                <w:lang w:val="en-US" w:eastAsia="zh-CN"/>
              </w:rPr>
              <w:t>厂界北侧满足《工业企业厂界环境噪声排放标准》（GB12348-2008）中规定的4a类区排放限值</w:t>
            </w:r>
            <w:r>
              <w:rPr>
                <w:rFonts w:hint="default" w:ascii="宋体" w:eastAsia="宋体"/>
                <w:color w:val="auto"/>
                <w:sz w:val="24"/>
                <w:szCs w:val="24"/>
              </w:rPr>
              <w:t>。</w:t>
            </w:r>
          </w:p>
          <w:p w14:paraId="3A20003E">
            <w:pPr>
              <w:adjustRightInd w:val="0"/>
              <w:snapToGrid w:val="0"/>
              <w:spacing w:line="360" w:lineRule="auto"/>
              <w:ind w:firstLine="482" w:firstLineChars="200"/>
              <w:rPr>
                <w:rFonts w:hint="eastAsia" w:ascii="Times New Roman" w:hAnsi="Times New Roman" w:eastAsia="Times New Roman" w:cs="Times New Roman"/>
                <w:b/>
                <w:color w:val="auto"/>
                <w:sz w:val="24"/>
                <w:szCs w:val="24"/>
              </w:rPr>
            </w:pPr>
            <w:r>
              <w:rPr>
                <w:rFonts w:hint="eastAsia" w:ascii="Times New Roman" w:hAnsi="Times New Roman" w:eastAsia="宋体" w:cs="Times New Roman"/>
                <w:b/>
                <w:color w:val="auto"/>
                <w:sz w:val="24"/>
                <w:szCs w:val="24"/>
                <w:lang w:eastAsia="zh-CN"/>
              </w:rPr>
              <w:t>（</w:t>
            </w:r>
            <w:r>
              <w:rPr>
                <w:rFonts w:hint="eastAsia" w:ascii="Times New Roman" w:hAnsi="Times New Roman" w:eastAsia="宋体" w:cs="Times New Roman"/>
                <w:b/>
                <w:color w:val="auto"/>
                <w:sz w:val="24"/>
                <w:szCs w:val="24"/>
                <w:lang w:val="en-US" w:eastAsia="zh-CN"/>
              </w:rPr>
              <w:t>2</w:t>
            </w:r>
            <w:r>
              <w:rPr>
                <w:rFonts w:hint="eastAsia" w:ascii="Times New Roman" w:hAnsi="Times New Roman" w:eastAsia="宋体" w:cs="Times New Roman"/>
                <w:b/>
                <w:color w:val="auto"/>
                <w:sz w:val="24"/>
                <w:szCs w:val="24"/>
                <w:lang w:eastAsia="zh-CN"/>
              </w:rPr>
              <w:t>）</w:t>
            </w:r>
            <w:r>
              <w:rPr>
                <w:rFonts w:hint="default" w:ascii="宋体" w:hAnsi="Times New Roman" w:eastAsia="宋体" w:cs="Times New Roman"/>
                <w:b/>
                <w:color w:val="auto"/>
                <w:sz w:val="24"/>
                <w:szCs w:val="24"/>
              </w:rPr>
              <w:t>厂界</w:t>
            </w:r>
            <w:r>
              <w:rPr>
                <w:rFonts w:hint="eastAsia" w:ascii="宋体" w:cs="Times New Roman"/>
                <w:b/>
                <w:color w:val="auto"/>
                <w:sz w:val="24"/>
                <w:szCs w:val="24"/>
                <w:lang w:val="en-US" w:eastAsia="zh-CN"/>
              </w:rPr>
              <w:t>和敏感点</w:t>
            </w:r>
            <w:r>
              <w:rPr>
                <w:rFonts w:hint="default" w:ascii="宋体" w:hAnsi="Times New Roman" w:eastAsia="宋体" w:cs="Times New Roman"/>
                <w:b/>
                <w:color w:val="auto"/>
                <w:sz w:val="24"/>
                <w:szCs w:val="24"/>
              </w:rPr>
              <w:t>达标情况</w:t>
            </w:r>
          </w:p>
          <w:p w14:paraId="38E7F6D9">
            <w:pPr>
              <w:spacing w:line="360" w:lineRule="auto"/>
              <w:ind w:firstLine="482"/>
              <w:rPr>
                <w:rFonts w:hint="default"/>
                <w:color w:val="auto"/>
                <w:sz w:val="24"/>
                <w:szCs w:val="24"/>
              </w:rPr>
            </w:pPr>
            <w:r>
              <w:rPr>
                <w:rFonts w:hint="default" w:ascii="宋体" w:hAnsi="宋体" w:eastAsia="宋体"/>
                <w:color w:val="auto"/>
                <w:sz w:val="24"/>
                <w:szCs w:val="24"/>
              </w:rPr>
              <w:t>采用《环境影响评价技术导则声环境》（HJ2.4－2021）中的工业噪声预测模式。工业声源有室外和室内两种声源，应分别计算。根据预测点和声源之间的距离r，根据声源发出声波的波阵面，将声源划分为点声源、线声源、面声源后进行预测。在本次预测中，将噪声源划分为点声源进行预测。项目对声环境产生影响的主要噪声源，按其辐射噪声和结构特点，安装位置的环境条件以及噪声源至预测点的距离等因素进行判断，逐一计算某一声源在预测点上产生的声压级（dB）。</w:t>
            </w:r>
          </w:p>
          <w:p w14:paraId="13B3BF2B">
            <w:pPr>
              <w:spacing w:line="360" w:lineRule="auto"/>
              <w:ind w:firstLine="482"/>
              <w:rPr>
                <w:rFonts w:hint="default"/>
                <w:color w:val="auto"/>
                <w:sz w:val="24"/>
                <w:szCs w:val="24"/>
              </w:rPr>
            </w:pPr>
            <w:r>
              <w:rPr>
                <w:rFonts w:hint="default"/>
                <w:color w:val="auto"/>
                <w:sz w:val="24"/>
                <w:szCs w:val="24"/>
              </w:rPr>
              <w:t>①</w:t>
            </w:r>
            <w:r>
              <w:rPr>
                <w:rFonts w:hint="default" w:ascii="宋体" w:hAnsi="宋体" w:eastAsia="宋体"/>
                <w:color w:val="auto"/>
                <w:sz w:val="24"/>
                <w:szCs w:val="24"/>
              </w:rPr>
              <w:t>单个室外的点声源在预测点产生的声级计算公式</w:t>
            </w:r>
          </w:p>
          <w:p w14:paraId="5AFF6D78">
            <w:pPr>
              <w:spacing w:line="360" w:lineRule="auto"/>
              <w:ind w:firstLine="482"/>
              <w:rPr>
                <w:rFonts w:hint="default"/>
                <w:color w:val="auto"/>
                <w:sz w:val="24"/>
                <w:szCs w:val="24"/>
              </w:rPr>
            </w:pPr>
            <w:r>
              <w:rPr>
                <w:rFonts w:hint="default" w:ascii="宋体" w:hAnsi="宋体" w:eastAsia="宋体"/>
                <w:color w:val="auto"/>
                <w:sz w:val="24"/>
                <w:szCs w:val="24"/>
              </w:rPr>
              <w:t>根据《环境影响评价技术导则－声环境》（HJ2.4－2021），本项目已知各声源1m处的A声级，单个声源在预测点处产生的声级值计算模式如下：</w:t>
            </w:r>
          </w:p>
          <w:p w14:paraId="6D148C04">
            <w:pPr>
              <w:spacing w:line="360" w:lineRule="auto"/>
              <w:jc w:val="center"/>
              <w:rPr>
                <w:rFonts w:hint="default"/>
                <w:color w:val="auto"/>
                <w:sz w:val="24"/>
                <w:szCs w:val="24"/>
              </w:rPr>
            </w:pPr>
            <w:r>
              <w:rPr>
                <w:rFonts w:hint="default"/>
                <w:color w:val="auto"/>
                <w:sz w:val="21"/>
                <w:szCs w:val="24"/>
              </w:rPr>
              <w:drawing>
                <wp:inline distT="0" distB="0" distL="114300" distR="114300">
                  <wp:extent cx="2392680" cy="646430"/>
                  <wp:effectExtent l="0" t="0" r="0" b="8890"/>
                  <wp:docPr id="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5"/>
                          <pic:cNvPicPr>
                            <a:picLocks noChangeAspect="1"/>
                          </pic:cNvPicPr>
                        </pic:nvPicPr>
                        <pic:blipFill>
                          <a:blip r:embed="rId23"/>
                          <a:stretch>
                            <a:fillRect/>
                          </a:stretch>
                        </pic:blipFill>
                        <pic:spPr>
                          <a:xfrm>
                            <a:off x="0" y="0"/>
                            <a:ext cx="2392680" cy="646430"/>
                          </a:xfrm>
                          <a:prstGeom prst="rect">
                            <a:avLst/>
                          </a:prstGeom>
                          <a:noFill/>
                          <a:ln>
                            <a:noFill/>
                          </a:ln>
                        </pic:spPr>
                      </pic:pic>
                    </a:graphicData>
                  </a:graphic>
                </wp:inline>
              </w:drawing>
            </w:r>
          </w:p>
          <w:p w14:paraId="2F326CC0">
            <w:pPr>
              <w:spacing w:line="360" w:lineRule="auto"/>
              <w:ind w:firstLine="482"/>
              <w:rPr>
                <w:rFonts w:hint="default"/>
                <w:color w:val="auto"/>
                <w:sz w:val="24"/>
                <w:szCs w:val="24"/>
              </w:rPr>
            </w:pPr>
            <w:r>
              <w:rPr>
                <w:rFonts w:hint="default" w:ascii="宋体" w:hAnsi="宋体" w:eastAsia="宋体"/>
                <w:color w:val="auto"/>
                <w:sz w:val="24"/>
                <w:szCs w:val="24"/>
              </w:rPr>
              <w:t>式中：LA（r）—各声源单独作用在预测点时产生的A声级，dB（A）；</w:t>
            </w:r>
          </w:p>
          <w:p w14:paraId="015BA851">
            <w:pPr>
              <w:spacing w:line="360" w:lineRule="auto"/>
              <w:ind w:firstLine="482"/>
              <w:rPr>
                <w:rFonts w:hint="default"/>
                <w:color w:val="auto"/>
                <w:sz w:val="24"/>
                <w:szCs w:val="24"/>
              </w:rPr>
            </w:pPr>
            <w:r>
              <w:rPr>
                <w:rFonts w:hint="default"/>
                <w:color w:val="auto"/>
                <w:sz w:val="24"/>
                <w:szCs w:val="24"/>
              </w:rPr>
              <w:t>LA</w:t>
            </w:r>
            <w:r>
              <w:rPr>
                <w:rFonts w:hint="default" w:ascii="宋体" w:hAnsi="宋体" w:eastAsia="宋体"/>
                <w:color w:val="auto"/>
                <w:sz w:val="24"/>
                <w:szCs w:val="24"/>
              </w:rPr>
              <w:t>（r0）—参考位置r0处的A声级，dB（A）；</w:t>
            </w:r>
          </w:p>
          <w:p w14:paraId="4FDB568B">
            <w:pPr>
              <w:spacing w:line="360" w:lineRule="auto"/>
              <w:ind w:firstLine="482"/>
              <w:rPr>
                <w:rFonts w:hint="default"/>
                <w:color w:val="auto"/>
                <w:sz w:val="24"/>
                <w:szCs w:val="24"/>
              </w:rPr>
            </w:pPr>
            <w:r>
              <w:rPr>
                <w:rFonts w:hint="default"/>
                <w:color w:val="auto"/>
                <w:sz w:val="24"/>
                <w:szCs w:val="24"/>
              </w:rPr>
              <w:t>A—A</w:t>
            </w:r>
            <w:r>
              <w:rPr>
                <w:rFonts w:hint="default" w:ascii="宋体" w:hAnsi="宋体" w:eastAsia="宋体"/>
                <w:color w:val="auto"/>
                <w:sz w:val="24"/>
                <w:szCs w:val="24"/>
              </w:rPr>
              <w:t>声级衰减，本次评价中选用对A声级影响最大的倍频带（中心频率为500HZ的倍频带）进行计算，dB（A）；</w:t>
            </w:r>
          </w:p>
          <w:p w14:paraId="701D6A53">
            <w:pPr>
              <w:spacing w:line="360" w:lineRule="auto"/>
              <w:ind w:firstLine="482"/>
              <w:rPr>
                <w:rFonts w:hint="default"/>
                <w:color w:val="auto"/>
                <w:sz w:val="24"/>
                <w:szCs w:val="24"/>
              </w:rPr>
            </w:pPr>
            <w:r>
              <w:rPr>
                <w:rFonts w:hint="default"/>
                <w:color w:val="auto"/>
                <w:sz w:val="24"/>
                <w:szCs w:val="24"/>
              </w:rPr>
              <w:t>Adiv—</w:t>
            </w:r>
            <w:r>
              <w:rPr>
                <w:rFonts w:hint="default" w:ascii="宋体" w:hAnsi="宋体" w:eastAsia="宋体"/>
                <w:color w:val="auto"/>
                <w:sz w:val="24"/>
                <w:szCs w:val="24"/>
              </w:rPr>
              <w:t>几何发散引起的倍频带衰减，dB；</w:t>
            </w:r>
          </w:p>
          <w:p w14:paraId="169C1C88">
            <w:pPr>
              <w:spacing w:line="360" w:lineRule="auto"/>
              <w:ind w:firstLine="482"/>
              <w:rPr>
                <w:rFonts w:hint="default"/>
                <w:color w:val="auto"/>
                <w:sz w:val="24"/>
                <w:szCs w:val="24"/>
              </w:rPr>
            </w:pPr>
            <w:r>
              <w:rPr>
                <w:rFonts w:hint="default"/>
                <w:color w:val="auto"/>
                <w:sz w:val="24"/>
                <w:szCs w:val="24"/>
              </w:rPr>
              <w:t>Aatm—</w:t>
            </w:r>
            <w:r>
              <w:rPr>
                <w:rFonts w:hint="default" w:ascii="宋体" w:hAnsi="宋体" w:eastAsia="宋体"/>
                <w:color w:val="auto"/>
                <w:sz w:val="24"/>
                <w:szCs w:val="24"/>
              </w:rPr>
              <w:t>大气吸收引起的倍频带衰减，dB；</w:t>
            </w:r>
          </w:p>
          <w:p w14:paraId="1F3FCDC3">
            <w:pPr>
              <w:spacing w:line="360" w:lineRule="auto"/>
              <w:ind w:firstLine="482"/>
              <w:rPr>
                <w:rFonts w:hint="default"/>
                <w:color w:val="auto"/>
                <w:sz w:val="24"/>
                <w:szCs w:val="24"/>
              </w:rPr>
            </w:pPr>
            <w:r>
              <w:rPr>
                <w:rFonts w:hint="default"/>
                <w:color w:val="auto"/>
                <w:sz w:val="24"/>
                <w:szCs w:val="24"/>
              </w:rPr>
              <w:t>Abar—</w:t>
            </w:r>
            <w:r>
              <w:rPr>
                <w:rFonts w:hint="default" w:ascii="宋体" w:hAnsi="宋体" w:eastAsia="宋体"/>
                <w:color w:val="auto"/>
                <w:sz w:val="24"/>
                <w:szCs w:val="24"/>
              </w:rPr>
              <w:t>声屏障引起的倍频带衰减，dB；</w:t>
            </w:r>
          </w:p>
          <w:p w14:paraId="11D974F9">
            <w:pPr>
              <w:spacing w:line="360" w:lineRule="auto"/>
              <w:ind w:firstLine="482"/>
              <w:rPr>
                <w:rFonts w:hint="default"/>
                <w:color w:val="auto"/>
                <w:sz w:val="24"/>
                <w:szCs w:val="24"/>
              </w:rPr>
            </w:pPr>
            <w:r>
              <w:rPr>
                <w:rFonts w:hint="default"/>
                <w:color w:val="auto"/>
                <w:sz w:val="24"/>
                <w:szCs w:val="24"/>
              </w:rPr>
              <w:t>Agr—</w:t>
            </w:r>
            <w:r>
              <w:rPr>
                <w:rFonts w:hint="default" w:ascii="宋体" w:hAnsi="宋体" w:eastAsia="宋体"/>
                <w:color w:val="auto"/>
                <w:sz w:val="24"/>
                <w:szCs w:val="24"/>
              </w:rPr>
              <w:t>地面效应引起的倍频带衰减，dB；</w:t>
            </w:r>
          </w:p>
          <w:p w14:paraId="1D2E1848">
            <w:pPr>
              <w:spacing w:line="360" w:lineRule="auto"/>
              <w:ind w:firstLine="482"/>
              <w:rPr>
                <w:rFonts w:hint="default"/>
                <w:color w:val="auto"/>
                <w:sz w:val="24"/>
                <w:szCs w:val="24"/>
              </w:rPr>
            </w:pPr>
            <w:r>
              <w:rPr>
                <w:rFonts w:hint="default"/>
                <w:color w:val="auto"/>
                <w:sz w:val="24"/>
                <w:szCs w:val="24"/>
              </w:rPr>
              <w:t>Amisc—</w:t>
            </w:r>
            <w:r>
              <w:rPr>
                <w:rFonts w:hint="default" w:ascii="宋体" w:hAnsi="宋体" w:eastAsia="宋体"/>
                <w:color w:val="auto"/>
                <w:sz w:val="24"/>
                <w:szCs w:val="24"/>
              </w:rPr>
              <w:t>其他多方面效应引起的倍频带衰减，dB。</w:t>
            </w:r>
          </w:p>
          <w:p w14:paraId="241AC2FF">
            <w:pPr>
              <w:spacing w:line="360" w:lineRule="auto"/>
              <w:ind w:firstLine="482"/>
              <w:rPr>
                <w:rFonts w:hint="default"/>
                <w:color w:val="auto"/>
                <w:sz w:val="24"/>
                <w:szCs w:val="24"/>
              </w:rPr>
            </w:pPr>
            <w:r>
              <w:rPr>
                <w:rFonts w:hint="default"/>
                <w:color w:val="auto"/>
                <w:sz w:val="24"/>
                <w:szCs w:val="24"/>
              </w:rPr>
              <w:t>A</w:t>
            </w:r>
            <w:r>
              <w:rPr>
                <w:rFonts w:hint="default" w:ascii="宋体" w:hAnsi="宋体" w:eastAsia="宋体"/>
                <w:color w:val="auto"/>
                <w:sz w:val="24"/>
                <w:szCs w:val="24"/>
              </w:rPr>
              <w:t>、几何发散衰减量Adi</w:t>
            </w:r>
          </w:p>
          <w:p w14:paraId="50AB5B64">
            <w:pPr>
              <w:spacing w:line="360" w:lineRule="auto"/>
              <w:ind w:firstLine="482"/>
              <w:rPr>
                <w:rFonts w:hint="default"/>
                <w:color w:val="auto"/>
                <w:sz w:val="24"/>
                <w:szCs w:val="24"/>
              </w:rPr>
            </w:pPr>
            <w:r>
              <w:rPr>
                <w:rFonts w:hint="default" w:ascii="宋体" w:hAnsi="宋体" w:eastAsia="宋体"/>
                <w:color w:val="auto"/>
                <w:sz w:val="24"/>
                <w:szCs w:val="24"/>
              </w:rPr>
              <w:t>对于无指向性点声源，几何发散衰减量公式为：</w:t>
            </w:r>
          </w:p>
          <w:p w14:paraId="00262F8A">
            <w:pPr>
              <w:spacing w:line="360" w:lineRule="auto"/>
              <w:jc w:val="center"/>
              <w:rPr>
                <w:rFonts w:hint="default"/>
                <w:color w:val="auto"/>
                <w:sz w:val="24"/>
                <w:szCs w:val="24"/>
              </w:rPr>
            </w:pPr>
            <w:r>
              <w:rPr>
                <w:rFonts w:hint="default"/>
                <w:color w:val="auto"/>
                <w:sz w:val="24"/>
                <w:szCs w:val="24"/>
              </w:rPr>
              <w:t>Adiv=20lg</w:t>
            </w:r>
            <w:r>
              <w:rPr>
                <w:rFonts w:hint="default" w:ascii="宋体" w:hAnsi="宋体" w:eastAsia="宋体"/>
                <w:color w:val="auto"/>
                <w:sz w:val="24"/>
                <w:szCs w:val="24"/>
              </w:rPr>
              <w:t>（r/r0）</w:t>
            </w:r>
          </w:p>
          <w:p w14:paraId="128A8D02">
            <w:pPr>
              <w:spacing w:line="360" w:lineRule="auto"/>
              <w:ind w:firstLine="482"/>
              <w:rPr>
                <w:rFonts w:hint="default"/>
                <w:color w:val="auto"/>
                <w:sz w:val="24"/>
                <w:szCs w:val="24"/>
              </w:rPr>
            </w:pPr>
            <w:r>
              <w:rPr>
                <w:rFonts w:hint="default"/>
                <w:color w:val="auto"/>
                <w:sz w:val="24"/>
                <w:szCs w:val="24"/>
              </w:rPr>
              <w:t>B</w:t>
            </w:r>
            <w:r>
              <w:rPr>
                <w:rFonts w:hint="default" w:ascii="宋体" w:hAnsi="宋体" w:eastAsia="宋体"/>
                <w:color w:val="auto"/>
                <w:sz w:val="24"/>
                <w:szCs w:val="24"/>
              </w:rPr>
              <w:t>、声屏障引起的衰减量Abar</w:t>
            </w:r>
          </w:p>
          <w:p w14:paraId="06EC3E84">
            <w:pPr>
              <w:spacing w:line="360" w:lineRule="auto"/>
              <w:ind w:firstLine="482"/>
              <w:rPr>
                <w:rFonts w:hint="default"/>
                <w:color w:val="auto"/>
                <w:sz w:val="24"/>
                <w:szCs w:val="24"/>
              </w:rPr>
            </w:pPr>
            <w:r>
              <w:rPr>
                <w:rFonts w:hint="default" w:ascii="宋体" w:hAnsi="宋体" w:eastAsia="宋体"/>
                <w:color w:val="auto"/>
                <w:sz w:val="24"/>
                <w:szCs w:val="24"/>
              </w:rPr>
              <w:t>本次预测未考虑声屏障的衰减，Abar取值为 0</w:t>
            </w:r>
          </w:p>
          <w:p w14:paraId="35BFB333">
            <w:pPr>
              <w:spacing w:line="360" w:lineRule="auto"/>
              <w:ind w:firstLine="482"/>
              <w:rPr>
                <w:rFonts w:hint="default"/>
                <w:color w:val="auto"/>
                <w:sz w:val="24"/>
                <w:szCs w:val="24"/>
              </w:rPr>
            </w:pPr>
            <w:r>
              <w:rPr>
                <w:rFonts w:hint="default"/>
                <w:color w:val="auto"/>
                <w:sz w:val="24"/>
                <w:szCs w:val="24"/>
              </w:rPr>
              <w:t>C</w:t>
            </w:r>
            <w:r>
              <w:rPr>
                <w:rFonts w:hint="default" w:ascii="宋体" w:hAnsi="宋体" w:eastAsia="宋体"/>
                <w:color w:val="auto"/>
                <w:sz w:val="24"/>
                <w:szCs w:val="24"/>
              </w:rPr>
              <w:t>、大气吸收衰减量Aatm</w:t>
            </w:r>
          </w:p>
          <w:p w14:paraId="601D00B6">
            <w:pPr>
              <w:spacing w:line="360" w:lineRule="auto"/>
              <w:jc w:val="center"/>
              <w:rPr>
                <w:rFonts w:hint="default"/>
                <w:color w:val="auto"/>
                <w:sz w:val="24"/>
                <w:szCs w:val="24"/>
              </w:rPr>
            </w:pPr>
            <w:r>
              <w:rPr>
                <w:rFonts w:hint="default"/>
                <w:color w:val="auto"/>
                <w:sz w:val="24"/>
                <w:szCs w:val="24"/>
              </w:rPr>
              <w:t>Aatm=a</w:t>
            </w:r>
            <w:r>
              <w:rPr>
                <w:rFonts w:hint="default" w:ascii="宋体" w:hAnsi="宋体" w:eastAsia="宋体"/>
                <w:color w:val="auto"/>
                <w:sz w:val="24"/>
                <w:szCs w:val="24"/>
              </w:rPr>
              <w:t>（r-r0）/1000</w:t>
            </w:r>
          </w:p>
          <w:p w14:paraId="5759F475">
            <w:pPr>
              <w:spacing w:line="360" w:lineRule="auto"/>
              <w:ind w:firstLine="482"/>
              <w:rPr>
                <w:rFonts w:hint="default"/>
                <w:color w:val="auto"/>
                <w:sz w:val="24"/>
                <w:szCs w:val="24"/>
              </w:rPr>
            </w:pPr>
            <w:r>
              <w:rPr>
                <w:rFonts w:hint="default" w:ascii="宋体" w:hAnsi="宋体" w:eastAsia="宋体"/>
                <w:color w:val="auto"/>
                <w:sz w:val="24"/>
                <w:szCs w:val="24"/>
              </w:rPr>
              <w:t>本次预测未考虑空气吸收衰减量，取值为0。</w:t>
            </w:r>
          </w:p>
          <w:p w14:paraId="47E18C5D">
            <w:pPr>
              <w:spacing w:line="360" w:lineRule="auto"/>
              <w:ind w:firstLine="482"/>
              <w:rPr>
                <w:rFonts w:hint="default"/>
                <w:color w:val="auto"/>
                <w:sz w:val="24"/>
                <w:szCs w:val="24"/>
              </w:rPr>
            </w:pPr>
            <w:r>
              <w:rPr>
                <w:rFonts w:hint="default"/>
                <w:color w:val="auto"/>
                <w:sz w:val="24"/>
                <w:szCs w:val="24"/>
              </w:rPr>
              <w:t>D</w:t>
            </w:r>
            <w:r>
              <w:rPr>
                <w:rFonts w:hint="default" w:ascii="宋体" w:hAnsi="宋体" w:eastAsia="宋体"/>
                <w:color w:val="auto"/>
                <w:sz w:val="24"/>
                <w:szCs w:val="24"/>
              </w:rPr>
              <w:t>、其他多方面效应引起的衰减量Amisc</w:t>
            </w:r>
          </w:p>
          <w:p w14:paraId="289713B7">
            <w:pPr>
              <w:spacing w:line="360" w:lineRule="auto"/>
              <w:ind w:firstLine="482"/>
              <w:rPr>
                <w:rFonts w:hint="default"/>
                <w:color w:val="auto"/>
                <w:sz w:val="24"/>
                <w:szCs w:val="24"/>
              </w:rPr>
            </w:pPr>
            <w:r>
              <w:rPr>
                <w:rFonts w:hint="default" w:ascii="宋体" w:hAnsi="宋体" w:eastAsia="宋体"/>
                <w:color w:val="auto"/>
                <w:sz w:val="24"/>
                <w:szCs w:val="24"/>
              </w:rPr>
              <w:t>评价过程中取值为0。</w:t>
            </w:r>
          </w:p>
          <w:p w14:paraId="3331D4D3">
            <w:pPr>
              <w:spacing w:line="360" w:lineRule="auto"/>
              <w:ind w:firstLine="482"/>
              <w:rPr>
                <w:rFonts w:hint="default"/>
                <w:color w:val="auto"/>
                <w:sz w:val="24"/>
                <w:szCs w:val="24"/>
              </w:rPr>
            </w:pPr>
            <w:r>
              <w:rPr>
                <w:rFonts w:hint="default"/>
                <w:color w:val="auto"/>
                <w:sz w:val="24"/>
                <w:szCs w:val="24"/>
              </w:rPr>
              <w:t>②</w:t>
            </w:r>
            <w:r>
              <w:rPr>
                <w:rFonts w:hint="default" w:ascii="宋体" w:hAnsi="宋体" w:eastAsia="宋体"/>
                <w:color w:val="auto"/>
                <w:sz w:val="24"/>
                <w:szCs w:val="24"/>
              </w:rPr>
              <w:t>计算某个室内声源在靠近围护结构处产生的倍频带声压级：</w:t>
            </w:r>
          </w:p>
          <w:p w14:paraId="01B0FCA1">
            <w:pPr>
              <w:spacing w:line="360" w:lineRule="auto"/>
              <w:jc w:val="center"/>
              <w:rPr>
                <w:rFonts w:hint="default"/>
                <w:color w:val="auto"/>
                <w:sz w:val="24"/>
                <w:szCs w:val="24"/>
              </w:rPr>
            </w:pPr>
            <w:r>
              <w:rPr>
                <w:rFonts w:hint="default"/>
                <w:color w:val="auto"/>
                <w:sz w:val="21"/>
                <w:szCs w:val="24"/>
              </w:rPr>
              <w:drawing>
                <wp:inline distT="0" distB="0" distL="114300" distR="114300">
                  <wp:extent cx="2186305" cy="504825"/>
                  <wp:effectExtent l="0" t="0" r="8255" b="13335"/>
                  <wp:docPr id="1"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6"/>
                          <pic:cNvPicPr>
                            <a:picLocks noChangeAspect="1"/>
                          </pic:cNvPicPr>
                        </pic:nvPicPr>
                        <pic:blipFill>
                          <a:blip r:embed="rId24"/>
                          <a:stretch>
                            <a:fillRect/>
                          </a:stretch>
                        </pic:blipFill>
                        <pic:spPr>
                          <a:xfrm>
                            <a:off x="0" y="0"/>
                            <a:ext cx="2186305" cy="504825"/>
                          </a:xfrm>
                          <a:prstGeom prst="rect">
                            <a:avLst/>
                          </a:prstGeom>
                          <a:noFill/>
                          <a:ln>
                            <a:noFill/>
                          </a:ln>
                        </pic:spPr>
                      </pic:pic>
                    </a:graphicData>
                  </a:graphic>
                </wp:inline>
              </w:drawing>
            </w:r>
          </w:p>
          <w:p w14:paraId="68DC0872">
            <w:pPr>
              <w:spacing w:line="360" w:lineRule="auto"/>
              <w:ind w:firstLine="482"/>
              <w:rPr>
                <w:rFonts w:hint="default"/>
                <w:color w:val="auto"/>
                <w:sz w:val="24"/>
                <w:szCs w:val="24"/>
              </w:rPr>
            </w:pPr>
            <w:r>
              <w:rPr>
                <w:rFonts w:hint="default" w:ascii="宋体" w:hAnsi="宋体" w:eastAsia="宋体"/>
                <w:color w:val="auto"/>
                <w:sz w:val="24"/>
                <w:szCs w:val="24"/>
              </w:rPr>
              <w:t>式中：Loct,1—某个室内声源在靠近围护结构处产生的倍频带声压级，dB；</w:t>
            </w:r>
          </w:p>
          <w:p w14:paraId="2BAB28EE">
            <w:pPr>
              <w:spacing w:line="360" w:lineRule="auto"/>
              <w:ind w:firstLine="482"/>
              <w:rPr>
                <w:rFonts w:hint="default"/>
                <w:color w:val="auto"/>
                <w:sz w:val="24"/>
                <w:szCs w:val="24"/>
              </w:rPr>
            </w:pPr>
            <w:r>
              <w:rPr>
                <w:rFonts w:hint="default"/>
                <w:color w:val="auto"/>
                <w:sz w:val="24"/>
                <w:szCs w:val="24"/>
              </w:rPr>
              <w:t>Lwoct —</w:t>
            </w:r>
            <w:r>
              <w:rPr>
                <w:rFonts w:hint="default" w:ascii="宋体" w:hAnsi="宋体" w:eastAsia="宋体"/>
                <w:color w:val="auto"/>
                <w:sz w:val="24"/>
                <w:szCs w:val="24"/>
              </w:rPr>
              <w:t>某个声源的倍频带声功率级，dB；</w:t>
            </w:r>
          </w:p>
          <w:p w14:paraId="1EF3439D">
            <w:pPr>
              <w:spacing w:line="360" w:lineRule="auto"/>
              <w:ind w:firstLine="482"/>
              <w:rPr>
                <w:rFonts w:hint="default"/>
                <w:color w:val="auto"/>
                <w:sz w:val="24"/>
                <w:szCs w:val="24"/>
              </w:rPr>
            </w:pPr>
            <w:r>
              <w:rPr>
                <w:rFonts w:hint="default"/>
                <w:color w:val="auto"/>
                <w:sz w:val="24"/>
                <w:szCs w:val="24"/>
              </w:rPr>
              <w:t>r</w:t>
            </w:r>
            <w:r>
              <w:rPr>
                <w:rFonts w:hint="default"/>
                <w:color w:val="auto"/>
                <w:sz w:val="24"/>
                <w:szCs w:val="24"/>
                <w:vertAlign w:val="subscript"/>
              </w:rPr>
              <w:t>1</w:t>
            </w:r>
            <w:r>
              <w:rPr>
                <w:rFonts w:hint="default"/>
                <w:color w:val="auto"/>
                <w:sz w:val="24"/>
                <w:szCs w:val="24"/>
              </w:rPr>
              <w:t>—</w:t>
            </w:r>
            <w:r>
              <w:rPr>
                <w:rFonts w:hint="default" w:ascii="宋体" w:hAnsi="宋体" w:eastAsia="宋体"/>
                <w:color w:val="auto"/>
                <w:sz w:val="24"/>
                <w:szCs w:val="24"/>
              </w:rPr>
              <w:t>室内某个声源与靠近围护结构处的距离，m；</w:t>
            </w:r>
          </w:p>
          <w:p w14:paraId="5C44D7E8">
            <w:pPr>
              <w:spacing w:line="360" w:lineRule="auto"/>
              <w:ind w:firstLine="482"/>
              <w:rPr>
                <w:rFonts w:hint="default"/>
                <w:color w:val="auto"/>
                <w:sz w:val="24"/>
                <w:szCs w:val="24"/>
              </w:rPr>
            </w:pPr>
            <w:r>
              <w:rPr>
                <w:rFonts w:hint="default"/>
                <w:color w:val="auto"/>
                <w:sz w:val="24"/>
                <w:szCs w:val="24"/>
              </w:rPr>
              <w:t>R—</w:t>
            </w:r>
            <w:r>
              <w:rPr>
                <w:rFonts w:hint="default" w:ascii="宋体" w:hAnsi="宋体" w:eastAsia="宋体"/>
                <w:color w:val="auto"/>
                <w:sz w:val="24"/>
                <w:szCs w:val="24"/>
              </w:rPr>
              <w:t>房间常数，m</w:t>
            </w:r>
            <w:r>
              <w:rPr>
                <w:rFonts w:hint="default"/>
                <w:color w:val="auto"/>
                <w:sz w:val="24"/>
                <w:szCs w:val="24"/>
                <w:vertAlign w:val="superscript"/>
              </w:rPr>
              <w:t>2</w:t>
            </w:r>
            <w:r>
              <w:rPr>
                <w:rFonts w:hint="default" w:ascii="宋体" w:hAnsi="宋体" w:eastAsia="宋体"/>
                <w:color w:val="auto"/>
                <w:sz w:val="24"/>
                <w:szCs w:val="24"/>
              </w:rPr>
              <w:t>；</w:t>
            </w:r>
          </w:p>
          <w:p w14:paraId="42A00677">
            <w:pPr>
              <w:spacing w:line="360" w:lineRule="auto"/>
              <w:ind w:firstLine="482"/>
              <w:rPr>
                <w:rFonts w:hint="default"/>
                <w:color w:val="auto"/>
                <w:sz w:val="24"/>
                <w:szCs w:val="24"/>
              </w:rPr>
            </w:pPr>
            <w:r>
              <w:rPr>
                <w:rFonts w:hint="default"/>
                <w:color w:val="auto"/>
                <w:sz w:val="24"/>
                <w:szCs w:val="24"/>
              </w:rPr>
              <w:t>Q—</w:t>
            </w:r>
            <w:r>
              <w:rPr>
                <w:rFonts w:hint="default" w:ascii="宋体" w:hAnsi="宋体" w:eastAsia="宋体"/>
                <w:color w:val="auto"/>
                <w:sz w:val="24"/>
                <w:szCs w:val="24"/>
              </w:rPr>
              <w:t>方向性因子。</w:t>
            </w:r>
          </w:p>
          <w:p w14:paraId="51D257C6">
            <w:pPr>
              <w:spacing w:line="360" w:lineRule="auto"/>
              <w:ind w:firstLine="482"/>
              <w:rPr>
                <w:rFonts w:hint="default"/>
                <w:color w:val="auto"/>
                <w:sz w:val="24"/>
                <w:szCs w:val="24"/>
              </w:rPr>
            </w:pPr>
            <w:r>
              <w:rPr>
                <w:rFonts w:hint="default"/>
                <w:color w:val="auto"/>
                <w:sz w:val="24"/>
                <w:szCs w:val="24"/>
              </w:rPr>
              <w:t>③</w:t>
            </w:r>
            <w:r>
              <w:rPr>
                <w:rFonts w:hint="default" w:ascii="宋体" w:hAnsi="宋体" w:eastAsia="宋体"/>
                <w:color w:val="auto"/>
                <w:sz w:val="24"/>
                <w:szCs w:val="24"/>
              </w:rPr>
              <w:t>计算所有室内声源在靠近围护结构处产生的总倍频带声压级：</w:t>
            </w:r>
          </w:p>
          <w:p w14:paraId="017D20B3">
            <w:pPr>
              <w:spacing w:line="360" w:lineRule="auto"/>
              <w:jc w:val="center"/>
              <w:rPr>
                <w:rFonts w:hint="default"/>
                <w:color w:val="auto"/>
                <w:sz w:val="24"/>
                <w:szCs w:val="24"/>
              </w:rPr>
            </w:pPr>
            <w:r>
              <w:rPr>
                <w:rFonts w:hint="default"/>
                <w:color w:val="auto"/>
                <w:sz w:val="21"/>
                <w:szCs w:val="24"/>
              </w:rPr>
              <w:drawing>
                <wp:inline distT="0" distB="0" distL="114300" distR="114300">
                  <wp:extent cx="1884680" cy="456565"/>
                  <wp:effectExtent l="0" t="0" r="5080" b="635"/>
                  <wp:docPr id="9"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7"/>
                          <pic:cNvPicPr>
                            <a:picLocks noChangeAspect="1"/>
                          </pic:cNvPicPr>
                        </pic:nvPicPr>
                        <pic:blipFill>
                          <a:blip r:embed="rId25"/>
                          <a:stretch>
                            <a:fillRect/>
                          </a:stretch>
                        </pic:blipFill>
                        <pic:spPr>
                          <a:xfrm>
                            <a:off x="0" y="0"/>
                            <a:ext cx="1884680" cy="456565"/>
                          </a:xfrm>
                          <a:prstGeom prst="rect">
                            <a:avLst/>
                          </a:prstGeom>
                          <a:noFill/>
                          <a:ln>
                            <a:noFill/>
                          </a:ln>
                        </pic:spPr>
                      </pic:pic>
                    </a:graphicData>
                  </a:graphic>
                </wp:inline>
              </w:drawing>
            </w:r>
          </w:p>
          <w:p w14:paraId="27D7C3A6">
            <w:pPr>
              <w:spacing w:line="360" w:lineRule="auto"/>
              <w:ind w:firstLine="482"/>
              <w:rPr>
                <w:rFonts w:hint="default"/>
                <w:color w:val="auto"/>
                <w:sz w:val="24"/>
                <w:szCs w:val="24"/>
              </w:rPr>
            </w:pPr>
            <w:r>
              <w:rPr>
                <w:rFonts w:hint="default"/>
                <w:color w:val="auto"/>
                <w:sz w:val="24"/>
                <w:szCs w:val="24"/>
              </w:rPr>
              <w:t>④</w:t>
            </w:r>
            <w:r>
              <w:rPr>
                <w:rFonts w:hint="default" w:ascii="宋体" w:hAnsi="宋体" w:eastAsia="宋体"/>
                <w:color w:val="auto"/>
                <w:sz w:val="24"/>
                <w:szCs w:val="24"/>
              </w:rPr>
              <w:t>计算室外靠近围护结构处的声压级：</w:t>
            </w:r>
          </w:p>
          <w:p w14:paraId="6D051A44">
            <w:pPr>
              <w:spacing w:line="360" w:lineRule="auto"/>
              <w:jc w:val="center"/>
              <w:rPr>
                <w:rFonts w:hint="default"/>
                <w:color w:val="auto"/>
                <w:sz w:val="24"/>
                <w:szCs w:val="24"/>
              </w:rPr>
            </w:pPr>
            <w:r>
              <w:rPr>
                <w:rFonts w:hint="default"/>
                <w:color w:val="auto"/>
                <w:sz w:val="21"/>
                <w:szCs w:val="24"/>
              </w:rPr>
              <w:drawing>
                <wp:inline distT="0" distB="0" distL="114300" distR="114300">
                  <wp:extent cx="2216150" cy="370840"/>
                  <wp:effectExtent l="0" t="0" r="8890" b="10160"/>
                  <wp:docPr id="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8"/>
                          <pic:cNvPicPr>
                            <a:picLocks noChangeAspect="1"/>
                          </pic:cNvPicPr>
                        </pic:nvPicPr>
                        <pic:blipFill>
                          <a:blip r:embed="rId26"/>
                          <a:stretch>
                            <a:fillRect/>
                          </a:stretch>
                        </pic:blipFill>
                        <pic:spPr>
                          <a:xfrm>
                            <a:off x="0" y="0"/>
                            <a:ext cx="2216150" cy="370840"/>
                          </a:xfrm>
                          <a:prstGeom prst="rect">
                            <a:avLst/>
                          </a:prstGeom>
                          <a:noFill/>
                          <a:ln>
                            <a:noFill/>
                          </a:ln>
                        </pic:spPr>
                      </pic:pic>
                    </a:graphicData>
                  </a:graphic>
                </wp:inline>
              </w:drawing>
            </w:r>
          </w:p>
          <w:p w14:paraId="199E4BD9">
            <w:pPr>
              <w:spacing w:line="360" w:lineRule="auto"/>
              <w:ind w:firstLine="482"/>
              <w:rPr>
                <w:rFonts w:hint="default"/>
                <w:color w:val="auto"/>
                <w:sz w:val="24"/>
                <w:szCs w:val="24"/>
              </w:rPr>
            </w:pPr>
            <w:r>
              <w:rPr>
                <w:rFonts w:hint="default"/>
                <w:color w:val="auto"/>
                <w:sz w:val="24"/>
                <w:szCs w:val="24"/>
              </w:rPr>
              <w:t>⑤</w:t>
            </w:r>
            <w:r>
              <w:rPr>
                <w:rFonts w:hint="default" w:ascii="宋体" w:hAnsi="宋体" w:eastAsia="宋体"/>
                <w:color w:val="auto"/>
                <w:sz w:val="24"/>
                <w:szCs w:val="24"/>
              </w:rPr>
              <w:t>将室外声级 Loct,1(T)和透声面积换算成等效的室外声源，计算等效声源第i个倍频带的声功率级Lwoct：</w:t>
            </w:r>
          </w:p>
          <w:p w14:paraId="20F7BE4A">
            <w:pPr>
              <w:spacing w:line="360" w:lineRule="auto"/>
              <w:jc w:val="center"/>
              <w:rPr>
                <w:rFonts w:hint="default"/>
                <w:color w:val="auto"/>
                <w:sz w:val="24"/>
                <w:szCs w:val="24"/>
              </w:rPr>
            </w:pPr>
            <w:r>
              <w:rPr>
                <w:rFonts w:hint="default"/>
                <w:color w:val="auto"/>
                <w:sz w:val="21"/>
                <w:szCs w:val="24"/>
              </w:rPr>
              <w:drawing>
                <wp:inline distT="0" distB="0" distL="114300" distR="114300">
                  <wp:extent cx="1917065" cy="355600"/>
                  <wp:effectExtent l="0" t="0" r="3175" b="10160"/>
                  <wp:docPr id="8"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9"/>
                          <pic:cNvPicPr>
                            <a:picLocks noChangeAspect="1"/>
                          </pic:cNvPicPr>
                        </pic:nvPicPr>
                        <pic:blipFill>
                          <a:blip r:embed="rId27"/>
                          <a:stretch>
                            <a:fillRect/>
                          </a:stretch>
                        </pic:blipFill>
                        <pic:spPr>
                          <a:xfrm>
                            <a:off x="0" y="0"/>
                            <a:ext cx="1917065" cy="355600"/>
                          </a:xfrm>
                          <a:prstGeom prst="rect">
                            <a:avLst/>
                          </a:prstGeom>
                          <a:noFill/>
                          <a:ln>
                            <a:noFill/>
                          </a:ln>
                        </pic:spPr>
                      </pic:pic>
                    </a:graphicData>
                  </a:graphic>
                </wp:inline>
              </w:drawing>
            </w:r>
          </w:p>
          <w:p w14:paraId="65964137">
            <w:pPr>
              <w:spacing w:line="360" w:lineRule="auto"/>
              <w:ind w:firstLine="482"/>
              <w:rPr>
                <w:rFonts w:hint="default" w:ascii="宋体" w:hAnsi="宋体" w:eastAsia="宋体" w:cs="宋体"/>
                <w:color w:val="auto"/>
                <w:sz w:val="24"/>
                <w:szCs w:val="24"/>
              </w:rPr>
            </w:pPr>
            <w:r>
              <w:rPr>
                <w:rFonts w:hint="default" w:ascii="宋体" w:hAnsi="宋体" w:eastAsia="宋体" w:cs="宋体"/>
                <w:color w:val="auto"/>
                <w:sz w:val="24"/>
                <w:szCs w:val="24"/>
              </w:rPr>
              <w:t>式中：S—透声面积，m</w:t>
            </w:r>
            <w:r>
              <w:rPr>
                <w:rFonts w:hint="default" w:ascii="宋体" w:hAnsi="宋体" w:eastAsia="宋体" w:cs="宋体"/>
                <w:color w:val="auto"/>
                <w:sz w:val="24"/>
                <w:szCs w:val="24"/>
                <w:vertAlign w:val="superscript"/>
              </w:rPr>
              <w:t>2</w:t>
            </w:r>
            <w:r>
              <w:rPr>
                <w:rFonts w:hint="default" w:ascii="宋体" w:hAnsi="宋体" w:eastAsia="宋体" w:cs="宋体"/>
                <w:color w:val="auto"/>
                <w:sz w:val="24"/>
                <w:szCs w:val="24"/>
              </w:rPr>
              <w:t>。</w:t>
            </w:r>
          </w:p>
          <w:p w14:paraId="79433CF0">
            <w:pPr>
              <w:spacing w:line="360" w:lineRule="auto"/>
              <w:ind w:firstLine="482"/>
              <w:rPr>
                <w:rFonts w:hint="default"/>
                <w:color w:val="auto"/>
                <w:sz w:val="24"/>
                <w:szCs w:val="24"/>
              </w:rPr>
            </w:pPr>
            <w:r>
              <w:rPr>
                <w:rFonts w:hint="default" w:ascii="宋体" w:hAnsi="宋体" w:eastAsia="宋体" w:cs="宋体"/>
                <w:color w:val="auto"/>
                <w:sz w:val="24"/>
                <w:szCs w:val="24"/>
              </w:rPr>
              <w:t>⑥</w:t>
            </w:r>
            <w:r>
              <w:rPr>
                <w:rFonts w:hint="default" w:ascii="宋体" w:hAnsi="Times New Roman" w:eastAsia="宋体"/>
                <w:color w:val="auto"/>
                <w:sz w:val="24"/>
                <w:szCs w:val="24"/>
              </w:rPr>
              <w:t>等效室外声源的位置为围护结构的位置，其倍频带声功率级为Lwoct，由此按室外声源方法计算等效室外声源在预测点产生的A声级。</w:t>
            </w:r>
          </w:p>
          <w:p w14:paraId="15725C29">
            <w:pPr>
              <w:spacing w:line="360" w:lineRule="auto"/>
              <w:ind w:firstLine="482"/>
              <w:rPr>
                <w:rFonts w:hint="default"/>
                <w:color w:val="auto"/>
                <w:sz w:val="24"/>
                <w:szCs w:val="24"/>
              </w:rPr>
            </w:pPr>
            <w:r>
              <w:rPr>
                <w:rFonts w:hint="default" w:ascii="宋体" w:hAnsi="宋体" w:eastAsia="宋体" w:cs="宋体"/>
                <w:color w:val="auto"/>
                <w:sz w:val="24"/>
                <w:szCs w:val="24"/>
              </w:rPr>
              <w:t>⑦</w:t>
            </w:r>
            <w:r>
              <w:rPr>
                <w:rFonts w:hint="default" w:ascii="宋体" w:hAnsi="Times New Roman" w:eastAsia="宋体"/>
                <w:color w:val="auto"/>
                <w:sz w:val="24"/>
                <w:szCs w:val="24"/>
              </w:rPr>
              <w:t>噪声贡献值计算：设第i个室外声源在预测点产生的A声级为L</w:t>
            </w:r>
            <w:r>
              <w:rPr>
                <w:rFonts w:hint="default"/>
                <w:color w:val="auto"/>
                <w:sz w:val="24"/>
                <w:szCs w:val="24"/>
                <w:vertAlign w:val="subscript"/>
              </w:rPr>
              <w:t>Ain,i</w:t>
            </w:r>
            <w:r>
              <w:rPr>
                <w:rFonts w:hint="default" w:ascii="宋体" w:hAnsi="Times New Roman" w:eastAsia="宋体"/>
                <w:color w:val="auto"/>
                <w:sz w:val="24"/>
                <w:szCs w:val="24"/>
              </w:rPr>
              <w:t>，在T时间内该声源工作时间为 t</w:t>
            </w:r>
            <w:r>
              <w:rPr>
                <w:rFonts w:hint="default"/>
                <w:color w:val="auto"/>
                <w:sz w:val="24"/>
                <w:szCs w:val="24"/>
                <w:vertAlign w:val="subscript"/>
              </w:rPr>
              <w:t>in,i</w:t>
            </w:r>
            <w:r>
              <w:rPr>
                <w:rFonts w:hint="default" w:ascii="宋体" w:hAnsi="Times New Roman" w:eastAsia="宋体"/>
                <w:color w:val="auto"/>
                <w:sz w:val="24"/>
                <w:szCs w:val="24"/>
              </w:rPr>
              <w:t>，第j个等效室外声源在预测点产生的A声级为L</w:t>
            </w:r>
            <w:r>
              <w:rPr>
                <w:rFonts w:hint="default"/>
                <w:color w:val="auto"/>
                <w:sz w:val="24"/>
                <w:szCs w:val="24"/>
                <w:vertAlign w:val="subscript"/>
              </w:rPr>
              <w:t>Aout,j</w:t>
            </w:r>
            <w:r>
              <w:rPr>
                <w:rFonts w:hint="default" w:ascii="宋体" w:hAnsi="Times New Roman" w:eastAsia="宋体"/>
                <w:color w:val="auto"/>
                <w:sz w:val="24"/>
                <w:szCs w:val="24"/>
              </w:rPr>
              <w:t>，在T时间内该声源工作时间为t</w:t>
            </w:r>
            <w:r>
              <w:rPr>
                <w:rFonts w:hint="default"/>
                <w:color w:val="auto"/>
                <w:sz w:val="24"/>
                <w:szCs w:val="24"/>
                <w:vertAlign w:val="subscript"/>
              </w:rPr>
              <w:t>out,j</w:t>
            </w:r>
            <w:r>
              <w:rPr>
                <w:rFonts w:hint="default" w:ascii="宋体" w:hAnsi="Times New Roman" w:eastAsia="宋体"/>
                <w:color w:val="auto"/>
                <w:sz w:val="24"/>
                <w:szCs w:val="24"/>
              </w:rPr>
              <w:t>，则预测点的总等效声级为：</w:t>
            </w:r>
          </w:p>
          <w:p w14:paraId="101EEBDB">
            <w:pPr>
              <w:spacing w:line="360" w:lineRule="auto"/>
              <w:jc w:val="center"/>
              <w:rPr>
                <w:rFonts w:hint="default"/>
                <w:color w:val="auto"/>
                <w:sz w:val="24"/>
                <w:szCs w:val="24"/>
              </w:rPr>
            </w:pPr>
            <w:r>
              <w:rPr>
                <w:rFonts w:hint="default"/>
                <w:color w:val="auto"/>
                <w:sz w:val="21"/>
                <w:szCs w:val="24"/>
              </w:rPr>
              <w:drawing>
                <wp:inline distT="0" distB="0" distL="114300" distR="114300">
                  <wp:extent cx="3432175" cy="498475"/>
                  <wp:effectExtent l="0" t="0" r="12065" b="4445"/>
                  <wp:docPr id="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0"/>
                          <pic:cNvPicPr>
                            <a:picLocks noChangeAspect="1"/>
                          </pic:cNvPicPr>
                        </pic:nvPicPr>
                        <pic:blipFill>
                          <a:blip r:embed="rId28"/>
                          <a:stretch>
                            <a:fillRect/>
                          </a:stretch>
                        </pic:blipFill>
                        <pic:spPr>
                          <a:xfrm>
                            <a:off x="0" y="0"/>
                            <a:ext cx="3432175" cy="498475"/>
                          </a:xfrm>
                          <a:prstGeom prst="rect">
                            <a:avLst/>
                          </a:prstGeom>
                          <a:noFill/>
                          <a:ln>
                            <a:noFill/>
                          </a:ln>
                        </pic:spPr>
                      </pic:pic>
                    </a:graphicData>
                  </a:graphic>
                </wp:inline>
              </w:drawing>
            </w:r>
          </w:p>
          <w:p w14:paraId="08B647BD">
            <w:pPr>
              <w:spacing w:line="360" w:lineRule="auto"/>
              <w:ind w:firstLine="482"/>
              <w:rPr>
                <w:rFonts w:hint="default"/>
                <w:color w:val="auto"/>
                <w:sz w:val="24"/>
                <w:szCs w:val="24"/>
              </w:rPr>
            </w:pPr>
            <w:r>
              <w:rPr>
                <w:rFonts w:hint="default" w:ascii="宋体" w:hAnsi="Times New Roman" w:eastAsia="宋体"/>
                <w:color w:val="auto"/>
                <w:sz w:val="24"/>
                <w:szCs w:val="24"/>
              </w:rPr>
              <w:t>式中：T—计算等效声级的时间，h；</w:t>
            </w:r>
          </w:p>
          <w:p w14:paraId="57185F4C">
            <w:pPr>
              <w:spacing w:line="360" w:lineRule="auto"/>
              <w:ind w:firstLine="482"/>
              <w:rPr>
                <w:rFonts w:hint="default"/>
                <w:color w:val="auto"/>
                <w:sz w:val="24"/>
                <w:szCs w:val="24"/>
              </w:rPr>
            </w:pPr>
            <w:r>
              <w:rPr>
                <w:rFonts w:hint="default"/>
                <w:color w:val="auto"/>
                <w:sz w:val="24"/>
                <w:szCs w:val="24"/>
              </w:rPr>
              <w:t>N—</w:t>
            </w:r>
            <w:r>
              <w:rPr>
                <w:rFonts w:hint="default" w:ascii="宋体" w:hAnsi="Times New Roman" w:eastAsia="宋体"/>
                <w:color w:val="auto"/>
                <w:sz w:val="24"/>
                <w:szCs w:val="24"/>
              </w:rPr>
              <w:t>室外声源个数；</w:t>
            </w:r>
          </w:p>
          <w:p w14:paraId="37B447B3">
            <w:pPr>
              <w:spacing w:line="360" w:lineRule="auto"/>
              <w:ind w:firstLine="482"/>
              <w:rPr>
                <w:rFonts w:hint="default"/>
                <w:color w:val="auto"/>
                <w:sz w:val="24"/>
                <w:szCs w:val="24"/>
              </w:rPr>
            </w:pPr>
            <w:r>
              <w:rPr>
                <w:rFonts w:hint="default"/>
                <w:color w:val="auto"/>
                <w:sz w:val="24"/>
                <w:szCs w:val="24"/>
              </w:rPr>
              <w:t>M—</w:t>
            </w:r>
            <w:r>
              <w:rPr>
                <w:rFonts w:hint="default" w:ascii="宋体" w:hAnsi="Times New Roman" w:eastAsia="宋体"/>
                <w:color w:val="auto"/>
                <w:sz w:val="24"/>
                <w:szCs w:val="24"/>
              </w:rPr>
              <w:t>等效室外声源个数</w:t>
            </w:r>
          </w:p>
          <w:p w14:paraId="35655F4B">
            <w:pPr>
              <w:spacing w:line="360" w:lineRule="auto"/>
              <w:ind w:firstLine="482"/>
              <w:rPr>
                <w:rFonts w:hint="default"/>
                <w:color w:val="auto"/>
                <w:sz w:val="24"/>
                <w:szCs w:val="24"/>
              </w:rPr>
            </w:pPr>
            <w:r>
              <w:rPr>
                <w:rFonts w:hint="default"/>
                <w:color w:val="auto"/>
                <w:sz w:val="24"/>
                <w:szCs w:val="24"/>
              </w:rPr>
              <w:t>⑧</w:t>
            </w:r>
            <w:r>
              <w:rPr>
                <w:rFonts w:hint="default" w:ascii="宋体" w:hAnsi="Times New Roman" w:eastAsia="宋体"/>
                <w:color w:val="auto"/>
                <w:sz w:val="24"/>
                <w:szCs w:val="24"/>
              </w:rPr>
              <w:t>影响值计算：</w:t>
            </w:r>
          </w:p>
          <w:p w14:paraId="24A206D4">
            <w:pPr>
              <w:spacing w:line="360" w:lineRule="auto"/>
              <w:jc w:val="center"/>
              <w:rPr>
                <w:rFonts w:hint="default"/>
                <w:color w:val="auto"/>
                <w:sz w:val="24"/>
                <w:szCs w:val="24"/>
              </w:rPr>
            </w:pPr>
            <w:r>
              <w:rPr>
                <w:rFonts w:hint="default"/>
                <w:color w:val="auto"/>
                <w:sz w:val="21"/>
                <w:szCs w:val="24"/>
              </w:rPr>
              <w:drawing>
                <wp:inline distT="0" distB="0" distL="114300" distR="114300">
                  <wp:extent cx="2639060" cy="344170"/>
                  <wp:effectExtent l="0" t="0" r="12700" b="6350"/>
                  <wp:docPr id="5"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1"/>
                          <pic:cNvPicPr>
                            <a:picLocks noChangeAspect="1"/>
                          </pic:cNvPicPr>
                        </pic:nvPicPr>
                        <pic:blipFill>
                          <a:blip r:embed="rId29"/>
                          <a:stretch>
                            <a:fillRect/>
                          </a:stretch>
                        </pic:blipFill>
                        <pic:spPr>
                          <a:xfrm>
                            <a:off x="0" y="0"/>
                            <a:ext cx="2639060" cy="344170"/>
                          </a:xfrm>
                          <a:prstGeom prst="rect">
                            <a:avLst/>
                          </a:prstGeom>
                          <a:noFill/>
                          <a:ln>
                            <a:noFill/>
                          </a:ln>
                        </pic:spPr>
                      </pic:pic>
                    </a:graphicData>
                  </a:graphic>
                </wp:inline>
              </w:drawing>
            </w:r>
          </w:p>
          <w:p w14:paraId="0A6FF76E">
            <w:pPr>
              <w:spacing w:line="360" w:lineRule="auto"/>
              <w:ind w:firstLine="482"/>
              <w:rPr>
                <w:rFonts w:hint="default"/>
                <w:color w:val="auto"/>
                <w:sz w:val="24"/>
                <w:szCs w:val="24"/>
              </w:rPr>
            </w:pPr>
            <w:r>
              <w:rPr>
                <w:rFonts w:hint="default" w:ascii="宋体" w:hAnsi="Times New Roman" w:eastAsia="宋体"/>
                <w:color w:val="auto"/>
                <w:sz w:val="24"/>
                <w:szCs w:val="24"/>
              </w:rPr>
              <w:t>式中Leqg——建设项目声源在预测点的等效声级贡献值，dB（A）.</w:t>
            </w:r>
          </w:p>
          <w:p w14:paraId="06E3A83A">
            <w:pPr>
              <w:spacing w:line="360" w:lineRule="auto"/>
              <w:ind w:firstLine="482"/>
              <w:rPr>
                <w:rFonts w:hint="default"/>
                <w:color w:val="auto"/>
                <w:sz w:val="24"/>
                <w:szCs w:val="24"/>
              </w:rPr>
            </w:pPr>
            <w:r>
              <w:rPr>
                <w:rFonts w:hint="default"/>
                <w:color w:val="auto"/>
                <w:sz w:val="24"/>
                <w:szCs w:val="24"/>
              </w:rPr>
              <w:t>Leqb——</w:t>
            </w:r>
            <w:r>
              <w:rPr>
                <w:rFonts w:hint="default" w:ascii="宋体" w:hAnsi="Times New Roman" w:eastAsia="宋体"/>
                <w:color w:val="auto"/>
                <w:sz w:val="24"/>
                <w:szCs w:val="24"/>
              </w:rPr>
              <w:t>预测点背景值，dB（A）</w:t>
            </w:r>
          </w:p>
          <w:p w14:paraId="54108503">
            <w:pPr>
              <w:spacing w:line="360" w:lineRule="auto"/>
              <w:ind w:firstLine="482"/>
              <w:rPr>
                <w:rFonts w:hint="default" w:ascii="宋体" w:hAnsi="Times New Roman" w:eastAsia="宋体" w:cs="Times New Roman"/>
                <w:b/>
                <w:color w:val="auto"/>
                <w:sz w:val="24"/>
                <w:szCs w:val="24"/>
              </w:rPr>
            </w:pPr>
            <w:r>
              <w:rPr>
                <w:rFonts w:hint="default" w:ascii="宋体" w:hAnsi="Times New Roman" w:eastAsia="宋体"/>
                <w:color w:val="auto"/>
                <w:sz w:val="24"/>
                <w:szCs w:val="24"/>
              </w:rPr>
              <w:t>环境影响预测评价的目的就是评价项目建成后对周围环境及厂界噪声影响的程度。根据噪声预测模式进行计算，边界噪声的预测结果见表：</w:t>
            </w:r>
          </w:p>
          <w:p w14:paraId="194E7E6F">
            <w:pPr>
              <w:spacing w:line="360" w:lineRule="auto"/>
              <w:ind w:firstLine="422" w:firstLineChars="200"/>
              <w:jc w:val="center"/>
              <w:rPr>
                <w:rFonts w:hint="eastAsia" w:ascii="Times New Roman" w:hAnsi="Times New Roman" w:eastAsia="Times New Roman" w:cs="Times New Roman"/>
                <w:b/>
                <w:color w:val="auto"/>
                <w:sz w:val="21"/>
                <w:szCs w:val="21"/>
              </w:rPr>
            </w:pPr>
            <w:r>
              <w:rPr>
                <w:rFonts w:hint="default" w:ascii="宋体" w:hAnsi="Times New Roman" w:eastAsia="宋体" w:cs="Times New Roman"/>
                <w:b/>
                <w:color w:val="auto"/>
                <w:sz w:val="21"/>
                <w:szCs w:val="21"/>
              </w:rPr>
              <w:t>表4-</w:t>
            </w:r>
            <w:r>
              <w:rPr>
                <w:rFonts w:hint="eastAsia" w:ascii="宋体" w:cs="Times New Roman"/>
                <w:b/>
                <w:color w:val="auto"/>
                <w:sz w:val="21"/>
                <w:szCs w:val="21"/>
                <w:lang w:val="en-US" w:eastAsia="zh-CN"/>
              </w:rPr>
              <w:t>13</w:t>
            </w:r>
            <w:r>
              <w:rPr>
                <w:rFonts w:hint="default" w:ascii="宋体" w:hAnsi="Times New Roman" w:eastAsia="宋体" w:cs="Times New Roman"/>
                <w:b/>
                <w:color w:val="auto"/>
                <w:sz w:val="21"/>
                <w:szCs w:val="21"/>
              </w:rPr>
              <w:t xml:space="preserve">  项目厂界</w:t>
            </w:r>
            <w:r>
              <w:rPr>
                <w:rFonts w:hint="eastAsia" w:ascii="宋体" w:cs="Times New Roman"/>
                <w:b/>
                <w:color w:val="auto"/>
                <w:sz w:val="21"/>
                <w:szCs w:val="21"/>
                <w:lang w:val="en-US" w:eastAsia="zh-CN"/>
              </w:rPr>
              <w:t>和敏感点</w:t>
            </w:r>
            <w:r>
              <w:rPr>
                <w:rFonts w:hint="default" w:ascii="宋体" w:hAnsi="Times New Roman" w:eastAsia="宋体" w:cs="Times New Roman"/>
                <w:b/>
                <w:color w:val="auto"/>
                <w:sz w:val="21"/>
                <w:szCs w:val="21"/>
              </w:rPr>
              <w:t>噪声预测结果    单位：dB(A)</w:t>
            </w:r>
          </w:p>
          <w:tbl>
            <w:tblPr>
              <w:tblStyle w:val="25"/>
              <w:tblW w:w="4997" w:type="pct"/>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00"/>
              <w:gridCol w:w="1276"/>
              <w:gridCol w:w="2063"/>
              <w:gridCol w:w="2034"/>
              <w:gridCol w:w="2025"/>
            </w:tblGrid>
            <w:tr w14:paraId="7EA39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34"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87F7EB">
                  <w:pPr>
                    <w:pStyle w:val="22"/>
                    <w:widowControl w:val="0"/>
                    <w:spacing w:before="69" w:beforeAutospacing="0" w:after="0" w:afterAutospacing="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b/>
                      <w:color w:val="auto"/>
                      <w:spacing w:val="-5"/>
                      <w:kern w:val="2"/>
                      <w:sz w:val="21"/>
                      <w:szCs w:val="21"/>
                      <w:lang w:bidi="ar"/>
                    </w:rPr>
                    <w:t>预测点位</w:t>
                  </w:r>
                </w:p>
              </w:tc>
              <w:tc>
                <w:tcPr>
                  <w:tcW w:w="701"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5B020D">
                  <w:pPr>
                    <w:pStyle w:val="22"/>
                    <w:widowControl w:val="0"/>
                    <w:spacing w:before="68" w:beforeAutospacing="0" w:after="0" w:afterAutospacing="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b/>
                      <w:color w:val="auto"/>
                      <w:spacing w:val="-5"/>
                      <w:kern w:val="2"/>
                      <w:sz w:val="21"/>
                      <w:szCs w:val="21"/>
                      <w:lang w:bidi="ar"/>
                    </w:rPr>
                    <w:t>贡献值</w:t>
                  </w:r>
                </w:p>
              </w:tc>
              <w:tc>
                <w:tcPr>
                  <w:tcW w:w="11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F4D01D">
                  <w:pPr>
                    <w:pStyle w:val="22"/>
                    <w:widowControl w:val="0"/>
                    <w:spacing w:before="160" w:beforeAutospacing="0" w:after="0" w:afterAutospacing="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b/>
                      <w:color w:val="auto"/>
                      <w:spacing w:val="-5"/>
                      <w:kern w:val="2"/>
                      <w:sz w:val="21"/>
                      <w:szCs w:val="21"/>
                      <w:lang w:bidi="ar"/>
                    </w:rPr>
                    <w:t>背景值</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71BD5A">
                  <w:pPr>
                    <w:pStyle w:val="22"/>
                    <w:widowControl w:val="0"/>
                    <w:spacing w:before="160" w:beforeAutospacing="0" w:after="0" w:afterAutospacing="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b/>
                      <w:color w:val="auto"/>
                      <w:spacing w:val="-5"/>
                      <w:kern w:val="2"/>
                      <w:sz w:val="21"/>
                      <w:szCs w:val="21"/>
                      <w:lang w:bidi="ar"/>
                    </w:rPr>
                    <w:t>预测值</w:t>
                  </w:r>
                </w:p>
              </w:tc>
              <w:tc>
                <w:tcPr>
                  <w:tcW w:w="11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78A098">
                  <w:pPr>
                    <w:pStyle w:val="22"/>
                    <w:widowControl w:val="0"/>
                    <w:spacing w:before="160" w:beforeAutospacing="0" w:after="0" w:afterAutospacing="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b/>
                      <w:color w:val="auto"/>
                      <w:spacing w:val="-5"/>
                      <w:kern w:val="2"/>
                      <w:sz w:val="21"/>
                      <w:szCs w:val="21"/>
                      <w:lang w:bidi="ar"/>
                    </w:rPr>
                    <w:t>标准值</w:t>
                  </w:r>
                </w:p>
              </w:tc>
            </w:tr>
            <w:tr w14:paraId="3753A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9" w:hRule="atLeast"/>
              </w:trPr>
              <w:tc>
                <w:tcPr>
                  <w:tcW w:w="934"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1A632D">
                  <w:pPr>
                    <w:spacing w:beforeLines="0" w:afterLines="0"/>
                    <w:jc w:val="center"/>
                    <w:rPr>
                      <w:rFonts w:hint="default" w:ascii="Times New Roman" w:hAnsi="Times New Roman" w:cs="Times New Roman"/>
                      <w:color w:val="auto"/>
                      <w:sz w:val="21"/>
                      <w:szCs w:val="21"/>
                    </w:rPr>
                  </w:pPr>
                </w:p>
              </w:tc>
              <w:tc>
                <w:tcPr>
                  <w:tcW w:w="701"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5C84FD">
                  <w:pPr>
                    <w:spacing w:beforeLines="0" w:afterLines="0"/>
                    <w:jc w:val="center"/>
                    <w:rPr>
                      <w:rFonts w:hint="default" w:ascii="Times New Roman" w:hAnsi="Times New Roman" w:cs="Times New Roman"/>
                      <w:color w:val="auto"/>
                      <w:sz w:val="21"/>
                      <w:szCs w:val="21"/>
                    </w:rPr>
                  </w:pPr>
                </w:p>
              </w:tc>
              <w:tc>
                <w:tcPr>
                  <w:tcW w:w="11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54762D">
                  <w:pPr>
                    <w:pStyle w:val="22"/>
                    <w:widowControl w:val="0"/>
                    <w:spacing w:before="137" w:beforeAutospacing="0" w:after="0" w:afterAutospacing="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b/>
                      <w:color w:val="auto"/>
                      <w:spacing w:val="-6"/>
                      <w:kern w:val="2"/>
                      <w:sz w:val="21"/>
                      <w:szCs w:val="21"/>
                      <w:lang w:bidi="ar"/>
                    </w:rPr>
                    <w:t>昼间</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9D324F">
                  <w:pPr>
                    <w:pStyle w:val="22"/>
                    <w:widowControl w:val="0"/>
                    <w:spacing w:before="141" w:beforeAutospacing="0" w:after="0" w:afterAutospacing="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b/>
                      <w:color w:val="auto"/>
                      <w:spacing w:val="-6"/>
                      <w:kern w:val="2"/>
                      <w:sz w:val="21"/>
                      <w:szCs w:val="21"/>
                      <w:lang w:bidi="ar"/>
                    </w:rPr>
                    <w:t>昼间</w:t>
                  </w:r>
                </w:p>
              </w:tc>
              <w:tc>
                <w:tcPr>
                  <w:tcW w:w="11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ED2FFF">
                  <w:pPr>
                    <w:pStyle w:val="22"/>
                    <w:widowControl w:val="0"/>
                    <w:spacing w:before="137" w:beforeAutospacing="0" w:after="0" w:afterAutospacing="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b/>
                      <w:color w:val="auto"/>
                      <w:spacing w:val="-6"/>
                      <w:kern w:val="2"/>
                      <w:sz w:val="21"/>
                      <w:szCs w:val="21"/>
                      <w:lang w:bidi="ar"/>
                    </w:rPr>
                    <w:t>昼间</w:t>
                  </w:r>
                </w:p>
              </w:tc>
            </w:tr>
            <w:tr w14:paraId="7BB05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970FA5">
                  <w:pPr>
                    <w:kinsoku w:val="0"/>
                    <w:autoSpaceDE w:val="0"/>
                    <w:autoSpaceDN w:val="0"/>
                    <w:adjustRightInd w:val="0"/>
                    <w:snapToGrid w:val="0"/>
                    <w:spacing w:before="91"/>
                    <w:jc w:val="center"/>
                    <w:textAlignment w:val="baseline"/>
                    <w:rPr>
                      <w:rFonts w:hint="default" w:ascii="Times New Roman" w:hAnsi="Times New Roman" w:cs="Times New Roman"/>
                      <w:color w:val="auto"/>
                      <w:sz w:val="21"/>
                      <w:szCs w:val="21"/>
                    </w:rPr>
                  </w:pPr>
                  <w:r>
                    <w:rPr>
                      <w:rFonts w:hint="default" w:ascii="Times New Roman" w:hAnsi="Times New Roman" w:eastAsia="宋体" w:cs="Times New Roman"/>
                      <w:color w:val="auto"/>
                      <w:spacing w:val="3"/>
                      <w:kern w:val="0"/>
                      <w:sz w:val="21"/>
                      <w:szCs w:val="21"/>
                      <w:lang w:val="en-US" w:eastAsia="zh-CN" w:bidi="ar"/>
                    </w:rPr>
                    <w:t>厂界东侧</w:t>
                  </w:r>
                </w:p>
              </w:tc>
              <w:tc>
                <w:tcPr>
                  <w:tcW w:w="7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4FBDC9">
                  <w:pPr>
                    <w:pStyle w:val="22"/>
                    <w:widowControl w:val="0"/>
                    <w:spacing w:before="205" w:beforeAutospacing="0" w:after="0" w:afterAutospacing="0"/>
                    <w:ind w:left="432"/>
                    <w:jc w:val="both"/>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48.3</w:t>
                  </w:r>
                </w:p>
              </w:tc>
              <w:tc>
                <w:tcPr>
                  <w:tcW w:w="206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F0AF9F">
                  <w:pPr>
                    <w:kinsoku w:val="0"/>
                    <w:autoSpaceDE w:val="0"/>
                    <w:autoSpaceDN w:val="0"/>
                    <w:adjustRightInd w:val="0"/>
                    <w:snapToGrid w:val="0"/>
                    <w:spacing w:before="147"/>
                    <w:jc w:val="center"/>
                    <w:textAlignment w:val="baseline"/>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SA"/>
                    </w:rPr>
                    <w:t>50</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20137F">
                  <w:pPr>
                    <w:kinsoku w:val="0"/>
                    <w:autoSpaceDE w:val="0"/>
                    <w:autoSpaceDN w:val="0"/>
                    <w:adjustRightInd w:val="0"/>
                    <w:snapToGrid w:val="0"/>
                    <w:spacing w:before="15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1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0BFD65">
                  <w:pPr>
                    <w:pStyle w:val="22"/>
                    <w:widowControl w:val="0"/>
                    <w:spacing w:before="205" w:beforeAutospacing="0" w:after="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60</w:t>
                  </w:r>
                </w:p>
              </w:tc>
            </w:tr>
            <w:tr w14:paraId="05903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6EFA79">
                  <w:pPr>
                    <w:kinsoku w:val="0"/>
                    <w:autoSpaceDE w:val="0"/>
                    <w:autoSpaceDN w:val="0"/>
                    <w:adjustRightInd w:val="0"/>
                    <w:snapToGrid w:val="0"/>
                    <w:spacing w:before="94"/>
                    <w:jc w:val="center"/>
                    <w:textAlignment w:val="baseline"/>
                    <w:rPr>
                      <w:rFonts w:hint="default" w:ascii="Times New Roman" w:hAnsi="Times New Roman" w:cs="Times New Roman"/>
                      <w:color w:val="auto"/>
                      <w:spacing w:val="-1"/>
                      <w:sz w:val="21"/>
                      <w:szCs w:val="21"/>
                      <w:lang w:bidi="ar"/>
                    </w:rPr>
                  </w:pPr>
                  <w:r>
                    <w:rPr>
                      <w:rFonts w:hint="default" w:ascii="Times New Roman" w:hAnsi="Times New Roman" w:cs="Times New Roman"/>
                      <w:color w:val="auto"/>
                      <w:spacing w:val="-2"/>
                      <w:kern w:val="0"/>
                      <w:sz w:val="21"/>
                      <w:szCs w:val="21"/>
                      <w:lang w:val="en-US" w:eastAsia="zh-CN" w:bidi="ar"/>
                    </w:rPr>
                    <w:t>厂界南侧</w:t>
                  </w:r>
                </w:p>
              </w:tc>
              <w:tc>
                <w:tcPr>
                  <w:tcW w:w="7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192B8F">
                  <w:pPr>
                    <w:pStyle w:val="22"/>
                    <w:widowControl w:val="0"/>
                    <w:spacing w:before="207" w:beforeAutospacing="0" w:after="0" w:afterAutospacing="0"/>
                    <w:ind w:left="432"/>
                    <w:jc w:val="both"/>
                    <w:rPr>
                      <w:rFonts w:hint="default" w:ascii="Times New Roman" w:hAnsi="Times New Roman" w:eastAsia="Times New Roman" w:cs="Times New Roman"/>
                      <w:color w:val="auto"/>
                      <w:spacing w:val="-2"/>
                      <w:kern w:val="2"/>
                      <w:sz w:val="21"/>
                      <w:szCs w:val="21"/>
                      <w:lang w:bidi="ar"/>
                    </w:rPr>
                  </w:pPr>
                  <w:r>
                    <w:rPr>
                      <w:rFonts w:hint="default" w:ascii="Times New Roman" w:hAnsi="Times New Roman" w:eastAsia="Times New Roman" w:cs="Times New Roman"/>
                      <w:color w:val="auto"/>
                      <w:spacing w:val="-2"/>
                      <w:kern w:val="2"/>
                      <w:sz w:val="21"/>
                      <w:szCs w:val="21"/>
                      <w:lang w:bidi="ar"/>
                    </w:rPr>
                    <w:t>42.9</w:t>
                  </w:r>
                </w:p>
              </w:tc>
              <w:tc>
                <w:tcPr>
                  <w:tcW w:w="206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BB5799">
                  <w:pPr>
                    <w:kinsoku w:val="0"/>
                    <w:autoSpaceDE w:val="0"/>
                    <w:autoSpaceDN w:val="0"/>
                    <w:adjustRightInd w:val="0"/>
                    <w:snapToGrid w:val="0"/>
                    <w:spacing w:before="150"/>
                    <w:jc w:val="center"/>
                    <w:textAlignment w:val="baseline"/>
                    <w:rPr>
                      <w:rFonts w:hint="default" w:ascii="Times New Roman" w:hAnsi="Times New Roman" w:cs="Times New Roman"/>
                      <w:color w:val="auto"/>
                      <w:sz w:val="21"/>
                      <w:szCs w:val="21"/>
                      <w:lang w:bidi="ar"/>
                    </w:rPr>
                  </w:pPr>
                  <w:r>
                    <w:rPr>
                      <w:rFonts w:hint="default" w:ascii="Times New Roman" w:hAnsi="Times New Roman" w:eastAsia="宋体" w:cs="Times New Roman"/>
                      <w:color w:val="auto"/>
                      <w:kern w:val="0"/>
                      <w:sz w:val="21"/>
                      <w:szCs w:val="21"/>
                      <w:lang w:val="en-US" w:eastAsia="zh-CN" w:bidi="ar-SA"/>
                    </w:rPr>
                    <w:t>47</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903080">
                  <w:pPr>
                    <w:kinsoku w:val="0"/>
                    <w:autoSpaceDE w:val="0"/>
                    <w:autoSpaceDN w:val="0"/>
                    <w:adjustRightInd w:val="0"/>
                    <w:snapToGrid w:val="0"/>
                    <w:spacing w:before="152"/>
                    <w:jc w:val="center"/>
                    <w:textAlignment w:val="baseline"/>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w:t>
                  </w:r>
                </w:p>
              </w:tc>
              <w:tc>
                <w:tcPr>
                  <w:tcW w:w="11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652A88">
                  <w:pPr>
                    <w:pStyle w:val="22"/>
                    <w:widowControl w:val="0"/>
                    <w:spacing w:before="205" w:beforeLines="0" w:beforeAutospacing="0" w:after="0" w:afterLines="0" w:afterAutospacing="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cs="Times New Roman"/>
                      <w:color w:val="auto"/>
                      <w:sz w:val="21"/>
                      <w:szCs w:val="21"/>
                    </w:rPr>
                    <w:t>60</w:t>
                  </w:r>
                </w:p>
              </w:tc>
            </w:tr>
            <w:tr w14:paraId="1701D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10A144">
                  <w:pPr>
                    <w:kinsoku w:val="0"/>
                    <w:autoSpaceDE w:val="0"/>
                    <w:autoSpaceDN w:val="0"/>
                    <w:adjustRightInd w:val="0"/>
                    <w:snapToGrid w:val="0"/>
                    <w:spacing w:before="95"/>
                    <w:jc w:val="center"/>
                    <w:textAlignment w:val="baseline"/>
                    <w:rPr>
                      <w:rFonts w:hint="default" w:ascii="Times New Roman" w:hAnsi="Times New Roman" w:cs="Times New Roman"/>
                      <w:color w:val="auto"/>
                      <w:spacing w:val="-1"/>
                      <w:sz w:val="21"/>
                      <w:szCs w:val="21"/>
                      <w:lang w:bidi="ar"/>
                    </w:rPr>
                  </w:pPr>
                  <w:r>
                    <w:rPr>
                      <w:rFonts w:hint="default" w:ascii="Times New Roman" w:hAnsi="Times New Roman" w:eastAsia="宋体" w:cs="Times New Roman"/>
                      <w:color w:val="auto"/>
                      <w:kern w:val="0"/>
                      <w:sz w:val="21"/>
                      <w:szCs w:val="21"/>
                      <w:lang w:val="en-US" w:eastAsia="zh-CN" w:bidi="ar-SA"/>
                    </w:rPr>
                    <w:t>厂界西侧</w:t>
                  </w:r>
                </w:p>
              </w:tc>
              <w:tc>
                <w:tcPr>
                  <w:tcW w:w="7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EC972C">
                  <w:pPr>
                    <w:pStyle w:val="22"/>
                    <w:widowControl w:val="0"/>
                    <w:spacing w:before="207" w:beforeAutospacing="0" w:after="0" w:afterAutospacing="0"/>
                    <w:ind w:left="432"/>
                    <w:jc w:val="both"/>
                    <w:rPr>
                      <w:rFonts w:hint="default" w:ascii="Times New Roman" w:hAnsi="Times New Roman" w:eastAsia="Times New Roman" w:cs="Times New Roman"/>
                      <w:color w:val="auto"/>
                      <w:spacing w:val="-2"/>
                      <w:kern w:val="2"/>
                      <w:sz w:val="21"/>
                      <w:szCs w:val="21"/>
                      <w:lang w:bidi="ar"/>
                    </w:rPr>
                  </w:pPr>
                  <w:r>
                    <w:rPr>
                      <w:rFonts w:hint="default" w:ascii="Times New Roman" w:hAnsi="Times New Roman" w:eastAsia="Times New Roman" w:cs="Times New Roman"/>
                      <w:color w:val="auto"/>
                      <w:spacing w:val="-2"/>
                      <w:kern w:val="2"/>
                      <w:sz w:val="21"/>
                      <w:szCs w:val="21"/>
                      <w:lang w:bidi="ar"/>
                    </w:rPr>
                    <w:t>41.7</w:t>
                  </w:r>
                </w:p>
              </w:tc>
              <w:tc>
                <w:tcPr>
                  <w:tcW w:w="206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E28525">
                  <w:pPr>
                    <w:kinsoku w:val="0"/>
                    <w:autoSpaceDE w:val="0"/>
                    <w:autoSpaceDN w:val="0"/>
                    <w:adjustRightInd w:val="0"/>
                    <w:snapToGrid w:val="0"/>
                    <w:spacing w:before="151"/>
                    <w:jc w:val="center"/>
                    <w:textAlignment w:val="baseline"/>
                    <w:rPr>
                      <w:rFonts w:hint="default" w:ascii="Times New Roman" w:hAnsi="Times New Roman" w:cs="Times New Roman"/>
                      <w:color w:val="auto"/>
                      <w:sz w:val="21"/>
                      <w:szCs w:val="21"/>
                      <w:lang w:bidi="ar"/>
                    </w:rPr>
                  </w:pPr>
                  <w:r>
                    <w:rPr>
                      <w:rFonts w:hint="default" w:ascii="Times New Roman" w:hAnsi="Times New Roman" w:eastAsia="宋体" w:cs="Times New Roman"/>
                      <w:color w:val="auto"/>
                      <w:kern w:val="0"/>
                      <w:sz w:val="21"/>
                      <w:szCs w:val="21"/>
                      <w:lang w:val="en-US" w:eastAsia="zh-CN" w:bidi="ar-SA"/>
                    </w:rPr>
                    <w:t>47</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69D27F">
                  <w:pPr>
                    <w:kinsoku w:val="0"/>
                    <w:autoSpaceDE w:val="0"/>
                    <w:autoSpaceDN w:val="0"/>
                    <w:adjustRightInd w:val="0"/>
                    <w:snapToGrid w:val="0"/>
                    <w:spacing w:before="152"/>
                    <w:jc w:val="center"/>
                    <w:textAlignment w:val="baseline"/>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w:t>
                  </w:r>
                </w:p>
              </w:tc>
              <w:tc>
                <w:tcPr>
                  <w:tcW w:w="11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10FE65">
                  <w:pPr>
                    <w:pStyle w:val="22"/>
                    <w:widowControl w:val="0"/>
                    <w:spacing w:before="205" w:beforeLines="0" w:beforeAutospacing="0" w:after="0" w:afterLines="0" w:afterAutospacing="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cs="Times New Roman"/>
                      <w:color w:val="auto"/>
                      <w:sz w:val="21"/>
                      <w:szCs w:val="21"/>
                    </w:rPr>
                    <w:t>60</w:t>
                  </w:r>
                </w:p>
              </w:tc>
            </w:tr>
            <w:tr w14:paraId="06EF4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F51688">
                  <w:pPr>
                    <w:kinsoku w:val="0"/>
                    <w:autoSpaceDE w:val="0"/>
                    <w:autoSpaceDN w:val="0"/>
                    <w:adjustRightInd w:val="0"/>
                    <w:snapToGrid w:val="0"/>
                    <w:spacing w:before="96"/>
                    <w:jc w:val="center"/>
                    <w:textAlignment w:val="baseline"/>
                    <w:rPr>
                      <w:rFonts w:hint="default" w:ascii="Times New Roman" w:hAnsi="Times New Roman" w:cs="Times New Roman"/>
                      <w:color w:val="auto"/>
                      <w:spacing w:val="-1"/>
                      <w:sz w:val="21"/>
                      <w:szCs w:val="21"/>
                      <w:lang w:bidi="ar"/>
                    </w:rPr>
                  </w:pPr>
                  <w:r>
                    <w:rPr>
                      <w:rFonts w:hint="default" w:ascii="Times New Roman" w:hAnsi="Times New Roman" w:cs="Times New Roman"/>
                      <w:color w:val="auto"/>
                      <w:spacing w:val="1"/>
                      <w:kern w:val="0"/>
                      <w:sz w:val="21"/>
                      <w:szCs w:val="21"/>
                      <w:lang w:val="en-US" w:eastAsia="zh-CN" w:bidi="ar"/>
                    </w:rPr>
                    <w:t>厂界北侧</w:t>
                  </w:r>
                </w:p>
              </w:tc>
              <w:tc>
                <w:tcPr>
                  <w:tcW w:w="7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E88F41">
                  <w:pPr>
                    <w:pStyle w:val="22"/>
                    <w:widowControl w:val="0"/>
                    <w:spacing w:before="207" w:beforeAutospacing="0" w:after="0" w:afterAutospacing="0"/>
                    <w:ind w:left="432"/>
                    <w:jc w:val="both"/>
                    <w:rPr>
                      <w:rFonts w:hint="default" w:ascii="Times New Roman" w:hAnsi="Times New Roman" w:eastAsia="Times New Roman" w:cs="Times New Roman"/>
                      <w:color w:val="auto"/>
                      <w:spacing w:val="-2"/>
                      <w:kern w:val="2"/>
                      <w:sz w:val="21"/>
                      <w:szCs w:val="21"/>
                      <w:lang w:bidi="ar"/>
                    </w:rPr>
                  </w:pPr>
                  <w:r>
                    <w:rPr>
                      <w:rFonts w:hint="default" w:ascii="Times New Roman" w:hAnsi="Times New Roman" w:eastAsia="Times New Roman" w:cs="Times New Roman"/>
                      <w:color w:val="auto"/>
                      <w:spacing w:val="-2"/>
                      <w:kern w:val="2"/>
                      <w:sz w:val="21"/>
                      <w:szCs w:val="21"/>
                      <w:lang w:bidi="ar"/>
                    </w:rPr>
                    <w:t>45.1</w:t>
                  </w:r>
                </w:p>
              </w:tc>
              <w:tc>
                <w:tcPr>
                  <w:tcW w:w="206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C1BE8A">
                  <w:pPr>
                    <w:kinsoku w:val="0"/>
                    <w:autoSpaceDE w:val="0"/>
                    <w:autoSpaceDN w:val="0"/>
                    <w:adjustRightInd w:val="0"/>
                    <w:snapToGrid w:val="0"/>
                    <w:spacing w:before="152"/>
                    <w:jc w:val="center"/>
                    <w:textAlignment w:val="baseline"/>
                    <w:rPr>
                      <w:rFonts w:hint="default" w:ascii="Times New Roman" w:hAnsi="Times New Roman" w:cs="Times New Roman"/>
                      <w:color w:val="auto"/>
                      <w:sz w:val="21"/>
                      <w:szCs w:val="21"/>
                      <w:lang w:bidi="ar"/>
                    </w:rPr>
                  </w:pPr>
                  <w:r>
                    <w:rPr>
                      <w:rFonts w:hint="default" w:ascii="Times New Roman" w:hAnsi="Times New Roman" w:eastAsia="宋体" w:cs="Times New Roman"/>
                      <w:color w:val="auto"/>
                      <w:kern w:val="0"/>
                      <w:sz w:val="21"/>
                      <w:szCs w:val="21"/>
                      <w:lang w:val="en-US" w:eastAsia="zh-CN" w:bidi="ar-SA"/>
                    </w:rPr>
                    <w:t>52</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5ECC1A">
                  <w:pPr>
                    <w:kinsoku w:val="0"/>
                    <w:autoSpaceDE w:val="0"/>
                    <w:autoSpaceDN w:val="0"/>
                    <w:adjustRightInd w:val="0"/>
                    <w:snapToGrid w:val="0"/>
                    <w:spacing w:before="155"/>
                    <w:jc w:val="center"/>
                    <w:textAlignment w:val="baseline"/>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w:t>
                  </w:r>
                </w:p>
              </w:tc>
              <w:tc>
                <w:tcPr>
                  <w:tcW w:w="11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853999">
                  <w:pPr>
                    <w:pStyle w:val="22"/>
                    <w:widowControl w:val="0"/>
                    <w:spacing w:before="205" w:beforeLines="0" w:beforeAutospacing="0" w:after="0" w:afterLines="0" w:afterAutospacing="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 w:val="21"/>
                      <w:szCs w:val="21"/>
                      <w:lang w:val="en-US" w:eastAsia="zh-CN"/>
                    </w:rPr>
                    <w:t>70</w:t>
                  </w:r>
                </w:p>
              </w:tc>
            </w:tr>
            <w:tr w14:paraId="5FFA4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95198C">
                  <w:pPr>
                    <w:kinsoku w:val="0"/>
                    <w:autoSpaceDE w:val="0"/>
                    <w:autoSpaceDN w:val="0"/>
                    <w:adjustRightInd w:val="0"/>
                    <w:snapToGrid w:val="0"/>
                    <w:spacing w:before="96"/>
                    <w:jc w:val="center"/>
                    <w:textAlignment w:val="baseline"/>
                    <w:rPr>
                      <w:rFonts w:hint="default" w:ascii="Times New Roman" w:hAnsi="Times New Roman" w:cs="Times New Roman"/>
                      <w:color w:val="auto"/>
                      <w:spacing w:val="-1"/>
                      <w:sz w:val="21"/>
                      <w:szCs w:val="21"/>
                      <w:lang w:bidi="ar"/>
                    </w:rPr>
                  </w:pPr>
                  <w:r>
                    <w:rPr>
                      <w:rFonts w:hint="default" w:ascii="Times New Roman" w:hAnsi="Times New Roman" w:eastAsia="宋体" w:cs="Times New Roman"/>
                      <w:color w:val="auto"/>
                      <w:spacing w:val="1"/>
                      <w:kern w:val="0"/>
                      <w:sz w:val="21"/>
                      <w:szCs w:val="21"/>
                      <w:lang w:val="en-US" w:eastAsia="zh-CN" w:bidi="ar"/>
                    </w:rPr>
                    <w:t>左马村</w:t>
                  </w:r>
                </w:p>
              </w:tc>
              <w:tc>
                <w:tcPr>
                  <w:tcW w:w="7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41C096">
                  <w:pPr>
                    <w:pStyle w:val="22"/>
                    <w:widowControl w:val="0"/>
                    <w:spacing w:before="207" w:beforeAutospacing="0" w:after="0" w:afterAutospacing="0"/>
                    <w:ind w:left="432"/>
                    <w:jc w:val="both"/>
                    <w:rPr>
                      <w:rFonts w:hint="default" w:ascii="Times New Roman" w:hAnsi="Times New Roman" w:eastAsia="Times New Roman" w:cs="Times New Roman"/>
                      <w:color w:val="auto"/>
                      <w:spacing w:val="-2"/>
                      <w:kern w:val="2"/>
                      <w:sz w:val="21"/>
                      <w:szCs w:val="21"/>
                      <w:lang w:bidi="ar"/>
                    </w:rPr>
                  </w:pPr>
                  <w:r>
                    <w:rPr>
                      <w:rFonts w:hint="eastAsia" w:ascii="Times New Roman" w:hAnsi="Times New Roman" w:eastAsia="宋体" w:cs="Times New Roman"/>
                      <w:color w:val="auto"/>
                      <w:spacing w:val="-2"/>
                      <w:kern w:val="2"/>
                      <w:sz w:val="21"/>
                      <w:szCs w:val="21"/>
                      <w:lang w:val="en-US" w:eastAsia="zh-CN" w:bidi="ar"/>
                    </w:rPr>
                    <w:t>5</w:t>
                  </w:r>
                  <w:r>
                    <w:rPr>
                      <w:rFonts w:hint="default" w:ascii="Times New Roman" w:hAnsi="Times New Roman" w:eastAsia="Times New Roman" w:cs="Times New Roman"/>
                      <w:color w:val="auto"/>
                      <w:spacing w:val="-2"/>
                      <w:kern w:val="2"/>
                      <w:sz w:val="21"/>
                      <w:szCs w:val="21"/>
                      <w:lang w:bidi="ar"/>
                    </w:rPr>
                    <w:t>0.6</w:t>
                  </w:r>
                </w:p>
              </w:tc>
              <w:tc>
                <w:tcPr>
                  <w:tcW w:w="206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36384F">
                  <w:pPr>
                    <w:kinsoku w:val="0"/>
                    <w:autoSpaceDE w:val="0"/>
                    <w:autoSpaceDN w:val="0"/>
                    <w:adjustRightInd w:val="0"/>
                    <w:snapToGrid w:val="0"/>
                    <w:spacing w:before="152"/>
                    <w:jc w:val="center"/>
                    <w:textAlignment w:val="baseline"/>
                    <w:rPr>
                      <w:rFonts w:hint="default" w:ascii="Times New Roman" w:hAnsi="Times New Roman" w:cs="Times New Roman"/>
                      <w:color w:val="auto"/>
                      <w:sz w:val="21"/>
                      <w:szCs w:val="21"/>
                      <w:lang w:bidi="ar"/>
                    </w:rPr>
                  </w:pPr>
                  <w:r>
                    <w:rPr>
                      <w:rFonts w:hint="default" w:ascii="Times New Roman" w:hAnsi="Times New Roman" w:eastAsia="宋体" w:cs="Times New Roman"/>
                      <w:color w:val="auto"/>
                      <w:kern w:val="0"/>
                      <w:sz w:val="21"/>
                      <w:szCs w:val="21"/>
                      <w:lang w:val="en-US" w:eastAsia="zh-CN" w:bidi="ar-SA"/>
                    </w:rPr>
                    <w:t>66</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E67A16">
                  <w:pPr>
                    <w:pStyle w:val="22"/>
                    <w:widowControl w:val="0"/>
                    <w:spacing w:before="206" w:beforeAutospacing="0" w:after="0" w:afterAutospacing="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66.1</w:t>
                  </w:r>
                </w:p>
              </w:tc>
              <w:tc>
                <w:tcPr>
                  <w:tcW w:w="11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9B6F59">
                  <w:pPr>
                    <w:pStyle w:val="22"/>
                    <w:widowControl w:val="0"/>
                    <w:spacing w:before="205" w:beforeLines="0" w:beforeAutospacing="0" w:after="0" w:afterLines="0" w:afterAutospacing="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70</w:t>
                  </w:r>
                </w:p>
              </w:tc>
            </w:tr>
          </w:tbl>
          <w:p w14:paraId="1CE60B41">
            <w:pPr>
              <w:autoSpaceDE w:val="0"/>
              <w:autoSpaceDN w:val="0"/>
              <w:spacing w:line="360" w:lineRule="auto"/>
              <w:ind w:firstLine="480" w:firstLineChars="200"/>
              <w:rPr>
                <w:rFonts w:hint="default"/>
                <w:color w:val="auto"/>
                <w:sz w:val="24"/>
                <w:szCs w:val="24"/>
                <w:lang w:val="zh-CN"/>
              </w:rPr>
            </w:pPr>
            <w:r>
              <w:rPr>
                <w:rFonts w:hint="default" w:ascii="宋体" w:hAnsi="Times New Roman" w:eastAsia="宋体"/>
                <w:color w:val="auto"/>
                <w:sz w:val="24"/>
                <w:szCs w:val="24"/>
                <w:lang w:val="zh-CN"/>
              </w:rPr>
              <w:t>从上表可知，项目东、西、南厂界噪声贡献值满足《工业企业厂界环境噪声排放标准》（GB12348-2008）中2类标准，北侧厂界噪声贡献值满足《工业企业厂界环境噪声排放标准》（GB12348-2008）中4a类标准；噪声敏感点左马村经叠加背景值后噪声预测值满足《声环境质量标准》（GB 3096－2008）中4a类标准。</w:t>
            </w:r>
          </w:p>
          <w:p w14:paraId="039C7CFF">
            <w:pPr>
              <w:spacing w:line="360" w:lineRule="auto"/>
              <w:ind w:firstLine="480" w:firstLineChars="200"/>
              <w:rPr>
                <w:rFonts w:hint="default"/>
                <w:color w:val="auto"/>
              </w:rPr>
            </w:pPr>
            <w:r>
              <w:rPr>
                <w:rFonts w:hint="default" w:ascii="宋体" w:hAnsi="Times New Roman" w:eastAsia="宋体" w:cs="Times New Roman"/>
                <w:color w:val="auto"/>
                <w:sz w:val="24"/>
                <w:szCs w:val="24"/>
                <w:lang w:val="zh-CN"/>
              </w:rPr>
              <w:t>综上所述，建设项目噪声排放对周外环境影响较小，噪声防治措施可行。企业必须重视设备噪声、减震工程的设计及施工质量，确保达标，不得影响周边环境。项目在认真落实上述噪声治理措施后，厂界噪声满足《工业企业厂界环境噪声排放标准》（GB12348-2008）中规定的</w:t>
            </w:r>
            <w:r>
              <w:rPr>
                <w:rFonts w:hint="eastAsia" w:ascii="宋体" w:cs="Times New Roman"/>
                <w:color w:val="auto"/>
                <w:sz w:val="24"/>
                <w:szCs w:val="24"/>
                <w:lang w:val="en-US" w:eastAsia="zh-CN"/>
              </w:rPr>
              <w:t>2</w:t>
            </w:r>
            <w:r>
              <w:rPr>
                <w:rFonts w:hint="default" w:ascii="宋体" w:hAnsi="Times New Roman" w:eastAsia="宋体" w:cs="Times New Roman"/>
                <w:color w:val="auto"/>
                <w:sz w:val="24"/>
                <w:szCs w:val="24"/>
                <w:lang w:val="zh-CN"/>
              </w:rPr>
              <w:t>类区排放限值。</w:t>
            </w:r>
          </w:p>
          <w:p w14:paraId="53FB1121">
            <w:pPr>
              <w:numPr>
                <w:ilvl w:val="0"/>
                <w:numId w:val="0"/>
              </w:numPr>
              <w:adjustRightInd w:val="0"/>
              <w:snapToGrid w:val="0"/>
              <w:spacing w:beforeLines="0" w:afterLines="0" w:line="520" w:lineRule="exact"/>
              <w:ind w:firstLine="482" w:firstLineChars="200"/>
              <w:rPr>
                <w:rFonts w:hint="default" w:cs="Times New Roman"/>
                <w:b/>
                <w:color w:val="auto"/>
                <w:sz w:val="24"/>
                <w:szCs w:val="24"/>
                <w:lang w:val="en-US" w:eastAsia="zh-CN"/>
              </w:rPr>
            </w:pPr>
            <w:r>
              <w:rPr>
                <w:rFonts w:hint="eastAsia" w:cs="Times New Roman"/>
                <w:b/>
                <w:color w:val="auto"/>
                <w:sz w:val="24"/>
                <w:szCs w:val="24"/>
                <w:lang w:val="en-US" w:eastAsia="zh-CN"/>
              </w:rPr>
              <w:t>（3）</w:t>
            </w:r>
            <w:r>
              <w:rPr>
                <w:rFonts w:hint="default" w:cs="Times New Roman"/>
                <w:b/>
                <w:color w:val="auto"/>
                <w:sz w:val="24"/>
                <w:szCs w:val="24"/>
                <w:lang w:val="en-US" w:eastAsia="zh-CN"/>
              </w:rPr>
              <w:t>声环境监测计划</w:t>
            </w:r>
          </w:p>
          <w:p w14:paraId="0D0B470D">
            <w:pPr>
              <w:pStyle w:val="69"/>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本项目噪声监测参照《排污单位自行监测技术指南 总则》（HJ819-2017）、《排污单位自行监测技术指南 农副食品加工业》（HJ 986-2018）、《排污单位自行监测技术指南 食品制造》（HJ 1084-2020），根据本项目污染特征制定营运期的环境监测计划见下表</w:t>
            </w:r>
            <w:r>
              <w:rPr>
                <w:rFonts w:hint="default" w:ascii="Times New Roman" w:hAnsi="Times New Roman" w:eastAsia="宋体" w:cs="Times New Roman"/>
                <w:color w:val="auto"/>
                <w:sz w:val="24"/>
                <w:szCs w:val="24"/>
              </w:rPr>
              <w:t>：</w:t>
            </w:r>
          </w:p>
          <w:p w14:paraId="4EB3C110">
            <w:pPr>
              <w:pStyle w:val="72"/>
              <w:adjustRightInd/>
              <w:spacing w:beforeLines="0" w:afterLines="0" w:line="240" w:lineRule="auto"/>
              <w:rPr>
                <w:rFonts w:hint="default" w:ascii="Times New Roman" w:hAnsi="Times New Roman" w:eastAsia="宋体" w:cs="Times New Roman"/>
                <w:b/>
                <w:bCs/>
                <w:color w:val="auto"/>
                <w:spacing w:val="0"/>
                <w:kern w:val="0"/>
                <w:sz w:val="24"/>
                <w:szCs w:val="24"/>
                <w:lang w:val="en-US" w:eastAsia="zh-CN" w:bidi="ar-SA"/>
              </w:rPr>
            </w:pPr>
            <w:r>
              <w:rPr>
                <w:rFonts w:hint="default" w:ascii="Times New Roman" w:hAnsi="Times New Roman" w:eastAsia="宋体" w:cs="Times New Roman"/>
                <w:b/>
                <w:bCs/>
                <w:color w:val="auto"/>
                <w:spacing w:val="0"/>
                <w:kern w:val="0"/>
                <w:sz w:val="21"/>
                <w:szCs w:val="21"/>
                <w:lang w:val="en-US" w:eastAsia="zh-CN" w:bidi="ar-SA"/>
              </w:rPr>
              <w:t>表4-</w:t>
            </w:r>
            <w:r>
              <w:rPr>
                <w:rFonts w:hint="eastAsia" w:ascii="Times New Roman" w:hAnsi="Times New Roman" w:eastAsia="宋体" w:cs="Times New Roman"/>
                <w:b/>
                <w:bCs/>
                <w:color w:val="auto"/>
                <w:spacing w:val="0"/>
                <w:kern w:val="0"/>
                <w:sz w:val="21"/>
                <w:szCs w:val="21"/>
                <w:lang w:val="en-US" w:eastAsia="zh-CN" w:bidi="ar-SA"/>
              </w:rPr>
              <w:t>14</w:t>
            </w:r>
            <w:r>
              <w:rPr>
                <w:rFonts w:hint="default" w:ascii="Times New Roman" w:hAnsi="Times New Roman" w:eastAsia="宋体" w:cs="Times New Roman"/>
                <w:b/>
                <w:bCs/>
                <w:color w:val="auto"/>
                <w:spacing w:val="0"/>
                <w:kern w:val="0"/>
                <w:sz w:val="21"/>
                <w:szCs w:val="21"/>
                <w:lang w:val="en-US" w:eastAsia="zh-CN" w:bidi="ar-SA"/>
              </w:rPr>
              <w:t xml:space="preserve">  噪声自行监测计划</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7"/>
              <w:gridCol w:w="1468"/>
              <w:gridCol w:w="1395"/>
              <w:gridCol w:w="3863"/>
            </w:tblGrid>
            <w:tr w14:paraId="1D15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6D39CD">
                  <w:pPr>
                    <w:adjustRightInd w:val="0"/>
                    <w:snapToGrid w:val="0"/>
                    <w:spacing w:beforeLines="0" w:afterLines="0" w:line="240" w:lineRule="atLeast"/>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监测点位</w:t>
                  </w: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02D398">
                  <w:pPr>
                    <w:adjustRightInd w:val="0"/>
                    <w:snapToGrid w:val="0"/>
                    <w:spacing w:beforeLines="0" w:afterLines="0" w:line="240" w:lineRule="atLeast"/>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监测因子</w:t>
                  </w:r>
                </w:p>
              </w:tc>
              <w:tc>
                <w:tcPr>
                  <w:tcW w:w="7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9EF688">
                  <w:pPr>
                    <w:adjustRightInd w:val="0"/>
                    <w:snapToGrid w:val="0"/>
                    <w:spacing w:beforeLines="0" w:afterLines="0" w:line="240" w:lineRule="atLeast"/>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监测频次</w:t>
                  </w:r>
                </w:p>
              </w:tc>
              <w:tc>
                <w:tcPr>
                  <w:tcW w:w="21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52C21D">
                  <w:pPr>
                    <w:adjustRightInd w:val="0"/>
                    <w:snapToGrid w:val="0"/>
                    <w:spacing w:beforeLines="0" w:afterLines="0" w:line="240" w:lineRule="atLeast"/>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执行标准</w:t>
                  </w:r>
                </w:p>
              </w:tc>
            </w:tr>
            <w:tr w14:paraId="46AC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3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0DBB5A">
                  <w:pPr>
                    <w:adjustRightInd w:val="0"/>
                    <w:snapToGrid w:val="0"/>
                    <w:spacing w:beforeLines="0" w:afterLines="0" w:line="240" w:lineRule="atLeast"/>
                    <w:jc w:val="center"/>
                    <w:textAlignment w:val="baseline"/>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项目厂界四周</w:t>
                  </w: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8FDD4F">
                  <w:pPr>
                    <w:adjustRightInd w:val="0"/>
                    <w:snapToGrid w:val="0"/>
                    <w:spacing w:beforeLines="0" w:afterLines="0" w:line="240" w:lineRule="atLeas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Leq(A)</w:t>
                  </w:r>
                </w:p>
              </w:tc>
              <w:tc>
                <w:tcPr>
                  <w:tcW w:w="7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24D599">
                  <w:pPr>
                    <w:adjustRightInd w:val="0"/>
                    <w:snapToGrid w:val="0"/>
                    <w:spacing w:beforeLines="0" w:afterLines="0" w:line="240" w:lineRule="atLeas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次/季度</w:t>
                  </w:r>
                </w:p>
              </w:tc>
              <w:tc>
                <w:tcPr>
                  <w:tcW w:w="21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C0C7F7">
                  <w:pPr>
                    <w:adjustRightInd w:val="0"/>
                    <w:snapToGrid w:val="0"/>
                    <w:spacing w:beforeLines="0" w:afterLines="0" w:line="240" w:lineRule="atLeast"/>
                    <w:jc w:val="center"/>
                    <w:textAlignment w:val="baseline"/>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《工业企业厂界环境噪声排放标准》（GB12348-2008）中的</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bl>
          <w:p w14:paraId="0293A316">
            <w:pPr>
              <w:adjustRightInd w:val="0"/>
              <w:snapToGrid w:val="0"/>
              <w:spacing w:line="240" w:lineRule="auto"/>
              <w:ind w:firstLine="482" w:firstLineChars="200"/>
              <w:jc w:val="left"/>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4、固体废物</w:t>
            </w:r>
          </w:p>
          <w:p w14:paraId="22F4DD2A">
            <w:pPr>
              <w:spacing w:beforeLines="0" w:afterLines="0" w:line="500" w:lineRule="exact"/>
              <w:ind w:firstLine="482" w:firstLineChars="200"/>
              <w:rPr>
                <w:rFonts w:hint="default" w:ascii="Times New Roman" w:hAnsi="Times New Roman" w:eastAsia="宋体" w:cs="Times New Roman"/>
                <w:color w:val="auto"/>
                <w:sz w:val="24"/>
                <w:szCs w:val="24"/>
              </w:rPr>
            </w:pPr>
            <w:r>
              <w:rPr>
                <w:rFonts w:hint="eastAsia" w:cs="Times New Roman"/>
                <w:b/>
                <w:color w:val="auto"/>
                <w:sz w:val="24"/>
                <w:szCs w:val="24"/>
                <w:lang w:val="en-US" w:eastAsia="zh-CN"/>
              </w:rPr>
              <w:t>（1）</w:t>
            </w:r>
            <w:r>
              <w:rPr>
                <w:rFonts w:hint="default" w:cs="Times New Roman"/>
                <w:b/>
                <w:color w:val="auto"/>
                <w:sz w:val="24"/>
                <w:szCs w:val="24"/>
                <w:lang w:val="en-US" w:eastAsia="zh-CN"/>
              </w:rPr>
              <w:t>固废产生情况</w:t>
            </w:r>
          </w:p>
          <w:p w14:paraId="739B115B">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宋体" w:eastAsia="宋体"/>
                <w:snapToGrid/>
                <w:color w:val="auto"/>
                <w:sz w:val="24"/>
                <w:szCs w:val="24"/>
                <w:vertAlign w:val="baseline"/>
              </w:rPr>
            </w:pPr>
            <w:r>
              <w:rPr>
                <w:rFonts w:hint="default" w:ascii="宋体" w:eastAsia="宋体"/>
                <w:b/>
                <w:bCs/>
                <w:snapToGrid/>
                <w:color w:val="auto"/>
                <w:sz w:val="24"/>
                <w:szCs w:val="24"/>
                <w:vertAlign w:val="baseline"/>
              </w:rPr>
              <w:t>职工生活垃圾：</w:t>
            </w:r>
            <w:r>
              <w:rPr>
                <w:rFonts w:hint="default" w:ascii="宋体" w:eastAsia="宋体"/>
                <w:snapToGrid/>
                <w:color w:val="auto"/>
                <w:sz w:val="24"/>
                <w:szCs w:val="24"/>
                <w:vertAlign w:val="baseline"/>
              </w:rPr>
              <w:t>本项目劳动定员18人，生活垃圾每人每天产生量按0.5kg计算，则生活垃圾产生量约2.7t/a，统一收集后由环卫进行处理。</w:t>
            </w:r>
          </w:p>
          <w:p w14:paraId="66849DEA">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宋体" w:eastAsia="宋体"/>
                <w:snapToGrid/>
                <w:color w:val="auto"/>
                <w:sz w:val="24"/>
                <w:szCs w:val="24"/>
                <w:vertAlign w:val="baseline"/>
              </w:rPr>
            </w:pPr>
            <w:r>
              <w:rPr>
                <w:rFonts w:hint="default" w:ascii="宋体" w:eastAsia="宋体"/>
                <w:b/>
                <w:bCs/>
                <w:snapToGrid/>
                <w:color w:val="auto"/>
                <w:sz w:val="24"/>
                <w:szCs w:val="24"/>
                <w:vertAlign w:val="baseline"/>
              </w:rPr>
              <w:t>废包装材料：</w:t>
            </w:r>
            <w:r>
              <w:rPr>
                <w:rFonts w:hint="default" w:ascii="宋体" w:eastAsia="宋体"/>
                <w:snapToGrid/>
                <w:color w:val="auto"/>
                <w:sz w:val="24"/>
                <w:szCs w:val="24"/>
                <w:vertAlign w:val="baseline"/>
              </w:rPr>
              <w:t>项目产品生产和包装过程中产生的废包装材料1.5t/a，由厂区收集后储存于一般固废暂存间，交由回收单位回收处理。</w:t>
            </w:r>
          </w:p>
          <w:p w14:paraId="3F263924">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宋体" w:eastAsia="宋体"/>
                <w:snapToGrid/>
                <w:color w:val="auto"/>
                <w:sz w:val="24"/>
                <w:szCs w:val="24"/>
                <w:vertAlign w:val="baseline"/>
              </w:rPr>
            </w:pPr>
            <w:r>
              <w:rPr>
                <w:rFonts w:hint="default" w:ascii="宋体" w:eastAsia="宋体"/>
                <w:b/>
                <w:bCs/>
                <w:snapToGrid/>
                <w:color w:val="auto"/>
                <w:sz w:val="24"/>
                <w:szCs w:val="24"/>
                <w:vertAlign w:val="baseline"/>
              </w:rPr>
              <w:t>碎粉丝：</w:t>
            </w:r>
            <w:r>
              <w:rPr>
                <w:rFonts w:hint="default" w:ascii="宋体" w:eastAsia="宋体"/>
                <w:snapToGrid/>
                <w:color w:val="auto"/>
                <w:sz w:val="24"/>
                <w:szCs w:val="24"/>
                <w:vertAlign w:val="baseline"/>
              </w:rPr>
              <w:t>切丝为湿式作业，无粉尘产生，此过程会产生少量的碎粉丝，产生</w:t>
            </w:r>
            <w:r>
              <w:rPr>
                <w:rFonts w:hint="eastAsia" w:ascii="宋体"/>
                <w:snapToGrid/>
                <w:color w:val="auto"/>
                <w:sz w:val="24"/>
                <w:szCs w:val="24"/>
                <w:vertAlign w:val="baseline"/>
                <w:lang w:val="en-US" w:eastAsia="zh-CN"/>
              </w:rPr>
              <w:t>量</w:t>
            </w:r>
            <w:r>
              <w:rPr>
                <w:rFonts w:hint="default" w:ascii="宋体" w:eastAsia="宋体"/>
                <w:snapToGrid/>
                <w:color w:val="auto"/>
                <w:sz w:val="24"/>
                <w:szCs w:val="24"/>
                <w:vertAlign w:val="baseline"/>
              </w:rPr>
              <w:t>为2t/a，作为饲料销售。</w:t>
            </w:r>
          </w:p>
          <w:p w14:paraId="67A51E84">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snapToGrid/>
                <w:color w:val="auto"/>
                <w:sz w:val="24"/>
                <w:szCs w:val="24"/>
                <w:vertAlign w:val="baseline"/>
              </w:rPr>
            </w:pPr>
            <w:r>
              <w:rPr>
                <w:rFonts w:hint="default" w:ascii="宋体" w:eastAsia="宋体"/>
                <w:b/>
                <w:bCs/>
                <w:snapToGrid/>
                <w:color w:val="auto"/>
                <w:sz w:val="24"/>
                <w:szCs w:val="24"/>
                <w:vertAlign w:val="baseline"/>
              </w:rPr>
              <w:t>不合格品：</w:t>
            </w:r>
            <w:r>
              <w:rPr>
                <w:rFonts w:hint="default" w:ascii="宋体" w:eastAsia="宋体"/>
                <w:snapToGrid/>
                <w:color w:val="auto"/>
                <w:sz w:val="24"/>
                <w:szCs w:val="24"/>
                <w:vertAlign w:val="baseline"/>
              </w:rPr>
              <w:t>蛋制品的选蛋和出厂检验工序产生的不合格品量为20t/a，作为处理品销售。粉丝出厂检验不合格的产品量为12t/a，主要呈弯曲状，形状不美观，作为处理品销售。豆腐皮不合格品量为5t/a，在挑选的时候出现的不合格品退回厂家处理，出厂检验的不合格品作为处理品销售。不合格品总量为37t/a。</w:t>
            </w:r>
          </w:p>
          <w:p w14:paraId="02637648">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color w:val="auto"/>
                <w:kern w:val="0"/>
                <w:sz w:val="24"/>
                <w:szCs w:val="24"/>
                <w:vertAlign w:val="baseline"/>
                <w:lang w:val="en-US" w:eastAsia="zh-CN"/>
              </w:rPr>
            </w:pPr>
            <w:r>
              <w:rPr>
                <w:rFonts w:hint="default" w:ascii="宋体" w:eastAsia="宋体"/>
                <w:b/>
                <w:color w:val="auto"/>
                <w:kern w:val="0"/>
                <w:sz w:val="24"/>
                <w:szCs w:val="24"/>
                <w:vertAlign w:val="baseline"/>
              </w:rPr>
              <w:t>污水处理站污泥</w:t>
            </w:r>
            <w:r>
              <w:rPr>
                <w:rFonts w:hint="eastAsia" w:ascii="宋体"/>
                <w:b/>
                <w:color w:val="auto"/>
                <w:kern w:val="0"/>
                <w:sz w:val="24"/>
                <w:szCs w:val="24"/>
                <w:vertAlign w:val="baseline"/>
                <w:lang w:eastAsia="zh-CN"/>
              </w:rPr>
              <w:t>：</w:t>
            </w:r>
            <w:r>
              <w:rPr>
                <w:rFonts w:hint="eastAsia" w:ascii="宋体"/>
                <w:color w:val="auto"/>
                <w:kern w:val="0"/>
                <w:sz w:val="24"/>
                <w:szCs w:val="24"/>
                <w:vertAlign w:val="baseline"/>
                <w:lang w:val="en-US" w:eastAsia="zh-CN"/>
              </w:rPr>
              <w:t>干泥量与原水悬浮物（或浊度）、加药量等因素有关，根据《室外给水设计规范》（GB50013-2006）。干泥量估算采用如下公式：</w:t>
            </w:r>
          </w:p>
          <w:p w14:paraId="5FFCC3F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color w:val="auto"/>
                <w:kern w:val="0"/>
                <w:sz w:val="24"/>
                <w:szCs w:val="24"/>
                <w:vertAlign w:val="baseline"/>
                <w:lang w:val="en-US" w:eastAsia="zh-CN"/>
              </w:rPr>
            </w:pPr>
            <w:r>
              <w:rPr>
                <w:rFonts w:hint="eastAsia" w:ascii="宋体"/>
                <w:color w:val="auto"/>
                <w:kern w:val="0"/>
                <w:sz w:val="24"/>
                <w:szCs w:val="24"/>
                <w:vertAlign w:val="baseline"/>
                <w:lang w:val="en-US" w:eastAsia="zh-CN"/>
              </w:rPr>
              <w:t>S=(K1C0+K2D)×Q×10-6</w:t>
            </w:r>
          </w:p>
          <w:p w14:paraId="48F6897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color w:val="auto"/>
                <w:kern w:val="0"/>
                <w:sz w:val="24"/>
                <w:szCs w:val="24"/>
                <w:vertAlign w:val="baseline"/>
                <w:lang w:val="en-US" w:eastAsia="zh-CN"/>
              </w:rPr>
            </w:pPr>
            <w:r>
              <w:rPr>
                <w:rFonts w:hint="eastAsia" w:ascii="宋体"/>
                <w:color w:val="auto"/>
                <w:kern w:val="0"/>
                <w:sz w:val="24"/>
                <w:szCs w:val="24"/>
                <w:vertAlign w:val="baseline"/>
                <w:lang w:val="en-US" w:eastAsia="zh-CN"/>
              </w:rPr>
              <w:t>其中：C0--原水浊度设计取值(NTU)，本项目原水浊度取10NTU；</w:t>
            </w:r>
          </w:p>
          <w:p w14:paraId="5386E09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color w:val="auto"/>
                <w:kern w:val="0"/>
                <w:sz w:val="24"/>
                <w:szCs w:val="24"/>
                <w:vertAlign w:val="baseline"/>
                <w:lang w:val="en-US" w:eastAsia="zh-CN"/>
              </w:rPr>
            </w:pPr>
            <w:r>
              <w:rPr>
                <w:rFonts w:hint="eastAsia" w:ascii="宋体"/>
                <w:color w:val="auto"/>
                <w:kern w:val="0"/>
                <w:sz w:val="24"/>
                <w:szCs w:val="24"/>
                <w:vertAlign w:val="baseline"/>
                <w:lang w:val="en-US" w:eastAsia="zh-CN"/>
              </w:rPr>
              <w:t>K1--原水浊度单位NTU与悬浮物SS单位mg/L的换算系数，应经过实测确定(此处取1.2)；</w:t>
            </w:r>
          </w:p>
          <w:p w14:paraId="5285674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color w:val="auto"/>
                <w:kern w:val="0"/>
                <w:sz w:val="24"/>
                <w:szCs w:val="24"/>
                <w:vertAlign w:val="baseline"/>
                <w:lang w:val="en-US" w:eastAsia="zh-CN"/>
              </w:rPr>
            </w:pPr>
            <w:r>
              <w:rPr>
                <w:rFonts w:hint="eastAsia" w:ascii="宋体"/>
                <w:color w:val="auto"/>
                <w:kern w:val="0"/>
                <w:sz w:val="24"/>
                <w:szCs w:val="24"/>
                <w:vertAlign w:val="baseline"/>
                <w:lang w:val="en-US" w:eastAsia="zh-CN"/>
              </w:rPr>
              <w:t>D--药剂投加量(mg/L)；本项目药剂取120mg/L；</w:t>
            </w:r>
          </w:p>
          <w:p w14:paraId="3952275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color w:val="auto"/>
                <w:kern w:val="0"/>
                <w:sz w:val="24"/>
                <w:szCs w:val="24"/>
                <w:vertAlign w:val="baseline"/>
                <w:lang w:val="en-US" w:eastAsia="zh-CN"/>
              </w:rPr>
            </w:pPr>
            <w:r>
              <w:rPr>
                <w:rFonts w:hint="eastAsia" w:ascii="宋体"/>
                <w:color w:val="auto"/>
                <w:kern w:val="0"/>
                <w:sz w:val="24"/>
                <w:szCs w:val="24"/>
                <w:vertAlign w:val="baseline"/>
                <w:lang w:val="en-US" w:eastAsia="zh-CN"/>
              </w:rPr>
              <w:t>K2--药剂转化成泥量的系数，本项目取1.53；</w:t>
            </w:r>
          </w:p>
          <w:p w14:paraId="798E310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color w:val="auto"/>
                <w:kern w:val="0"/>
                <w:sz w:val="24"/>
                <w:szCs w:val="24"/>
                <w:vertAlign w:val="baseline"/>
                <w:lang w:val="en-US" w:eastAsia="zh-CN"/>
              </w:rPr>
            </w:pPr>
            <w:r>
              <w:rPr>
                <w:rFonts w:hint="eastAsia" w:ascii="宋体"/>
                <w:color w:val="auto"/>
                <w:kern w:val="0"/>
                <w:sz w:val="24"/>
                <w:szCs w:val="24"/>
                <w:vertAlign w:val="baseline"/>
                <w:lang w:val="en-US" w:eastAsia="zh-CN"/>
              </w:rPr>
              <w:t>Q--原水流量(m3/d)，本项目取0.47m</w:t>
            </w:r>
            <w:r>
              <w:rPr>
                <w:rFonts w:hint="eastAsia" w:ascii="宋体"/>
                <w:color w:val="auto"/>
                <w:kern w:val="0"/>
                <w:sz w:val="24"/>
                <w:szCs w:val="24"/>
                <w:vertAlign w:val="superscript"/>
                <w:lang w:val="en-US" w:eastAsia="zh-CN"/>
              </w:rPr>
              <w:t>3</w:t>
            </w:r>
            <w:r>
              <w:rPr>
                <w:rFonts w:hint="eastAsia" w:ascii="宋体"/>
                <w:color w:val="auto"/>
                <w:kern w:val="0"/>
                <w:sz w:val="24"/>
                <w:szCs w:val="24"/>
                <w:vertAlign w:val="baseline"/>
                <w:lang w:val="en-US" w:eastAsia="zh-CN"/>
              </w:rPr>
              <w:t>/d；</w:t>
            </w:r>
          </w:p>
          <w:p w14:paraId="0173F2C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color w:val="auto"/>
                <w:kern w:val="0"/>
                <w:sz w:val="24"/>
                <w:szCs w:val="24"/>
                <w:vertAlign w:val="baseline"/>
                <w:lang w:val="en-US" w:eastAsia="zh-CN"/>
              </w:rPr>
            </w:pPr>
            <w:r>
              <w:rPr>
                <w:rFonts w:hint="eastAsia" w:ascii="宋体"/>
                <w:color w:val="auto"/>
                <w:kern w:val="0"/>
                <w:sz w:val="24"/>
                <w:szCs w:val="24"/>
                <w:vertAlign w:val="baseline"/>
                <w:lang w:val="en-US" w:eastAsia="zh-CN"/>
              </w:rPr>
              <w:t>S-干泥量(t/d)。</w:t>
            </w:r>
          </w:p>
          <w:p w14:paraId="07392FD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color w:val="auto"/>
                <w:kern w:val="0"/>
                <w:sz w:val="24"/>
                <w:szCs w:val="24"/>
                <w:vertAlign w:val="baseline"/>
                <w:lang w:val="en-US" w:eastAsia="zh-CN"/>
              </w:rPr>
            </w:pPr>
            <w:r>
              <w:rPr>
                <w:rFonts w:hint="eastAsia" w:ascii="宋体"/>
                <w:color w:val="auto"/>
                <w:kern w:val="0"/>
                <w:sz w:val="24"/>
                <w:szCs w:val="24"/>
                <w:vertAlign w:val="baseline"/>
                <w:lang w:val="en-US" w:eastAsia="zh-CN"/>
              </w:rPr>
              <w:t>S=(1.2×10+1.53×120)×0.47×10-6=0.00091t/d(约0.27t/a)</w:t>
            </w:r>
          </w:p>
          <w:p w14:paraId="7E92628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color w:val="auto"/>
                <w:kern w:val="0"/>
                <w:sz w:val="24"/>
                <w:szCs w:val="24"/>
                <w:vertAlign w:val="baseline"/>
                <w:lang w:val="en-US" w:eastAsia="zh-CN"/>
              </w:rPr>
            </w:pPr>
            <w:r>
              <w:rPr>
                <w:rFonts w:hint="eastAsia" w:ascii="宋体"/>
                <w:color w:val="auto"/>
                <w:kern w:val="0"/>
                <w:sz w:val="24"/>
                <w:szCs w:val="24"/>
                <w:vertAlign w:val="baseline"/>
                <w:lang w:val="en-US" w:eastAsia="zh-CN"/>
              </w:rPr>
              <w:t>污泥经压滤机机械脱水后，企业污泥含水率约为70%,则污泥产生量为0.27t/a/30%=0.9t/a。</w:t>
            </w:r>
          </w:p>
          <w:p w14:paraId="47FF3003">
            <w:pPr>
              <w:pStyle w:val="31"/>
              <w:keepNext w:val="0"/>
              <w:keepLines w:val="0"/>
              <w:pageBreakBefore w:val="0"/>
              <w:widowControl w:val="0"/>
              <w:kinsoku/>
              <w:wordWrap/>
              <w:overflowPunct/>
              <w:topLinePunct w:val="0"/>
              <w:bidi w:val="0"/>
              <w:spacing w:line="360" w:lineRule="auto"/>
              <w:ind w:firstLine="480" w:firstLineChars="200"/>
              <w:rPr>
                <w:rFonts w:hint="default"/>
                <w:b w:val="0"/>
                <w:bCs/>
                <w:color w:val="auto"/>
                <w:lang w:val="en-US"/>
              </w:rPr>
            </w:pPr>
            <w:r>
              <w:rPr>
                <w:rFonts w:hint="eastAsia"/>
                <w:b w:val="0"/>
                <w:bCs/>
                <w:color w:val="auto"/>
                <w:kern w:val="0"/>
                <w:sz w:val="24"/>
                <w:szCs w:val="24"/>
                <w:vertAlign w:val="baseline"/>
                <w:lang w:val="en-US" w:eastAsia="zh-CN"/>
              </w:rPr>
              <w:t>污水处理站污泥暂存于一般固废暂存间，收集后定期外售，作焚烧处理。</w:t>
            </w:r>
          </w:p>
          <w:p w14:paraId="6A01D658">
            <w:pPr>
              <w:pStyle w:val="16"/>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宋体" w:eastAsia="宋体"/>
                <w:color w:val="auto"/>
                <w:kern w:val="0"/>
                <w:sz w:val="24"/>
                <w:szCs w:val="24"/>
              </w:rPr>
            </w:pPr>
            <w:r>
              <w:rPr>
                <w:rFonts w:hint="eastAsia" w:ascii="宋体"/>
                <w:b/>
                <w:color w:val="auto"/>
                <w:kern w:val="0"/>
                <w:sz w:val="24"/>
                <w:szCs w:val="24"/>
                <w:lang w:val="en-US" w:eastAsia="zh-CN"/>
              </w:rPr>
              <w:t>废过滤介质</w:t>
            </w:r>
            <w:r>
              <w:rPr>
                <w:rFonts w:hint="default" w:ascii="宋体" w:eastAsia="宋体"/>
                <w:b/>
                <w:color w:val="auto"/>
                <w:kern w:val="0"/>
                <w:sz w:val="24"/>
                <w:szCs w:val="24"/>
              </w:rPr>
              <w:t>：</w:t>
            </w:r>
            <w:r>
              <w:rPr>
                <w:rFonts w:hint="default" w:ascii="宋体" w:eastAsia="宋体"/>
                <w:color w:val="auto"/>
                <w:kern w:val="0"/>
                <w:sz w:val="24"/>
                <w:szCs w:val="24"/>
              </w:rPr>
              <w:t>项目软水制备会产生一定量的废离子交换树脂，产生量约0.1t</w:t>
            </w:r>
            <w:r>
              <w:rPr>
                <w:rFonts w:hint="eastAsia" w:ascii="宋体"/>
                <w:color w:val="auto"/>
                <w:kern w:val="0"/>
                <w:sz w:val="24"/>
                <w:szCs w:val="24"/>
                <w:lang w:val="en-US" w:eastAsia="zh-CN"/>
              </w:rPr>
              <w:t>/</w:t>
            </w:r>
            <w:r>
              <w:rPr>
                <w:rFonts w:hint="default" w:ascii="宋体" w:eastAsia="宋体"/>
                <w:color w:val="auto"/>
                <w:kern w:val="0"/>
                <w:sz w:val="24"/>
                <w:szCs w:val="24"/>
              </w:rPr>
              <w:t>a</w:t>
            </w:r>
            <w:r>
              <w:rPr>
                <w:rFonts w:hint="eastAsia" w:ascii="宋体"/>
                <w:color w:val="auto"/>
                <w:kern w:val="0"/>
                <w:sz w:val="24"/>
                <w:szCs w:val="24"/>
                <w:lang w:eastAsia="zh-CN"/>
              </w:rPr>
              <w:t>，</w:t>
            </w:r>
            <w:r>
              <w:rPr>
                <w:rFonts w:hint="default" w:ascii="宋体" w:eastAsia="宋体"/>
                <w:color w:val="auto"/>
                <w:kern w:val="0"/>
                <w:sz w:val="24"/>
                <w:szCs w:val="24"/>
              </w:rPr>
              <w:t>收集后交由更换厂家回收处置。</w:t>
            </w:r>
          </w:p>
          <w:p w14:paraId="04296A9A">
            <w:pPr>
              <w:pStyle w:val="16"/>
              <w:spacing w:beforeLines="0" w:afterLines="0" w:line="360" w:lineRule="auto"/>
              <w:ind w:firstLine="482" w:firstLineChars="200"/>
              <w:rPr>
                <w:rFonts w:hint="default" w:ascii="宋体" w:eastAsia="宋体"/>
                <w:color w:val="auto"/>
                <w:kern w:val="0"/>
                <w:sz w:val="24"/>
                <w:szCs w:val="24"/>
                <w:lang w:val="en-US" w:eastAsia="zh-CN"/>
              </w:rPr>
            </w:pPr>
            <w:r>
              <w:rPr>
                <w:rFonts w:hint="default" w:ascii="宋体"/>
                <w:b/>
                <w:color w:val="auto"/>
                <w:kern w:val="0"/>
                <w:sz w:val="24"/>
                <w:szCs w:val="24"/>
              </w:rPr>
              <w:t>废</w:t>
            </w:r>
            <w:r>
              <w:rPr>
                <w:rFonts w:hint="eastAsia" w:ascii="宋体"/>
                <w:b/>
                <w:color w:val="auto"/>
                <w:kern w:val="0"/>
                <w:sz w:val="24"/>
                <w:szCs w:val="24"/>
                <w:lang w:val="en-US" w:eastAsia="zh-CN"/>
              </w:rPr>
              <w:t>油桶</w:t>
            </w:r>
            <w:r>
              <w:rPr>
                <w:rFonts w:hint="default" w:ascii="宋体"/>
                <w:b/>
                <w:color w:val="auto"/>
                <w:kern w:val="0"/>
                <w:sz w:val="24"/>
                <w:szCs w:val="24"/>
              </w:rPr>
              <w:t>：</w:t>
            </w:r>
            <w:r>
              <w:rPr>
                <w:rFonts w:hint="default" w:ascii="宋体"/>
                <w:color w:val="auto"/>
                <w:kern w:val="0"/>
                <w:sz w:val="24"/>
                <w:szCs w:val="24"/>
              </w:rPr>
              <w:t>项目</w:t>
            </w:r>
            <w:r>
              <w:rPr>
                <w:rFonts w:hint="eastAsia" w:ascii="宋体"/>
                <w:color w:val="auto"/>
                <w:kern w:val="0"/>
                <w:sz w:val="24"/>
                <w:szCs w:val="24"/>
                <w:lang w:val="en-US" w:eastAsia="zh-CN"/>
              </w:rPr>
              <w:t>润滑机器时会产生大豆卵磷脂油的废油桶，废油桶年产生量为0.05t/a</w:t>
            </w:r>
            <w:r>
              <w:rPr>
                <w:rFonts w:hint="default" w:ascii="宋体"/>
                <w:color w:val="auto"/>
                <w:kern w:val="0"/>
                <w:sz w:val="24"/>
                <w:szCs w:val="24"/>
              </w:rPr>
              <w:t>。暂存于一般固废暂存间，收集后</w:t>
            </w:r>
            <w:r>
              <w:rPr>
                <w:rFonts w:hint="eastAsia" w:ascii="宋体"/>
                <w:color w:val="auto"/>
                <w:kern w:val="0"/>
                <w:sz w:val="24"/>
                <w:szCs w:val="24"/>
                <w:lang w:val="en-US" w:eastAsia="zh-CN"/>
              </w:rPr>
              <w:t>由厂家回收。</w:t>
            </w:r>
          </w:p>
          <w:p w14:paraId="59267A55">
            <w:pPr>
              <w:pStyle w:val="16"/>
              <w:spacing w:beforeLines="0" w:afterLines="0" w:line="360" w:lineRule="auto"/>
              <w:ind w:firstLine="482" w:firstLineChars="200"/>
              <w:rPr>
                <w:rFonts w:hint="default"/>
                <w:color w:val="auto"/>
              </w:rPr>
            </w:pPr>
            <w:r>
              <w:rPr>
                <w:rFonts w:hint="eastAsia" w:ascii="宋体"/>
                <w:b/>
                <w:color w:val="auto"/>
                <w:kern w:val="0"/>
                <w:sz w:val="24"/>
                <w:szCs w:val="24"/>
                <w:lang w:val="en-US" w:eastAsia="zh-CN"/>
              </w:rPr>
              <w:t>除尘器收集粉尘</w:t>
            </w:r>
            <w:r>
              <w:rPr>
                <w:rFonts w:hint="default" w:ascii="宋体"/>
                <w:b/>
                <w:color w:val="auto"/>
                <w:kern w:val="0"/>
                <w:sz w:val="24"/>
                <w:szCs w:val="24"/>
              </w:rPr>
              <w:t>：</w:t>
            </w:r>
            <w:r>
              <w:rPr>
                <w:rFonts w:hint="default" w:ascii="宋体"/>
                <w:color w:val="auto"/>
                <w:kern w:val="0"/>
                <w:sz w:val="24"/>
                <w:szCs w:val="24"/>
              </w:rPr>
              <w:t>项目</w:t>
            </w:r>
            <w:r>
              <w:rPr>
                <w:rFonts w:hint="eastAsia" w:ascii="宋体"/>
                <w:color w:val="auto"/>
                <w:kern w:val="0"/>
                <w:sz w:val="24"/>
                <w:szCs w:val="24"/>
                <w:lang w:val="en-US" w:eastAsia="zh-CN"/>
              </w:rPr>
              <w:t>配料粉尘</w:t>
            </w:r>
            <w:r>
              <w:rPr>
                <w:rFonts w:hint="default" w:ascii="宋体"/>
                <w:color w:val="auto"/>
                <w:kern w:val="0"/>
                <w:sz w:val="24"/>
                <w:szCs w:val="24"/>
              </w:rPr>
              <w:t>由布袋除尘器</w:t>
            </w:r>
            <w:r>
              <w:rPr>
                <w:rFonts w:hint="eastAsia" w:ascii="宋体"/>
                <w:color w:val="auto"/>
                <w:kern w:val="0"/>
                <w:sz w:val="24"/>
                <w:szCs w:val="24"/>
                <w:lang w:val="en-US" w:eastAsia="zh-CN"/>
              </w:rPr>
              <w:t>收集处理后，交物资回收公司回收利用，</w:t>
            </w:r>
            <w:r>
              <w:rPr>
                <w:rFonts w:hint="default" w:ascii="宋体"/>
                <w:color w:val="auto"/>
                <w:kern w:val="0"/>
                <w:sz w:val="24"/>
                <w:szCs w:val="24"/>
              </w:rPr>
              <w:t>产生量约为0.</w:t>
            </w:r>
            <w:r>
              <w:rPr>
                <w:rFonts w:hint="eastAsia" w:ascii="宋体"/>
                <w:color w:val="auto"/>
                <w:kern w:val="0"/>
                <w:sz w:val="24"/>
                <w:szCs w:val="24"/>
                <w:lang w:val="en-US" w:eastAsia="zh-CN"/>
              </w:rPr>
              <w:t>65</w:t>
            </w:r>
            <w:r>
              <w:rPr>
                <w:rFonts w:hint="default" w:ascii="宋体"/>
                <w:color w:val="auto"/>
                <w:kern w:val="0"/>
                <w:sz w:val="24"/>
                <w:szCs w:val="24"/>
              </w:rPr>
              <w:t>t/a。</w:t>
            </w:r>
          </w:p>
          <w:p w14:paraId="44A38FBD">
            <w:pPr>
              <w:pStyle w:val="72"/>
              <w:adjustRightInd/>
              <w:spacing w:beforeLines="0" w:afterLines="0" w:line="240" w:lineRule="auto"/>
              <w:rPr>
                <w:rFonts w:hint="default" w:ascii="Times New Roman" w:hAnsi="Times New Roman" w:eastAsia="宋体" w:cs="Times New Roman"/>
                <w:b/>
                <w:bCs/>
                <w:color w:val="auto"/>
                <w:spacing w:val="0"/>
                <w:kern w:val="0"/>
                <w:sz w:val="24"/>
                <w:szCs w:val="24"/>
                <w:lang w:val="en-US" w:eastAsia="zh-CN" w:bidi="ar-SA"/>
              </w:rPr>
            </w:pPr>
            <w:r>
              <w:rPr>
                <w:rFonts w:hint="default" w:ascii="Times New Roman" w:hAnsi="Times New Roman" w:eastAsia="宋体" w:cs="Times New Roman"/>
                <w:b/>
                <w:bCs/>
                <w:color w:val="auto"/>
                <w:spacing w:val="0"/>
                <w:kern w:val="0"/>
                <w:sz w:val="21"/>
                <w:szCs w:val="21"/>
                <w:lang w:val="en-US" w:eastAsia="zh-CN" w:bidi="ar-SA"/>
              </w:rPr>
              <w:t>表4-</w:t>
            </w:r>
            <w:r>
              <w:rPr>
                <w:rFonts w:hint="eastAsia" w:ascii="Times New Roman" w:hAnsi="Times New Roman" w:eastAsia="宋体" w:cs="Times New Roman"/>
                <w:b/>
                <w:bCs/>
                <w:color w:val="auto"/>
                <w:spacing w:val="0"/>
                <w:kern w:val="0"/>
                <w:sz w:val="21"/>
                <w:szCs w:val="21"/>
                <w:lang w:val="en-US" w:eastAsia="zh-CN" w:bidi="ar-SA"/>
              </w:rPr>
              <w:t>15</w:t>
            </w:r>
            <w:r>
              <w:rPr>
                <w:rFonts w:hint="default" w:ascii="Times New Roman" w:hAnsi="Times New Roman" w:eastAsia="宋体" w:cs="Times New Roman"/>
                <w:b/>
                <w:bCs/>
                <w:color w:val="auto"/>
                <w:spacing w:val="0"/>
                <w:kern w:val="0"/>
                <w:sz w:val="21"/>
                <w:szCs w:val="21"/>
                <w:lang w:val="en-US" w:eastAsia="zh-CN" w:bidi="ar-SA"/>
              </w:rPr>
              <w:t xml:space="preserve">  固体废物污染源强核算结果及相关参数一览表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422"/>
              <w:gridCol w:w="1185"/>
              <w:gridCol w:w="1121"/>
              <w:gridCol w:w="1351"/>
              <w:gridCol w:w="3151"/>
            </w:tblGrid>
            <w:tr w14:paraId="67D9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A6C007">
                  <w:pPr>
                    <w:ind w:left="-105" w:leftChars="-50" w:right="-105" w:rightChars="-50" w:firstLine="105"/>
                    <w:jc w:val="center"/>
                    <w:rPr>
                      <w:rFonts w:hint="default" w:ascii="Times New Roman" w:hAnsi="Times New Roman" w:cs="Times New Roman"/>
                      <w:b/>
                      <w:snapToGrid/>
                      <w:color w:val="auto"/>
                      <w:kern w:val="24"/>
                      <w:sz w:val="21"/>
                      <w:szCs w:val="21"/>
                      <w:vertAlign w:val="baseline"/>
                    </w:rPr>
                  </w:pPr>
                  <w:r>
                    <w:rPr>
                      <w:rFonts w:hint="default" w:ascii="Times New Roman" w:hAnsi="Times New Roman" w:eastAsia="宋体" w:cs="Times New Roman"/>
                      <w:b/>
                      <w:snapToGrid/>
                      <w:color w:val="auto"/>
                      <w:kern w:val="24"/>
                      <w:sz w:val="21"/>
                      <w:szCs w:val="21"/>
                      <w:vertAlign w:val="baseline"/>
                    </w:rPr>
                    <w:t>名称</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5A7220">
                  <w:pPr>
                    <w:ind w:left="-105" w:leftChars="-50" w:right="-105" w:rightChars="-50" w:firstLine="105"/>
                    <w:jc w:val="center"/>
                    <w:rPr>
                      <w:rFonts w:hint="default" w:ascii="Times New Roman" w:hAnsi="Times New Roman" w:cs="Times New Roman"/>
                      <w:b/>
                      <w:snapToGrid/>
                      <w:color w:val="auto"/>
                      <w:kern w:val="24"/>
                      <w:sz w:val="21"/>
                      <w:szCs w:val="21"/>
                      <w:vertAlign w:val="baseline"/>
                    </w:rPr>
                  </w:pPr>
                  <w:r>
                    <w:rPr>
                      <w:rFonts w:hint="default" w:ascii="Times New Roman" w:hAnsi="Times New Roman" w:eastAsia="宋体" w:cs="Times New Roman"/>
                      <w:b/>
                      <w:snapToGrid/>
                      <w:color w:val="auto"/>
                      <w:kern w:val="24"/>
                      <w:sz w:val="21"/>
                      <w:szCs w:val="21"/>
                      <w:vertAlign w:val="baseline"/>
                    </w:rPr>
                    <w:t>产生工序</w:t>
                  </w:r>
                </w:p>
              </w:tc>
              <w:tc>
                <w:tcPr>
                  <w:tcW w:w="6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73842C">
                  <w:pPr>
                    <w:ind w:left="-105" w:leftChars="-50" w:right="-105" w:rightChars="-50" w:firstLine="105"/>
                    <w:jc w:val="center"/>
                    <w:rPr>
                      <w:rFonts w:hint="default" w:ascii="Times New Roman" w:hAnsi="Times New Roman" w:cs="Times New Roman"/>
                      <w:b/>
                      <w:snapToGrid/>
                      <w:color w:val="auto"/>
                      <w:kern w:val="24"/>
                      <w:sz w:val="21"/>
                      <w:szCs w:val="21"/>
                      <w:vertAlign w:val="baseline"/>
                    </w:rPr>
                  </w:pPr>
                  <w:r>
                    <w:rPr>
                      <w:rFonts w:hint="default" w:ascii="Times New Roman" w:hAnsi="Times New Roman" w:eastAsia="宋体" w:cs="Times New Roman"/>
                      <w:b/>
                      <w:snapToGrid/>
                      <w:color w:val="auto"/>
                      <w:kern w:val="24"/>
                      <w:sz w:val="21"/>
                      <w:szCs w:val="21"/>
                      <w:vertAlign w:val="baseline"/>
                    </w:rPr>
                    <w:t>产生量（t/a）</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000241">
                  <w:pPr>
                    <w:ind w:left="-105" w:leftChars="-50" w:right="-105" w:rightChars="-50" w:firstLine="105"/>
                    <w:jc w:val="center"/>
                    <w:rPr>
                      <w:rFonts w:hint="default" w:ascii="Times New Roman" w:hAnsi="Times New Roman" w:cs="Times New Roman"/>
                      <w:b/>
                      <w:snapToGrid/>
                      <w:color w:val="auto"/>
                      <w:kern w:val="24"/>
                      <w:sz w:val="21"/>
                      <w:szCs w:val="21"/>
                      <w:vertAlign w:val="baseline"/>
                    </w:rPr>
                  </w:pPr>
                  <w:r>
                    <w:rPr>
                      <w:rFonts w:hint="default" w:ascii="Times New Roman" w:hAnsi="Times New Roman" w:eastAsia="宋体" w:cs="Times New Roman"/>
                      <w:b/>
                      <w:snapToGrid/>
                      <w:color w:val="auto"/>
                      <w:kern w:val="24"/>
                      <w:sz w:val="21"/>
                      <w:szCs w:val="21"/>
                      <w:vertAlign w:val="baseline"/>
                    </w:rPr>
                    <w:t>危险废物类别</w:t>
                  </w: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2AC098">
                  <w:pPr>
                    <w:ind w:left="-105" w:leftChars="-50" w:right="-105" w:rightChars="-50" w:firstLine="105"/>
                    <w:jc w:val="center"/>
                    <w:rPr>
                      <w:rFonts w:hint="default" w:ascii="Times New Roman" w:hAnsi="Times New Roman" w:cs="Times New Roman"/>
                      <w:b/>
                      <w:snapToGrid/>
                      <w:color w:val="auto"/>
                      <w:kern w:val="24"/>
                      <w:sz w:val="21"/>
                      <w:szCs w:val="21"/>
                      <w:vertAlign w:val="baseline"/>
                    </w:rPr>
                  </w:pPr>
                  <w:r>
                    <w:rPr>
                      <w:rFonts w:hint="default" w:ascii="Times New Roman" w:hAnsi="Times New Roman" w:eastAsia="宋体" w:cs="Times New Roman"/>
                      <w:b/>
                      <w:snapToGrid/>
                      <w:color w:val="auto"/>
                      <w:kern w:val="24"/>
                      <w:sz w:val="21"/>
                      <w:szCs w:val="21"/>
                      <w:vertAlign w:val="baseline"/>
                    </w:rPr>
                    <w:t>废物代码</w:t>
                  </w:r>
                </w:p>
              </w:tc>
              <w:tc>
                <w:tcPr>
                  <w:tcW w:w="173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9B1F43">
                  <w:pPr>
                    <w:ind w:left="-105" w:leftChars="-50" w:right="-105" w:rightChars="-50" w:firstLine="105"/>
                    <w:jc w:val="center"/>
                    <w:rPr>
                      <w:rFonts w:hint="default" w:ascii="Times New Roman" w:hAnsi="Times New Roman" w:cs="Times New Roman"/>
                      <w:b/>
                      <w:snapToGrid/>
                      <w:color w:val="auto"/>
                      <w:kern w:val="24"/>
                      <w:sz w:val="21"/>
                      <w:szCs w:val="21"/>
                      <w:vertAlign w:val="baseline"/>
                    </w:rPr>
                  </w:pPr>
                  <w:r>
                    <w:rPr>
                      <w:rFonts w:hint="default" w:ascii="Times New Roman" w:hAnsi="Times New Roman" w:eastAsia="宋体" w:cs="Times New Roman"/>
                      <w:b/>
                      <w:snapToGrid/>
                      <w:color w:val="auto"/>
                      <w:kern w:val="24"/>
                      <w:sz w:val="21"/>
                      <w:szCs w:val="21"/>
                      <w:vertAlign w:val="baseline"/>
                    </w:rPr>
                    <w:t>处置方式</w:t>
                  </w:r>
                </w:p>
              </w:tc>
            </w:tr>
            <w:tr w14:paraId="567A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F113B6">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snapToGrid/>
                      <w:color w:val="auto"/>
                      <w:kern w:val="24"/>
                      <w:sz w:val="21"/>
                      <w:szCs w:val="21"/>
                      <w:vertAlign w:val="baseline"/>
                    </w:rPr>
                    <w:t>生活垃圾</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217092">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snapToGrid/>
                      <w:color w:val="auto"/>
                      <w:kern w:val="24"/>
                      <w:sz w:val="21"/>
                      <w:szCs w:val="21"/>
                      <w:vertAlign w:val="baseline"/>
                    </w:rPr>
                    <w:t>员工生活</w:t>
                  </w:r>
                </w:p>
              </w:tc>
              <w:tc>
                <w:tcPr>
                  <w:tcW w:w="6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B1CA81">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cs="Times New Roman"/>
                      <w:snapToGrid/>
                      <w:color w:val="auto"/>
                      <w:kern w:val="24"/>
                      <w:sz w:val="21"/>
                      <w:szCs w:val="21"/>
                      <w:vertAlign w:val="baseline"/>
                    </w:rPr>
                    <w:t>2.7</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294B9C">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cs="Times New Roman"/>
                      <w:snapToGrid/>
                      <w:color w:val="auto"/>
                      <w:kern w:val="24"/>
                      <w:sz w:val="21"/>
                      <w:szCs w:val="21"/>
                      <w:vertAlign w:val="baseline"/>
                    </w:rPr>
                    <w:t>SW69</w:t>
                  </w: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91E83C">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cs="Times New Roman"/>
                      <w:snapToGrid/>
                      <w:color w:val="auto"/>
                      <w:kern w:val="24"/>
                      <w:sz w:val="21"/>
                      <w:szCs w:val="21"/>
                      <w:vertAlign w:val="baseline"/>
                    </w:rPr>
                    <w:t>900-099-S64</w:t>
                  </w:r>
                </w:p>
              </w:tc>
              <w:tc>
                <w:tcPr>
                  <w:tcW w:w="173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0136C3">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snapToGrid/>
                      <w:color w:val="auto"/>
                      <w:kern w:val="24"/>
                      <w:sz w:val="21"/>
                      <w:szCs w:val="21"/>
                      <w:vertAlign w:val="baseline"/>
                    </w:rPr>
                    <w:t>环卫部门统一清运</w:t>
                  </w:r>
                </w:p>
              </w:tc>
            </w:tr>
            <w:tr w14:paraId="7D71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5104B8">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snapToGrid/>
                      <w:color w:val="auto"/>
                      <w:kern w:val="24"/>
                      <w:sz w:val="21"/>
                      <w:szCs w:val="21"/>
                      <w:vertAlign w:val="baseline"/>
                    </w:rPr>
                    <w:t>废包装材料</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90F78A">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snapToGrid/>
                      <w:color w:val="auto"/>
                      <w:kern w:val="24"/>
                      <w:sz w:val="21"/>
                      <w:szCs w:val="21"/>
                      <w:vertAlign w:val="baseline"/>
                    </w:rPr>
                    <w:t>生产、包装</w:t>
                  </w:r>
                </w:p>
              </w:tc>
              <w:tc>
                <w:tcPr>
                  <w:tcW w:w="6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87CE1C">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cs="Times New Roman"/>
                      <w:snapToGrid/>
                      <w:color w:val="auto"/>
                      <w:kern w:val="24"/>
                      <w:sz w:val="21"/>
                      <w:szCs w:val="21"/>
                      <w:vertAlign w:val="baseline"/>
                    </w:rPr>
                    <w:t>1.5</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4EF197">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cs="Times New Roman"/>
                      <w:snapToGrid/>
                      <w:color w:val="auto"/>
                      <w:kern w:val="24"/>
                      <w:sz w:val="21"/>
                      <w:szCs w:val="21"/>
                      <w:vertAlign w:val="baseline"/>
                    </w:rPr>
                    <w:t>SW17</w:t>
                  </w: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8BD604">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cs="Times New Roman"/>
                      <w:snapToGrid/>
                      <w:color w:val="auto"/>
                      <w:kern w:val="24"/>
                      <w:sz w:val="21"/>
                      <w:szCs w:val="21"/>
                      <w:vertAlign w:val="baseline"/>
                    </w:rPr>
                    <w:t>900-007-S17</w:t>
                  </w:r>
                </w:p>
              </w:tc>
              <w:tc>
                <w:tcPr>
                  <w:tcW w:w="1731" w:type="pct"/>
                  <w:vMerge w:val="restart"/>
                  <w:tcBorders>
                    <w:top w:val="single" w:color="auto" w:sz="4" w:space="0"/>
                    <w:left w:val="single" w:color="auto" w:sz="4" w:space="0"/>
                    <w:right w:val="single" w:color="auto" w:sz="4" w:space="0"/>
                    <w:tl2br w:val="nil"/>
                    <w:tr2bl w:val="nil"/>
                  </w:tcBorders>
                  <w:noWrap w:val="0"/>
                  <w:vAlign w:val="center"/>
                </w:tcPr>
                <w:p w14:paraId="518414CF">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snapToGrid/>
                      <w:color w:val="auto"/>
                      <w:kern w:val="24"/>
                      <w:sz w:val="21"/>
                      <w:szCs w:val="21"/>
                      <w:vertAlign w:val="baseline"/>
                    </w:rPr>
                    <w:t>暂存于一般固废暂存间，交由回收单位回收处理</w:t>
                  </w:r>
                </w:p>
              </w:tc>
            </w:tr>
            <w:tr w14:paraId="7496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8C8E51">
                  <w:pPr>
                    <w:ind w:left="-105" w:leftChars="-50" w:right="-105" w:rightChars="-50" w:firstLine="105"/>
                    <w:jc w:val="center"/>
                    <w:rPr>
                      <w:rFonts w:hint="default" w:ascii="Times New Roman" w:hAnsi="Times New Roman" w:eastAsia="宋体" w:cs="Times New Roman"/>
                      <w:snapToGrid/>
                      <w:color w:val="auto"/>
                      <w:kern w:val="24"/>
                      <w:sz w:val="21"/>
                      <w:szCs w:val="21"/>
                      <w:vertAlign w:val="baseline"/>
                    </w:rPr>
                  </w:pPr>
                  <w:r>
                    <w:rPr>
                      <w:rFonts w:hint="default" w:ascii="Times New Roman" w:hAnsi="Times New Roman" w:eastAsia="宋体" w:cs="Times New Roman"/>
                      <w:snapToGrid/>
                      <w:color w:val="auto"/>
                      <w:kern w:val="24"/>
                      <w:sz w:val="21"/>
                      <w:szCs w:val="21"/>
                      <w:vertAlign w:val="baseline"/>
                    </w:rPr>
                    <w:t>除尘器收集粉尘</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74F54F">
                  <w:pPr>
                    <w:ind w:left="-105" w:leftChars="-50" w:right="-105" w:rightChars="-50" w:firstLine="105"/>
                    <w:jc w:val="center"/>
                    <w:rPr>
                      <w:rFonts w:hint="default" w:ascii="Times New Roman" w:hAnsi="Times New Roman" w:eastAsia="宋体" w:cs="Times New Roman"/>
                      <w:snapToGrid/>
                      <w:color w:val="auto"/>
                      <w:kern w:val="24"/>
                      <w:sz w:val="21"/>
                      <w:szCs w:val="21"/>
                      <w:vertAlign w:val="baseline"/>
                      <w:lang w:val="en-US" w:eastAsia="zh-CN"/>
                    </w:rPr>
                  </w:pPr>
                  <w:r>
                    <w:rPr>
                      <w:rFonts w:hint="default" w:ascii="Times New Roman" w:hAnsi="Times New Roman" w:cs="Times New Roman"/>
                      <w:snapToGrid/>
                      <w:color w:val="auto"/>
                      <w:kern w:val="24"/>
                      <w:sz w:val="21"/>
                      <w:szCs w:val="21"/>
                      <w:vertAlign w:val="baseline"/>
                      <w:lang w:val="en-US" w:eastAsia="zh-CN"/>
                    </w:rPr>
                    <w:t>废气处理</w:t>
                  </w:r>
                </w:p>
              </w:tc>
              <w:tc>
                <w:tcPr>
                  <w:tcW w:w="6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A527CA">
                  <w:pPr>
                    <w:ind w:left="-105" w:leftChars="-50" w:right="-105" w:rightChars="-50" w:firstLine="105"/>
                    <w:jc w:val="center"/>
                    <w:rPr>
                      <w:rFonts w:hint="default" w:ascii="Times New Roman" w:hAnsi="Times New Roman" w:eastAsia="宋体" w:cs="Times New Roman"/>
                      <w:snapToGrid/>
                      <w:color w:val="auto"/>
                      <w:kern w:val="24"/>
                      <w:sz w:val="21"/>
                      <w:szCs w:val="21"/>
                      <w:vertAlign w:val="baseline"/>
                      <w:lang w:val="en-US" w:eastAsia="zh-CN"/>
                    </w:rPr>
                  </w:pPr>
                  <w:r>
                    <w:rPr>
                      <w:rFonts w:hint="default" w:ascii="Times New Roman" w:hAnsi="Times New Roman" w:cs="Times New Roman"/>
                      <w:snapToGrid/>
                      <w:color w:val="auto"/>
                      <w:kern w:val="24"/>
                      <w:sz w:val="21"/>
                      <w:szCs w:val="21"/>
                      <w:vertAlign w:val="baseline"/>
                      <w:lang w:val="en-US" w:eastAsia="zh-CN"/>
                    </w:rPr>
                    <w:t>0.65</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6B876B">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cs="Times New Roman"/>
                      <w:snapToGrid/>
                      <w:color w:val="auto"/>
                      <w:kern w:val="24"/>
                      <w:sz w:val="21"/>
                      <w:szCs w:val="21"/>
                      <w:vertAlign w:val="baseline"/>
                    </w:rPr>
                    <w:t>SW59</w:t>
                  </w: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FA772E">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cs="Times New Roman"/>
                      <w:snapToGrid/>
                      <w:color w:val="auto"/>
                      <w:kern w:val="24"/>
                      <w:sz w:val="21"/>
                      <w:szCs w:val="21"/>
                      <w:vertAlign w:val="baseline"/>
                    </w:rPr>
                    <w:t>900-009-S59</w:t>
                  </w:r>
                </w:p>
              </w:tc>
              <w:tc>
                <w:tcPr>
                  <w:tcW w:w="1731" w:type="pct"/>
                  <w:vMerge w:val="continue"/>
                  <w:tcBorders>
                    <w:left w:val="single" w:color="auto" w:sz="4" w:space="0"/>
                    <w:bottom w:val="single" w:color="auto" w:sz="4" w:space="0"/>
                    <w:right w:val="single" w:color="auto" w:sz="4" w:space="0"/>
                    <w:tl2br w:val="nil"/>
                    <w:tr2bl w:val="nil"/>
                  </w:tcBorders>
                  <w:noWrap w:val="0"/>
                  <w:vAlign w:val="center"/>
                </w:tcPr>
                <w:p w14:paraId="6EEE738E">
                  <w:pPr>
                    <w:ind w:left="-105" w:leftChars="-50" w:right="-105" w:rightChars="-50" w:firstLine="105"/>
                    <w:jc w:val="center"/>
                    <w:rPr>
                      <w:rFonts w:hint="default" w:ascii="Times New Roman" w:hAnsi="Times New Roman" w:eastAsia="宋体" w:cs="Times New Roman"/>
                      <w:snapToGrid/>
                      <w:color w:val="auto"/>
                      <w:kern w:val="24"/>
                      <w:sz w:val="21"/>
                      <w:szCs w:val="21"/>
                      <w:vertAlign w:val="baseline"/>
                    </w:rPr>
                  </w:pPr>
                </w:p>
              </w:tc>
            </w:tr>
            <w:tr w14:paraId="79E5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32BBC2">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snapToGrid/>
                      <w:color w:val="auto"/>
                      <w:kern w:val="24"/>
                      <w:sz w:val="21"/>
                      <w:szCs w:val="21"/>
                      <w:vertAlign w:val="baseline"/>
                    </w:rPr>
                    <w:t>不合格品</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D65846">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snapToGrid/>
                      <w:color w:val="auto"/>
                      <w:kern w:val="24"/>
                      <w:sz w:val="21"/>
                      <w:szCs w:val="21"/>
                      <w:vertAlign w:val="baseline"/>
                    </w:rPr>
                    <w:t>生产</w:t>
                  </w:r>
                </w:p>
              </w:tc>
              <w:tc>
                <w:tcPr>
                  <w:tcW w:w="6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23799A">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cs="Times New Roman"/>
                      <w:snapToGrid/>
                      <w:color w:val="auto"/>
                      <w:kern w:val="24"/>
                      <w:sz w:val="21"/>
                      <w:szCs w:val="21"/>
                      <w:vertAlign w:val="baseline"/>
                    </w:rPr>
                    <w:t>37</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359E78">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cs="Times New Roman"/>
                      <w:snapToGrid/>
                      <w:color w:val="auto"/>
                      <w:kern w:val="24"/>
                      <w:sz w:val="21"/>
                      <w:szCs w:val="21"/>
                      <w:vertAlign w:val="baseline"/>
                    </w:rPr>
                    <w:t>SW59</w:t>
                  </w: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41BA5F">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cs="Times New Roman"/>
                      <w:snapToGrid/>
                      <w:color w:val="auto"/>
                      <w:kern w:val="24"/>
                      <w:sz w:val="21"/>
                      <w:szCs w:val="21"/>
                      <w:vertAlign w:val="baseline"/>
                    </w:rPr>
                    <w:t>900-099-S59</w:t>
                  </w:r>
                </w:p>
              </w:tc>
              <w:tc>
                <w:tcPr>
                  <w:tcW w:w="173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650364">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snapToGrid/>
                      <w:color w:val="auto"/>
                      <w:kern w:val="24"/>
                      <w:sz w:val="21"/>
                      <w:szCs w:val="21"/>
                      <w:vertAlign w:val="baseline"/>
                    </w:rPr>
                    <w:t>蛋制品作为处理品销售；粉丝作为处理品销售；豆腐皮挑选工序退回厂家处理，出厂检验工序作为处理品销售</w:t>
                  </w:r>
                </w:p>
              </w:tc>
            </w:tr>
            <w:tr w14:paraId="4294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EC1E44">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snapToGrid/>
                      <w:color w:val="auto"/>
                      <w:kern w:val="24"/>
                      <w:sz w:val="21"/>
                      <w:szCs w:val="21"/>
                      <w:vertAlign w:val="baseline"/>
                    </w:rPr>
                    <w:t>碎粉丝</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C9CDA8">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snapToGrid/>
                      <w:color w:val="auto"/>
                      <w:kern w:val="24"/>
                      <w:sz w:val="21"/>
                      <w:szCs w:val="21"/>
                      <w:vertAlign w:val="baseline"/>
                    </w:rPr>
                    <w:t>切丝</w:t>
                  </w:r>
                </w:p>
              </w:tc>
              <w:tc>
                <w:tcPr>
                  <w:tcW w:w="6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D635E3">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cs="Times New Roman"/>
                      <w:snapToGrid/>
                      <w:color w:val="auto"/>
                      <w:kern w:val="24"/>
                      <w:sz w:val="21"/>
                      <w:szCs w:val="21"/>
                      <w:vertAlign w:val="baseline"/>
                    </w:rPr>
                    <w:t>2</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4200D8">
                  <w:pPr>
                    <w:spacing w:beforeLines="0" w:afterLines="0"/>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cs="Times New Roman"/>
                      <w:snapToGrid/>
                      <w:color w:val="auto"/>
                      <w:kern w:val="24"/>
                      <w:sz w:val="21"/>
                      <w:szCs w:val="21"/>
                      <w:vertAlign w:val="baseline"/>
                    </w:rPr>
                    <w:t>SW59</w:t>
                  </w: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3B6987">
                  <w:pPr>
                    <w:spacing w:beforeLines="0" w:afterLines="0"/>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cs="Times New Roman"/>
                      <w:snapToGrid/>
                      <w:color w:val="auto"/>
                      <w:kern w:val="24"/>
                      <w:sz w:val="21"/>
                      <w:szCs w:val="21"/>
                      <w:vertAlign w:val="baseline"/>
                    </w:rPr>
                    <w:t>900-099-S59</w:t>
                  </w:r>
                </w:p>
              </w:tc>
              <w:tc>
                <w:tcPr>
                  <w:tcW w:w="173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EC4077">
                  <w:pPr>
                    <w:ind w:left="-105" w:leftChars="-50" w:right="-105" w:rightChars="-50" w:firstLine="105"/>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snapToGrid/>
                      <w:color w:val="auto"/>
                      <w:kern w:val="24"/>
                      <w:sz w:val="21"/>
                      <w:szCs w:val="21"/>
                      <w:vertAlign w:val="baseline"/>
                    </w:rPr>
                    <w:t>作为饲料销售</w:t>
                  </w:r>
                </w:p>
              </w:tc>
            </w:tr>
            <w:tr w14:paraId="31EA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69BFF6">
                  <w:pPr>
                    <w:ind w:left="-105" w:leftChars="-50" w:right="-105" w:rightChars="-50" w:firstLine="105" w:firstLineChars="0"/>
                    <w:jc w:val="center"/>
                    <w:rPr>
                      <w:rFonts w:hint="default" w:ascii="Times New Roman" w:hAnsi="Times New Roman" w:eastAsia="宋体" w:cs="Times New Roman"/>
                      <w:snapToGrid/>
                      <w:color w:val="auto"/>
                      <w:kern w:val="24"/>
                      <w:sz w:val="21"/>
                      <w:szCs w:val="21"/>
                      <w:vertAlign w:val="baseline"/>
                    </w:rPr>
                  </w:pPr>
                  <w:r>
                    <w:rPr>
                      <w:rFonts w:hint="default" w:ascii="Times New Roman" w:hAnsi="Times New Roman" w:cs="Times New Roman"/>
                      <w:color w:val="auto"/>
                      <w:kern w:val="24"/>
                      <w:sz w:val="21"/>
                      <w:szCs w:val="21"/>
                      <w:lang w:val="en-US" w:eastAsia="zh-CN"/>
                    </w:rPr>
                    <w:t>污水处理站</w:t>
                  </w:r>
                  <w:r>
                    <w:rPr>
                      <w:rFonts w:hint="default" w:ascii="Times New Roman" w:hAnsi="Times New Roman" w:eastAsia="宋体" w:cs="Times New Roman"/>
                      <w:color w:val="auto"/>
                      <w:kern w:val="24"/>
                      <w:sz w:val="21"/>
                      <w:szCs w:val="21"/>
                    </w:rPr>
                    <w:t>污泥</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44FF21">
                  <w:pPr>
                    <w:ind w:left="-105" w:leftChars="-50" w:right="-105" w:rightChars="-50" w:firstLine="105" w:firstLineChars="0"/>
                    <w:jc w:val="center"/>
                    <w:rPr>
                      <w:rFonts w:hint="default" w:ascii="Times New Roman" w:hAnsi="Times New Roman" w:eastAsia="宋体" w:cs="Times New Roman"/>
                      <w:snapToGrid/>
                      <w:color w:val="auto"/>
                      <w:kern w:val="24"/>
                      <w:sz w:val="21"/>
                      <w:szCs w:val="21"/>
                      <w:vertAlign w:val="baseline"/>
                    </w:rPr>
                  </w:pPr>
                  <w:r>
                    <w:rPr>
                      <w:rFonts w:hint="default" w:ascii="Times New Roman" w:hAnsi="Times New Roman" w:eastAsia="宋体" w:cs="Times New Roman"/>
                      <w:color w:val="auto"/>
                      <w:kern w:val="24"/>
                      <w:sz w:val="21"/>
                      <w:szCs w:val="21"/>
                    </w:rPr>
                    <w:t>污水处理站</w:t>
                  </w:r>
                </w:p>
              </w:tc>
              <w:tc>
                <w:tcPr>
                  <w:tcW w:w="6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EDA692">
                  <w:pPr>
                    <w:ind w:left="-105" w:leftChars="-50" w:right="-105" w:rightChars="-50" w:firstLine="105" w:firstLineChars="0"/>
                    <w:jc w:val="center"/>
                    <w:rPr>
                      <w:rFonts w:hint="default" w:ascii="Times New Roman" w:hAnsi="Times New Roman" w:eastAsia="宋体" w:cs="Times New Roman"/>
                      <w:snapToGrid/>
                      <w:color w:val="auto"/>
                      <w:kern w:val="24"/>
                      <w:sz w:val="21"/>
                      <w:szCs w:val="21"/>
                      <w:vertAlign w:val="baseline"/>
                      <w:lang w:val="en-US" w:eastAsia="zh-CN"/>
                    </w:rPr>
                  </w:pPr>
                  <w:r>
                    <w:rPr>
                      <w:rFonts w:hint="eastAsia" w:cs="Times New Roman"/>
                      <w:color w:val="auto"/>
                      <w:kern w:val="24"/>
                      <w:sz w:val="21"/>
                      <w:szCs w:val="21"/>
                      <w:lang w:val="en-US" w:eastAsia="zh-CN"/>
                    </w:rPr>
                    <w:t>0.9</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2E95CD">
                  <w:pPr>
                    <w:ind w:left="-105" w:leftChars="-50" w:right="-105" w:rightChars="-50" w:firstLine="105" w:firstLineChars="0"/>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color w:val="auto"/>
                      <w:kern w:val="24"/>
                      <w:sz w:val="21"/>
                      <w:szCs w:val="21"/>
                    </w:rPr>
                    <w:t>SW07</w:t>
                  </w: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6DAF7E">
                  <w:pPr>
                    <w:ind w:left="-105" w:leftChars="-50" w:right="-105" w:rightChars="-50" w:firstLine="105" w:firstLineChars="0"/>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color w:val="auto"/>
                      <w:kern w:val="24"/>
                      <w:sz w:val="21"/>
                      <w:szCs w:val="21"/>
                    </w:rPr>
                    <w:t>150-001-S07</w:t>
                  </w:r>
                </w:p>
              </w:tc>
              <w:tc>
                <w:tcPr>
                  <w:tcW w:w="173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07CF2C">
                  <w:pPr>
                    <w:ind w:left="-105" w:leftChars="-50" w:right="-105" w:rightChars="-50" w:firstLine="105" w:firstLineChars="0"/>
                    <w:jc w:val="center"/>
                    <w:rPr>
                      <w:rFonts w:hint="eastAsia" w:ascii="Times New Roman" w:hAnsi="Times New Roman" w:eastAsia="宋体" w:cs="Times New Roman"/>
                      <w:snapToGrid/>
                      <w:color w:val="auto"/>
                      <w:kern w:val="24"/>
                      <w:sz w:val="21"/>
                      <w:szCs w:val="21"/>
                      <w:vertAlign w:val="baseline"/>
                      <w:lang w:eastAsia="zh-CN"/>
                    </w:rPr>
                  </w:pPr>
                  <w:r>
                    <w:rPr>
                      <w:rFonts w:hint="default" w:ascii="Times New Roman" w:hAnsi="Times New Roman" w:eastAsia="宋体" w:cs="Times New Roman"/>
                      <w:color w:val="auto"/>
                      <w:kern w:val="24"/>
                      <w:sz w:val="21"/>
                      <w:szCs w:val="21"/>
                    </w:rPr>
                    <w:t>暂存于一般固废暂存间，</w:t>
                  </w:r>
                  <w:r>
                    <w:rPr>
                      <w:rFonts w:hint="default" w:ascii="Times New Roman" w:hAnsi="Times New Roman" w:cs="Times New Roman"/>
                      <w:color w:val="auto"/>
                      <w:kern w:val="24"/>
                      <w:sz w:val="21"/>
                      <w:szCs w:val="21"/>
                      <w:lang w:val="en-US" w:eastAsia="zh-CN"/>
                    </w:rPr>
                    <w:t>收集后定期</w:t>
                  </w:r>
                  <w:r>
                    <w:rPr>
                      <w:rFonts w:hint="default" w:ascii="Times New Roman" w:hAnsi="Times New Roman" w:eastAsia="宋体" w:cs="Times New Roman"/>
                      <w:color w:val="auto"/>
                      <w:kern w:val="24"/>
                      <w:sz w:val="21"/>
                      <w:szCs w:val="21"/>
                    </w:rPr>
                    <w:t>外售</w:t>
                  </w:r>
                  <w:r>
                    <w:rPr>
                      <w:rFonts w:hint="eastAsia" w:ascii="Times New Roman" w:hAnsi="Times New Roman" w:cs="Times New Roman"/>
                      <w:color w:val="auto"/>
                      <w:kern w:val="24"/>
                      <w:sz w:val="21"/>
                      <w:szCs w:val="21"/>
                      <w:lang w:eastAsia="zh-CN"/>
                    </w:rPr>
                    <w:t>，</w:t>
                  </w:r>
                  <w:r>
                    <w:rPr>
                      <w:rFonts w:hint="eastAsia" w:ascii="Times New Roman" w:hAnsi="Times New Roman" w:cs="Times New Roman"/>
                      <w:color w:val="auto"/>
                      <w:kern w:val="24"/>
                      <w:sz w:val="21"/>
                      <w:szCs w:val="21"/>
                      <w:lang w:val="en-US" w:eastAsia="zh-CN"/>
                    </w:rPr>
                    <w:t>作</w:t>
                  </w:r>
                  <w:r>
                    <w:rPr>
                      <w:rFonts w:hint="eastAsia" w:ascii="Times New Roman" w:hAnsi="Times New Roman" w:cs="Times New Roman"/>
                      <w:color w:val="auto"/>
                      <w:kern w:val="24"/>
                      <w:sz w:val="21"/>
                      <w:szCs w:val="21"/>
                      <w:lang w:eastAsia="zh-CN"/>
                    </w:rPr>
                    <w:t>焚烧处理</w:t>
                  </w:r>
                </w:p>
              </w:tc>
            </w:tr>
            <w:tr w14:paraId="4887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462CAD">
                  <w:pPr>
                    <w:ind w:left="-105" w:leftChars="-50" w:right="-105" w:rightChars="-50" w:firstLine="105" w:firstLineChars="0"/>
                    <w:jc w:val="center"/>
                    <w:rPr>
                      <w:rFonts w:hint="default" w:ascii="Times New Roman" w:hAnsi="Times New Roman" w:eastAsia="宋体" w:cs="Times New Roman"/>
                      <w:snapToGrid/>
                      <w:color w:val="auto"/>
                      <w:kern w:val="24"/>
                      <w:sz w:val="21"/>
                      <w:szCs w:val="21"/>
                      <w:vertAlign w:val="baseline"/>
                    </w:rPr>
                  </w:pPr>
                  <w:r>
                    <w:rPr>
                      <w:rFonts w:hint="default" w:ascii="Times New Roman" w:hAnsi="Times New Roman" w:eastAsia="宋体" w:cs="Times New Roman"/>
                      <w:color w:val="auto"/>
                      <w:kern w:val="24"/>
                      <w:sz w:val="21"/>
                      <w:szCs w:val="21"/>
                    </w:rPr>
                    <w:t>废过滤介质</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64AE71">
                  <w:pPr>
                    <w:ind w:left="-105" w:leftChars="-50" w:right="-105" w:rightChars="-50" w:firstLine="105" w:firstLineChars="0"/>
                    <w:jc w:val="center"/>
                    <w:rPr>
                      <w:rFonts w:hint="default" w:ascii="Times New Roman" w:hAnsi="Times New Roman" w:eastAsia="宋体" w:cs="Times New Roman"/>
                      <w:snapToGrid/>
                      <w:color w:val="auto"/>
                      <w:kern w:val="24"/>
                      <w:sz w:val="21"/>
                      <w:szCs w:val="21"/>
                      <w:vertAlign w:val="baseline"/>
                    </w:rPr>
                  </w:pPr>
                  <w:r>
                    <w:rPr>
                      <w:rFonts w:hint="default" w:ascii="Times New Roman" w:hAnsi="Times New Roman" w:eastAsia="宋体" w:cs="Times New Roman"/>
                      <w:color w:val="auto"/>
                      <w:kern w:val="24"/>
                      <w:sz w:val="21"/>
                      <w:szCs w:val="21"/>
                    </w:rPr>
                    <w:t>软水制备</w:t>
                  </w:r>
                </w:p>
              </w:tc>
              <w:tc>
                <w:tcPr>
                  <w:tcW w:w="6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EDD67C">
                  <w:pPr>
                    <w:ind w:left="-105" w:leftChars="-50" w:right="-105" w:rightChars="-50" w:firstLine="105" w:firstLineChars="0"/>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color w:val="auto"/>
                      <w:kern w:val="24"/>
                      <w:sz w:val="21"/>
                      <w:szCs w:val="21"/>
                    </w:rPr>
                    <w:t>0.1</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1A85B0">
                  <w:pPr>
                    <w:ind w:left="-105" w:leftChars="-50" w:right="-105" w:rightChars="-50" w:firstLine="105" w:firstLineChars="0"/>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color w:val="auto"/>
                      <w:kern w:val="24"/>
                      <w:sz w:val="21"/>
                      <w:szCs w:val="21"/>
                    </w:rPr>
                    <w:t>SW59</w:t>
                  </w: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58E064">
                  <w:pPr>
                    <w:ind w:left="-105" w:leftChars="-50" w:right="-105" w:rightChars="-50" w:firstLine="105" w:firstLineChars="0"/>
                    <w:jc w:val="center"/>
                    <w:rPr>
                      <w:rFonts w:hint="default" w:ascii="Times New Roman" w:hAnsi="Times New Roman" w:cs="Times New Roman"/>
                      <w:snapToGrid/>
                      <w:color w:val="auto"/>
                      <w:kern w:val="24"/>
                      <w:sz w:val="21"/>
                      <w:szCs w:val="21"/>
                      <w:vertAlign w:val="baseline"/>
                    </w:rPr>
                  </w:pPr>
                  <w:r>
                    <w:rPr>
                      <w:rFonts w:hint="default" w:ascii="Times New Roman" w:hAnsi="Times New Roman" w:eastAsia="宋体" w:cs="Times New Roman"/>
                      <w:color w:val="auto"/>
                      <w:kern w:val="24"/>
                      <w:sz w:val="21"/>
                      <w:szCs w:val="21"/>
                    </w:rPr>
                    <w:t>900-009-S59</w:t>
                  </w:r>
                </w:p>
              </w:tc>
              <w:tc>
                <w:tcPr>
                  <w:tcW w:w="1731" w:type="pct"/>
                  <w:vMerge w:val="restart"/>
                  <w:tcBorders>
                    <w:top w:val="single" w:color="auto" w:sz="4" w:space="0"/>
                    <w:left w:val="single" w:color="auto" w:sz="4" w:space="0"/>
                    <w:right w:val="single" w:color="auto" w:sz="4" w:space="0"/>
                    <w:tl2br w:val="nil"/>
                    <w:tr2bl w:val="nil"/>
                  </w:tcBorders>
                  <w:noWrap w:val="0"/>
                  <w:vAlign w:val="center"/>
                </w:tcPr>
                <w:p w14:paraId="5B27495E">
                  <w:pPr>
                    <w:ind w:left="-105" w:leftChars="-50" w:right="-105" w:rightChars="-50" w:firstLine="105" w:firstLineChars="0"/>
                    <w:jc w:val="center"/>
                    <w:rPr>
                      <w:rFonts w:hint="default" w:ascii="Times New Roman" w:hAnsi="Times New Roman" w:eastAsia="宋体" w:cs="Times New Roman"/>
                      <w:snapToGrid/>
                      <w:color w:val="auto"/>
                      <w:kern w:val="24"/>
                      <w:sz w:val="21"/>
                      <w:szCs w:val="21"/>
                      <w:vertAlign w:val="baseline"/>
                    </w:rPr>
                  </w:pPr>
                  <w:r>
                    <w:rPr>
                      <w:rFonts w:hint="default" w:ascii="Times New Roman" w:hAnsi="Times New Roman" w:eastAsia="宋体" w:cs="Times New Roman"/>
                      <w:color w:val="auto"/>
                      <w:kern w:val="24"/>
                      <w:sz w:val="21"/>
                      <w:szCs w:val="21"/>
                    </w:rPr>
                    <w:t>暂存于一般固废暂存间，交由更换厂家回收处置</w:t>
                  </w:r>
                </w:p>
              </w:tc>
            </w:tr>
            <w:tr w14:paraId="10BB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B55B77">
                  <w:pPr>
                    <w:ind w:left="-105" w:leftChars="-50" w:right="-105" w:rightChars="-50" w:firstLine="105" w:firstLineChars="0"/>
                    <w:jc w:val="center"/>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kern w:val="24"/>
                      <w:sz w:val="21"/>
                      <w:szCs w:val="21"/>
                    </w:rPr>
                    <w:t>废油桶</w:t>
                  </w:r>
                </w:p>
              </w:tc>
              <w:tc>
                <w:tcPr>
                  <w:tcW w:w="7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5674BC">
                  <w:pPr>
                    <w:ind w:left="-105" w:leftChars="-50" w:right="-105" w:rightChars="-50" w:firstLine="105" w:firstLineChars="0"/>
                    <w:jc w:val="center"/>
                    <w:rPr>
                      <w:rFonts w:hint="default" w:ascii="Times New Roman" w:hAnsi="Times New Roman" w:eastAsia="宋体" w:cs="Times New Roman"/>
                      <w:color w:val="auto"/>
                      <w:kern w:val="24"/>
                      <w:sz w:val="21"/>
                      <w:szCs w:val="21"/>
                      <w:lang w:val="en-US" w:eastAsia="zh-CN"/>
                    </w:rPr>
                  </w:pPr>
                  <w:r>
                    <w:rPr>
                      <w:rFonts w:hint="default" w:ascii="Times New Roman" w:hAnsi="Times New Roman" w:cs="Times New Roman"/>
                      <w:color w:val="auto"/>
                      <w:kern w:val="24"/>
                      <w:sz w:val="21"/>
                      <w:szCs w:val="21"/>
                      <w:lang w:val="en-US" w:eastAsia="zh-CN"/>
                    </w:rPr>
                    <w:t>生产</w:t>
                  </w:r>
                </w:p>
              </w:tc>
              <w:tc>
                <w:tcPr>
                  <w:tcW w:w="6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DE17F5">
                  <w:pPr>
                    <w:ind w:left="-105" w:leftChars="-50" w:right="-105" w:rightChars="-50" w:firstLine="105" w:firstLineChars="0"/>
                    <w:jc w:val="center"/>
                    <w:rPr>
                      <w:rFonts w:hint="default" w:ascii="Times New Roman" w:hAnsi="Times New Roman" w:eastAsia="宋体" w:cs="Times New Roman"/>
                      <w:color w:val="auto"/>
                      <w:kern w:val="24"/>
                      <w:sz w:val="21"/>
                      <w:szCs w:val="21"/>
                      <w:lang w:val="en-US" w:eastAsia="zh-CN"/>
                    </w:rPr>
                  </w:pPr>
                  <w:r>
                    <w:rPr>
                      <w:rFonts w:hint="default" w:ascii="Times New Roman" w:hAnsi="Times New Roman" w:cs="Times New Roman"/>
                      <w:color w:val="auto"/>
                      <w:kern w:val="24"/>
                      <w:sz w:val="21"/>
                      <w:szCs w:val="21"/>
                      <w:lang w:val="en-US" w:eastAsia="zh-CN"/>
                    </w:rPr>
                    <w:t>0.05</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5663DD">
                  <w:pPr>
                    <w:ind w:left="-105" w:leftChars="-50" w:right="-105" w:rightChars="-50" w:firstLine="105" w:firstLineChars="0"/>
                    <w:jc w:val="center"/>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kern w:val="24"/>
                      <w:sz w:val="21"/>
                      <w:szCs w:val="21"/>
                    </w:rPr>
                    <w:t>SW62</w:t>
                  </w: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8AD1F8">
                  <w:pPr>
                    <w:ind w:left="-105" w:leftChars="-50" w:right="-105" w:rightChars="-50" w:firstLine="105" w:firstLineChars="0"/>
                    <w:jc w:val="center"/>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kern w:val="24"/>
                      <w:sz w:val="21"/>
                      <w:szCs w:val="21"/>
                    </w:rPr>
                    <w:t>900-002-S62</w:t>
                  </w:r>
                </w:p>
              </w:tc>
              <w:tc>
                <w:tcPr>
                  <w:tcW w:w="1731" w:type="pct"/>
                  <w:vMerge w:val="continue"/>
                  <w:tcBorders>
                    <w:left w:val="single" w:color="auto" w:sz="4" w:space="0"/>
                    <w:bottom w:val="single" w:color="auto" w:sz="4" w:space="0"/>
                    <w:right w:val="single" w:color="auto" w:sz="4" w:space="0"/>
                    <w:tl2br w:val="nil"/>
                    <w:tr2bl w:val="nil"/>
                  </w:tcBorders>
                  <w:noWrap w:val="0"/>
                  <w:vAlign w:val="center"/>
                </w:tcPr>
                <w:p w14:paraId="2E9767BD">
                  <w:pPr>
                    <w:ind w:left="-105" w:leftChars="-50" w:right="-105" w:rightChars="-50" w:firstLine="105" w:firstLineChars="0"/>
                    <w:jc w:val="center"/>
                    <w:rPr>
                      <w:rFonts w:hint="default" w:ascii="Times New Roman" w:hAnsi="Times New Roman" w:eastAsia="宋体" w:cs="Times New Roman"/>
                      <w:color w:val="auto"/>
                      <w:kern w:val="24"/>
                      <w:sz w:val="21"/>
                      <w:szCs w:val="21"/>
                    </w:rPr>
                  </w:pPr>
                </w:p>
              </w:tc>
            </w:tr>
          </w:tbl>
          <w:p w14:paraId="3DB9B04D">
            <w:pPr>
              <w:numPr>
                <w:ilvl w:val="0"/>
                <w:numId w:val="0"/>
              </w:numPr>
              <w:spacing w:beforeLines="0" w:afterLines="0" w:line="500" w:lineRule="exact"/>
              <w:ind w:firstLine="482" w:firstLineChars="200"/>
              <w:rPr>
                <w:rFonts w:hint="default" w:cs="Times New Roman"/>
                <w:b/>
                <w:bCs/>
                <w:color w:val="auto"/>
                <w:sz w:val="24"/>
                <w:szCs w:val="24"/>
                <w:lang w:val="en-US" w:eastAsia="zh-CN"/>
              </w:rPr>
            </w:pPr>
            <w:r>
              <w:rPr>
                <w:rFonts w:hint="eastAsia" w:cs="Times New Roman"/>
                <w:b/>
                <w:bCs/>
                <w:color w:val="auto"/>
                <w:sz w:val="24"/>
                <w:szCs w:val="24"/>
                <w:lang w:val="en-US" w:eastAsia="zh-CN"/>
              </w:rPr>
              <w:t>（2）</w:t>
            </w:r>
            <w:r>
              <w:rPr>
                <w:rFonts w:hint="default" w:cs="Times New Roman"/>
                <w:b/>
                <w:bCs/>
                <w:color w:val="auto"/>
                <w:sz w:val="24"/>
                <w:szCs w:val="24"/>
                <w:lang w:val="en-US" w:eastAsia="zh-CN"/>
              </w:rPr>
              <w:t>固体废物临时贮存设施的管理要求</w:t>
            </w:r>
          </w:p>
          <w:p w14:paraId="72DE6BD3">
            <w:pPr>
              <w:pStyle w:val="16"/>
              <w:numPr>
                <w:ilvl w:val="0"/>
                <w:numId w:val="0"/>
              </w:numPr>
              <w:ind w:firstLine="480" w:firstLineChars="200"/>
              <w:rPr>
                <w:rFonts w:hint="default"/>
                <w:color w:val="auto"/>
                <w:lang w:val="en-US" w:eastAsia="zh-CN"/>
              </w:rPr>
            </w:pPr>
            <w:r>
              <w:rPr>
                <w:rFonts w:hint="default" w:ascii="Times New Roman" w:hAnsi="Times New Roman" w:eastAsia="宋体" w:cs="Times New Roman"/>
                <w:snapToGrid w:val="0"/>
                <w:color w:val="auto"/>
                <w:kern w:val="24"/>
                <w:sz w:val="24"/>
                <w:szCs w:val="24"/>
                <w:lang w:val="en-US" w:eastAsia="zh-CN" w:bidi="ar-SA"/>
              </w:rPr>
              <w:t>1）一般工业固废</w:t>
            </w:r>
          </w:p>
          <w:p w14:paraId="413C23FD">
            <w:pPr>
              <w:spacing w:beforeLines="0" w:afterLines="0" w:line="500" w:lineRule="exact"/>
              <w:ind w:firstLine="480" w:firstLineChars="200"/>
              <w:rPr>
                <w:rFonts w:hint="default" w:ascii="Times New Roman" w:hAnsi="Times New Roman" w:cs="Times New Roman"/>
                <w:snapToGrid w:val="0"/>
                <w:color w:val="auto"/>
                <w:kern w:val="24"/>
                <w:sz w:val="24"/>
                <w:szCs w:val="24"/>
              </w:rPr>
            </w:pPr>
            <w:r>
              <w:rPr>
                <w:rFonts w:hint="default" w:ascii="Times New Roman" w:hAnsi="Times New Roman" w:cs="Times New Roman"/>
                <w:snapToGrid w:val="0"/>
                <w:color w:val="auto"/>
                <w:kern w:val="24"/>
                <w:sz w:val="24"/>
                <w:szCs w:val="24"/>
              </w:rPr>
              <w:t>①要按照《安徽省实施〈中华人民共和国固体废物污染环境防治法〉办法》（2021年5月31日修订）中规定其贮存过程应满足相应防渗漏、防雨淋、防扬尘等环境保护要求。</w:t>
            </w:r>
          </w:p>
          <w:p w14:paraId="35C1A08F">
            <w:pPr>
              <w:spacing w:beforeLines="0" w:afterLines="0" w:line="500" w:lineRule="exact"/>
              <w:ind w:firstLine="480" w:firstLineChars="200"/>
              <w:rPr>
                <w:color w:val="auto"/>
              </w:rPr>
            </w:pPr>
            <w:r>
              <w:rPr>
                <w:rFonts w:hint="default" w:ascii="Times New Roman" w:hAnsi="Times New Roman" w:cs="Times New Roman"/>
                <w:snapToGrid w:val="0"/>
                <w:color w:val="auto"/>
                <w:kern w:val="24"/>
                <w:sz w:val="24"/>
                <w:szCs w:val="24"/>
              </w:rPr>
              <w:t>②按照《安徽省实施〈中华人民共和国固体废物污染环境防治法〉办法》（2021年5月31日修订）有关规定设置暂存场所。</w:t>
            </w:r>
          </w:p>
          <w:p w14:paraId="45DAE92F">
            <w:pPr>
              <w:spacing w:beforeLines="0" w:afterLines="0" w:line="500" w:lineRule="exact"/>
              <w:ind w:firstLine="480" w:firstLineChars="200"/>
              <w:rPr>
                <w:rFonts w:hint="default" w:ascii="Times New Roman" w:hAnsi="Times New Roman" w:eastAsia="宋体" w:cs="Times New Roman"/>
                <w:snapToGrid w:val="0"/>
                <w:color w:val="auto"/>
                <w:kern w:val="24"/>
                <w:sz w:val="24"/>
                <w:szCs w:val="24"/>
              </w:rPr>
            </w:pPr>
            <w:r>
              <w:rPr>
                <w:rFonts w:hint="eastAsia" w:ascii="Times New Roman" w:hAnsi="Times New Roman" w:eastAsia="宋体" w:cs="Times New Roman"/>
                <w:snapToGrid w:val="0"/>
                <w:color w:val="auto"/>
                <w:kern w:val="24"/>
                <w:sz w:val="24"/>
                <w:szCs w:val="24"/>
              </w:rPr>
              <w:t>③一般固体废物管理要求</w:t>
            </w:r>
          </w:p>
          <w:p w14:paraId="2C6699CC">
            <w:pPr>
              <w:spacing w:beforeLines="0" w:afterLines="0" w:line="500" w:lineRule="exact"/>
              <w:ind w:firstLine="480" w:firstLineChars="200"/>
              <w:rPr>
                <w:rFonts w:hint="default"/>
                <w:color w:val="auto"/>
              </w:rPr>
            </w:pPr>
            <w:r>
              <w:rPr>
                <w:rFonts w:hint="eastAsia" w:ascii="Times New Roman" w:hAnsi="Times New Roman" w:eastAsia="宋体" w:cs="Times New Roman"/>
                <w:snapToGrid w:val="0"/>
                <w:color w:val="auto"/>
                <w:kern w:val="24"/>
                <w:sz w:val="24"/>
                <w:szCs w:val="24"/>
              </w:rPr>
              <w:t>企业拟设置一座</w:t>
            </w:r>
            <w:r>
              <w:rPr>
                <w:rFonts w:hint="eastAsia" w:eastAsia="宋体" w:cs="Times New Roman"/>
                <w:snapToGrid w:val="0"/>
                <w:color w:val="auto"/>
                <w:kern w:val="24"/>
                <w:sz w:val="24"/>
                <w:szCs w:val="24"/>
                <w:lang w:val="en-US" w:eastAsia="zh-CN"/>
              </w:rPr>
              <w:t>15</w:t>
            </w:r>
            <w:r>
              <w:rPr>
                <w:rFonts w:hint="default" w:ascii="Times New Roman" w:hAnsi="Times New Roman" w:eastAsia="宋体" w:cs="Times New Roman"/>
                <w:snapToGrid w:val="0"/>
                <w:color w:val="auto"/>
                <w:kern w:val="24"/>
                <w:sz w:val="24"/>
                <w:szCs w:val="24"/>
              </w:rPr>
              <w:t>m</w:t>
            </w:r>
            <w:r>
              <w:rPr>
                <w:rFonts w:hint="default" w:ascii="Times New Roman" w:hAnsi="Times New Roman" w:eastAsia="宋体" w:cs="Times New Roman"/>
                <w:snapToGrid w:val="0"/>
                <w:color w:val="auto"/>
                <w:kern w:val="24"/>
                <w:sz w:val="24"/>
                <w:szCs w:val="24"/>
                <w:vertAlign w:val="superscript"/>
              </w:rPr>
              <w:t>2</w:t>
            </w:r>
            <w:r>
              <w:rPr>
                <w:rFonts w:hint="eastAsia" w:ascii="Times New Roman" w:hAnsi="Times New Roman" w:eastAsia="宋体" w:cs="Times New Roman"/>
                <w:snapToGrid w:val="0"/>
                <w:color w:val="auto"/>
                <w:kern w:val="24"/>
                <w:sz w:val="24"/>
                <w:szCs w:val="24"/>
              </w:rPr>
              <w:t>的一般固废暂存间用来暂存产生的一般固废，根据《一般工业固体废物贮存、填埋场污染控制标准》（GB18599-2020）要求，企业应按照《中华人民共和国固体废物污染环境防治法》等相关法律法规要求，对工业固体废物采用防扬散、防流失、防渗漏或者其他防止污染环境的措施，不得擅自倾倒、堆放、丢弃、遗撒工业固体废物。企业应建立工业固体废物管理台账，如实记录工业固体废物的种类、数量、流向、贮存、利用、处置等信息，一般工业固体废物管理台账保存期限不少于5年。</w:t>
            </w:r>
          </w:p>
          <w:p w14:paraId="1FA0C834">
            <w:pPr>
              <w:spacing w:beforeLines="0" w:afterLines="0" w:line="500" w:lineRule="exact"/>
              <w:ind w:firstLine="480" w:firstLineChars="200"/>
              <w:rPr>
                <w:rFonts w:hint="default" w:ascii="Times New Roman" w:hAnsi="Times New Roman" w:cs="Times New Roman"/>
                <w:snapToGrid w:val="0"/>
                <w:color w:val="auto"/>
                <w:kern w:val="24"/>
                <w:sz w:val="24"/>
                <w:szCs w:val="24"/>
              </w:rPr>
            </w:pPr>
            <w:r>
              <w:rPr>
                <w:rFonts w:hint="default" w:ascii="Times New Roman" w:hAnsi="Times New Roman" w:cs="Times New Roman"/>
                <w:snapToGrid w:val="0"/>
                <w:color w:val="auto"/>
                <w:kern w:val="24"/>
                <w:sz w:val="24"/>
                <w:szCs w:val="24"/>
              </w:rPr>
              <w:t>2）生活垃圾</w:t>
            </w:r>
          </w:p>
          <w:p w14:paraId="3D8A338D">
            <w:pPr>
              <w:spacing w:beforeLines="0" w:afterLines="0"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snapToGrid w:val="0"/>
                <w:color w:val="auto"/>
                <w:kern w:val="24"/>
                <w:sz w:val="24"/>
                <w:szCs w:val="24"/>
              </w:rPr>
              <w:t>按照《安徽省实施〈中华人民共和国固体废物污染环境防治法〉办法》（2021年5月31日修订）要求实施。</w:t>
            </w:r>
          </w:p>
          <w:p w14:paraId="1F9B69EB">
            <w:pPr>
              <w:adjustRightInd w:val="0"/>
              <w:snapToGrid w:val="0"/>
              <w:spacing w:line="240" w:lineRule="auto"/>
              <w:ind w:firstLine="482" w:firstLineChars="200"/>
              <w:jc w:val="left"/>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5、地下水、土壤</w:t>
            </w:r>
          </w:p>
          <w:p w14:paraId="0961F09B">
            <w:pPr>
              <w:spacing w:beforeLines="0" w:afterLines="0" w:line="500" w:lineRule="exact"/>
              <w:ind w:firstLine="482" w:firstLineChars="200"/>
              <w:rPr>
                <w:rFonts w:hint="default" w:ascii="Times New Roman" w:hAnsi="Times New Roman" w:cs="Times New Roman"/>
                <w:b/>
                <w:bCs/>
                <w:snapToGrid w:val="0"/>
                <w:color w:val="auto"/>
                <w:kern w:val="24"/>
                <w:sz w:val="24"/>
                <w:szCs w:val="24"/>
                <w:lang w:eastAsia="zh-CN"/>
              </w:rPr>
            </w:pPr>
            <w:r>
              <w:rPr>
                <w:rFonts w:hint="default" w:ascii="Times New Roman" w:hAnsi="Times New Roman" w:cs="Times New Roman"/>
                <w:b/>
                <w:bCs/>
                <w:snapToGrid w:val="0"/>
                <w:color w:val="auto"/>
                <w:kern w:val="24"/>
                <w:sz w:val="24"/>
                <w:szCs w:val="24"/>
                <w:lang w:eastAsia="zh-CN"/>
              </w:rPr>
              <w:t>（</w:t>
            </w:r>
            <w:r>
              <w:rPr>
                <w:rFonts w:hint="default" w:ascii="Times New Roman" w:hAnsi="Times New Roman" w:cs="Times New Roman"/>
                <w:b/>
                <w:bCs/>
                <w:snapToGrid w:val="0"/>
                <w:color w:val="auto"/>
                <w:kern w:val="24"/>
                <w:sz w:val="24"/>
                <w:szCs w:val="24"/>
                <w:lang w:val="en-US" w:eastAsia="zh-CN"/>
              </w:rPr>
              <w:t>1</w:t>
            </w:r>
            <w:r>
              <w:rPr>
                <w:rFonts w:hint="default" w:ascii="Times New Roman" w:hAnsi="Times New Roman" w:cs="Times New Roman"/>
                <w:b/>
                <w:bCs/>
                <w:snapToGrid w:val="0"/>
                <w:color w:val="auto"/>
                <w:kern w:val="24"/>
                <w:sz w:val="24"/>
                <w:szCs w:val="24"/>
                <w:lang w:eastAsia="zh-CN"/>
              </w:rPr>
              <w:t>）污染源及污染途径分析</w:t>
            </w:r>
          </w:p>
          <w:p w14:paraId="6D53038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position w:val="0"/>
                <w:sz w:val="24"/>
                <w:szCs w:val="24"/>
                <w:highlight w:val="none"/>
                <w:lang w:eastAsia="zh-CN"/>
              </w:rPr>
            </w:pPr>
            <w:r>
              <w:rPr>
                <w:rFonts w:hint="default" w:ascii="Times New Roman" w:hAnsi="Times New Roman" w:eastAsia="宋体" w:cs="Times New Roman"/>
                <w:color w:val="auto"/>
                <w:spacing w:val="0"/>
                <w:position w:val="0"/>
                <w:sz w:val="24"/>
                <w:szCs w:val="24"/>
                <w:highlight w:val="none"/>
              </w:rPr>
              <w:t>根据对项目生产过程及存储方式等进行分析，本项目对地下水及土壤环境影响的污染源有：</w:t>
            </w:r>
            <w:r>
              <w:rPr>
                <w:rFonts w:hint="default" w:ascii="Times New Roman" w:hAnsi="Times New Roman" w:cs="Times New Roman"/>
                <w:color w:val="auto"/>
                <w:spacing w:val="0"/>
                <w:position w:val="0"/>
                <w:sz w:val="24"/>
                <w:szCs w:val="24"/>
                <w:highlight w:val="none"/>
                <w:lang w:val="en-US" w:eastAsia="zh-CN"/>
              </w:rPr>
              <w:t>污水处理站</w:t>
            </w:r>
            <w:r>
              <w:rPr>
                <w:rFonts w:hint="eastAsia" w:cs="Times New Roman"/>
                <w:color w:val="auto"/>
                <w:spacing w:val="0"/>
                <w:position w:val="0"/>
                <w:sz w:val="24"/>
                <w:szCs w:val="24"/>
                <w:highlight w:val="none"/>
                <w:lang w:val="en-US" w:eastAsia="zh-CN"/>
              </w:rPr>
              <w:t>、一般固废暂存间</w:t>
            </w:r>
            <w:r>
              <w:rPr>
                <w:rFonts w:hint="default" w:ascii="Times New Roman" w:hAnsi="Times New Roman" w:eastAsia="宋体" w:cs="Times New Roman"/>
                <w:color w:val="auto"/>
                <w:spacing w:val="0"/>
                <w:position w:val="0"/>
                <w:sz w:val="24"/>
                <w:szCs w:val="24"/>
                <w:highlight w:val="none"/>
              </w:rPr>
              <w:t>，</w:t>
            </w:r>
            <w:r>
              <w:rPr>
                <w:rFonts w:hint="default" w:ascii="Times New Roman" w:hAnsi="Times New Roman" w:eastAsia="宋体" w:cs="Times New Roman"/>
                <w:color w:val="auto"/>
                <w:spacing w:val="0"/>
                <w:position w:val="0"/>
                <w:sz w:val="24"/>
                <w:szCs w:val="24"/>
                <w:highlight w:val="none"/>
                <w:lang w:eastAsia="zh-CN"/>
              </w:rPr>
              <w:t>主要污染途径为地面下渗污染。</w:t>
            </w:r>
          </w:p>
          <w:p w14:paraId="2AB24C30">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position w:val="0"/>
                <w:sz w:val="24"/>
                <w:szCs w:val="24"/>
                <w:highlight w:val="none"/>
                <w:lang w:eastAsia="zh-CN"/>
              </w:rPr>
            </w:pPr>
            <w:r>
              <w:rPr>
                <w:rFonts w:hint="default" w:ascii="Times New Roman" w:hAnsi="Times New Roman" w:eastAsia="宋体" w:cs="Times New Roman"/>
                <w:b/>
                <w:bCs/>
                <w:color w:val="auto"/>
                <w:spacing w:val="0"/>
                <w:position w:val="0"/>
                <w:sz w:val="24"/>
                <w:szCs w:val="24"/>
                <w:highlight w:val="none"/>
                <w:lang w:eastAsia="zh-CN"/>
              </w:rPr>
              <w:t>（</w:t>
            </w:r>
            <w:r>
              <w:rPr>
                <w:rFonts w:hint="default" w:ascii="Times New Roman" w:hAnsi="Times New Roman" w:eastAsia="宋体" w:cs="Times New Roman"/>
                <w:b/>
                <w:bCs/>
                <w:color w:val="auto"/>
                <w:spacing w:val="0"/>
                <w:position w:val="0"/>
                <w:sz w:val="24"/>
                <w:szCs w:val="24"/>
                <w:highlight w:val="none"/>
                <w:lang w:val="en-US" w:eastAsia="zh-CN"/>
              </w:rPr>
              <w:t>2</w:t>
            </w:r>
            <w:r>
              <w:rPr>
                <w:rFonts w:hint="default" w:ascii="Times New Roman" w:hAnsi="Times New Roman" w:eastAsia="宋体" w:cs="Times New Roman"/>
                <w:b/>
                <w:bCs/>
                <w:color w:val="auto"/>
                <w:spacing w:val="0"/>
                <w:position w:val="0"/>
                <w:sz w:val="24"/>
                <w:szCs w:val="24"/>
                <w:highlight w:val="none"/>
                <w:lang w:eastAsia="zh-CN"/>
              </w:rPr>
              <w:t>）污染防治措施</w:t>
            </w:r>
          </w:p>
          <w:p w14:paraId="458E77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为确保项目生产运行不会对周围地下水、土壤产生污染，评价建议建设单位应采取分区防治措施，将厂区内按各功能单元所处位置划分为一般防渗区</w:t>
            </w:r>
            <w:r>
              <w:rPr>
                <w:rFonts w:hint="eastAsia" w:cs="Times New Roman"/>
                <w:color w:val="auto"/>
                <w:kern w:val="0"/>
                <w:sz w:val="24"/>
                <w:szCs w:val="24"/>
                <w:lang w:val="en-US" w:eastAsia="zh-CN" w:bidi="ar"/>
              </w:rPr>
              <w:t>和</w:t>
            </w:r>
            <w:r>
              <w:rPr>
                <w:rFonts w:hint="default" w:ascii="Times New Roman" w:hAnsi="Times New Roman" w:eastAsia="宋体" w:cs="Times New Roman"/>
                <w:color w:val="auto"/>
                <w:kern w:val="0"/>
                <w:sz w:val="24"/>
                <w:szCs w:val="24"/>
                <w:lang w:val="en-US" w:eastAsia="zh-CN" w:bidi="ar"/>
              </w:rPr>
              <w:t>简单防渗区。本项目地下水分区防渗措施见下表。</w:t>
            </w:r>
          </w:p>
          <w:p w14:paraId="48821E9B">
            <w:pPr>
              <w:widowControl/>
              <w:spacing w:beforeLines="0" w:afterLines="0" w:line="500" w:lineRule="atLeast"/>
              <w:ind w:firstLine="480" w:firstLineChars="200"/>
              <w:rPr>
                <w:rFonts w:hint="default"/>
                <w:snapToGrid w:val="0"/>
                <w:color w:val="auto"/>
                <w:kern w:val="24"/>
                <w:sz w:val="24"/>
                <w:szCs w:val="24"/>
              </w:rPr>
            </w:pPr>
            <w:r>
              <w:rPr>
                <w:rFonts w:hint="eastAsia" w:cs="Times New Roman"/>
                <w:snapToGrid w:val="0"/>
                <w:color w:val="auto"/>
                <w:kern w:val="24"/>
                <w:sz w:val="24"/>
                <w:szCs w:val="24"/>
                <w:lang w:val="en-US" w:eastAsia="zh-CN"/>
              </w:rPr>
              <w:t>1）</w:t>
            </w:r>
            <w:r>
              <w:rPr>
                <w:rFonts w:hint="default" w:ascii="宋体"/>
                <w:snapToGrid w:val="0"/>
                <w:color w:val="auto"/>
                <w:kern w:val="24"/>
                <w:sz w:val="24"/>
                <w:szCs w:val="24"/>
              </w:rPr>
              <w:t>一般防渗区</w:t>
            </w:r>
          </w:p>
          <w:p w14:paraId="1477FAD9">
            <w:pPr>
              <w:widowControl/>
              <w:spacing w:line="500" w:lineRule="atLeast"/>
              <w:ind w:firstLine="480" w:firstLineChars="200"/>
              <w:rPr>
                <w:rFonts w:hint="default"/>
                <w:snapToGrid w:val="0"/>
                <w:color w:val="auto"/>
                <w:kern w:val="24"/>
                <w:sz w:val="24"/>
                <w:szCs w:val="24"/>
              </w:rPr>
            </w:pPr>
            <w:r>
              <w:rPr>
                <w:rFonts w:hint="eastAsia" w:ascii="宋体"/>
                <w:snapToGrid w:val="0"/>
                <w:color w:val="auto"/>
                <w:kern w:val="24"/>
                <w:sz w:val="24"/>
                <w:szCs w:val="24"/>
                <w:lang w:val="en-US" w:eastAsia="zh-CN"/>
              </w:rPr>
              <w:t>本项目污水处理站、一般固废暂存间、生产车间</w:t>
            </w:r>
            <w:r>
              <w:rPr>
                <w:rFonts w:hint="default" w:ascii="宋体"/>
                <w:snapToGrid w:val="0"/>
                <w:color w:val="auto"/>
                <w:kern w:val="24"/>
                <w:sz w:val="24"/>
                <w:szCs w:val="24"/>
              </w:rPr>
              <w:t>采用抗渗混凝土浇制地面底板，企业在经处理的防腐基体上铺设防渗措施，防渗措施应满足《环境影响评价技术导则地下水环境》（HJ610-2016）中一般防渗措施中“等效黏土防渗层Mb≥1.5m，K≤10</w:t>
            </w:r>
            <w:r>
              <w:rPr>
                <w:rFonts w:hint="default"/>
                <w:snapToGrid w:val="0"/>
                <w:color w:val="auto"/>
                <w:kern w:val="24"/>
                <w:sz w:val="24"/>
                <w:szCs w:val="24"/>
                <w:vertAlign w:val="superscript"/>
              </w:rPr>
              <w:t>-7</w:t>
            </w:r>
            <w:r>
              <w:rPr>
                <w:rFonts w:hint="default"/>
                <w:snapToGrid w:val="0"/>
                <w:color w:val="auto"/>
                <w:kern w:val="24"/>
                <w:sz w:val="24"/>
                <w:szCs w:val="24"/>
              </w:rPr>
              <w:t>cm/s</w:t>
            </w:r>
            <w:r>
              <w:rPr>
                <w:rFonts w:hint="default" w:ascii="宋体"/>
                <w:snapToGrid w:val="0"/>
                <w:color w:val="auto"/>
                <w:kern w:val="24"/>
                <w:sz w:val="24"/>
                <w:szCs w:val="24"/>
              </w:rPr>
              <w:t>；或参照GB16889执行”的要求。</w:t>
            </w:r>
          </w:p>
          <w:p w14:paraId="3C986C2E">
            <w:pPr>
              <w:widowControl/>
              <w:spacing w:line="500" w:lineRule="atLeast"/>
              <w:ind w:firstLine="480" w:firstLineChars="200"/>
              <w:rPr>
                <w:rFonts w:hint="default"/>
                <w:snapToGrid w:val="0"/>
                <w:color w:val="auto"/>
                <w:kern w:val="24"/>
                <w:sz w:val="24"/>
                <w:szCs w:val="24"/>
              </w:rPr>
            </w:pPr>
            <w:r>
              <w:rPr>
                <w:rFonts w:hint="eastAsia" w:ascii="宋体"/>
                <w:snapToGrid w:val="0"/>
                <w:color w:val="auto"/>
                <w:kern w:val="24"/>
                <w:sz w:val="24"/>
                <w:szCs w:val="24"/>
                <w:lang w:val="en-US" w:eastAsia="zh-CN"/>
              </w:rPr>
              <w:t>2</w:t>
            </w:r>
            <w:r>
              <w:rPr>
                <w:rFonts w:hint="default" w:ascii="宋体"/>
                <w:snapToGrid w:val="0"/>
                <w:color w:val="auto"/>
                <w:kern w:val="24"/>
                <w:sz w:val="24"/>
                <w:szCs w:val="24"/>
              </w:rPr>
              <w:t>）简单防渗区</w:t>
            </w:r>
          </w:p>
          <w:p w14:paraId="3EFC76DA">
            <w:pPr>
              <w:widowControl/>
              <w:spacing w:line="500" w:lineRule="atLeast"/>
              <w:ind w:firstLine="480" w:firstLineChars="200"/>
              <w:rPr>
                <w:rFonts w:hint="default" w:ascii="宋体"/>
                <w:snapToGrid w:val="0"/>
                <w:color w:val="auto"/>
                <w:kern w:val="24"/>
                <w:sz w:val="24"/>
                <w:szCs w:val="24"/>
              </w:rPr>
            </w:pPr>
            <w:r>
              <w:rPr>
                <w:rFonts w:hint="default" w:ascii="宋体"/>
                <w:snapToGrid w:val="0"/>
                <w:color w:val="auto"/>
                <w:kern w:val="24"/>
                <w:sz w:val="24"/>
                <w:szCs w:val="24"/>
              </w:rPr>
              <w:t>项目厂区</w:t>
            </w:r>
            <w:r>
              <w:rPr>
                <w:rFonts w:hint="eastAsia" w:ascii="宋体"/>
                <w:snapToGrid w:val="0"/>
                <w:color w:val="auto"/>
                <w:kern w:val="24"/>
                <w:sz w:val="24"/>
                <w:szCs w:val="24"/>
                <w:lang w:val="en-US" w:eastAsia="zh-CN"/>
              </w:rPr>
              <w:t>除</w:t>
            </w:r>
            <w:r>
              <w:rPr>
                <w:rFonts w:hint="default" w:ascii="宋体"/>
                <w:snapToGrid w:val="0"/>
                <w:color w:val="auto"/>
                <w:kern w:val="24"/>
                <w:sz w:val="24"/>
                <w:szCs w:val="24"/>
              </w:rPr>
              <w:t>重点污染防治区和一般污染防治区</w:t>
            </w:r>
            <w:r>
              <w:rPr>
                <w:rFonts w:hint="eastAsia" w:ascii="宋体"/>
                <w:snapToGrid w:val="0"/>
                <w:color w:val="auto"/>
                <w:kern w:val="24"/>
                <w:sz w:val="24"/>
                <w:szCs w:val="24"/>
                <w:lang w:val="en-US" w:eastAsia="zh-CN"/>
              </w:rPr>
              <w:t>之外的其他区域做</w:t>
            </w:r>
            <w:r>
              <w:rPr>
                <w:rFonts w:hint="default" w:ascii="宋体"/>
                <w:snapToGrid w:val="0"/>
                <w:color w:val="auto"/>
                <w:kern w:val="24"/>
                <w:sz w:val="24"/>
                <w:szCs w:val="24"/>
              </w:rPr>
              <w:t>简单污染防治区</w:t>
            </w:r>
            <w:r>
              <w:rPr>
                <w:rFonts w:hint="eastAsia" w:ascii="宋体"/>
                <w:snapToGrid w:val="0"/>
                <w:color w:val="auto"/>
                <w:kern w:val="24"/>
                <w:sz w:val="24"/>
                <w:szCs w:val="24"/>
                <w:lang w:eastAsia="zh-CN"/>
              </w:rPr>
              <w:t>，</w:t>
            </w:r>
            <w:r>
              <w:rPr>
                <w:rFonts w:hint="eastAsia" w:ascii="宋体"/>
                <w:snapToGrid w:val="0"/>
                <w:color w:val="auto"/>
                <w:kern w:val="24"/>
                <w:sz w:val="24"/>
                <w:szCs w:val="24"/>
                <w:lang w:val="en-US" w:eastAsia="zh-CN"/>
              </w:rPr>
              <w:t>一般地面硬化</w:t>
            </w:r>
            <w:r>
              <w:rPr>
                <w:rFonts w:hint="default" w:ascii="宋体"/>
                <w:snapToGrid w:val="0"/>
                <w:color w:val="auto"/>
                <w:kern w:val="24"/>
                <w:sz w:val="24"/>
                <w:szCs w:val="24"/>
              </w:rPr>
              <w:t>。</w:t>
            </w:r>
          </w:p>
          <w:p w14:paraId="6EE2DEAB">
            <w:pPr>
              <w:widowControl/>
              <w:spacing w:line="500" w:lineRule="atLeast"/>
              <w:ind w:firstLine="480" w:firstLineChars="200"/>
              <w:rPr>
                <w:rFonts w:hint="default"/>
                <w:snapToGrid w:val="0"/>
                <w:color w:val="auto"/>
                <w:kern w:val="0"/>
                <w:sz w:val="24"/>
                <w:szCs w:val="24"/>
              </w:rPr>
            </w:pPr>
            <w:r>
              <w:rPr>
                <w:rFonts w:hint="default" w:ascii="宋体"/>
                <w:snapToGrid w:val="0"/>
                <w:color w:val="auto"/>
                <w:kern w:val="24"/>
                <w:sz w:val="24"/>
                <w:szCs w:val="24"/>
              </w:rPr>
              <w:t>本项目地下水分区防渗措施见下表</w:t>
            </w:r>
            <w:r>
              <w:rPr>
                <w:rFonts w:hint="default" w:ascii="宋体"/>
                <w:snapToGrid w:val="0"/>
                <w:color w:val="auto"/>
                <w:kern w:val="0"/>
                <w:sz w:val="24"/>
                <w:szCs w:val="24"/>
              </w:rPr>
              <w:t>。</w:t>
            </w:r>
          </w:p>
          <w:p w14:paraId="2CED6D95">
            <w:pPr>
              <w:pStyle w:val="72"/>
              <w:adjustRightInd/>
              <w:spacing w:line="240" w:lineRule="auto"/>
              <w:rPr>
                <w:rFonts w:hint="default" w:ascii="Times New Roman" w:hAnsi="Times New Roman" w:eastAsia="宋体"/>
                <w:b/>
                <w:color w:val="auto"/>
                <w:spacing w:val="0"/>
                <w:sz w:val="24"/>
                <w:szCs w:val="24"/>
              </w:rPr>
            </w:pPr>
            <w:r>
              <w:rPr>
                <w:rFonts w:hint="default" w:ascii="宋体" w:hAnsi="Times New Roman" w:eastAsia="宋体"/>
                <w:b/>
                <w:color w:val="auto"/>
                <w:spacing w:val="0"/>
                <w:sz w:val="21"/>
                <w:szCs w:val="21"/>
              </w:rPr>
              <w:t>表4-</w:t>
            </w:r>
            <w:r>
              <w:rPr>
                <w:rFonts w:hint="eastAsia" w:ascii="宋体" w:hAnsi="Times New Roman" w:eastAsia="宋体"/>
                <w:b/>
                <w:color w:val="auto"/>
                <w:spacing w:val="0"/>
                <w:sz w:val="21"/>
                <w:szCs w:val="21"/>
                <w:lang w:val="en-US" w:eastAsia="zh-CN"/>
              </w:rPr>
              <w:t>16</w:t>
            </w:r>
            <w:r>
              <w:rPr>
                <w:rFonts w:hint="default" w:ascii="Times New Roman" w:hAnsi="Times New Roman" w:eastAsia="宋体"/>
                <w:b/>
                <w:color w:val="auto"/>
                <w:spacing w:val="0"/>
                <w:sz w:val="21"/>
                <w:szCs w:val="21"/>
              </w:rPr>
              <w:t xml:space="preserve">  </w:t>
            </w:r>
            <w:r>
              <w:rPr>
                <w:rFonts w:hint="default" w:ascii="宋体" w:hAnsi="Times New Roman" w:eastAsia="宋体"/>
                <w:b/>
                <w:color w:val="auto"/>
                <w:spacing w:val="0"/>
                <w:sz w:val="21"/>
                <w:szCs w:val="21"/>
              </w:rPr>
              <w:t>地下水分区防渗措施一览表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718"/>
              <w:gridCol w:w="1683"/>
              <w:gridCol w:w="5171"/>
            </w:tblGrid>
            <w:tr w14:paraId="15AC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8C67C7">
                  <w:pPr>
                    <w:widowControl/>
                    <w:ind w:left="-101" w:leftChars="-48" w:right="-118" w:rightChars="-56"/>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序号</w:t>
                  </w:r>
                </w:p>
              </w:tc>
              <w:tc>
                <w:tcPr>
                  <w:tcW w:w="9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F0639A">
                  <w:pPr>
                    <w:widowControl/>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构筑物名称</w:t>
                  </w:r>
                </w:p>
              </w:tc>
              <w:tc>
                <w:tcPr>
                  <w:tcW w:w="9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CA1801">
                  <w:pPr>
                    <w:widowControl/>
                    <w:ind w:left="-105" w:leftChars="-50" w:right="-38" w:rightChars="-18"/>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污染防控类别</w:t>
                  </w:r>
                </w:p>
              </w:tc>
              <w:tc>
                <w:tcPr>
                  <w:tcW w:w="28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E6DA78">
                  <w:pPr>
                    <w:widowControl/>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防渗技术要求</w:t>
                  </w:r>
                </w:p>
              </w:tc>
            </w:tr>
            <w:tr w14:paraId="7465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9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794A18">
                  <w:pPr>
                    <w:widowControl/>
                    <w:jc w:val="center"/>
                    <w:rPr>
                      <w:rFonts w:hint="eastAsia" w:ascii="Times New Roman" w:hAnsi="Times New Roman" w:eastAsia="宋体" w:cs="Times New Roman"/>
                      <w:snapToGrid w:val="0"/>
                      <w:color w:val="auto"/>
                      <w:kern w:val="0"/>
                      <w:sz w:val="21"/>
                      <w:szCs w:val="21"/>
                      <w:lang w:eastAsia="zh-CN"/>
                    </w:rPr>
                  </w:pPr>
                  <w:r>
                    <w:rPr>
                      <w:rFonts w:hint="eastAsia" w:cs="Times New Roman"/>
                      <w:snapToGrid w:val="0"/>
                      <w:color w:val="auto"/>
                      <w:kern w:val="0"/>
                      <w:sz w:val="21"/>
                      <w:szCs w:val="21"/>
                      <w:lang w:val="en-US" w:eastAsia="zh-CN"/>
                    </w:rPr>
                    <w:t>1</w:t>
                  </w:r>
                </w:p>
              </w:tc>
              <w:tc>
                <w:tcPr>
                  <w:tcW w:w="9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5FC815">
                  <w:pPr>
                    <w:widowControl/>
                    <w:jc w:val="center"/>
                    <w:rPr>
                      <w:rFonts w:hint="default"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污水处理站、一般固废暂存间、生产车间</w:t>
                  </w:r>
                </w:p>
              </w:tc>
              <w:tc>
                <w:tcPr>
                  <w:tcW w:w="9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539839">
                  <w:pPr>
                    <w:widowControl/>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一般防渗区</w:t>
                  </w:r>
                </w:p>
              </w:tc>
              <w:tc>
                <w:tcPr>
                  <w:tcW w:w="28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82C15E">
                  <w:pPr>
                    <w:widowControl/>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等效粘土防渗层Mb≥1.5m，K≤10</w:t>
                  </w:r>
                  <w:r>
                    <w:rPr>
                      <w:rFonts w:hint="default" w:ascii="Times New Roman" w:hAnsi="Times New Roman" w:cs="Times New Roman"/>
                      <w:snapToGrid w:val="0"/>
                      <w:color w:val="auto"/>
                      <w:kern w:val="0"/>
                      <w:sz w:val="21"/>
                      <w:szCs w:val="21"/>
                      <w:vertAlign w:val="superscript"/>
                    </w:rPr>
                    <w:t>-7</w:t>
                  </w:r>
                  <w:r>
                    <w:rPr>
                      <w:rFonts w:hint="default" w:ascii="Times New Roman" w:hAnsi="Times New Roman" w:cs="Times New Roman"/>
                      <w:snapToGrid w:val="0"/>
                      <w:color w:val="auto"/>
                      <w:kern w:val="0"/>
                      <w:sz w:val="21"/>
                      <w:szCs w:val="21"/>
                    </w:rPr>
                    <w:t>cm/s；或参照GB18598执行</w:t>
                  </w:r>
                </w:p>
              </w:tc>
            </w:tr>
            <w:tr w14:paraId="31ED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B2B4EA">
                  <w:pPr>
                    <w:widowControl/>
                    <w:jc w:val="center"/>
                    <w:rPr>
                      <w:rFonts w:hint="eastAsia" w:ascii="Times New Roman" w:hAnsi="Times New Roman" w:eastAsia="宋体" w:cs="Times New Roman"/>
                      <w:snapToGrid w:val="0"/>
                      <w:color w:val="auto"/>
                      <w:kern w:val="0"/>
                      <w:sz w:val="21"/>
                      <w:szCs w:val="21"/>
                      <w:lang w:eastAsia="zh-CN"/>
                    </w:rPr>
                  </w:pPr>
                  <w:r>
                    <w:rPr>
                      <w:rFonts w:hint="eastAsia" w:cs="Times New Roman"/>
                      <w:snapToGrid w:val="0"/>
                      <w:color w:val="auto"/>
                      <w:kern w:val="0"/>
                      <w:sz w:val="21"/>
                      <w:szCs w:val="21"/>
                      <w:lang w:val="en-US" w:eastAsia="zh-CN"/>
                    </w:rPr>
                    <w:t>2</w:t>
                  </w:r>
                </w:p>
              </w:tc>
              <w:tc>
                <w:tcPr>
                  <w:tcW w:w="9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D3ED52">
                  <w:pPr>
                    <w:widowControl/>
                    <w:jc w:val="center"/>
                    <w:rPr>
                      <w:rFonts w:hint="default" w:ascii="Times New Roman" w:hAnsi="Times New Roman" w:eastAsia="宋体" w:cs="Times New Roman"/>
                      <w:snapToGrid w:val="0"/>
                      <w:color w:val="auto"/>
                      <w:kern w:val="0"/>
                      <w:sz w:val="21"/>
                      <w:szCs w:val="21"/>
                      <w:lang w:eastAsia="zh-CN"/>
                    </w:rPr>
                  </w:pPr>
                  <w:r>
                    <w:rPr>
                      <w:rFonts w:hint="eastAsia" w:cs="Times New Roman"/>
                      <w:snapToGrid w:val="0"/>
                      <w:color w:val="auto"/>
                      <w:kern w:val="0"/>
                      <w:sz w:val="21"/>
                      <w:szCs w:val="21"/>
                      <w:lang w:val="en-US" w:eastAsia="zh-CN"/>
                    </w:rPr>
                    <w:t>其他区域</w:t>
                  </w:r>
                </w:p>
              </w:tc>
              <w:tc>
                <w:tcPr>
                  <w:tcW w:w="9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40A6BF">
                  <w:pPr>
                    <w:widowControl/>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简单防渗区</w:t>
                  </w:r>
                </w:p>
              </w:tc>
              <w:tc>
                <w:tcPr>
                  <w:tcW w:w="28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F9FDC7">
                  <w:pPr>
                    <w:widowControl/>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一般地面硬化</w:t>
                  </w:r>
                </w:p>
              </w:tc>
            </w:tr>
          </w:tbl>
          <w:p w14:paraId="0E47B9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auto"/>
                <w:spacing w:val="0"/>
                <w:kern w:val="0"/>
                <w:positio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rPr>
              <w:t>在采取以上分区防渗等措施后，可有效防止和避免本项目对地下水环境造成污染。</w:t>
            </w:r>
          </w:p>
          <w:p w14:paraId="6BE94EF2">
            <w:pPr>
              <w:numPr>
                <w:ilvl w:val="0"/>
                <w:numId w:val="5"/>
              </w:numPr>
              <w:adjustRightInd w:val="0"/>
              <w:snapToGrid w:val="0"/>
              <w:spacing w:line="360" w:lineRule="auto"/>
              <w:ind w:left="0" w:leftChars="0" w:firstLine="482" w:firstLineChars="200"/>
              <w:jc w:val="left"/>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环境风险</w:t>
            </w:r>
          </w:p>
          <w:p w14:paraId="4B644E17">
            <w:pPr>
              <w:topLinePunct/>
              <w:adjustRightInd w:val="0"/>
              <w:snapToGrid w:val="0"/>
              <w:spacing w:line="360" w:lineRule="auto"/>
              <w:ind w:firstLine="482" w:firstLineChars="200"/>
              <w:outlineLvl w:val="2"/>
              <w:rPr>
                <w:rFonts w:hint="eastAsia"/>
                <w:b/>
                <w:color w:val="auto"/>
                <w:sz w:val="24"/>
                <w:szCs w:val="24"/>
              </w:rPr>
            </w:pPr>
            <w:r>
              <w:rPr>
                <w:rFonts w:hint="default" w:ascii="宋体" w:eastAsia="宋体"/>
                <w:b/>
                <w:color w:val="auto"/>
                <w:sz w:val="24"/>
                <w:szCs w:val="24"/>
              </w:rPr>
              <w:t>（1）危险物质数量与临界量比值（Q）</w:t>
            </w:r>
          </w:p>
          <w:p w14:paraId="121ADD90">
            <w:pPr>
              <w:spacing w:line="360" w:lineRule="auto"/>
              <w:ind w:firstLine="482"/>
              <w:rPr>
                <w:rFonts w:hint="eastAsia"/>
                <w:color w:val="auto"/>
                <w:sz w:val="24"/>
                <w:szCs w:val="24"/>
              </w:rPr>
            </w:pPr>
            <w:r>
              <w:rPr>
                <w:rFonts w:hint="default" w:ascii="宋体" w:eastAsia="宋体"/>
                <w:color w:val="auto"/>
                <w:sz w:val="24"/>
                <w:szCs w:val="24"/>
              </w:rPr>
              <w:t>根据《建设项目环境风险评价技术导则》(HJ 169-2018)计算Q值，当只涉及一种物质时，计算该物质的总量与其临界量比值，即为 Q；</w:t>
            </w:r>
          </w:p>
          <w:p w14:paraId="395D3EE2">
            <w:pPr>
              <w:spacing w:line="360" w:lineRule="auto"/>
              <w:ind w:firstLine="482"/>
              <w:rPr>
                <w:rFonts w:hint="eastAsia"/>
                <w:color w:val="auto"/>
                <w:sz w:val="24"/>
                <w:szCs w:val="24"/>
              </w:rPr>
            </w:pPr>
            <w:r>
              <w:rPr>
                <w:rFonts w:hint="default" w:ascii="宋体" w:eastAsia="宋体"/>
                <w:color w:val="auto"/>
                <w:sz w:val="24"/>
                <w:szCs w:val="24"/>
              </w:rPr>
              <w:t>当存在多种危险物质时，则按下式计算物质总量与其临界量比值（Q）：</w:t>
            </w:r>
          </w:p>
          <w:p w14:paraId="31150A74">
            <w:pPr>
              <w:spacing w:line="360" w:lineRule="auto"/>
              <w:ind w:firstLine="1200" w:firstLineChars="500"/>
              <w:rPr>
                <w:rFonts w:hint="eastAsia"/>
                <w:color w:val="auto"/>
                <w:sz w:val="24"/>
                <w:szCs w:val="24"/>
              </w:rPr>
            </w:pPr>
            <w:r>
              <w:rPr>
                <w:rFonts w:hint="eastAsia"/>
                <w:color w:val="auto"/>
                <w:sz w:val="24"/>
                <w:szCs w:val="24"/>
              </w:rPr>
              <w:t>Q=q1/Q1+q2/Q2+…..</w:t>
            </w:r>
            <w:r>
              <w:rPr>
                <w:rFonts w:hint="default" w:ascii="宋体" w:eastAsia="宋体"/>
                <w:color w:val="auto"/>
                <w:sz w:val="24"/>
                <w:szCs w:val="24"/>
              </w:rPr>
              <w:t>，+qn/Qn</w:t>
            </w:r>
          </w:p>
          <w:p w14:paraId="6AA48D9B">
            <w:pPr>
              <w:spacing w:line="360" w:lineRule="auto"/>
              <w:ind w:firstLine="482"/>
              <w:rPr>
                <w:rFonts w:hint="eastAsia"/>
                <w:color w:val="auto"/>
                <w:sz w:val="24"/>
                <w:szCs w:val="24"/>
              </w:rPr>
            </w:pPr>
            <w:r>
              <w:rPr>
                <w:rFonts w:hint="default" w:ascii="宋体" w:eastAsia="宋体"/>
                <w:color w:val="auto"/>
                <w:sz w:val="24"/>
                <w:szCs w:val="24"/>
              </w:rPr>
              <w:t>式中：q1、q2……qn ——每种危险物质最大存在量，t；</w:t>
            </w:r>
          </w:p>
          <w:p w14:paraId="1AF89AD6">
            <w:pPr>
              <w:spacing w:line="360" w:lineRule="auto"/>
              <w:ind w:firstLine="482"/>
              <w:rPr>
                <w:rFonts w:hint="eastAsia"/>
                <w:color w:val="auto"/>
                <w:sz w:val="24"/>
                <w:szCs w:val="24"/>
              </w:rPr>
            </w:pPr>
            <w:r>
              <w:rPr>
                <w:rFonts w:hint="eastAsia"/>
                <w:color w:val="auto"/>
                <w:sz w:val="24"/>
                <w:szCs w:val="24"/>
              </w:rPr>
              <w:t xml:space="preserve">      Q1</w:t>
            </w:r>
            <w:r>
              <w:rPr>
                <w:rFonts w:hint="default" w:ascii="宋体" w:eastAsia="宋体"/>
                <w:color w:val="auto"/>
                <w:sz w:val="24"/>
                <w:szCs w:val="24"/>
              </w:rPr>
              <w:t>、Q2……Qn ——每种危险物质的临界量，t。</w:t>
            </w:r>
          </w:p>
          <w:p w14:paraId="610D3839">
            <w:pPr>
              <w:spacing w:line="360" w:lineRule="auto"/>
              <w:ind w:firstLine="480" w:firstLineChars="200"/>
              <w:rPr>
                <w:rFonts w:hint="eastAsia"/>
                <w:color w:val="auto"/>
                <w:sz w:val="24"/>
                <w:szCs w:val="24"/>
              </w:rPr>
            </w:pPr>
            <w:r>
              <w:rPr>
                <w:rFonts w:hint="default" w:ascii="宋体" w:eastAsia="宋体"/>
                <w:color w:val="auto"/>
                <w:sz w:val="24"/>
                <w:szCs w:val="24"/>
              </w:rPr>
              <w:t>当 Q≥1 时，将Q 值划分为：（1）1≤Q&lt;10；（2）10≤Q&lt;100；（3）Q≥100。</w:t>
            </w:r>
          </w:p>
          <w:p w14:paraId="0AE87BC0">
            <w:pPr>
              <w:spacing w:line="360" w:lineRule="auto"/>
              <w:ind w:firstLine="480" w:firstLineChars="200"/>
              <w:rPr>
                <w:rFonts w:hint="eastAsia"/>
                <w:b/>
                <w:color w:val="auto"/>
                <w:sz w:val="24"/>
                <w:szCs w:val="24"/>
              </w:rPr>
            </w:pPr>
            <w:r>
              <w:rPr>
                <w:rFonts w:hint="default" w:ascii="宋体" w:eastAsia="宋体"/>
                <w:color w:val="auto"/>
                <w:sz w:val="24"/>
                <w:szCs w:val="24"/>
              </w:rPr>
              <w:t>具体判定结果见下表。</w:t>
            </w:r>
          </w:p>
          <w:p w14:paraId="4FFC83F2">
            <w:pPr>
              <w:spacing w:line="360" w:lineRule="auto"/>
              <w:jc w:val="center"/>
              <w:rPr>
                <w:rFonts w:hint="eastAsia"/>
                <w:b/>
                <w:color w:val="auto"/>
                <w:sz w:val="21"/>
                <w:szCs w:val="21"/>
              </w:rPr>
            </w:pPr>
            <w:r>
              <w:rPr>
                <w:rFonts w:hint="default" w:ascii="宋体" w:eastAsia="宋体"/>
                <w:b/>
                <w:color w:val="auto"/>
                <w:sz w:val="21"/>
                <w:szCs w:val="21"/>
              </w:rPr>
              <w:t>表4-</w:t>
            </w:r>
            <w:r>
              <w:rPr>
                <w:rFonts w:hint="eastAsia"/>
                <w:b/>
                <w:color w:val="auto"/>
                <w:sz w:val="21"/>
                <w:szCs w:val="21"/>
              </w:rPr>
              <w:t>1</w:t>
            </w:r>
            <w:r>
              <w:rPr>
                <w:rFonts w:hint="default" w:ascii="宋体" w:eastAsia="宋体"/>
                <w:b/>
                <w:color w:val="auto"/>
                <w:sz w:val="21"/>
                <w:szCs w:val="21"/>
              </w:rPr>
              <w:t>7</w:t>
            </w:r>
            <w:r>
              <w:rPr>
                <w:rFonts w:hint="eastAsia"/>
                <w:b/>
                <w:color w:val="auto"/>
                <w:sz w:val="21"/>
                <w:szCs w:val="21"/>
              </w:rPr>
              <w:t xml:space="preserve">  </w:t>
            </w:r>
            <w:r>
              <w:rPr>
                <w:rFonts w:hint="default" w:ascii="宋体" w:eastAsia="宋体"/>
                <w:b/>
                <w:color w:val="auto"/>
                <w:sz w:val="21"/>
                <w:szCs w:val="21"/>
              </w:rPr>
              <w:t>建设项目Q值确定表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4"/>
              <w:gridCol w:w="721"/>
              <w:gridCol w:w="1331"/>
              <w:gridCol w:w="1941"/>
              <w:gridCol w:w="1345"/>
              <w:gridCol w:w="1316"/>
            </w:tblGrid>
            <w:tr w14:paraId="02DA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48CEDFD">
                  <w:pPr>
                    <w:pStyle w:val="70"/>
                    <w:snapToGrid w:val="0"/>
                    <w:rPr>
                      <w:rFonts w:hint="default" w:ascii="Times New Roman" w:hAnsi="Times New Roman" w:eastAsia="Times New Roman" w:cs="Times New Roman"/>
                      <w:b/>
                      <w:color w:val="auto"/>
                      <w:spacing w:val="-2"/>
                      <w:sz w:val="21"/>
                      <w:szCs w:val="21"/>
                      <w:lang w:val="zh-CN"/>
                    </w:rPr>
                  </w:pPr>
                  <w:r>
                    <w:rPr>
                      <w:rFonts w:hint="default" w:ascii="Times New Roman" w:hAnsi="Times New Roman" w:cs="Times New Roman"/>
                      <w:b/>
                      <w:color w:val="auto"/>
                      <w:spacing w:val="-2"/>
                      <w:sz w:val="21"/>
                      <w:szCs w:val="21"/>
                      <w:lang w:val="zh-CN"/>
                    </w:rPr>
                    <w:t>名称</w:t>
                  </w:r>
                </w:p>
              </w:tc>
              <w:tc>
                <w:tcPr>
                  <w:tcW w:w="39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C331F7A">
                  <w:pPr>
                    <w:pStyle w:val="70"/>
                    <w:snapToGrid w:val="0"/>
                    <w:rPr>
                      <w:rFonts w:hint="default" w:ascii="Times New Roman" w:hAnsi="Times New Roman" w:eastAsia="Times New Roman" w:cs="Times New Roman"/>
                      <w:b/>
                      <w:color w:val="auto"/>
                      <w:spacing w:val="-2"/>
                      <w:sz w:val="21"/>
                      <w:szCs w:val="21"/>
                      <w:lang w:val="zh-CN"/>
                    </w:rPr>
                  </w:pPr>
                  <w:r>
                    <w:rPr>
                      <w:rFonts w:hint="default" w:ascii="Times New Roman" w:hAnsi="Times New Roman" w:cs="Times New Roman"/>
                      <w:b/>
                      <w:color w:val="auto"/>
                      <w:spacing w:val="-2"/>
                      <w:sz w:val="21"/>
                      <w:szCs w:val="21"/>
                      <w:lang w:val="zh-CN"/>
                    </w:rPr>
                    <w:t>状态</w:t>
                  </w:r>
                </w:p>
              </w:tc>
              <w:tc>
                <w:tcPr>
                  <w:tcW w:w="73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F244518">
                  <w:pPr>
                    <w:pStyle w:val="70"/>
                    <w:snapToGrid w:val="0"/>
                    <w:rPr>
                      <w:rFonts w:hint="default" w:ascii="Times New Roman" w:hAnsi="Times New Roman" w:eastAsia="宋体" w:cs="Times New Roman"/>
                      <w:b/>
                      <w:color w:val="auto"/>
                      <w:spacing w:val="-2"/>
                      <w:sz w:val="21"/>
                      <w:szCs w:val="21"/>
                      <w:lang w:val="en-US" w:eastAsia="zh-CN"/>
                    </w:rPr>
                  </w:pPr>
                  <w:r>
                    <w:rPr>
                      <w:rFonts w:hint="default" w:ascii="Times New Roman" w:hAnsi="Times New Roman" w:eastAsia="宋体" w:cs="Times New Roman"/>
                      <w:b/>
                      <w:color w:val="auto"/>
                      <w:spacing w:val="-2"/>
                      <w:sz w:val="21"/>
                      <w:szCs w:val="21"/>
                      <w:lang w:val="en-US" w:eastAsia="zh-CN"/>
                    </w:rPr>
                    <w:t>危险性</w:t>
                  </w:r>
                </w:p>
                <w:p w14:paraId="3C052CDC">
                  <w:pPr>
                    <w:pStyle w:val="70"/>
                    <w:snapToGrid w:val="0"/>
                    <w:rPr>
                      <w:rFonts w:hint="default" w:ascii="Times New Roman" w:hAnsi="Times New Roman" w:eastAsia="宋体" w:cs="Times New Roman"/>
                      <w:b/>
                      <w:color w:val="auto"/>
                      <w:spacing w:val="-2"/>
                      <w:sz w:val="21"/>
                      <w:szCs w:val="21"/>
                      <w:lang w:val="en-US" w:eastAsia="zh-CN"/>
                    </w:rPr>
                  </w:pPr>
                  <w:r>
                    <w:rPr>
                      <w:rFonts w:hint="default" w:ascii="Times New Roman" w:hAnsi="Times New Roman" w:eastAsia="宋体" w:cs="Times New Roman"/>
                      <w:b/>
                      <w:color w:val="auto"/>
                      <w:spacing w:val="-2"/>
                      <w:sz w:val="21"/>
                      <w:szCs w:val="21"/>
                      <w:lang w:val="en-US" w:eastAsia="zh-CN"/>
                    </w:rPr>
                    <w:t>类别</w:t>
                  </w:r>
                </w:p>
              </w:tc>
              <w:tc>
                <w:tcPr>
                  <w:tcW w:w="180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ABC46E1">
                  <w:pPr>
                    <w:pStyle w:val="70"/>
                    <w:snapToGrid w:val="0"/>
                    <w:rPr>
                      <w:rFonts w:hint="default" w:ascii="Times New Roman" w:hAnsi="Times New Roman" w:eastAsia="Times New Roman" w:cs="Times New Roman"/>
                      <w:b/>
                      <w:color w:val="auto"/>
                      <w:spacing w:val="-2"/>
                      <w:sz w:val="21"/>
                      <w:szCs w:val="21"/>
                      <w:lang w:val="zh-CN"/>
                    </w:rPr>
                  </w:pPr>
                  <w:r>
                    <w:rPr>
                      <w:rFonts w:hint="default" w:ascii="Times New Roman" w:hAnsi="Times New Roman" w:cs="Times New Roman"/>
                      <w:b/>
                      <w:color w:val="auto"/>
                      <w:spacing w:val="-2"/>
                      <w:sz w:val="21"/>
                      <w:szCs w:val="21"/>
                      <w:lang w:val="zh-CN"/>
                    </w:rPr>
                    <w:t>贮存物质量（t）</w:t>
                  </w:r>
                </w:p>
              </w:tc>
              <w:tc>
                <w:tcPr>
                  <w:tcW w:w="72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7ED9BEC">
                  <w:pPr>
                    <w:pStyle w:val="70"/>
                    <w:snapToGrid w:val="0"/>
                    <w:rPr>
                      <w:rFonts w:hint="default" w:ascii="Times New Roman" w:hAnsi="Times New Roman" w:eastAsia="Times New Roman" w:cs="Times New Roman"/>
                      <w:b/>
                      <w:color w:val="auto"/>
                      <w:spacing w:val="-2"/>
                      <w:sz w:val="21"/>
                      <w:szCs w:val="21"/>
                      <w:lang w:val="zh-CN"/>
                    </w:rPr>
                  </w:pPr>
                  <w:r>
                    <w:rPr>
                      <w:rFonts w:hint="default" w:ascii="Times New Roman" w:hAnsi="Times New Roman" w:eastAsia="Times New Roman" w:cs="Times New Roman"/>
                      <w:b/>
                      <w:color w:val="auto"/>
                      <w:spacing w:val="-2"/>
                      <w:sz w:val="21"/>
                      <w:szCs w:val="21"/>
                      <w:lang w:val="zh-CN"/>
                    </w:rPr>
                    <w:t>q/Q</w:t>
                  </w:r>
                </w:p>
              </w:tc>
            </w:tr>
            <w:tr w14:paraId="5C21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B36FC59">
                  <w:pPr>
                    <w:pStyle w:val="70"/>
                    <w:snapToGrid w:val="0"/>
                    <w:rPr>
                      <w:rFonts w:hint="default" w:ascii="Times New Roman" w:hAnsi="Times New Roman" w:eastAsia="Times New Roman" w:cs="Times New Roman"/>
                      <w:b/>
                      <w:color w:val="auto"/>
                      <w:spacing w:val="-2"/>
                      <w:sz w:val="21"/>
                      <w:szCs w:val="21"/>
                      <w:lang w:val="zh-CN"/>
                    </w:rPr>
                  </w:pPr>
                </w:p>
              </w:tc>
              <w:tc>
                <w:tcPr>
                  <w:tcW w:w="39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FA96428">
                  <w:pPr>
                    <w:pStyle w:val="70"/>
                    <w:snapToGrid w:val="0"/>
                    <w:rPr>
                      <w:rFonts w:hint="default" w:ascii="Times New Roman" w:hAnsi="Times New Roman" w:eastAsia="Times New Roman" w:cs="Times New Roman"/>
                      <w:b/>
                      <w:color w:val="auto"/>
                      <w:spacing w:val="-2"/>
                      <w:sz w:val="21"/>
                      <w:szCs w:val="21"/>
                      <w:lang w:val="zh-CN"/>
                    </w:rPr>
                  </w:pPr>
                </w:p>
              </w:tc>
              <w:tc>
                <w:tcPr>
                  <w:tcW w:w="73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FC549C0">
                  <w:pPr>
                    <w:pStyle w:val="70"/>
                    <w:snapToGrid w:val="0"/>
                    <w:rPr>
                      <w:rFonts w:hint="default" w:ascii="Times New Roman" w:hAnsi="Times New Roman" w:eastAsia="Times New Roman" w:cs="Times New Roman"/>
                      <w:b/>
                      <w:color w:val="auto"/>
                      <w:spacing w:val="-2"/>
                      <w:sz w:val="21"/>
                      <w:szCs w:val="21"/>
                      <w:lang w:val="zh-CN"/>
                    </w:rPr>
                  </w:pPr>
                </w:p>
              </w:tc>
              <w:tc>
                <w:tcPr>
                  <w:tcW w:w="10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6EF369">
                  <w:pPr>
                    <w:pStyle w:val="70"/>
                    <w:snapToGrid w:val="0"/>
                    <w:rPr>
                      <w:rFonts w:hint="default" w:ascii="Times New Roman" w:hAnsi="Times New Roman" w:eastAsia="Times New Roman" w:cs="Times New Roman"/>
                      <w:b/>
                      <w:color w:val="auto"/>
                      <w:spacing w:val="-2"/>
                      <w:sz w:val="21"/>
                      <w:szCs w:val="21"/>
                      <w:lang w:val="zh-CN"/>
                    </w:rPr>
                  </w:pPr>
                  <w:r>
                    <w:rPr>
                      <w:rFonts w:hint="default" w:ascii="Times New Roman" w:hAnsi="Times New Roman" w:cs="Times New Roman"/>
                      <w:b/>
                      <w:color w:val="auto"/>
                      <w:spacing w:val="-2"/>
                      <w:sz w:val="21"/>
                      <w:szCs w:val="21"/>
                      <w:lang w:val="zh-CN"/>
                    </w:rPr>
                    <w:t>最大储存量</w:t>
                  </w:r>
                </w:p>
              </w:tc>
              <w:tc>
                <w:tcPr>
                  <w:tcW w:w="7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DE481E">
                  <w:pPr>
                    <w:pStyle w:val="70"/>
                    <w:snapToGrid w:val="0"/>
                    <w:rPr>
                      <w:rFonts w:hint="default" w:ascii="Times New Roman" w:hAnsi="Times New Roman" w:eastAsia="Times New Roman" w:cs="Times New Roman"/>
                      <w:b/>
                      <w:color w:val="auto"/>
                      <w:spacing w:val="-2"/>
                      <w:sz w:val="21"/>
                      <w:szCs w:val="21"/>
                      <w:lang w:val="zh-CN"/>
                    </w:rPr>
                  </w:pPr>
                  <w:r>
                    <w:rPr>
                      <w:rFonts w:hint="default" w:ascii="Times New Roman" w:hAnsi="Times New Roman" w:cs="Times New Roman"/>
                      <w:b/>
                      <w:color w:val="auto"/>
                      <w:spacing w:val="-2"/>
                      <w:sz w:val="21"/>
                      <w:szCs w:val="21"/>
                      <w:lang w:val="zh-CN"/>
                    </w:rPr>
                    <w:t>临界量</w:t>
                  </w:r>
                </w:p>
              </w:tc>
              <w:tc>
                <w:tcPr>
                  <w:tcW w:w="72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E4849B2">
                  <w:pPr>
                    <w:pStyle w:val="70"/>
                    <w:snapToGrid w:val="0"/>
                    <w:rPr>
                      <w:rFonts w:hint="default" w:ascii="Times New Roman" w:hAnsi="Times New Roman" w:eastAsia="Times New Roman" w:cs="Times New Roman"/>
                      <w:b/>
                      <w:color w:val="auto"/>
                      <w:spacing w:val="-2"/>
                      <w:sz w:val="21"/>
                      <w:szCs w:val="21"/>
                      <w:lang w:val="zh-CN"/>
                    </w:rPr>
                  </w:pPr>
                </w:p>
              </w:tc>
            </w:tr>
            <w:tr w14:paraId="50CE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3636AE">
                  <w:pPr>
                    <w:pStyle w:val="70"/>
                    <w:snapToGrid w:val="0"/>
                    <w:rPr>
                      <w:rFonts w:hint="default" w:ascii="Times New Roman" w:hAnsi="Times New Roman" w:eastAsia="宋体"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大豆卵磷脂</w:t>
                  </w:r>
                </w:p>
              </w:tc>
              <w:tc>
                <w:tcPr>
                  <w:tcW w:w="39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3D9A34">
                  <w:pPr>
                    <w:pStyle w:val="70"/>
                    <w:snapToGrid w:val="0"/>
                    <w:spacing w:beforeLines="0" w:afterLines="0"/>
                    <w:rPr>
                      <w:rFonts w:hint="default" w:ascii="Times New Roman" w:hAnsi="Times New Roman" w:cs="Times New Roman"/>
                      <w:color w:val="auto"/>
                      <w:spacing w:val="-2"/>
                      <w:sz w:val="21"/>
                      <w:szCs w:val="21"/>
                      <w:lang w:val="zh-CN"/>
                    </w:rPr>
                  </w:pPr>
                  <w:r>
                    <w:rPr>
                      <w:rFonts w:hint="default" w:ascii="Times New Roman" w:hAnsi="Times New Roman" w:cs="Times New Roman"/>
                      <w:color w:val="auto"/>
                      <w:spacing w:val="-2"/>
                      <w:sz w:val="21"/>
                      <w:szCs w:val="20"/>
                      <w:lang w:val="zh-CN"/>
                    </w:rPr>
                    <w:t>液体</w:t>
                  </w:r>
                </w:p>
              </w:tc>
              <w:tc>
                <w:tcPr>
                  <w:tcW w:w="73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D27BE6">
                  <w:pPr>
                    <w:pStyle w:val="70"/>
                    <w:snapToGrid w:val="0"/>
                    <w:spacing w:beforeLines="0" w:afterLines="0"/>
                    <w:rPr>
                      <w:rFonts w:hint="default" w:ascii="Times New Roman" w:hAnsi="Times New Roman" w:cs="Times New Roman"/>
                      <w:color w:val="auto"/>
                      <w:sz w:val="24"/>
                      <w:szCs w:val="20"/>
                    </w:rPr>
                  </w:pPr>
                  <w:r>
                    <w:rPr>
                      <w:rFonts w:hint="default" w:ascii="Times New Roman" w:hAnsi="Times New Roman" w:cs="Times New Roman"/>
                      <w:color w:val="auto"/>
                      <w:spacing w:val="-2"/>
                      <w:sz w:val="21"/>
                      <w:szCs w:val="20"/>
                    </w:rPr>
                    <w:t>可燃</w:t>
                  </w:r>
                </w:p>
              </w:tc>
              <w:tc>
                <w:tcPr>
                  <w:tcW w:w="10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C83A0B">
                  <w:pPr>
                    <w:pStyle w:val="7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1</w:t>
                  </w:r>
                </w:p>
              </w:tc>
              <w:tc>
                <w:tcPr>
                  <w:tcW w:w="7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F3EBB8">
                  <w:pPr>
                    <w:pStyle w:val="70"/>
                    <w:snapToGrid w:val="0"/>
                    <w:rPr>
                      <w:rFonts w:hint="default" w:ascii="Times New Roman" w:hAnsi="Times New Roman" w:eastAsia="宋体"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2500</w:t>
                  </w:r>
                </w:p>
              </w:tc>
              <w:tc>
                <w:tcPr>
                  <w:tcW w:w="7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196569">
                  <w:pPr>
                    <w:pStyle w:val="70"/>
                    <w:snapToGrid w:val="0"/>
                    <w:rPr>
                      <w:rFonts w:hint="default"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0.00004</w:t>
                  </w:r>
                </w:p>
              </w:tc>
            </w:tr>
            <w:tr w14:paraId="43CE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0DAF23">
                  <w:pPr>
                    <w:pStyle w:val="70"/>
                    <w:snapToGrid w:val="0"/>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rPr>
                    <w:t>天然气</w:t>
                  </w:r>
                </w:p>
              </w:tc>
              <w:tc>
                <w:tcPr>
                  <w:tcW w:w="39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DAAF4B">
                  <w:pPr>
                    <w:pStyle w:val="70"/>
                    <w:snapToGrid w:val="0"/>
                    <w:rPr>
                      <w:rFonts w:hint="default" w:ascii="Times New Roman" w:hAnsi="Times New Roman" w:cs="Times New Roman"/>
                      <w:color w:val="auto"/>
                      <w:spacing w:val="-2"/>
                      <w:sz w:val="21"/>
                      <w:szCs w:val="20"/>
                      <w:lang w:val="zh-CN"/>
                    </w:rPr>
                  </w:pPr>
                  <w:r>
                    <w:rPr>
                      <w:rFonts w:hint="default" w:ascii="Times New Roman" w:hAnsi="Times New Roman" w:cs="Times New Roman"/>
                      <w:color w:val="auto"/>
                      <w:spacing w:val="-2"/>
                      <w:sz w:val="21"/>
                      <w:szCs w:val="21"/>
                    </w:rPr>
                    <w:t>气体</w:t>
                  </w:r>
                </w:p>
              </w:tc>
              <w:tc>
                <w:tcPr>
                  <w:tcW w:w="73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B46202">
                  <w:pPr>
                    <w:pStyle w:val="70"/>
                    <w:snapToGrid w:val="0"/>
                    <w:rPr>
                      <w:rFonts w:hint="default" w:ascii="Times New Roman" w:hAnsi="Times New Roman" w:cs="Times New Roman"/>
                      <w:color w:val="auto"/>
                      <w:spacing w:val="-2"/>
                      <w:sz w:val="21"/>
                      <w:szCs w:val="20"/>
                    </w:rPr>
                  </w:pPr>
                  <w:r>
                    <w:rPr>
                      <w:rFonts w:hint="default" w:ascii="Times New Roman" w:hAnsi="Times New Roman" w:cs="Times New Roman"/>
                      <w:color w:val="auto"/>
                      <w:spacing w:val="-2"/>
                      <w:sz w:val="21"/>
                      <w:szCs w:val="21"/>
                    </w:rPr>
                    <w:t>易燃</w:t>
                  </w:r>
                </w:p>
              </w:tc>
              <w:tc>
                <w:tcPr>
                  <w:tcW w:w="10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F36991">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lang w:bidi="ar"/>
                    </w:rPr>
                    <w:t>0.00225</w:t>
                  </w:r>
                </w:p>
              </w:tc>
              <w:tc>
                <w:tcPr>
                  <w:tcW w:w="739" w:type="pct"/>
                  <w:tcBorders>
                    <w:top w:val="single" w:color="auto" w:sz="4" w:space="0"/>
                    <w:left w:val="single" w:color="auto" w:sz="4" w:space="0"/>
                    <w:bottom w:val="single" w:color="auto" w:sz="4" w:space="0"/>
                    <w:right w:val="single" w:color="auto" w:sz="4" w:space="0"/>
                    <w:tl2br w:val="nil"/>
                    <w:tr2bl w:val="nil"/>
                  </w:tcBorders>
                  <w:noWrap w:val="0"/>
                  <w:vAlign w:val="top"/>
                </w:tcPr>
                <w:p w14:paraId="7095ABB4">
                  <w:pPr>
                    <w:widowControl/>
                    <w:jc w:val="center"/>
                    <w:textAlignment w:val="center"/>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kern w:val="0"/>
                      <w:sz w:val="21"/>
                      <w:szCs w:val="21"/>
                      <w:lang w:bidi="ar"/>
                    </w:rPr>
                    <w:t>10</w:t>
                  </w:r>
                </w:p>
              </w:tc>
              <w:tc>
                <w:tcPr>
                  <w:tcW w:w="7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BE7B2B">
                  <w:pPr>
                    <w:spacing w:line="260" w:lineRule="exact"/>
                    <w:jc w:val="center"/>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kern w:val="0"/>
                      <w:sz w:val="21"/>
                      <w:szCs w:val="21"/>
                    </w:rPr>
                    <w:t>0.000225</w:t>
                  </w:r>
                </w:p>
              </w:tc>
            </w:tr>
            <w:tr w14:paraId="1B89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F7147C">
                  <w:pPr>
                    <w:pStyle w:val="70"/>
                    <w:snapToGrid w:val="0"/>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大豆油</w:t>
                  </w:r>
                </w:p>
              </w:tc>
              <w:tc>
                <w:tcPr>
                  <w:tcW w:w="39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D25869">
                  <w:pPr>
                    <w:pStyle w:val="70"/>
                    <w:snapToGrid w:val="0"/>
                    <w:spacing w:beforeLines="0" w:afterLines="0"/>
                    <w:rPr>
                      <w:rFonts w:hint="default" w:ascii="Times New Roman" w:hAnsi="Times New Roman" w:cs="Times New Roman"/>
                      <w:color w:val="auto"/>
                      <w:spacing w:val="-2"/>
                      <w:sz w:val="21"/>
                      <w:szCs w:val="20"/>
                      <w:lang w:val="zh-CN"/>
                    </w:rPr>
                  </w:pPr>
                  <w:r>
                    <w:rPr>
                      <w:rFonts w:hint="default" w:ascii="Times New Roman" w:hAnsi="Times New Roman" w:cs="Times New Roman"/>
                      <w:color w:val="auto"/>
                      <w:spacing w:val="-2"/>
                      <w:sz w:val="21"/>
                      <w:szCs w:val="20"/>
                      <w:lang w:val="zh-CN"/>
                    </w:rPr>
                    <w:t>液体</w:t>
                  </w:r>
                </w:p>
              </w:tc>
              <w:tc>
                <w:tcPr>
                  <w:tcW w:w="73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D301EA">
                  <w:pPr>
                    <w:pStyle w:val="70"/>
                    <w:snapToGrid w:val="0"/>
                    <w:spacing w:beforeLines="0" w:afterLines="0"/>
                    <w:rPr>
                      <w:rFonts w:hint="default" w:ascii="Times New Roman" w:hAnsi="Times New Roman" w:cs="Times New Roman"/>
                      <w:color w:val="auto"/>
                      <w:spacing w:val="-2"/>
                      <w:sz w:val="21"/>
                      <w:szCs w:val="20"/>
                    </w:rPr>
                  </w:pPr>
                  <w:r>
                    <w:rPr>
                      <w:rFonts w:hint="default" w:ascii="Times New Roman" w:hAnsi="Times New Roman" w:cs="Times New Roman"/>
                      <w:color w:val="auto"/>
                      <w:spacing w:val="-2"/>
                      <w:sz w:val="21"/>
                      <w:szCs w:val="20"/>
                    </w:rPr>
                    <w:t>可燃</w:t>
                  </w:r>
                </w:p>
              </w:tc>
              <w:tc>
                <w:tcPr>
                  <w:tcW w:w="10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F03DEB">
                  <w:pPr>
                    <w:pStyle w:val="7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044390">
                  <w:pPr>
                    <w:pStyle w:val="70"/>
                    <w:snapToGrid w:val="0"/>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2500</w:t>
                  </w:r>
                </w:p>
              </w:tc>
              <w:tc>
                <w:tcPr>
                  <w:tcW w:w="7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533CB0">
                  <w:pPr>
                    <w:pStyle w:val="70"/>
                    <w:snapToGrid w:val="0"/>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0.0004</w:t>
                  </w:r>
                </w:p>
              </w:tc>
            </w:tr>
            <w:tr w14:paraId="4FA3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CD95A1">
                  <w:pPr>
                    <w:pStyle w:val="70"/>
                    <w:snapToGrid w:val="0"/>
                    <w:rPr>
                      <w:rFonts w:hint="default" w:ascii="Times New Roman" w:hAnsi="Times New Roman" w:eastAsia="Times New Roman" w:cs="Times New Roman"/>
                      <w:color w:val="auto"/>
                      <w:spacing w:val="-2"/>
                      <w:sz w:val="21"/>
                      <w:szCs w:val="21"/>
                    </w:rPr>
                  </w:pPr>
                  <w:r>
                    <w:rPr>
                      <w:rFonts w:hint="default" w:ascii="Times New Roman" w:hAnsi="Times New Roman" w:cs="Times New Roman"/>
                      <w:color w:val="auto"/>
                      <w:spacing w:val="-2"/>
                      <w:sz w:val="21"/>
                      <w:szCs w:val="21"/>
                      <w:lang w:val="zh-CN"/>
                    </w:rPr>
                    <w:t>合计</w:t>
                  </w:r>
                </w:p>
              </w:tc>
              <w:tc>
                <w:tcPr>
                  <w:tcW w:w="396" w:type="pct"/>
                  <w:tcBorders>
                    <w:top w:val="single" w:color="auto" w:sz="4" w:space="0"/>
                    <w:left w:val="single" w:color="auto" w:sz="4" w:space="0"/>
                    <w:bottom w:val="single" w:color="auto" w:sz="4" w:space="0"/>
                    <w:right w:val="single" w:color="auto" w:sz="4" w:space="0"/>
                    <w:tl2br w:val="nil"/>
                    <w:tr2bl w:val="nil"/>
                  </w:tcBorders>
                  <w:noWrap w:val="0"/>
                  <w:vAlign w:val="top"/>
                </w:tcPr>
                <w:p w14:paraId="50100E9F">
                  <w:pPr>
                    <w:pStyle w:val="70"/>
                    <w:snapToGrid w:val="0"/>
                    <w:rPr>
                      <w:rFonts w:hint="default" w:ascii="Times New Roman" w:hAnsi="Times New Roman" w:eastAsia="Times New Roman" w:cs="Times New Roman"/>
                      <w:color w:val="auto"/>
                      <w:spacing w:val="-2"/>
                      <w:sz w:val="21"/>
                      <w:szCs w:val="21"/>
                    </w:rPr>
                  </w:pPr>
                  <w:r>
                    <w:rPr>
                      <w:rFonts w:hint="default" w:ascii="Times New Roman" w:hAnsi="Times New Roman" w:eastAsia="Times New Roman" w:cs="Times New Roman"/>
                      <w:color w:val="auto"/>
                      <w:spacing w:val="-2"/>
                      <w:sz w:val="21"/>
                      <w:szCs w:val="21"/>
                      <w:lang w:val="zh-CN"/>
                    </w:rPr>
                    <w:t>/</w:t>
                  </w:r>
                </w:p>
              </w:tc>
              <w:tc>
                <w:tcPr>
                  <w:tcW w:w="731" w:type="pct"/>
                  <w:tcBorders>
                    <w:top w:val="single" w:color="auto" w:sz="4" w:space="0"/>
                    <w:left w:val="single" w:color="auto" w:sz="4" w:space="0"/>
                    <w:bottom w:val="single" w:color="auto" w:sz="4" w:space="0"/>
                    <w:right w:val="single" w:color="auto" w:sz="4" w:space="0"/>
                    <w:tl2br w:val="nil"/>
                    <w:tr2bl w:val="nil"/>
                  </w:tcBorders>
                  <w:noWrap w:val="0"/>
                  <w:vAlign w:val="top"/>
                </w:tcPr>
                <w:p w14:paraId="760F15B3">
                  <w:pPr>
                    <w:pStyle w:val="70"/>
                    <w:snapToGrid w:val="0"/>
                    <w:rPr>
                      <w:rFonts w:hint="default" w:ascii="Times New Roman" w:hAnsi="Times New Roman" w:eastAsia="Times New Roman" w:cs="Times New Roman"/>
                      <w:color w:val="auto"/>
                      <w:spacing w:val="-2"/>
                      <w:sz w:val="21"/>
                      <w:szCs w:val="21"/>
                      <w:lang w:val="zh-CN"/>
                    </w:rPr>
                  </w:pPr>
                  <w:r>
                    <w:rPr>
                      <w:rFonts w:hint="default" w:ascii="Times New Roman" w:hAnsi="Times New Roman" w:eastAsia="Times New Roman" w:cs="Times New Roman"/>
                      <w:color w:val="auto"/>
                      <w:spacing w:val="-2"/>
                      <w:sz w:val="21"/>
                      <w:szCs w:val="21"/>
                      <w:lang w:val="zh-CN"/>
                    </w:rPr>
                    <w:t>/</w:t>
                  </w:r>
                </w:p>
              </w:tc>
              <w:tc>
                <w:tcPr>
                  <w:tcW w:w="1066" w:type="pct"/>
                  <w:tcBorders>
                    <w:top w:val="single" w:color="auto" w:sz="4" w:space="0"/>
                    <w:left w:val="single" w:color="auto" w:sz="4" w:space="0"/>
                    <w:bottom w:val="single" w:color="auto" w:sz="4" w:space="0"/>
                    <w:right w:val="single" w:color="auto" w:sz="4" w:space="0"/>
                    <w:tl2br w:val="nil"/>
                    <w:tr2bl w:val="nil"/>
                  </w:tcBorders>
                  <w:noWrap w:val="0"/>
                  <w:vAlign w:val="top"/>
                </w:tcPr>
                <w:p w14:paraId="5FAB747E">
                  <w:pPr>
                    <w:pStyle w:val="70"/>
                    <w:snapToGrid w:val="0"/>
                    <w:rPr>
                      <w:rFonts w:hint="default" w:ascii="Times New Roman" w:hAnsi="Times New Roman" w:eastAsia="Times New Roman" w:cs="Times New Roman"/>
                      <w:color w:val="auto"/>
                      <w:spacing w:val="-2"/>
                      <w:sz w:val="21"/>
                      <w:szCs w:val="21"/>
                    </w:rPr>
                  </w:pPr>
                  <w:r>
                    <w:rPr>
                      <w:rFonts w:hint="default" w:ascii="Times New Roman" w:hAnsi="Times New Roman" w:eastAsia="Times New Roman" w:cs="Times New Roman"/>
                      <w:color w:val="auto"/>
                      <w:spacing w:val="-2"/>
                      <w:sz w:val="21"/>
                      <w:szCs w:val="21"/>
                      <w:lang w:val="zh-CN"/>
                    </w:rPr>
                    <w:t>/</w:t>
                  </w:r>
                </w:p>
              </w:tc>
              <w:tc>
                <w:tcPr>
                  <w:tcW w:w="739" w:type="pct"/>
                  <w:tcBorders>
                    <w:top w:val="single" w:color="auto" w:sz="4" w:space="0"/>
                    <w:left w:val="single" w:color="auto" w:sz="4" w:space="0"/>
                    <w:bottom w:val="single" w:color="auto" w:sz="4" w:space="0"/>
                    <w:right w:val="single" w:color="auto" w:sz="4" w:space="0"/>
                    <w:tl2br w:val="nil"/>
                    <w:tr2bl w:val="nil"/>
                  </w:tcBorders>
                  <w:noWrap w:val="0"/>
                  <w:vAlign w:val="top"/>
                </w:tcPr>
                <w:p w14:paraId="4C7020CF">
                  <w:pPr>
                    <w:pStyle w:val="70"/>
                    <w:snapToGrid w:val="0"/>
                    <w:rPr>
                      <w:rFonts w:hint="default" w:ascii="Times New Roman" w:hAnsi="Times New Roman" w:eastAsia="Times New Roman" w:cs="Times New Roman"/>
                      <w:color w:val="auto"/>
                      <w:spacing w:val="-2"/>
                      <w:sz w:val="21"/>
                      <w:szCs w:val="21"/>
                    </w:rPr>
                  </w:pPr>
                  <w:r>
                    <w:rPr>
                      <w:rFonts w:hint="default" w:ascii="Times New Roman" w:hAnsi="Times New Roman" w:eastAsia="Times New Roman" w:cs="Times New Roman"/>
                      <w:color w:val="auto"/>
                      <w:spacing w:val="-2"/>
                      <w:sz w:val="21"/>
                      <w:szCs w:val="21"/>
                      <w:lang w:val="zh-CN"/>
                    </w:rPr>
                    <w:t>/</w:t>
                  </w:r>
                </w:p>
              </w:tc>
              <w:tc>
                <w:tcPr>
                  <w:tcW w:w="7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8C8331">
                  <w:pPr>
                    <w:pStyle w:val="70"/>
                    <w:snapToGrid w:val="0"/>
                    <w:rPr>
                      <w:rFonts w:hint="default"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0.000665</w:t>
                  </w:r>
                </w:p>
              </w:tc>
            </w:tr>
          </w:tbl>
          <w:p w14:paraId="0C77BBD7">
            <w:pPr>
              <w:topLinePunct/>
              <w:adjustRightInd w:val="0"/>
              <w:snapToGrid w:val="0"/>
              <w:spacing w:line="360" w:lineRule="auto"/>
              <w:ind w:firstLine="420" w:firstLineChars="200"/>
              <w:outlineLvl w:val="2"/>
              <w:rPr>
                <w:rFonts w:hint="default" w:ascii="宋体" w:eastAsia="宋体"/>
                <w:color w:val="auto"/>
                <w:sz w:val="21"/>
                <w:szCs w:val="21"/>
                <w:lang w:val="en-US" w:eastAsia="zh-CN"/>
              </w:rPr>
            </w:pPr>
            <w:r>
              <w:rPr>
                <w:rFonts w:hint="eastAsia" w:ascii="宋体"/>
                <w:color w:val="auto"/>
                <w:sz w:val="21"/>
                <w:szCs w:val="21"/>
                <w:lang w:val="en-US" w:eastAsia="zh-CN"/>
              </w:rPr>
              <w:t>注：大豆卵磷脂设施内的存在量为0.05t，大豆油设施内的存在量为0.5t。</w:t>
            </w:r>
          </w:p>
          <w:p w14:paraId="609CC971">
            <w:pPr>
              <w:topLinePunct/>
              <w:adjustRightInd w:val="0"/>
              <w:snapToGrid w:val="0"/>
              <w:spacing w:line="360" w:lineRule="auto"/>
              <w:ind w:firstLine="480" w:firstLineChars="200"/>
              <w:outlineLvl w:val="2"/>
              <w:rPr>
                <w:rFonts w:hint="default" w:ascii="宋体" w:eastAsia="宋体"/>
                <w:color w:val="auto"/>
                <w:kern w:val="0"/>
                <w:sz w:val="24"/>
                <w:szCs w:val="24"/>
              </w:rPr>
            </w:pPr>
            <w:r>
              <w:rPr>
                <w:rFonts w:hint="default" w:ascii="宋体" w:eastAsia="宋体"/>
                <w:color w:val="auto"/>
                <w:sz w:val="24"/>
                <w:szCs w:val="24"/>
              </w:rPr>
              <w:t>根据《建设项目环境影响报告表编制技术指南（污染影响类）（试行）》（2021年版）中环境风险评价章节中有毒有害和易燃易爆危险物质存储量超过临界量的建设项目需做专项评价，本项目Q=0.000665，不设风险评价专</w:t>
            </w:r>
            <w:r>
              <w:rPr>
                <w:rFonts w:hint="default" w:ascii="宋体" w:eastAsia="宋体"/>
                <w:color w:val="auto"/>
                <w:kern w:val="0"/>
                <w:sz w:val="24"/>
                <w:szCs w:val="24"/>
              </w:rPr>
              <w:t>题，需明确有毒有害和易燃易爆等危险物质和风险源分布情况及可能影响途径，并提出相应环境风险防范措施。</w:t>
            </w:r>
          </w:p>
          <w:p w14:paraId="33655CE2">
            <w:pPr>
              <w:topLinePunct/>
              <w:adjustRightInd w:val="0"/>
              <w:snapToGrid w:val="0"/>
              <w:spacing w:beforeLines="0" w:afterLines="0" w:line="360" w:lineRule="auto"/>
              <w:ind w:firstLine="482" w:firstLineChars="200"/>
              <w:outlineLvl w:val="2"/>
              <w:rPr>
                <w:rFonts w:hint="default" w:ascii="宋体" w:eastAsia="宋体"/>
                <w:b/>
                <w:color w:val="auto"/>
                <w:sz w:val="24"/>
                <w:szCs w:val="24"/>
              </w:rPr>
            </w:pPr>
            <w:r>
              <w:rPr>
                <w:rFonts w:hint="default" w:ascii="宋体" w:eastAsia="宋体"/>
                <w:b/>
                <w:color w:val="auto"/>
                <w:sz w:val="24"/>
                <w:szCs w:val="24"/>
              </w:rPr>
              <w:t>（2）风险物质危险性辨识</w:t>
            </w:r>
          </w:p>
          <w:p w14:paraId="1F0D4325">
            <w:pPr>
              <w:topLinePunct/>
              <w:adjustRightInd w:val="0"/>
              <w:snapToGrid w:val="0"/>
              <w:spacing w:beforeLines="0" w:afterLines="0" w:line="360" w:lineRule="auto"/>
              <w:ind w:firstLine="480" w:firstLineChars="200"/>
              <w:outlineLvl w:val="2"/>
              <w:rPr>
                <w:rFonts w:hint="default" w:ascii="宋体" w:eastAsia="宋体"/>
                <w:b/>
                <w:color w:val="auto"/>
                <w:sz w:val="24"/>
                <w:szCs w:val="24"/>
              </w:rPr>
            </w:pPr>
            <w:r>
              <w:rPr>
                <w:rFonts w:hint="default" w:ascii="宋体" w:eastAsia="宋体"/>
                <w:color w:val="auto"/>
                <w:kern w:val="0"/>
                <w:sz w:val="24"/>
                <w:szCs w:val="24"/>
                <w:lang w:bidi="ar"/>
              </w:rPr>
              <w:t>项目在生产过程中使用的主要风险物质见下表：</w:t>
            </w:r>
          </w:p>
          <w:p w14:paraId="26D4CBA5">
            <w:pPr>
              <w:spacing w:beforeLines="0" w:afterLines="0"/>
              <w:jc w:val="center"/>
              <w:rPr>
                <w:rFonts w:hint="default" w:ascii="宋体" w:eastAsia="宋体"/>
                <w:b/>
                <w:color w:val="auto"/>
                <w:sz w:val="24"/>
                <w:szCs w:val="24"/>
              </w:rPr>
            </w:pPr>
            <w:r>
              <w:rPr>
                <w:rFonts w:hint="default" w:ascii="宋体" w:eastAsia="宋体"/>
                <w:b/>
                <w:color w:val="auto"/>
                <w:sz w:val="21"/>
                <w:szCs w:val="21"/>
              </w:rPr>
              <w:t>表4-18 主要风险物质分布及影响途径一览表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4672"/>
              <w:gridCol w:w="1702"/>
              <w:gridCol w:w="1971"/>
            </w:tblGrid>
            <w:tr w14:paraId="0069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BFE75E">
                  <w:pPr>
                    <w:spacing w:beforeLines="0" w:afterLines="0" w:line="300" w:lineRule="exact"/>
                    <w:jc w:val="center"/>
                    <w:rPr>
                      <w:rFonts w:hint="default" w:ascii="宋体" w:eastAsia="宋体"/>
                      <w:b/>
                      <w:color w:val="auto"/>
                      <w:sz w:val="21"/>
                      <w:szCs w:val="21"/>
                    </w:rPr>
                  </w:pPr>
                  <w:r>
                    <w:rPr>
                      <w:rFonts w:hint="default" w:ascii="宋体" w:eastAsia="宋体"/>
                      <w:b/>
                      <w:color w:val="auto"/>
                      <w:sz w:val="21"/>
                      <w:szCs w:val="21"/>
                    </w:rPr>
                    <w:t>序号</w:t>
                  </w:r>
                </w:p>
              </w:tc>
              <w:tc>
                <w:tcPr>
                  <w:tcW w:w="25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1F2C4A">
                  <w:pPr>
                    <w:spacing w:beforeLines="0" w:afterLines="0" w:line="300" w:lineRule="exact"/>
                    <w:jc w:val="center"/>
                    <w:rPr>
                      <w:rFonts w:hint="default" w:ascii="宋体" w:eastAsia="宋体"/>
                      <w:b/>
                      <w:color w:val="auto"/>
                      <w:sz w:val="21"/>
                      <w:szCs w:val="21"/>
                    </w:rPr>
                  </w:pPr>
                  <w:r>
                    <w:rPr>
                      <w:rFonts w:hint="default" w:ascii="宋体" w:eastAsia="宋体"/>
                      <w:b/>
                      <w:color w:val="auto"/>
                      <w:sz w:val="21"/>
                      <w:szCs w:val="21"/>
                    </w:rPr>
                    <w:t>危险物质</w:t>
                  </w:r>
                </w:p>
              </w:tc>
              <w:tc>
                <w:tcPr>
                  <w:tcW w:w="93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E8022F">
                  <w:pPr>
                    <w:spacing w:beforeLines="0" w:afterLines="0" w:line="300" w:lineRule="exact"/>
                    <w:jc w:val="center"/>
                    <w:rPr>
                      <w:rFonts w:hint="default" w:ascii="宋体" w:eastAsia="宋体"/>
                      <w:b/>
                      <w:color w:val="auto"/>
                      <w:sz w:val="21"/>
                      <w:szCs w:val="21"/>
                    </w:rPr>
                  </w:pPr>
                  <w:r>
                    <w:rPr>
                      <w:rFonts w:hint="default" w:ascii="宋体" w:eastAsia="宋体"/>
                      <w:b/>
                      <w:color w:val="auto"/>
                      <w:sz w:val="21"/>
                      <w:szCs w:val="21"/>
                    </w:rPr>
                    <w:t>风险源分布</w:t>
                  </w:r>
                </w:p>
              </w:tc>
              <w:tc>
                <w:tcPr>
                  <w:tcW w:w="10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1D1AD1">
                  <w:pPr>
                    <w:spacing w:beforeLines="0" w:afterLines="0" w:line="300" w:lineRule="exact"/>
                    <w:jc w:val="center"/>
                    <w:rPr>
                      <w:rFonts w:hint="default" w:ascii="宋体" w:eastAsia="宋体"/>
                      <w:b/>
                      <w:color w:val="auto"/>
                      <w:sz w:val="21"/>
                      <w:szCs w:val="21"/>
                    </w:rPr>
                  </w:pPr>
                  <w:r>
                    <w:rPr>
                      <w:rFonts w:hint="default" w:ascii="宋体" w:eastAsia="宋体"/>
                      <w:b/>
                      <w:color w:val="auto"/>
                      <w:sz w:val="21"/>
                      <w:szCs w:val="21"/>
                    </w:rPr>
                    <w:t>可能影响途径</w:t>
                  </w:r>
                </w:p>
              </w:tc>
            </w:tr>
            <w:tr w14:paraId="4567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7B5D65">
                  <w:pPr>
                    <w:pStyle w:val="57"/>
                    <w:spacing w:beforeLines="0" w:afterLines="0" w:line="240" w:lineRule="auto"/>
                    <w:rPr>
                      <w:rFonts w:hint="default" w:hAnsi="Times New Roman"/>
                      <w:color w:val="auto"/>
                      <w:sz w:val="21"/>
                      <w:szCs w:val="21"/>
                    </w:rPr>
                  </w:pPr>
                  <w:r>
                    <w:rPr>
                      <w:rFonts w:hint="default" w:hAnsi="Times New Roman"/>
                      <w:color w:val="auto"/>
                      <w:sz w:val="21"/>
                      <w:szCs w:val="21"/>
                    </w:rPr>
                    <w:t>1</w:t>
                  </w:r>
                </w:p>
              </w:tc>
              <w:tc>
                <w:tcPr>
                  <w:tcW w:w="25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82650F">
                  <w:pPr>
                    <w:pStyle w:val="70"/>
                    <w:snapToGrid w:val="0"/>
                    <w:spacing w:beforeLines="0" w:afterLines="0"/>
                    <w:rPr>
                      <w:rFonts w:hint="eastAsia" w:hAnsi="Times New Roman" w:eastAsia="宋体"/>
                      <w:color w:val="auto"/>
                      <w:sz w:val="21"/>
                      <w:szCs w:val="21"/>
                      <w:lang w:eastAsia="zh-CN"/>
                    </w:rPr>
                  </w:pPr>
                  <w:r>
                    <w:rPr>
                      <w:rFonts w:hint="eastAsia" w:hAnsi="Times New Roman"/>
                      <w:color w:val="auto"/>
                      <w:sz w:val="21"/>
                      <w:szCs w:val="21"/>
                      <w:lang w:val="en-US" w:eastAsia="zh-CN"/>
                    </w:rPr>
                    <w:t>大豆卵磷脂</w:t>
                  </w:r>
                </w:p>
              </w:tc>
              <w:tc>
                <w:tcPr>
                  <w:tcW w:w="93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FC43FF">
                  <w:pPr>
                    <w:pStyle w:val="57"/>
                    <w:spacing w:beforeLines="0" w:afterLines="0" w:line="240" w:lineRule="auto"/>
                    <w:rPr>
                      <w:rFonts w:hint="default" w:hAnsi="Times New Roman" w:eastAsia="宋体"/>
                      <w:color w:val="auto"/>
                      <w:sz w:val="21"/>
                      <w:szCs w:val="21"/>
                      <w:lang w:val="en-US" w:eastAsia="zh-CN"/>
                    </w:rPr>
                  </w:pPr>
                  <w:r>
                    <w:rPr>
                      <w:rFonts w:hint="eastAsia" w:hAnsi="Times New Roman"/>
                      <w:color w:val="auto"/>
                      <w:sz w:val="21"/>
                      <w:szCs w:val="21"/>
                      <w:lang w:val="en-US" w:eastAsia="zh-CN"/>
                    </w:rPr>
                    <w:t>仓库、生产线</w:t>
                  </w:r>
                </w:p>
              </w:tc>
              <w:tc>
                <w:tcPr>
                  <w:tcW w:w="10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DDD42F">
                  <w:pPr>
                    <w:pStyle w:val="57"/>
                    <w:spacing w:beforeLines="0" w:afterLines="0" w:line="240" w:lineRule="auto"/>
                    <w:rPr>
                      <w:rFonts w:hint="default" w:hAnsi="Times New Roman" w:eastAsia="宋体"/>
                      <w:color w:val="auto"/>
                      <w:sz w:val="21"/>
                      <w:szCs w:val="21"/>
                      <w:lang w:val="en-US" w:eastAsia="zh-CN"/>
                    </w:rPr>
                  </w:pPr>
                  <w:r>
                    <w:rPr>
                      <w:rFonts w:hint="default" w:hAnsi="Times New Roman"/>
                      <w:color w:val="auto"/>
                      <w:sz w:val="21"/>
                      <w:szCs w:val="21"/>
                    </w:rPr>
                    <w:t>泄漏</w:t>
                  </w:r>
                  <w:r>
                    <w:rPr>
                      <w:rFonts w:hint="eastAsia" w:hAnsi="Times New Roman"/>
                      <w:color w:val="auto"/>
                      <w:sz w:val="21"/>
                      <w:szCs w:val="21"/>
                      <w:lang w:eastAsia="zh-CN"/>
                    </w:rPr>
                    <w:t>、</w:t>
                  </w:r>
                  <w:r>
                    <w:rPr>
                      <w:rFonts w:hint="eastAsia" w:hAnsi="Times New Roman"/>
                      <w:color w:val="auto"/>
                      <w:sz w:val="21"/>
                      <w:szCs w:val="21"/>
                      <w:lang w:val="en-US" w:eastAsia="zh-CN"/>
                    </w:rPr>
                    <w:t>火灾</w:t>
                  </w:r>
                </w:p>
              </w:tc>
            </w:tr>
            <w:tr w14:paraId="5745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1DCA72">
                  <w:pPr>
                    <w:pStyle w:val="57"/>
                    <w:spacing w:beforeLines="0" w:afterLines="0" w:line="240" w:lineRule="auto"/>
                    <w:rPr>
                      <w:rFonts w:hint="eastAsia" w:hAnsi="Times New Roman" w:eastAsia="宋体"/>
                      <w:color w:val="auto"/>
                      <w:sz w:val="21"/>
                      <w:szCs w:val="21"/>
                      <w:lang w:val="en-US" w:eastAsia="zh-CN"/>
                    </w:rPr>
                  </w:pPr>
                  <w:r>
                    <w:rPr>
                      <w:rFonts w:hint="eastAsia" w:hAnsi="Times New Roman"/>
                      <w:color w:val="auto"/>
                      <w:sz w:val="21"/>
                      <w:szCs w:val="21"/>
                      <w:lang w:val="en-US" w:eastAsia="zh-CN"/>
                    </w:rPr>
                    <w:t>2</w:t>
                  </w:r>
                </w:p>
              </w:tc>
              <w:tc>
                <w:tcPr>
                  <w:tcW w:w="25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F36BF1">
                  <w:pPr>
                    <w:pStyle w:val="70"/>
                    <w:snapToGrid w:val="0"/>
                    <w:spacing w:beforeLines="0" w:afterLines="0"/>
                    <w:rPr>
                      <w:rFonts w:hint="eastAsia" w:hAnsi="Times New Roman"/>
                      <w:color w:val="auto"/>
                      <w:sz w:val="21"/>
                      <w:szCs w:val="21"/>
                      <w:lang w:val="en-US" w:eastAsia="zh-CN"/>
                    </w:rPr>
                  </w:pPr>
                  <w:r>
                    <w:rPr>
                      <w:rFonts w:hint="eastAsia" w:hAnsi="Times New Roman"/>
                      <w:color w:val="auto"/>
                      <w:sz w:val="21"/>
                      <w:szCs w:val="21"/>
                      <w:lang w:val="en-US" w:eastAsia="zh-CN"/>
                    </w:rPr>
                    <w:t>大豆油</w:t>
                  </w:r>
                </w:p>
              </w:tc>
              <w:tc>
                <w:tcPr>
                  <w:tcW w:w="93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6054A4">
                  <w:pPr>
                    <w:pStyle w:val="57"/>
                    <w:spacing w:beforeLines="0" w:afterLines="0" w:line="240" w:lineRule="auto"/>
                    <w:rPr>
                      <w:rFonts w:hint="eastAsia" w:hAnsi="Times New Roman"/>
                      <w:color w:val="auto"/>
                      <w:sz w:val="21"/>
                      <w:szCs w:val="21"/>
                      <w:lang w:val="en-US" w:eastAsia="zh-CN"/>
                    </w:rPr>
                  </w:pPr>
                  <w:r>
                    <w:rPr>
                      <w:rFonts w:hint="eastAsia" w:hAnsi="Times New Roman"/>
                      <w:color w:val="auto"/>
                      <w:sz w:val="21"/>
                      <w:szCs w:val="21"/>
                      <w:lang w:val="en-US" w:eastAsia="zh-CN"/>
                    </w:rPr>
                    <w:t>仓库、生产线</w:t>
                  </w:r>
                </w:p>
              </w:tc>
              <w:tc>
                <w:tcPr>
                  <w:tcW w:w="10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F992DC">
                  <w:pPr>
                    <w:pStyle w:val="57"/>
                    <w:spacing w:beforeLines="0" w:afterLines="0" w:line="240" w:lineRule="auto"/>
                    <w:rPr>
                      <w:rFonts w:hint="default" w:hAnsi="Times New Roman"/>
                      <w:color w:val="auto"/>
                      <w:sz w:val="21"/>
                      <w:szCs w:val="21"/>
                    </w:rPr>
                  </w:pPr>
                  <w:r>
                    <w:rPr>
                      <w:rFonts w:hint="default" w:hAnsi="Times New Roman"/>
                      <w:color w:val="auto"/>
                      <w:sz w:val="21"/>
                      <w:szCs w:val="21"/>
                    </w:rPr>
                    <w:t>泄漏、火灾</w:t>
                  </w:r>
                </w:p>
              </w:tc>
            </w:tr>
            <w:tr w14:paraId="37AC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4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1A8760">
                  <w:pPr>
                    <w:pStyle w:val="57"/>
                    <w:spacing w:beforeLines="0" w:afterLines="0" w:line="240" w:lineRule="auto"/>
                    <w:rPr>
                      <w:rFonts w:hint="default" w:hAnsi="Times New Roman"/>
                      <w:color w:val="auto"/>
                      <w:sz w:val="21"/>
                      <w:szCs w:val="21"/>
                      <w:lang w:val="en-US" w:eastAsia="zh-CN"/>
                    </w:rPr>
                  </w:pPr>
                  <w:r>
                    <w:rPr>
                      <w:rFonts w:hint="eastAsia" w:hAnsi="Times New Roman"/>
                      <w:color w:val="auto"/>
                      <w:sz w:val="21"/>
                      <w:szCs w:val="21"/>
                      <w:lang w:val="en-US" w:eastAsia="zh-CN"/>
                    </w:rPr>
                    <w:t>3</w:t>
                  </w:r>
                </w:p>
              </w:tc>
              <w:tc>
                <w:tcPr>
                  <w:tcW w:w="25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D4E0B7">
                  <w:pPr>
                    <w:pStyle w:val="70"/>
                    <w:snapToGrid w:val="0"/>
                    <w:spacing w:beforeLines="0" w:afterLines="0"/>
                    <w:rPr>
                      <w:rFonts w:hint="eastAsia" w:hAnsi="Times New Roman"/>
                      <w:color w:val="auto"/>
                      <w:sz w:val="21"/>
                      <w:szCs w:val="21"/>
                      <w:lang w:val="en-US" w:eastAsia="zh-CN"/>
                    </w:rPr>
                  </w:pPr>
                  <w:r>
                    <w:rPr>
                      <w:rFonts w:hint="eastAsia" w:hAnsi="Times New Roman"/>
                      <w:color w:val="auto"/>
                      <w:sz w:val="21"/>
                      <w:szCs w:val="21"/>
                      <w:lang w:val="en-US" w:eastAsia="zh-CN"/>
                    </w:rPr>
                    <w:t>天然气</w:t>
                  </w:r>
                </w:p>
              </w:tc>
              <w:tc>
                <w:tcPr>
                  <w:tcW w:w="93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CD5B1C">
                  <w:pPr>
                    <w:pStyle w:val="57"/>
                    <w:spacing w:beforeLines="0" w:afterLines="0" w:line="240" w:lineRule="auto"/>
                    <w:rPr>
                      <w:rFonts w:hint="eastAsia" w:hAnsi="Times New Roman"/>
                      <w:color w:val="auto"/>
                      <w:sz w:val="21"/>
                      <w:szCs w:val="21"/>
                      <w:lang w:val="en-US" w:eastAsia="zh-CN"/>
                    </w:rPr>
                  </w:pPr>
                  <w:r>
                    <w:rPr>
                      <w:rFonts w:hint="eastAsia" w:hAnsi="Times New Roman"/>
                      <w:color w:val="auto"/>
                      <w:sz w:val="21"/>
                      <w:szCs w:val="21"/>
                      <w:lang w:val="en-US" w:eastAsia="zh-CN"/>
                    </w:rPr>
                    <w:t>天然气管道</w:t>
                  </w:r>
                </w:p>
              </w:tc>
              <w:tc>
                <w:tcPr>
                  <w:tcW w:w="10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C5B4DA">
                  <w:pPr>
                    <w:pStyle w:val="57"/>
                    <w:spacing w:beforeLines="0" w:afterLines="0" w:line="240" w:lineRule="auto"/>
                    <w:rPr>
                      <w:rFonts w:hint="default" w:hAnsi="Times New Roman"/>
                      <w:color w:val="auto"/>
                      <w:sz w:val="21"/>
                      <w:szCs w:val="21"/>
                    </w:rPr>
                  </w:pPr>
                  <w:r>
                    <w:rPr>
                      <w:rFonts w:hint="default" w:hAnsi="Times New Roman"/>
                      <w:color w:val="auto"/>
                      <w:sz w:val="21"/>
                      <w:szCs w:val="21"/>
                    </w:rPr>
                    <w:t>泄漏、火灾</w:t>
                  </w:r>
                </w:p>
              </w:tc>
            </w:tr>
          </w:tbl>
          <w:p w14:paraId="6F12F25A">
            <w:pPr>
              <w:pStyle w:val="9"/>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环境风险分析</w:t>
            </w:r>
          </w:p>
          <w:p w14:paraId="72258673">
            <w:pPr>
              <w:spacing w:beforeLines="0" w:afterLines="0" w:line="500" w:lineRule="atLeast"/>
              <w:ind w:firstLine="482"/>
              <w:rPr>
                <w:rFonts w:hint="default" w:ascii="Times New Roman" w:hAnsi="Times New Roman" w:cs="Times New Roman"/>
                <w:snapToGrid w:val="0"/>
                <w:color w:val="auto"/>
                <w:kern w:val="0"/>
                <w:sz w:val="24"/>
                <w:szCs w:val="24"/>
              </w:rPr>
            </w:pPr>
            <w:r>
              <w:rPr>
                <w:rFonts w:hint="default" w:ascii="Times New Roman" w:hAnsi="Times New Roman" w:eastAsia="宋体" w:cs="Times New Roman"/>
                <w:snapToGrid w:val="0"/>
                <w:color w:val="auto"/>
                <w:kern w:val="0"/>
                <w:sz w:val="24"/>
                <w:szCs w:val="24"/>
              </w:rPr>
              <w:t>1）原材料运输、贮存过程中加强防火，杜绝任何火苗在厂区发生。</w:t>
            </w:r>
          </w:p>
          <w:p w14:paraId="689E7946">
            <w:pPr>
              <w:spacing w:beforeLines="0" w:afterLines="0" w:line="500" w:lineRule="atLeast"/>
              <w:ind w:firstLine="482"/>
              <w:rPr>
                <w:rFonts w:hint="default" w:ascii="Times New Roman" w:hAnsi="Times New Roman" w:cs="Times New Roman"/>
                <w:snapToGrid w:val="0"/>
                <w:color w:val="auto"/>
                <w:kern w:val="0"/>
                <w:sz w:val="24"/>
                <w:szCs w:val="24"/>
              </w:rPr>
            </w:pPr>
            <w:r>
              <w:rPr>
                <w:rFonts w:hint="default" w:ascii="Times New Roman" w:hAnsi="Times New Roman" w:eastAsia="宋体" w:cs="Times New Roman"/>
                <w:snapToGrid w:val="0"/>
                <w:color w:val="auto"/>
                <w:kern w:val="0"/>
                <w:sz w:val="24"/>
                <w:szCs w:val="24"/>
              </w:rPr>
              <w:t>2）要求企业强化风险意识、加强安全管理，进行广泛系统的培训，使所有操作人员熟悉自己的岗位，树立严谨规范的操作作风，并且在任何紧急状况下都能随时对工艺装置进行控制，并及时、独立、正确地实施相关应急措施。</w:t>
            </w:r>
          </w:p>
          <w:p w14:paraId="479B3DF4">
            <w:pPr>
              <w:spacing w:beforeLines="0" w:afterLines="0" w:line="500" w:lineRule="atLeast"/>
              <w:ind w:firstLine="482"/>
              <w:rPr>
                <w:rFonts w:hint="default" w:ascii="Times New Roman" w:hAnsi="Times New Roman" w:cs="Times New Roman"/>
                <w:snapToGrid w:val="0"/>
                <w:color w:val="auto"/>
                <w:kern w:val="0"/>
                <w:sz w:val="24"/>
                <w:szCs w:val="24"/>
              </w:rPr>
            </w:pPr>
            <w:r>
              <w:rPr>
                <w:rFonts w:hint="eastAsia" w:cs="Times New Roman"/>
                <w:snapToGrid w:val="0"/>
                <w:color w:val="auto"/>
                <w:kern w:val="0"/>
                <w:sz w:val="24"/>
                <w:szCs w:val="24"/>
                <w:lang w:val="en-US" w:eastAsia="zh-CN"/>
              </w:rPr>
              <w:t>3</w:t>
            </w:r>
            <w:r>
              <w:rPr>
                <w:rFonts w:hint="default" w:ascii="Times New Roman" w:hAnsi="Times New Roman" w:eastAsia="宋体" w:cs="Times New Roman"/>
                <w:snapToGrid w:val="0"/>
                <w:color w:val="auto"/>
                <w:kern w:val="0"/>
                <w:sz w:val="24"/>
                <w:szCs w:val="24"/>
              </w:rPr>
              <w:t>）评价要求建设单位应按照环评提出的分区防渗要求，对厂区</w:t>
            </w:r>
            <w:r>
              <w:rPr>
                <w:rFonts w:hint="eastAsia" w:cs="Times New Roman"/>
                <w:snapToGrid w:val="0"/>
                <w:color w:val="auto"/>
                <w:kern w:val="0"/>
                <w:sz w:val="24"/>
                <w:szCs w:val="24"/>
                <w:lang w:val="en-US" w:eastAsia="zh-CN"/>
              </w:rPr>
              <w:t>污水处理站</w:t>
            </w:r>
            <w:r>
              <w:rPr>
                <w:rFonts w:hint="default" w:ascii="Times New Roman" w:hAnsi="Times New Roman" w:eastAsia="宋体" w:cs="Times New Roman"/>
                <w:snapToGrid w:val="0"/>
                <w:color w:val="auto"/>
                <w:kern w:val="0"/>
                <w:sz w:val="24"/>
                <w:szCs w:val="24"/>
              </w:rPr>
              <w:t>等采取防渗措施，规范设置废水收集设施，并在收集设施附近设置醒目标识牌。</w:t>
            </w:r>
          </w:p>
          <w:p w14:paraId="640BCB91">
            <w:pPr>
              <w:spacing w:beforeLines="0" w:afterLines="0" w:line="500" w:lineRule="atLeast"/>
              <w:ind w:firstLine="482"/>
              <w:rPr>
                <w:rFonts w:hint="default" w:ascii="Times New Roman" w:hAnsi="Times New Roman" w:cs="Times New Roman"/>
                <w:snapToGrid w:val="0"/>
                <w:color w:val="auto"/>
                <w:kern w:val="0"/>
                <w:sz w:val="24"/>
                <w:szCs w:val="24"/>
              </w:rPr>
            </w:pPr>
            <w:r>
              <w:rPr>
                <w:rFonts w:hint="eastAsia" w:cs="Times New Roman"/>
                <w:snapToGrid w:val="0"/>
                <w:color w:val="auto"/>
                <w:kern w:val="0"/>
                <w:sz w:val="24"/>
                <w:szCs w:val="24"/>
                <w:lang w:val="en-US" w:eastAsia="zh-CN"/>
              </w:rPr>
              <w:t>4</w:t>
            </w:r>
            <w:r>
              <w:rPr>
                <w:rFonts w:hint="default" w:ascii="Times New Roman" w:hAnsi="Times New Roman" w:eastAsia="宋体" w:cs="Times New Roman"/>
                <w:snapToGrid w:val="0"/>
                <w:color w:val="auto"/>
                <w:kern w:val="0"/>
                <w:sz w:val="24"/>
                <w:szCs w:val="24"/>
              </w:rPr>
              <w:t>）电气和仪表专业设计按照《爆炸和火灾危险环境电力装置设计规范》执行，将能产生电火花的设备放在远离现场的配电室内，并采用密闭电器。</w:t>
            </w:r>
          </w:p>
          <w:p w14:paraId="6DD21FF7">
            <w:pPr>
              <w:spacing w:beforeLines="0" w:afterLines="0" w:line="500" w:lineRule="atLeast"/>
              <w:ind w:firstLine="482"/>
              <w:rPr>
                <w:rFonts w:hint="default" w:ascii="Times New Roman" w:hAnsi="Times New Roman" w:cs="Times New Roman"/>
                <w:snapToGrid w:val="0"/>
                <w:color w:val="auto"/>
                <w:kern w:val="0"/>
                <w:sz w:val="24"/>
                <w:szCs w:val="24"/>
              </w:rPr>
            </w:pPr>
            <w:r>
              <w:rPr>
                <w:rFonts w:hint="eastAsia" w:cs="Times New Roman"/>
                <w:snapToGrid w:val="0"/>
                <w:color w:val="auto"/>
                <w:kern w:val="0"/>
                <w:sz w:val="24"/>
                <w:szCs w:val="24"/>
                <w:lang w:val="en-US" w:eastAsia="zh-CN"/>
              </w:rPr>
              <w:t>5</w:t>
            </w:r>
            <w:r>
              <w:rPr>
                <w:rFonts w:hint="default" w:ascii="Times New Roman" w:hAnsi="Times New Roman" w:eastAsia="宋体" w:cs="Times New Roman"/>
                <w:snapToGrid w:val="0"/>
                <w:color w:val="auto"/>
                <w:kern w:val="0"/>
                <w:sz w:val="24"/>
                <w:szCs w:val="24"/>
              </w:rPr>
              <w:t>）在</w:t>
            </w:r>
            <w:r>
              <w:rPr>
                <w:rFonts w:hint="eastAsia" w:cs="Times New Roman"/>
                <w:snapToGrid w:val="0"/>
                <w:color w:val="auto"/>
                <w:kern w:val="0"/>
                <w:sz w:val="24"/>
                <w:szCs w:val="24"/>
                <w:lang w:val="en-US" w:eastAsia="zh-CN"/>
              </w:rPr>
              <w:t>厂区</w:t>
            </w:r>
            <w:r>
              <w:rPr>
                <w:rFonts w:hint="default" w:ascii="Times New Roman" w:hAnsi="Times New Roman" w:eastAsia="宋体" w:cs="Times New Roman"/>
                <w:snapToGrid w:val="0"/>
                <w:color w:val="auto"/>
                <w:kern w:val="0"/>
                <w:sz w:val="24"/>
                <w:szCs w:val="24"/>
              </w:rPr>
              <w:t>应配备必要的消防器材及消防工具，如干粉灭火器等，对这些器材应配备专人保管，定期检查，以备事故时急用。</w:t>
            </w:r>
          </w:p>
          <w:p w14:paraId="23149D4A">
            <w:pPr>
              <w:spacing w:beforeLines="0" w:afterLines="0" w:line="500" w:lineRule="atLeast"/>
              <w:ind w:firstLine="482"/>
              <w:rPr>
                <w:rFonts w:hint="default" w:ascii="Times New Roman" w:hAnsi="Times New Roman" w:cs="Times New Roman"/>
                <w:b/>
                <w:bCs/>
                <w:color w:val="auto"/>
                <w:sz w:val="24"/>
                <w:szCs w:val="24"/>
                <w:lang w:val="en-US" w:eastAsia="zh-CN"/>
              </w:rPr>
            </w:pPr>
            <w:r>
              <w:rPr>
                <w:rFonts w:hint="eastAsia" w:cs="Times New Roman"/>
                <w:snapToGrid w:val="0"/>
                <w:color w:val="auto"/>
                <w:kern w:val="0"/>
                <w:sz w:val="24"/>
                <w:szCs w:val="24"/>
                <w:lang w:val="en-US" w:eastAsia="zh-CN"/>
              </w:rPr>
              <w:t>6</w:t>
            </w:r>
            <w:r>
              <w:rPr>
                <w:rFonts w:hint="default" w:ascii="Times New Roman" w:hAnsi="Times New Roman" w:eastAsia="宋体" w:cs="Times New Roman"/>
                <w:snapToGrid w:val="0"/>
                <w:color w:val="auto"/>
                <w:kern w:val="0"/>
                <w:sz w:val="24"/>
                <w:szCs w:val="24"/>
              </w:rPr>
              <w:t>）建设单位应制定突发环境事件应急预案，当事故或火灾等发生时，立即启动应急预案。</w:t>
            </w:r>
          </w:p>
          <w:p w14:paraId="64EAA7A5">
            <w:pPr>
              <w:pStyle w:val="9"/>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color w:val="auto"/>
                <w:sz w:val="24"/>
                <w:szCs w:val="24"/>
                <w:lang w:eastAsia="zh-CN"/>
              </w:rPr>
            </w:pPr>
            <w:r>
              <w:rPr>
                <w:rFonts w:hint="eastAsia" w:cs="Times New Roman"/>
                <w:b/>
                <w:bCs/>
                <w:color w:val="auto"/>
                <w:sz w:val="24"/>
                <w:szCs w:val="24"/>
                <w:lang w:val="en-US" w:eastAsia="zh-CN"/>
              </w:rPr>
              <w:t>（4）</w:t>
            </w:r>
            <w:r>
              <w:rPr>
                <w:rFonts w:hint="default" w:ascii="Times New Roman" w:hAnsi="Times New Roman" w:cs="Times New Roman"/>
                <w:b/>
                <w:color w:val="auto"/>
                <w:sz w:val="24"/>
                <w:szCs w:val="24"/>
              </w:rPr>
              <w:t>环境风险防范措施</w:t>
            </w:r>
          </w:p>
          <w:p w14:paraId="19D1C054">
            <w:pPr>
              <w:spacing w:beforeLines="0" w:afterLines="0"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本次评价主要的风险类型为污水处理站污水泄漏</w:t>
            </w:r>
            <w:r>
              <w:rPr>
                <w:rFonts w:hint="default" w:ascii="Times New Roman" w:hAnsi="Times New Roman" w:cs="Times New Roman"/>
                <w:color w:val="auto"/>
                <w:kern w:val="0"/>
                <w:sz w:val="24"/>
                <w:szCs w:val="24"/>
                <w:lang w:val="en-US" w:eastAsia="zh-CN"/>
              </w:rPr>
              <w:t>事故</w:t>
            </w:r>
            <w:r>
              <w:rPr>
                <w:rFonts w:hint="default" w:ascii="Times New Roman" w:hAnsi="Times New Roman" w:cs="Times New Roman"/>
                <w:color w:val="auto"/>
                <w:kern w:val="0"/>
                <w:sz w:val="24"/>
                <w:szCs w:val="24"/>
              </w:rPr>
              <w:t>，针对上述风险事故，提出合理的可行的防范措施、应急与减缓措施。</w:t>
            </w:r>
          </w:p>
          <w:p w14:paraId="0503686C">
            <w:pPr>
              <w:spacing w:beforeLines="0" w:afterLines="0"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应采取以下控制措施：</w:t>
            </w:r>
          </w:p>
          <w:p w14:paraId="026505AA">
            <w:pPr>
              <w:spacing w:beforeLines="0" w:afterLines="0"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操作人员必须经过专门培训，严格遵守操作规程，熟练掌握操作技能，具备应急处置知识。</w:t>
            </w:r>
          </w:p>
          <w:p w14:paraId="00B3FFD5">
            <w:pPr>
              <w:spacing w:beforeLines="0" w:afterLines="0"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密闭操作，防止泄漏，提供充分的局部排风。远离火种、热源，工作场所严禁吸烟。用以存放装载液体、半固体原料的地方，必须有耐腐蚀的硬化地面，且表面无裂隙，并设置渗透系数不少于10</w:t>
            </w:r>
            <w:r>
              <w:rPr>
                <w:rFonts w:hint="default" w:ascii="Times New Roman" w:hAnsi="Times New Roman" w:cs="Times New Roman"/>
                <w:color w:val="auto"/>
                <w:kern w:val="0"/>
                <w:sz w:val="24"/>
                <w:szCs w:val="24"/>
                <w:vertAlign w:val="superscript"/>
              </w:rPr>
              <w:t>-7</w:t>
            </w:r>
            <w:r>
              <w:rPr>
                <w:rFonts w:hint="default" w:ascii="Times New Roman" w:hAnsi="Times New Roman" w:cs="Times New Roman"/>
                <w:color w:val="auto"/>
                <w:kern w:val="0"/>
                <w:sz w:val="24"/>
                <w:szCs w:val="24"/>
              </w:rPr>
              <w:t>cm/s基础防渗层；在原料暂存区应设计堵截泄露的裙角，并设置导流渠和导流围堰；原料堆存区做到防风、防雨、防晒。</w:t>
            </w:r>
          </w:p>
          <w:p w14:paraId="3A816AC1">
            <w:pPr>
              <w:spacing w:beforeLines="0" w:afterLines="0"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泄漏应急处理人员应正确佩戴防护装备，不要直接接触泄漏物，做好自身保护。处理时，应首先迅速撤离泄漏污染区人员至上风处并对受伤人员进行救护。其次，对泄漏区进行隔离，设立警戒线严格限制人员出入。切断泄漏源后，采用合适的收容材料对泄漏物进行收集并作无害化处理。</w:t>
            </w:r>
          </w:p>
          <w:p w14:paraId="02DAE0C4">
            <w:pPr>
              <w:spacing w:beforeLines="0" w:afterLines="0" w:line="360" w:lineRule="auto"/>
              <w:ind w:firstLine="376" w:firstLineChars="157"/>
              <w:rPr>
                <w:rFonts w:hint="default" w:ascii="Times New Roman" w:hAnsi="Times New Roman" w:cs="Times New Roman"/>
                <w:color w:val="auto"/>
                <w:kern w:val="0"/>
                <w:sz w:val="24"/>
                <w:szCs w:val="24"/>
              </w:rPr>
            </w:pPr>
            <w:r>
              <w:rPr>
                <w:rFonts w:hint="eastAsia" w:cs="Times New Roman"/>
                <w:color w:val="auto"/>
                <w:kern w:val="0"/>
                <w:sz w:val="24"/>
                <w:szCs w:val="24"/>
                <w:lang w:val="en-US" w:eastAsia="zh-CN"/>
              </w:rPr>
              <w:t>1）</w:t>
            </w:r>
            <w:r>
              <w:rPr>
                <w:rFonts w:hint="default" w:ascii="Times New Roman" w:hAnsi="Times New Roman" w:cs="Times New Roman"/>
                <w:color w:val="auto"/>
                <w:kern w:val="0"/>
                <w:sz w:val="24"/>
                <w:szCs w:val="24"/>
              </w:rPr>
              <w:t>污水处理设施事故状态下的排污风险</w:t>
            </w:r>
          </w:p>
          <w:p w14:paraId="34AAD479">
            <w:pPr>
              <w:spacing w:beforeLines="0" w:afterLines="0" w:line="360" w:lineRule="auto"/>
              <w:ind w:firstLine="376" w:firstLineChars="157"/>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污水发生事故排放一般是在紧急停电时，或污水处理设备发生故障而停止运转等情况下，或者未按规程进行正确的操作导致废水不能达标而外排，污水通过市政管网排入污水处理厂。但由于本项目污水排放量相对处理厂处理量而言，所占比例很小，几乎不会对</w:t>
            </w:r>
            <w:r>
              <w:rPr>
                <w:rFonts w:hint="eastAsia" w:cs="Times New Roman"/>
                <w:color w:val="auto"/>
                <w:kern w:val="0"/>
                <w:sz w:val="24"/>
                <w:szCs w:val="24"/>
                <w:lang w:val="en-US" w:eastAsia="zh-CN"/>
              </w:rPr>
              <w:t>蚌埠市第四</w:t>
            </w:r>
            <w:r>
              <w:rPr>
                <w:rFonts w:hint="default" w:ascii="Times New Roman" w:hAnsi="Times New Roman" w:cs="Times New Roman"/>
                <w:color w:val="auto"/>
                <w:kern w:val="0"/>
                <w:sz w:val="24"/>
                <w:szCs w:val="24"/>
              </w:rPr>
              <w:t xml:space="preserve">污水处理厂运营造成不利影响。为避免污水处理设施出现故障时，污水直排对环境产生影响，本项目污水处理方案中应制定以下措施： </w:t>
            </w:r>
          </w:p>
          <w:p w14:paraId="543B8DCA">
            <w:pPr>
              <w:spacing w:beforeLines="0" w:afterLines="0" w:line="360" w:lineRule="auto"/>
              <w:ind w:firstLine="480" w:firstLineChars="200"/>
              <w:rPr>
                <w:rFonts w:hint="default" w:ascii="Times New Roman" w:hAnsi="Times New Roman" w:cs="Times New Roman"/>
                <w:color w:val="auto"/>
                <w:sz w:val="24"/>
                <w:szCs w:val="24"/>
              </w:rPr>
            </w:pPr>
            <w:r>
              <w:rPr>
                <w:rFonts w:hint="eastAsia" w:ascii="宋体" w:hAnsi="宋体" w:eastAsia="宋体" w:cs="宋体"/>
                <w:color w:val="auto"/>
                <w:kern w:val="0"/>
                <w:sz w:val="24"/>
                <w:szCs w:val="24"/>
                <w:lang w:val="en-US" w:eastAsia="zh-CN"/>
              </w:rPr>
              <w:t>①</w:t>
            </w:r>
            <w:r>
              <w:rPr>
                <w:rFonts w:hint="default" w:ascii="Times New Roman" w:hAnsi="Times New Roman" w:cs="Times New Roman"/>
                <w:color w:val="auto"/>
                <w:sz w:val="24"/>
                <w:szCs w:val="24"/>
              </w:rPr>
              <w:t>污水处理设施运行后应对易出现的问题引起足够重视，污水处理设备要经常检 修，尽可能排除一切隐患，使事故风险降到最低程度。</w:t>
            </w:r>
          </w:p>
          <w:p w14:paraId="34B3BF50">
            <w:pPr>
              <w:spacing w:beforeLines="0" w:afterLines="0" w:line="360" w:lineRule="auto"/>
              <w:ind w:firstLine="480" w:firstLineChars="200"/>
              <w:rPr>
                <w:rFonts w:hint="default" w:ascii="Times New Roman" w:hAnsi="Times New Roman" w:cs="Times New Roman"/>
                <w:color w:val="auto"/>
                <w:sz w:val="24"/>
                <w:szCs w:val="24"/>
              </w:rPr>
            </w:pPr>
            <w:r>
              <w:rPr>
                <w:rFonts w:hint="eastAsia" w:ascii="宋体" w:hAnsi="宋体" w:eastAsia="宋体" w:cs="宋体"/>
                <w:color w:val="auto"/>
                <w:sz w:val="24"/>
                <w:szCs w:val="24"/>
                <w:lang w:val="en-US" w:eastAsia="zh-CN"/>
              </w:rPr>
              <w:t>②</w:t>
            </w:r>
            <w:r>
              <w:rPr>
                <w:rFonts w:hint="default" w:ascii="Times New Roman" w:hAnsi="Times New Roman" w:cs="Times New Roman"/>
                <w:color w:val="auto"/>
                <w:sz w:val="24"/>
                <w:szCs w:val="24"/>
              </w:rPr>
              <w:t>污水处理设备发生故障时，立即抢修故障部位，并同时控制污水产生量，等污水处理设备恢复正常后再行处理排放。</w:t>
            </w:r>
          </w:p>
          <w:p w14:paraId="5FD8B1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eastAsia" w:ascii="宋体" w:hAnsi="宋体" w:eastAsia="宋体" w:cs="宋体"/>
                <w:color w:val="auto"/>
                <w:sz w:val="24"/>
                <w:szCs w:val="24"/>
                <w:lang w:val="en-US" w:eastAsia="zh-CN"/>
              </w:rPr>
              <w:t>③</w:t>
            </w:r>
            <w:r>
              <w:rPr>
                <w:rFonts w:hint="default" w:ascii="Times New Roman" w:hAnsi="Times New Roman" w:cs="Times New Roman"/>
                <w:color w:val="auto"/>
                <w:sz w:val="24"/>
                <w:szCs w:val="24"/>
              </w:rPr>
              <w:t>加强管理，精心操作，严格按操作规程进行操作；定期对设备进行维护、检修， 防止设备故障，最大限度地减少跑、冒、滴、漏现象</w:t>
            </w:r>
            <w:r>
              <w:rPr>
                <w:rFonts w:hint="default" w:ascii="Times New Roman" w:hAnsi="Times New Roman" w:eastAsia="宋体" w:cs="Times New Roman"/>
                <w:color w:val="auto"/>
                <w:spacing w:val="0"/>
                <w:position w:val="0"/>
                <w:sz w:val="24"/>
                <w:szCs w:val="24"/>
                <w:highlight w:val="none"/>
              </w:rPr>
              <w:t>。</w:t>
            </w:r>
          </w:p>
          <w:p w14:paraId="02598D3E">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eastAsia" w:cs="Times New Roman"/>
                <w:color w:val="auto"/>
                <w:spacing w:val="0"/>
                <w:position w:val="0"/>
                <w:sz w:val="24"/>
                <w:szCs w:val="24"/>
                <w:highlight w:val="none"/>
                <w:lang w:val="en-US" w:eastAsia="zh-CN"/>
              </w:rPr>
              <w:t>大豆卵磷脂</w:t>
            </w:r>
            <w:r>
              <w:rPr>
                <w:rFonts w:hint="default" w:ascii="Times New Roman" w:hAnsi="Times New Roman" w:eastAsia="宋体" w:cs="Times New Roman"/>
                <w:color w:val="auto"/>
                <w:spacing w:val="0"/>
                <w:position w:val="0"/>
                <w:sz w:val="24"/>
                <w:szCs w:val="24"/>
                <w:highlight w:val="none"/>
              </w:rPr>
              <w:t>泄漏应急措施</w:t>
            </w:r>
          </w:p>
          <w:p w14:paraId="3873B61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b w:val="0"/>
                <w:bCs w:val="0"/>
                <w:color w:val="auto"/>
                <w:spacing w:val="0"/>
                <w:position w:val="0"/>
                <w:sz w:val="24"/>
                <w:szCs w:val="24"/>
                <w:highlight w:val="none"/>
              </w:rPr>
              <w:t>吸附收集：</w:t>
            </w:r>
            <w:r>
              <w:rPr>
                <w:rFonts w:hint="default" w:ascii="Times New Roman" w:hAnsi="Times New Roman" w:eastAsia="宋体" w:cs="Times New Roman"/>
                <w:color w:val="auto"/>
                <w:spacing w:val="0"/>
                <w:position w:val="0"/>
                <w:sz w:val="24"/>
                <w:szCs w:val="24"/>
                <w:highlight w:val="none"/>
              </w:rPr>
              <w:t>使用合适的吸附材料对泄漏的大豆卵磷脂进行吸附。吸附材料应具有良好的吸附性能和化学稳定性，如活性炭、硅藻土等。将吸附材料均匀撒在泄漏物表面，待吸附饱和后，使用铲子、扫帚等工具将吸附了大豆卵磷脂的材料收集到专用的容器中。</w:t>
            </w:r>
          </w:p>
          <w:p w14:paraId="6B362DA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b w:val="0"/>
                <w:bCs w:val="0"/>
                <w:color w:val="auto"/>
                <w:spacing w:val="0"/>
                <w:position w:val="0"/>
                <w:sz w:val="24"/>
                <w:szCs w:val="24"/>
                <w:highlight w:val="none"/>
              </w:rPr>
              <w:t>冲洗清洁：</w:t>
            </w:r>
            <w:r>
              <w:rPr>
                <w:rFonts w:hint="default" w:ascii="Times New Roman" w:hAnsi="Times New Roman" w:eastAsia="宋体" w:cs="Times New Roman"/>
                <w:color w:val="auto"/>
                <w:spacing w:val="0"/>
                <w:position w:val="0"/>
                <w:sz w:val="24"/>
                <w:szCs w:val="24"/>
                <w:highlight w:val="none"/>
              </w:rPr>
              <w:t>对于吸附后仍残留的大豆卵磷脂，可以使用大量的清水进行冲洗。冲洗时要注意水流的方向，避免泄漏物随水流扩散到其他区域。冲洗后的废水应收集到污水处理系统，进行相应的处理，达标后再排放。</w:t>
            </w:r>
          </w:p>
          <w:p w14:paraId="141B919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b w:val="0"/>
                <w:bCs w:val="0"/>
                <w:color w:val="auto"/>
                <w:spacing w:val="0"/>
                <w:position w:val="0"/>
                <w:sz w:val="24"/>
                <w:szCs w:val="24"/>
                <w:highlight w:val="none"/>
              </w:rPr>
              <w:t>回收处理：</w:t>
            </w:r>
            <w:r>
              <w:rPr>
                <w:rFonts w:hint="default" w:ascii="Times New Roman" w:hAnsi="Times New Roman" w:eastAsia="宋体" w:cs="Times New Roman"/>
                <w:color w:val="auto"/>
                <w:spacing w:val="0"/>
                <w:position w:val="0"/>
                <w:sz w:val="24"/>
                <w:szCs w:val="24"/>
                <w:highlight w:val="none"/>
              </w:rPr>
              <w:t>收集到的大豆卵磷脂及吸附材料，应根据其性质和相关规定进行处理。如果泄漏的大豆卵磷脂未受污染，且符合相关质量标准，可以进行回收再利用；对于受污染或无法回收的部分，应按照危险废物处理要求，交由有资质的专业机构进行处理，避免对环境造成污染。</w:t>
            </w:r>
          </w:p>
          <w:p w14:paraId="72BA234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lang w:eastAsia="zh-CN"/>
              </w:rPr>
            </w:pPr>
            <w:r>
              <w:rPr>
                <w:rFonts w:hint="eastAsia" w:cs="Times New Roman"/>
                <w:color w:val="auto"/>
                <w:spacing w:val="0"/>
                <w:position w:val="0"/>
                <w:sz w:val="24"/>
                <w:szCs w:val="24"/>
                <w:highlight w:val="none"/>
                <w:lang w:val="en-US" w:eastAsia="zh-CN"/>
              </w:rPr>
              <w:t>3</w:t>
            </w:r>
            <w:r>
              <w:rPr>
                <w:rFonts w:hint="eastAsia" w:ascii="Times New Roman" w:hAnsi="Times New Roman" w:eastAsia="宋体" w:cs="Times New Roman"/>
                <w:color w:val="auto"/>
                <w:spacing w:val="0"/>
                <w:position w:val="0"/>
                <w:sz w:val="24"/>
                <w:szCs w:val="24"/>
                <w:highlight w:val="none"/>
                <w:lang w:eastAsia="zh-CN"/>
              </w:rPr>
              <w:t>）天然气泄漏应急措施</w:t>
            </w:r>
          </w:p>
          <w:p w14:paraId="6385AF7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lang w:eastAsia="zh-CN"/>
              </w:rPr>
            </w:pPr>
            <w:r>
              <w:rPr>
                <w:rFonts w:hint="eastAsia" w:ascii="Times New Roman" w:hAnsi="Times New Roman" w:eastAsia="宋体" w:cs="Times New Roman"/>
                <w:color w:val="auto"/>
                <w:spacing w:val="0"/>
                <w:position w:val="0"/>
                <w:sz w:val="24"/>
                <w:szCs w:val="24"/>
                <w:highlight w:val="none"/>
                <w:lang w:eastAsia="zh-CN"/>
              </w:rPr>
              <w:t>避免点火源:立即关闭任何可能引起火花或火焰的设备或电器，并阻止吸烟、打火机等点火行为。</w:t>
            </w:r>
          </w:p>
          <w:p w14:paraId="3FDECE0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lang w:eastAsia="zh-CN"/>
              </w:rPr>
            </w:pPr>
            <w:r>
              <w:rPr>
                <w:rFonts w:hint="eastAsia" w:ascii="Times New Roman" w:hAnsi="Times New Roman" w:eastAsia="宋体" w:cs="Times New Roman"/>
                <w:color w:val="auto"/>
                <w:spacing w:val="0"/>
                <w:position w:val="0"/>
                <w:sz w:val="24"/>
                <w:szCs w:val="24"/>
                <w:highlight w:val="none"/>
                <w:lang w:eastAsia="zh-CN"/>
              </w:rPr>
              <w:t>呼叫紧急救援:立即通知当地的紧急服务机构，如消防部门、气体公司等，并提供详细的泄露情况描述。</w:t>
            </w:r>
          </w:p>
          <w:p w14:paraId="5A0B775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lang w:eastAsia="zh-CN"/>
              </w:rPr>
            </w:pPr>
            <w:r>
              <w:rPr>
                <w:rFonts w:hint="eastAsia" w:ascii="Times New Roman" w:hAnsi="Times New Roman" w:eastAsia="宋体" w:cs="Times New Roman"/>
                <w:color w:val="auto"/>
                <w:spacing w:val="0"/>
                <w:position w:val="0"/>
                <w:sz w:val="24"/>
                <w:szCs w:val="24"/>
                <w:highlight w:val="none"/>
                <w:lang w:eastAsia="zh-CN"/>
              </w:rPr>
              <w:t>疏散人员:确保所有人员迅速安全地撤离泄露区域，并远离可能的危险区域。使用紧急疏散通道不要使用电梯。</w:t>
            </w:r>
          </w:p>
          <w:p w14:paraId="1666E84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lang w:eastAsia="zh-CN"/>
              </w:rPr>
            </w:pPr>
            <w:r>
              <w:rPr>
                <w:rFonts w:hint="eastAsia" w:ascii="Times New Roman" w:hAnsi="Times New Roman" w:eastAsia="宋体" w:cs="Times New Roman"/>
                <w:color w:val="auto"/>
                <w:spacing w:val="0"/>
                <w:position w:val="0"/>
                <w:sz w:val="24"/>
                <w:szCs w:val="24"/>
                <w:highlight w:val="none"/>
                <w:lang w:eastAsia="zh-CN"/>
              </w:rPr>
              <w:t>切勿操作电器开关:不要开关电灯、电器或其他可能引发火花的设备，以免造成点火源。</w:t>
            </w:r>
          </w:p>
          <w:p w14:paraId="63EE339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lang w:eastAsia="zh-CN"/>
              </w:rPr>
            </w:pPr>
            <w:r>
              <w:rPr>
                <w:rFonts w:hint="eastAsia" w:ascii="Times New Roman" w:hAnsi="Times New Roman" w:eastAsia="宋体" w:cs="Times New Roman"/>
                <w:color w:val="auto"/>
                <w:spacing w:val="0"/>
                <w:position w:val="0"/>
                <w:sz w:val="24"/>
                <w:szCs w:val="24"/>
                <w:highlight w:val="none"/>
                <w:lang w:eastAsia="zh-CN"/>
              </w:rPr>
              <w:t>保持通风:打开门窗，促进室内外空气流通，有助于稀释泄露气体浓度</w:t>
            </w:r>
            <w:r>
              <w:rPr>
                <w:rFonts w:hint="eastAsia" w:cs="Times New Roman"/>
                <w:color w:val="auto"/>
                <w:spacing w:val="0"/>
                <w:position w:val="0"/>
                <w:sz w:val="24"/>
                <w:szCs w:val="24"/>
                <w:highlight w:val="none"/>
                <w:lang w:eastAsia="zh-CN"/>
              </w:rPr>
              <w:t>。</w:t>
            </w:r>
          </w:p>
          <w:p w14:paraId="5036A80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lang w:eastAsia="zh-CN"/>
              </w:rPr>
            </w:pPr>
            <w:r>
              <w:rPr>
                <w:rFonts w:hint="eastAsia" w:ascii="Times New Roman" w:hAnsi="Times New Roman" w:eastAsia="宋体" w:cs="Times New Roman"/>
                <w:color w:val="auto"/>
                <w:spacing w:val="0"/>
                <w:position w:val="0"/>
                <w:sz w:val="24"/>
                <w:szCs w:val="24"/>
                <w:highlight w:val="none"/>
                <w:lang w:eastAsia="zh-CN"/>
              </w:rPr>
              <w:t>阻止气体泄露源:如果条件允许，尽量关闭天然气阀门，以减少泄漏的气体量</w:t>
            </w:r>
            <w:r>
              <w:rPr>
                <w:rFonts w:hint="eastAsia" w:cs="Times New Roman"/>
                <w:color w:val="auto"/>
                <w:spacing w:val="0"/>
                <w:position w:val="0"/>
                <w:sz w:val="24"/>
                <w:szCs w:val="24"/>
                <w:highlight w:val="none"/>
                <w:lang w:eastAsia="zh-CN"/>
              </w:rPr>
              <w:t>。</w:t>
            </w:r>
          </w:p>
          <w:p w14:paraId="58FC309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lang w:eastAsia="zh-CN"/>
              </w:rPr>
            </w:pPr>
            <w:r>
              <w:rPr>
                <w:rFonts w:hint="eastAsia" w:ascii="Times New Roman" w:hAnsi="Times New Roman" w:eastAsia="宋体" w:cs="Times New Roman"/>
                <w:color w:val="auto"/>
                <w:spacing w:val="0"/>
                <w:position w:val="0"/>
                <w:sz w:val="24"/>
                <w:szCs w:val="24"/>
                <w:highlight w:val="none"/>
                <w:lang w:eastAsia="zh-CN"/>
              </w:rPr>
              <w:t>不要触动防爆电器设备:防爆设备通常会有指示灯或报警器，如果被触动，可能会引发火花，因此不应该操作。</w:t>
            </w:r>
          </w:p>
          <w:p w14:paraId="48BC8A4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lang w:eastAsia="zh-CN"/>
              </w:rPr>
            </w:pPr>
            <w:r>
              <w:rPr>
                <w:rFonts w:hint="eastAsia" w:ascii="Times New Roman" w:hAnsi="Times New Roman" w:eastAsia="宋体" w:cs="Times New Roman"/>
                <w:color w:val="auto"/>
                <w:spacing w:val="0"/>
                <w:position w:val="0"/>
                <w:sz w:val="24"/>
                <w:szCs w:val="24"/>
                <w:highlight w:val="none"/>
                <w:lang w:eastAsia="zh-CN"/>
              </w:rPr>
              <w:t>不要使用电话或移动设备:使用电话或移动设备时可能产生静电，引发火花，因此应尽量避免使用。</w:t>
            </w:r>
          </w:p>
          <w:p w14:paraId="0018FE4A">
            <w:pPr>
              <w:adjustRightInd w:val="0"/>
              <w:snapToGrid w:val="0"/>
              <w:spacing w:line="360" w:lineRule="auto"/>
              <w:ind w:firstLine="482" w:firstLineChars="200"/>
              <w:rPr>
                <w:rFonts w:hint="default" w:ascii="Times New Roman" w:hAnsi="Times New Roman" w:cs="Times New Roman"/>
                <w:b w:val="0"/>
                <w:bCs w:val="0"/>
                <w:color w:val="auto"/>
                <w:sz w:val="24"/>
                <w:szCs w:val="24"/>
                <w:lang w:eastAsia="zh-CN"/>
              </w:rPr>
            </w:pPr>
            <w:r>
              <w:rPr>
                <w:rFonts w:hint="default" w:ascii="Times New Roman" w:hAnsi="Times New Roman" w:cs="Times New Roman"/>
                <w:b/>
                <w:bCs/>
                <w:color w:val="auto"/>
                <w:kern w:val="0"/>
                <w:sz w:val="24"/>
                <w:szCs w:val="24"/>
                <w:lang w:val="en-US" w:eastAsia="zh-CN"/>
              </w:rPr>
              <w:t>7</w:t>
            </w:r>
            <w:r>
              <w:rPr>
                <w:rFonts w:hint="default" w:ascii="Times New Roman" w:hAnsi="Times New Roman" w:cs="Times New Roman"/>
                <w:b/>
                <w:bCs/>
                <w:color w:val="auto"/>
                <w:kern w:val="0"/>
                <w:sz w:val="24"/>
                <w:szCs w:val="24"/>
              </w:rPr>
              <w:t>、</w:t>
            </w:r>
            <w:r>
              <w:rPr>
                <w:rFonts w:hint="default" w:ascii="Times New Roman" w:hAnsi="Times New Roman" w:cs="Times New Roman"/>
                <w:b/>
                <w:bCs/>
                <w:color w:val="auto"/>
                <w:sz w:val="24"/>
                <w:szCs w:val="24"/>
                <w:lang w:eastAsia="zh-CN"/>
              </w:rPr>
              <w:t>项目环评与排污许可联动内容</w:t>
            </w:r>
          </w:p>
          <w:p w14:paraId="343191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根据安徽省生态环境厅于</w:t>
            </w:r>
            <w:r>
              <w:rPr>
                <w:rFonts w:hint="default" w:ascii="Times New Roman" w:hAnsi="Times New Roman" w:cs="Times New Roman"/>
                <w:b w:val="0"/>
                <w:bCs w:val="0"/>
                <w:color w:val="auto"/>
                <w:sz w:val="24"/>
                <w:szCs w:val="24"/>
                <w:lang w:val="en-US" w:eastAsia="zh-CN"/>
              </w:rPr>
              <w:t>2021年1月30日发布的</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安徽省生态环境厅关于统筹做好固定污染源排污许可日常监管工作的通知</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（皖环发[2021]7号），属于现行</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固定污染源排污许可分类管理名录</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eastAsia="zh-CN"/>
              </w:rPr>
              <w:t>内</w:t>
            </w:r>
            <w:r>
              <w:rPr>
                <w:rFonts w:hint="eastAsia" w:cs="Times New Roman"/>
                <w:b w:val="0"/>
                <w:bCs w:val="0"/>
                <w:color w:val="auto"/>
                <w:sz w:val="24"/>
                <w:szCs w:val="24"/>
                <w:lang w:val="en-US" w:eastAsia="zh-CN"/>
              </w:rPr>
              <w:t>简化</w:t>
            </w:r>
            <w:r>
              <w:rPr>
                <w:rFonts w:hint="default" w:ascii="Times New Roman" w:hAnsi="Times New Roman" w:cs="Times New Roman"/>
                <w:b w:val="0"/>
                <w:bCs w:val="0"/>
                <w:color w:val="auto"/>
                <w:sz w:val="24"/>
                <w:szCs w:val="24"/>
                <w:lang w:eastAsia="zh-CN"/>
              </w:rPr>
              <w:t>管理的行业，在环评文件中</w:t>
            </w:r>
            <w:r>
              <w:rPr>
                <w:rFonts w:hint="default" w:ascii="Times New Roman" w:hAnsi="Times New Roman" w:cs="Times New Roman"/>
                <w:b w:val="0"/>
                <w:bCs w:val="0"/>
                <w:color w:val="auto"/>
                <w:sz w:val="24"/>
                <w:szCs w:val="24"/>
                <w:lang w:val="en-US" w:eastAsia="zh-CN"/>
              </w:rPr>
              <w:t>需</w:t>
            </w:r>
            <w:r>
              <w:rPr>
                <w:rFonts w:hint="default" w:ascii="Times New Roman" w:hAnsi="Times New Roman" w:cs="Times New Roman"/>
                <w:b w:val="0"/>
                <w:bCs w:val="0"/>
                <w:color w:val="auto"/>
                <w:sz w:val="24"/>
                <w:szCs w:val="24"/>
                <w:lang w:eastAsia="zh-CN"/>
              </w:rPr>
              <w:t>明确“建设项目环境影响评价与排污许可联动内容”和</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eastAsia="zh-CN"/>
              </w:rPr>
              <w:t>建设项目排污许可申请与填发信息表</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eastAsia="zh-CN"/>
              </w:rPr>
              <w:t>。</w:t>
            </w:r>
          </w:p>
          <w:p w14:paraId="427C86CF">
            <w:pPr>
              <w:pStyle w:val="2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（1）排污许可管理</w:t>
            </w:r>
          </w:p>
          <w:p w14:paraId="048A3B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color w:val="auto"/>
                <w:sz w:val="24"/>
                <w:szCs w:val="24"/>
                <w:lang w:val="en-US" w:eastAsia="zh-CN"/>
              </w:rPr>
              <w:t>本项目为C1391 淀粉及淀粉制品制造、C1392 豆制品制造及C1393 蛋品加工</w:t>
            </w:r>
            <w:r>
              <w:rPr>
                <w:rFonts w:hint="eastAsia" w:cs="Times New Roman"/>
                <w:color w:val="auto"/>
                <w:sz w:val="24"/>
                <w:szCs w:val="24"/>
                <w:lang w:val="en-US" w:eastAsia="zh-CN"/>
              </w:rPr>
              <w:t>，年产1200吨蛋类制品、500吨淀粉制品和200吨豆制品项目</w:t>
            </w:r>
            <w:r>
              <w:rPr>
                <w:rFonts w:hint="default" w:ascii="Times New Roman" w:hAnsi="Times New Roman" w:cs="Times New Roman"/>
                <w:color w:val="auto"/>
                <w:sz w:val="24"/>
                <w:szCs w:val="24"/>
                <w:lang w:eastAsia="zh-CN"/>
              </w:rPr>
              <w:t>；对照</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固定污染源排污许可分类管理名录</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2019年版</w:t>
            </w:r>
            <w:r>
              <w:rPr>
                <w:rFonts w:hint="default" w:ascii="Times New Roman" w:hAnsi="Times New Roman" w:cs="Times New Roman"/>
                <w:b w:val="0"/>
                <w:bCs w:val="0"/>
                <w:color w:val="auto"/>
                <w:sz w:val="24"/>
                <w:szCs w:val="24"/>
                <w:lang w:eastAsia="zh-CN"/>
              </w:rPr>
              <w:t>），C1391 淀粉及淀粉制品制造、C1392 豆制品制造属于</w:t>
            </w:r>
            <w:r>
              <w:rPr>
                <w:rFonts w:hint="eastAsia" w:cs="Times New Roman"/>
                <w:b w:val="0"/>
                <w:bCs w:val="0"/>
                <w:color w:val="auto"/>
                <w:sz w:val="24"/>
                <w:szCs w:val="24"/>
                <w:lang w:val="en-US" w:eastAsia="zh-CN"/>
              </w:rPr>
              <w:t>“八、农副食品加工业 13-16-其他农副食品加工 139”中“其他*”，为登记管理。对照《固定污染源排污许可分类管理名录》（2019年版）无蛋品加工类别。综合来看，取最高等级，判定为排污许可中“登记管理”，项目运营前应办理排污许可。</w:t>
            </w:r>
          </w:p>
          <w:p w14:paraId="15565B6D">
            <w:pPr>
              <w:pStyle w:val="2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（2）建设项目排污许可申请与填发信息表</w:t>
            </w:r>
          </w:p>
          <w:p w14:paraId="11E518EC">
            <w:pPr>
              <w:adjustRightInd w:val="0"/>
              <w:snapToGrid w:val="0"/>
              <w:spacing w:line="360" w:lineRule="auto"/>
              <w:ind w:firstLine="480"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color w:val="auto"/>
                <w:sz w:val="24"/>
                <w:szCs w:val="24"/>
                <w:lang w:val="en-US" w:eastAsia="zh-CN"/>
              </w:rPr>
              <w:t>本项目属于排污许可</w:t>
            </w:r>
            <w:r>
              <w:rPr>
                <w:rFonts w:hint="eastAsia" w:cs="Times New Roman"/>
                <w:color w:val="auto"/>
                <w:sz w:val="24"/>
                <w:szCs w:val="24"/>
                <w:lang w:val="en-US" w:eastAsia="zh-CN"/>
              </w:rPr>
              <w:t>登记</w:t>
            </w:r>
            <w:r>
              <w:rPr>
                <w:rFonts w:hint="default" w:ascii="Times New Roman" w:hAnsi="Times New Roman" w:cs="Times New Roman"/>
                <w:color w:val="auto"/>
                <w:sz w:val="24"/>
                <w:szCs w:val="24"/>
                <w:lang w:val="en-US" w:eastAsia="zh-CN"/>
              </w:rPr>
              <w:t>管理，在环评文件中</w:t>
            </w:r>
            <w:r>
              <w:rPr>
                <w:rFonts w:hint="eastAsia" w:cs="Times New Roman"/>
                <w:color w:val="auto"/>
                <w:sz w:val="24"/>
                <w:szCs w:val="24"/>
                <w:lang w:val="en-US" w:eastAsia="zh-CN"/>
              </w:rPr>
              <w:t>无</w:t>
            </w:r>
            <w:r>
              <w:rPr>
                <w:rFonts w:hint="default" w:ascii="Times New Roman" w:hAnsi="Times New Roman" w:cs="Times New Roman"/>
                <w:color w:val="auto"/>
                <w:sz w:val="24"/>
                <w:szCs w:val="24"/>
                <w:lang w:val="en-US" w:eastAsia="zh-CN"/>
              </w:rPr>
              <w:t>需明确</w:t>
            </w:r>
            <w:r>
              <w:rPr>
                <w:rFonts w:hint="default" w:ascii="Times New Roman" w:hAnsi="Times New Roman" w:cs="Times New Roman"/>
                <w:b w:val="0"/>
                <w:bCs w:val="0"/>
                <w:color w:val="auto"/>
                <w:sz w:val="24"/>
                <w:szCs w:val="24"/>
                <w:lang w:eastAsia="zh-CN"/>
              </w:rPr>
              <w:t>“建设项目环境影响评价与排污许可联动内容”和</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eastAsia="zh-CN"/>
              </w:rPr>
              <w:t>建设项目排污许可申请与填发信息表</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eastAsia="zh-CN"/>
              </w:rPr>
              <w:t>。</w:t>
            </w:r>
          </w:p>
          <w:p w14:paraId="0D5969DA">
            <w:pPr>
              <w:adjustRightInd w:val="0"/>
              <w:snapToGrid w:val="0"/>
              <w:spacing w:line="240" w:lineRule="auto"/>
              <w:ind w:firstLine="482" w:firstLineChars="200"/>
              <w:rPr>
                <w:rFonts w:hint="default" w:ascii="Times New Roman" w:hAnsi="Times New Roman" w:cs="Times New Roman"/>
                <w:b w:val="0"/>
                <w:bCs w:val="0"/>
                <w:color w:val="auto"/>
                <w:sz w:val="24"/>
                <w:szCs w:val="24"/>
                <w:lang w:eastAsia="zh-CN"/>
              </w:rPr>
            </w:pPr>
            <w:r>
              <w:rPr>
                <w:rFonts w:hint="default" w:ascii="Times New Roman" w:hAnsi="Times New Roman" w:cs="Times New Roman"/>
                <w:b/>
                <w:bCs/>
                <w:color w:val="auto"/>
                <w:sz w:val="24"/>
                <w:szCs w:val="24"/>
                <w:lang w:val="en-US" w:eastAsia="zh-CN"/>
              </w:rPr>
              <w:t>8、</w:t>
            </w:r>
            <w:r>
              <w:rPr>
                <w:rFonts w:hint="default" w:ascii="Times New Roman" w:hAnsi="Times New Roman" w:cs="Times New Roman"/>
                <w:b/>
                <w:bCs/>
                <w:color w:val="auto"/>
                <w:sz w:val="24"/>
                <w:szCs w:val="24"/>
                <w:lang w:eastAsia="zh-CN"/>
              </w:rPr>
              <w:t>环保投资</w:t>
            </w:r>
          </w:p>
          <w:p w14:paraId="6EBFC4E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eastAsia="zh-CN"/>
              </w:rPr>
              <w:t>本项目总投资</w:t>
            </w:r>
            <w:r>
              <w:rPr>
                <w:rFonts w:hint="eastAsia" w:cs="Times New Roman"/>
                <w:b w:val="0"/>
                <w:bCs w:val="0"/>
                <w:color w:val="auto"/>
                <w:sz w:val="24"/>
                <w:szCs w:val="24"/>
                <w:lang w:val="en-US" w:eastAsia="zh-CN"/>
              </w:rPr>
              <w:t>10100</w:t>
            </w:r>
            <w:r>
              <w:rPr>
                <w:rFonts w:hint="default" w:ascii="Times New Roman" w:hAnsi="Times New Roman" w:cs="Times New Roman"/>
                <w:b w:val="0"/>
                <w:bCs w:val="0"/>
                <w:color w:val="auto"/>
                <w:sz w:val="24"/>
                <w:szCs w:val="24"/>
                <w:lang w:val="en-US" w:eastAsia="zh-CN"/>
              </w:rPr>
              <w:t>万元，预计环保投资</w:t>
            </w:r>
            <w:r>
              <w:rPr>
                <w:rFonts w:hint="eastAsia" w:cs="Times New Roman"/>
                <w:b w:val="0"/>
                <w:bCs w:val="0"/>
                <w:color w:val="auto"/>
                <w:sz w:val="24"/>
                <w:szCs w:val="24"/>
                <w:lang w:val="en-US" w:eastAsia="zh-CN"/>
              </w:rPr>
              <w:t>74</w:t>
            </w:r>
            <w:r>
              <w:rPr>
                <w:rFonts w:hint="default" w:ascii="Times New Roman" w:hAnsi="Times New Roman" w:cs="Times New Roman"/>
                <w:b w:val="0"/>
                <w:bCs w:val="0"/>
                <w:color w:val="auto"/>
                <w:sz w:val="24"/>
                <w:szCs w:val="24"/>
                <w:lang w:val="en-US" w:eastAsia="zh-CN"/>
              </w:rPr>
              <w:t>万元，占总投资的</w:t>
            </w:r>
            <w:r>
              <w:rPr>
                <w:rFonts w:hint="eastAsia" w:cs="Times New Roman"/>
                <w:b w:val="0"/>
                <w:bCs w:val="0"/>
                <w:color w:val="auto"/>
                <w:sz w:val="24"/>
                <w:szCs w:val="24"/>
                <w:lang w:val="en-US" w:eastAsia="zh-CN"/>
              </w:rPr>
              <w:t>0.73</w:t>
            </w:r>
            <w:r>
              <w:rPr>
                <w:rFonts w:hint="default" w:ascii="Times New Roman" w:hAnsi="Times New Roman" w:cs="Times New Roman"/>
                <w:b w:val="0"/>
                <w:bCs w:val="0"/>
                <w:color w:val="auto"/>
                <w:sz w:val="24"/>
                <w:szCs w:val="24"/>
                <w:lang w:val="en-US" w:eastAsia="zh-CN"/>
              </w:rPr>
              <w:t>%。</w:t>
            </w:r>
          </w:p>
          <w:p w14:paraId="77513ABC">
            <w:pPr>
              <w:pStyle w:val="2"/>
              <w:rPr>
                <w:rFonts w:hint="default"/>
                <w:lang w:val="en-US" w:eastAsia="zh-CN"/>
              </w:rPr>
            </w:pPr>
          </w:p>
          <w:p w14:paraId="4AE0E549">
            <w:pPr>
              <w:pStyle w:val="72"/>
              <w:adjustRightInd/>
              <w:spacing w:beforeLines="0" w:afterLines="0" w:line="240" w:lineRule="auto"/>
              <w:rPr>
                <w:rFonts w:hint="default" w:ascii="Times New Roman" w:hAnsi="Times New Roman" w:eastAsia="宋体" w:cs="Times New Roman"/>
                <w:b/>
                <w:bCs/>
                <w:color w:val="auto"/>
                <w:spacing w:val="0"/>
                <w:kern w:val="0"/>
                <w:sz w:val="21"/>
                <w:szCs w:val="21"/>
                <w:lang w:val="en-US" w:eastAsia="zh-CN" w:bidi="ar-SA"/>
              </w:rPr>
            </w:pPr>
            <w:r>
              <w:rPr>
                <w:rFonts w:hint="default" w:ascii="Times New Roman" w:hAnsi="Times New Roman" w:eastAsia="宋体" w:cs="Times New Roman"/>
                <w:b/>
                <w:bCs/>
                <w:color w:val="auto"/>
                <w:spacing w:val="0"/>
                <w:kern w:val="0"/>
                <w:sz w:val="21"/>
                <w:szCs w:val="21"/>
                <w:lang w:val="en-US" w:eastAsia="zh-CN" w:bidi="ar-SA"/>
              </w:rPr>
              <w:t>表4-</w:t>
            </w:r>
            <w:r>
              <w:rPr>
                <w:rFonts w:hint="eastAsia" w:ascii="Times New Roman" w:hAnsi="Times New Roman" w:eastAsia="宋体" w:cs="Times New Roman"/>
                <w:b/>
                <w:bCs/>
                <w:color w:val="auto"/>
                <w:spacing w:val="0"/>
                <w:kern w:val="0"/>
                <w:sz w:val="21"/>
                <w:szCs w:val="21"/>
                <w:lang w:val="en-US" w:eastAsia="zh-CN" w:bidi="ar-SA"/>
              </w:rPr>
              <w:t xml:space="preserve">19  </w:t>
            </w:r>
            <w:r>
              <w:rPr>
                <w:rFonts w:hint="default" w:ascii="Times New Roman" w:hAnsi="Times New Roman" w:eastAsia="宋体" w:cs="Times New Roman"/>
                <w:b/>
                <w:bCs/>
                <w:color w:val="auto"/>
                <w:spacing w:val="0"/>
                <w:kern w:val="0"/>
                <w:sz w:val="21"/>
                <w:szCs w:val="21"/>
                <w:lang w:val="en-US" w:eastAsia="zh-CN" w:bidi="ar-SA"/>
              </w:rPr>
              <w:t>环保投资一览表</w:t>
            </w:r>
          </w:p>
          <w:tbl>
            <w:tblPr>
              <w:tblStyle w:val="25"/>
              <w:tblW w:w="9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1036"/>
              <w:gridCol w:w="2371"/>
              <w:gridCol w:w="3780"/>
              <w:gridCol w:w="940"/>
            </w:tblGrid>
            <w:tr w14:paraId="138A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F2E755">
                  <w:pPr>
                    <w:pStyle w:val="56"/>
                    <w:spacing w:beforeLines="0" w:afterLines="0" w:line="240" w:lineRule="auto"/>
                    <w:ind w:left="-105" w:leftChars="-50" w:right="-105" w:rightChars="-5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污染源</w:t>
                  </w:r>
                </w:p>
              </w:tc>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251B60">
                  <w:pPr>
                    <w:pStyle w:val="56"/>
                    <w:spacing w:beforeLines="0" w:afterLines="0" w:line="240" w:lineRule="auto"/>
                    <w:ind w:left="-105" w:leftChars="-50" w:right="-105" w:rightChars="-5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项目</w:t>
                  </w:r>
                </w:p>
              </w:tc>
              <w:tc>
                <w:tcPr>
                  <w:tcW w:w="13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C5D9B0">
                  <w:pPr>
                    <w:pStyle w:val="56"/>
                    <w:spacing w:beforeLines="0" w:afterLines="0" w:line="240" w:lineRule="auto"/>
                    <w:ind w:left="-105" w:leftChars="-50" w:right="-105" w:rightChars="-5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主要措施说明</w:t>
                  </w:r>
                </w:p>
              </w:tc>
              <w:tc>
                <w:tcPr>
                  <w:tcW w:w="20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1A24C0">
                  <w:pPr>
                    <w:pStyle w:val="56"/>
                    <w:spacing w:beforeLines="0" w:afterLines="0" w:line="240" w:lineRule="auto"/>
                    <w:ind w:left="-105" w:leftChars="-50" w:right="-105" w:rightChars="-5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预期效果</w:t>
                  </w:r>
                </w:p>
              </w:tc>
              <w:tc>
                <w:tcPr>
                  <w:tcW w:w="5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57F1F9">
                  <w:pPr>
                    <w:pStyle w:val="56"/>
                    <w:spacing w:beforeLines="0" w:afterLines="0" w:line="240" w:lineRule="auto"/>
                    <w:ind w:left="-105" w:leftChars="-50" w:right="-105" w:rightChars="-5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环保投资</w:t>
                  </w:r>
                </w:p>
                <w:p w14:paraId="204AFC14">
                  <w:pPr>
                    <w:pStyle w:val="56"/>
                    <w:spacing w:beforeLines="0" w:afterLines="0" w:line="240" w:lineRule="auto"/>
                    <w:ind w:left="-105" w:leftChars="-50" w:right="-105" w:rightChars="-50"/>
                    <w:jc w:val="center"/>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（万元）</w:t>
                  </w:r>
                </w:p>
              </w:tc>
            </w:tr>
            <w:tr w14:paraId="780A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53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720C6E4">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废气</w:t>
                  </w:r>
                </w:p>
              </w:tc>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0E4962">
                  <w:pPr>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配料粉尘</w:t>
                  </w:r>
                </w:p>
              </w:tc>
              <w:tc>
                <w:tcPr>
                  <w:tcW w:w="13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B36A19">
                  <w:pPr>
                    <w:adjustRightInd w:val="0"/>
                    <w:spacing w:beforeLines="0" w:afterLines="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布袋除尘器+1根1</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rPr>
                    <w:t>m高排气筒（DA001）</w:t>
                  </w:r>
                </w:p>
              </w:tc>
              <w:tc>
                <w:tcPr>
                  <w:tcW w:w="20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1B3EF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《大气污染物综合排放标准》（GB16297-1996）</w:t>
                  </w:r>
                </w:p>
              </w:tc>
              <w:tc>
                <w:tcPr>
                  <w:tcW w:w="5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FF7A0D">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8</w:t>
                  </w:r>
                </w:p>
              </w:tc>
            </w:tr>
            <w:tr w14:paraId="1E34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536" w:type="pct"/>
                  <w:vMerge w:val="continue"/>
                  <w:tcBorders>
                    <w:left w:val="single" w:color="auto" w:sz="4" w:space="0"/>
                    <w:right w:val="single" w:color="auto" w:sz="4" w:space="0"/>
                    <w:tl2br w:val="nil"/>
                    <w:tr2bl w:val="nil"/>
                  </w:tcBorders>
                  <w:noWrap w:val="0"/>
                  <w:vAlign w:val="center"/>
                </w:tcPr>
                <w:p w14:paraId="02211463">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rPr>
                  </w:pPr>
                </w:p>
              </w:tc>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F35AEF">
                  <w:pPr>
                    <w:adjustRightInd w:val="0"/>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油炸油烟</w:t>
                  </w:r>
                </w:p>
              </w:tc>
              <w:tc>
                <w:tcPr>
                  <w:tcW w:w="13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B39C9C">
                  <w:pPr>
                    <w:adjustRightInd w:val="0"/>
                    <w:spacing w:beforeLines="0" w:afterLines="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油烟净化器+</w:t>
                  </w:r>
                  <w:r>
                    <w:rPr>
                      <w:rFonts w:hint="default" w:ascii="Times New Roman" w:hAnsi="Times New Roman" w:cs="Times New Roman"/>
                      <w:color w:val="auto"/>
                      <w:sz w:val="21"/>
                      <w:szCs w:val="21"/>
                      <w:lang w:val="en-US" w:eastAsia="zh-CN"/>
                    </w:rPr>
                    <w:t>1根1</w:t>
                  </w:r>
                  <w:r>
                    <w:rPr>
                      <w:rFonts w:hint="eastAsia" w:cs="Times New Roman"/>
                      <w:color w:val="auto"/>
                      <w:sz w:val="21"/>
                      <w:szCs w:val="21"/>
                      <w:lang w:val="en-US" w:eastAsia="zh-CN"/>
                    </w:rPr>
                    <w:t>7</w:t>
                  </w:r>
                  <w:r>
                    <w:rPr>
                      <w:rFonts w:hint="default" w:ascii="Times New Roman" w:hAnsi="Times New Roman" w:cs="Times New Roman"/>
                      <w:color w:val="auto"/>
                      <w:sz w:val="21"/>
                      <w:szCs w:val="21"/>
                      <w:lang w:val="en-US" w:eastAsia="zh-CN"/>
                    </w:rPr>
                    <w:t>m高排气筒（DA002）</w:t>
                  </w:r>
                </w:p>
              </w:tc>
              <w:tc>
                <w:tcPr>
                  <w:tcW w:w="20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41064F">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4"/>
                    </w:rPr>
                    <w:t>《饮食业油烟排放标准（试行）》（GB18483-2001）</w:t>
                  </w:r>
                </w:p>
              </w:tc>
              <w:tc>
                <w:tcPr>
                  <w:tcW w:w="5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9E8D17">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14:paraId="049C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536" w:type="pct"/>
                  <w:vMerge w:val="continue"/>
                  <w:tcBorders>
                    <w:left w:val="single" w:color="auto" w:sz="4" w:space="0"/>
                    <w:right w:val="single" w:color="auto" w:sz="4" w:space="0"/>
                    <w:tl2br w:val="nil"/>
                    <w:tr2bl w:val="nil"/>
                  </w:tcBorders>
                  <w:noWrap w:val="0"/>
                  <w:vAlign w:val="center"/>
                </w:tcPr>
                <w:p w14:paraId="15605C43">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rPr>
                  </w:pPr>
                </w:p>
              </w:tc>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C60153">
                  <w:pPr>
                    <w:adjustRightInd w:val="0"/>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食堂油烟</w:t>
                  </w:r>
                </w:p>
              </w:tc>
              <w:tc>
                <w:tcPr>
                  <w:tcW w:w="13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D7939E">
                  <w:pPr>
                    <w:adjustRightInd w:val="0"/>
                    <w:spacing w:beforeLines="0" w:afterLines="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油烟净化器+专用烟道</w:t>
                  </w:r>
                </w:p>
              </w:tc>
              <w:tc>
                <w:tcPr>
                  <w:tcW w:w="20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3AAE88">
                  <w:pPr>
                    <w:pStyle w:val="49"/>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《饮食业油烟排放标准（试行）》（GB18483-2001）</w:t>
                  </w:r>
                </w:p>
              </w:tc>
              <w:tc>
                <w:tcPr>
                  <w:tcW w:w="5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8C46F2">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r>
            <w:tr w14:paraId="54D9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536" w:type="pct"/>
                  <w:vMerge w:val="continue"/>
                  <w:tcBorders>
                    <w:left w:val="single" w:color="auto" w:sz="4" w:space="0"/>
                    <w:right w:val="single" w:color="auto" w:sz="4" w:space="0"/>
                    <w:tl2br w:val="nil"/>
                    <w:tr2bl w:val="nil"/>
                  </w:tcBorders>
                  <w:noWrap w:val="0"/>
                  <w:vAlign w:val="center"/>
                </w:tcPr>
                <w:p w14:paraId="100D623C">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rPr>
                  </w:pPr>
                </w:p>
              </w:tc>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CF3905">
                  <w:pPr>
                    <w:adjustRightInd w:val="0"/>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天然气燃烧废气</w:t>
                  </w:r>
                </w:p>
              </w:tc>
              <w:tc>
                <w:tcPr>
                  <w:tcW w:w="13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3F1972">
                  <w:pPr>
                    <w:adjustRightInd w:val="0"/>
                    <w:spacing w:beforeLines="0" w:afterLines="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低氮燃烧器+1根1</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m高排气筒（DA00</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20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B0B8C0">
                  <w:pPr>
                    <w:pStyle w:val="49"/>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颗粒物、SO2、NOx、烟气黑度执行《锅炉大气污染物排放标准》（GB13271-2014）排放限值要求，NOx同时执行皖大气办[2020]2号 安徽省大气办关于印发《安徽省2020年大气污染防治重点工作任务》的通知中不高于50mg/m3的排放限值要求</w:t>
                  </w:r>
                </w:p>
              </w:tc>
              <w:tc>
                <w:tcPr>
                  <w:tcW w:w="5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16ECB0">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r>
            <w:tr w14:paraId="11EF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3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CF4D981">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p>
              </w:tc>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D29B34">
                  <w:pPr>
                    <w:adjustRightInd w:val="0"/>
                    <w:spacing w:beforeLines="0" w:afterLine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污水处理站恶臭</w:t>
                  </w:r>
                </w:p>
              </w:tc>
              <w:tc>
                <w:tcPr>
                  <w:tcW w:w="13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7F4750">
                  <w:pPr>
                    <w:adjustRightInd w:val="0"/>
                    <w:spacing w:beforeLines="0" w:afterLines="0"/>
                    <w:ind w:left="-105" w:leftChars="-50" w:right="-105" w:rightChars="-5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恶臭单元密闭，定期添加除臭剂</w:t>
                  </w:r>
                  <w:r>
                    <w:rPr>
                      <w:rFonts w:hint="default" w:ascii="Times New Roman" w:hAnsi="Times New Roman" w:cs="Times New Roman"/>
                      <w:color w:val="auto"/>
                      <w:sz w:val="21"/>
                      <w:szCs w:val="21"/>
                      <w:lang w:eastAsia="zh-CN"/>
                    </w:rPr>
                    <w:t>（污水除臭剂）</w:t>
                  </w:r>
                </w:p>
              </w:tc>
              <w:tc>
                <w:tcPr>
                  <w:tcW w:w="20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9C4EEE">
                  <w:pPr>
                    <w:pStyle w:val="49"/>
                    <w:adjustRightInd w:val="0"/>
                    <w:snapToGrid w:val="0"/>
                    <w:spacing w:beforeLines="0" w:after="0" w:afterLines="0"/>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符合《恶臭污染物排放标准》（GB14554-93）</w:t>
                  </w:r>
                </w:p>
              </w:tc>
              <w:tc>
                <w:tcPr>
                  <w:tcW w:w="5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81AF0A">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r>
            <w:tr w14:paraId="07E5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36" w:type="pct"/>
                  <w:vMerge w:val="restart"/>
                  <w:tcBorders>
                    <w:top w:val="single" w:color="auto" w:sz="4" w:space="0"/>
                    <w:left w:val="single" w:color="auto" w:sz="4" w:space="0"/>
                    <w:right w:val="single" w:color="auto" w:sz="4" w:space="0"/>
                    <w:tl2br w:val="nil"/>
                    <w:tr2bl w:val="nil"/>
                  </w:tcBorders>
                  <w:noWrap w:val="0"/>
                  <w:vAlign w:val="center"/>
                </w:tcPr>
                <w:p w14:paraId="160A06A5">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废水</w:t>
                  </w:r>
                </w:p>
              </w:tc>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D19239">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生活污水</w:t>
                  </w:r>
                </w:p>
              </w:tc>
              <w:tc>
                <w:tcPr>
                  <w:tcW w:w="1302" w:type="pct"/>
                  <w:tcBorders>
                    <w:top w:val="single" w:color="auto" w:sz="4" w:space="0"/>
                    <w:left w:val="single" w:color="auto" w:sz="4" w:space="0"/>
                    <w:right w:val="single" w:color="auto" w:sz="4" w:space="0"/>
                    <w:tl2br w:val="nil"/>
                    <w:tr2bl w:val="nil"/>
                  </w:tcBorders>
                  <w:noWrap w:val="0"/>
                  <w:vAlign w:val="center"/>
                </w:tcPr>
                <w:p w14:paraId="61B84052">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隔油池、化粪池</w:t>
                  </w:r>
                </w:p>
              </w:tc>
              <w:tc>
                <w:tcPr>
                  <w:tcW w:w="2076" w:type="pct"/>
                  <w:tcBorders>
                    <w:top w:val="single" w:color="auto" w:sz="4" w:space="0"/>
                    <w:left w:val="single" w:color="auto" w:sz="4" w:space="0"/>
                    <w:right w:val="single" w:color="auto" w:sz="4" w:space="0"/>
                    <w:tl2br w:val="nil"/>
                    <w:tr2bl w:val="nil"/>
                  </w:tcBorders>
                  <w:noWrap w:val="0"/>
                  <w:vAlign w:val="center"/>
                </w:tcPr>
                <w:p w14:paraId="02A89B59">
                  <w:pPr>
                    <w:pStyle w:val="56"/>
                    <w:spacing w:beforeLines="0" w:afterLines="0" w:line="240" w:lineRule="auto"/>
                    <w:ind w:left="-105" w:leftChars="-50" w:right="-105" w:rightChars="-5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516" w:type="pct"/>
                  <w:tcBorders>
                    <w:top w:val="single" w:color="auto" w:sz="4" w:space="0"/>
                    <w:left w:val="single" w:color="auto" w:sz="4" w:space="0"/>
                    <w:right w:val="single" w:color="auto" w:sz="4" w:space="0"/>
                    <w:tl2br w:val="nil"/>
                    <w:tr2bl w:val="nil"/>
                  </w:tcBorders>
                  <w:noWrap w:val="0"/>
                  <w:vAlign w:val="center"/>
                </w:tcPr>
                <w:p w14:paraId="2B6D0AE3">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r>
            <w:tr w14:paraId="6008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536" w:type="pct"/>
                  <w:vMerge w:val="continue"/>
                  <w:tcBorders>
                    <w:left w:val="single" w:color="auto" w:sz="4" w:space="0"/>
                    <w:bottom w:val="single" w:color="auto" w:sz="4" w:space="0"/>
                    <w:right w:val="single" w:color="auto" w:sz="4" w:space="0"/>
                    <w:tl2br w:val="nil"/>
                    <w:tr2bl w:val="nil"/>
                  </w:tcBorders>
                  <w:noWrap w:val="0"/>
                  <w:vAlign w:val="center"/>
                </w:tcPr>
                <w:p w14:paraId="4A074563">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rPr>
                  </w:pPr>
                </w:p>
              </w:tc>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B1E4D9">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w:t>
                  </w:r>
                </w:p>
              </w:tc>
              <w:tc>
                <w:tcPr>
                  <w:tcW w:w="1302" w:type="pct"/>
                  <w:tcBorders>
                    <w:left w:val="single" w:color="auto" w:sz="4" w:space="0"/>
                    <w:bottom w:val="single" w:color="auto" w:sz="4" w:space="0"/>
                    <w:right w:val="single" w:color="auto" w:sz="4" w:space="0"/>
                    <w:tl2br w:val="nil"/>
                    <w:tr2bl w:val="nil"/>
                  </w:tcBorders>
                  <w:noWrap w:val="0"/>
                  <w:vAlign w:val="center"/>
                </w:tcPr>
                <w:p w14:paraId="0940CBE6">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自建处理规模为3t/d的污水处理站，处理工艺选用调节+缺氧+接触氧化+二沉池+清水池。建设1m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废水暂存池</w:t>
                  </w:r>
                </w:p>
              </w:tc>
              <w:tc>
                <w:tcPr>
                  <w:tcW w:w="2076" w:type="pct"/>
                  <w:tcBorders>
                    <w:left w:val="single" w:color="auto" w:sz="4" w:space="0"/>
                    <w:bottom w:val="single" w:color="auto" w:sz="4" w:space="0"/>
                    <w:right w:val="single" w:color="auto" w:sz="4" w:space="0"/>
                    <w:tl2br w:val="nil"/>
                    <w:tr2bl w:val="nil"/>
                  </w:tcBorders>
                  <w:noWrap w:val="0"/>
                  <w:vAlign w:val="center"/>
                </w:tcPr>
                <w:p w14:paraId="40AF1645">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《城市污水再生利用城市杂用水水质》GB/T 18920-2020</w:t>
                  </w:r>
                </w:p>
              </w:tc>
              <w:tc>
                <w:tcPr>
                  <w:tcW w:w="516" w:type="pct"/>
                  <w:tcBorders>
                    <w:left w:val="single" w:color="auto" w:sz="4" w:space="0"/>
                    <w:bottom w:val="single" w:color="auto" w:sz="4" w:space="0"/>
                    <w:right w:val="single" w:color="auto" w:sz="4" w:space="0"/>
                    <w:tl2br w:val="nil"/>
                    <w:tr2bl w:val="nil"/>
                  </w:tcBorders>
                  <w:noWrap w:val="0"/>
                  <w:vAlign w:val="center"/>
                </w:tcPr>
                <w:p w14:paraId="64B685A0">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r>
            <w:tr w14:paraId="0CC6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5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4ECF32">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噪声</w:t>
                  </w:r>
                </w:p>
              </w:tc>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278A1F">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噪声治理</w:t>
                  </w:r>
                </w:p>
              </w:tc>
              <w:tc>
                <w:tcPr>
                  <w:tcW w:w="13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2E7F22">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选用低噪声设备、基础减震等</w:t>
                  </w:r>
                </w:p>
              </w:tc>
              <w:tc>
                <w:tcPr>
                  <w:tcW w:w="20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34C0F2">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符合《工业企业厂界环境噪声排放标准（GB12348-2008）标准中</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类标准要求</w:t>
                  </w:r>
                </w:p>
              </w:tc>
              <w:tc>
                <w:tcPr>
                  <w:tcW w:w="5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A34E17">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14:paraId="51A6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141A63">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固废</w:t>
                  </w:r>
                </w:p>
              </w:tc>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E5B698">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固废治理</w:t>
                  </w:r>
                </w:p>
              </w:tc>
              <w:tc>
                <w:tcPr>
                  <w:tcW w:w="337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BC8A776">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设置垃圾桶、一般固废暂存间</w:t>
                  </w:r>
                </w:p>
              </w:tc>
              <w:tc>
                <w:tcPr>
                  <w:tcW w:w="5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6F44C3">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5</w:t>
                  </w:r>
                </w:p>
              </w:tc>
            </w:tr>
            <w:tr w14:paraId="5DCE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10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EA55A42">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地下水、土壤</w:t>
                  </w:r>
                </w:p>
                <w:p w14:paraId="2B03E1E8">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防渗措施</w:t>
                  </w:r>
                </w:p>
              </w:tc>
              <w:tc>
                <w:tcPr>
                  <w:tcW w:w="337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610E100">
                  <w:pPr>
                    <w:pStyle w:val="14"/>
                    <w:tabs>
                      <w:tab w:val="left" w:pos="0"/>
                    </w:tabs>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分区防渗：</w:t>
                  </w:r>
                  <w:r>
                    <w:rPr>
                      <w:rFonts w:hint="eastAsia" w:ascii="Times New Roman" w:hAnsi="Times New Roman" w:cs="Times New Roman"/>
                      <w:color w:val="auto"/>
                      <w:sz w:val="21"/>
                      <w:szCs w:val="21"/>
                      <w:lang w:val="en-US" w:eastAsia="zh-CN"/>
                    </w:rPr>
                    <w:t>污水处理站、生产区域、</w:t>
                  </w:r>
                  <w:r>
                    <w:rPr>
                      <w:rFonts w:hint="default" w:ascii="Times New Roman" w:hAnsi="Times New Roman" w:cs="Times New Roman"/>
                      <w:color w:val="auto"/>
                      <w:sz w:val="21"/>
                      <w:szCs w:val="21"/>
                      <w:lang w:val="en-US" w:eastAsia="zh-CN"/>
                    </w:rPr>
                    <w:t>一般固废暂存间一般防渗</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其他区域简单防渗</w:t>
                  </w:r>
                </w:p>
              </w:tc>
              <w:tc>
                <w:tcPr>
                  <w:tcW w:w="5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C78275">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8</w:t>
                  </w:r>
                </w:p>
              </w:tc>
            </w:tr>
            <w:tr w14:paraId="0E1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91E775C">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风险防范</w:t>
                  </w:r>
                </w:p>
              </w:tc>
              <w:tc>
                <w:tcPr>
                  <w:tcW w:w="337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F05ECB9">
                  <w:pPr>
                    <w:pStyle w:val="14"/>
                    <w:tabs>
                      <w:tab w:val="left" w:pos="0"/>
                    </w:tabs>
                    <w:spacing w:beforeLines="0" w:afterLines="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设置分区防渗，设置应急预案、加强员工风险防范意识、规范生产操作</w:t>
                  </w:r>
                  <w:r>
                    <w:rPr>
                      <w:rFonts w:hint="eastAsia"/>
                      <w:color w:val="auto"/>
                      <w:lang w:eastAsia="zh-CN"/>
                    </w:rPr>
                    <w:t>、天然气泄漏风险防范措施</w:t>
                  </w:r>
                </w:p>
              </w:tc>
              <w:tc>
                <w:tcPr>
                  <w:tcW w:w="5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4285ED">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14:paraId="2FF2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83"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02E5A514">
                  <w:pPr>
                    <w:pStyle w:val="56"/>
                    <w:spacing w:beforeLines="0" w:afterLines="0" w:line="240" w:lineRule="auto"/>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合计</w:t>
                  </w:r>
                </w:p>
              </w:tc>
              <w:tc>
                <w:tcPr>
                  <w:tcW w:w="5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FA8CEC">
                  <w:pPr>
                    <w:pStyle w:val="56"/>
                    <w:spacing w:beforeLines="0" w:afterLines="0"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74</w:t>
                  </w:r>
                </w:p>
              </w:tc>
            </w:tr>
          </w:tbl>
          <w:p w14:paraId="724AF929">
            <w:pPr>
              <w:pStyle w:val="56"/>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bCs/>
                <w:color w:val="auto"/>
                <w:sz w:val="21"/>
                <w:szCs w:val="21"/>
                <w:lang w:eastAsia="zh-CN"/>
              </w:rPr>
            </w:pPr>
          </w:p>
        </w:tc>
      </w:tr>
    </w:tbl>
    <w:p w14:paraId="7B997C96">
      <w:pPr>
        <w:pStyle w:val="23"/>
        <w:jc w:val="center"/>
        <w:outlineLvl w:val="9"/>
        <w:rPr>
          <w:rFonts w:hint="eastAsia"/>
          <w:snapToGrid w:val="0"/>
        </w:rPr>
        <w:sectPr>
          <w:pgSz w:w="11906" w:h="16838"/>
          <w:pgMar w:top="1440" w:right="1134"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10" w:name="_Toc7773"/>
    </w:p>
    <w:p w14:paraId="71F07570">
      <w:pPr>
        <w:pStyle w:val="23"/>
        <w:jc w:val="center"/>
        <w:rPr>
          <w:snapToGrid w:val="0"/>
          <w:color w:val="auto"/>
        </w:rPr>
      </w:pPr>
      <w:bookmarkStart w:id="11" w:name="_Toc19672"/>
      <w:r>
        <w:rPr>
          <w:rFonts w:hint="eastAsia"/>
          <w:snapToGrid w:val="0"/>
          <w:color w:val="auto"/>
        </w:rPr>
        <w:t>五、</w:t>
      </w:r>
      <w:bookmarkStart w:id="12" w:name="_Hlk54167917"/>
      <w:r>
        <w:rPr>
          <w:rFonts w:hint="eastAsia"/>
          <w:snapToGrid w:val="0"/>
          <w:color w:val="auto"/>
        </w:rPr>
        <w:t>环境保护措施监督检查清单</w:t>
      </w:r>
      <w:bookmarkEnd w:id="10"/>
      <w:bookmarkEnd w:id="11"/>
      <w:bookmarkEnd w:id="12"/>
    </w:p>
    <w:tbl>
      <w:tblPr>
        <w:tblStyle w:val="25"/>
        <w:tblW w:w="88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492"/>
        <w:gridCol w:w="1425"/>
        <w:gridCol w:w="1995"/>
        <w:gridCol w:w="2337"/>
      </w:tblGrid>
      <w:tr w14:paraId="42429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52" w:type="dxa"/>
            <w:tcBorders>
              <w:tl2br w:val="single" w:color="auto" w:sz="4" w:space="0"/>
            </w:tcBorders>
            <w:vAlign w:val="center"/>
          </w:tcPr>
          <w:p w14:paraId="50D0BEAD">
            <w:pPr>
              <w:adjustRightInd w:val="0"/>
              <w:snapToGrid w:val="0"/>
              <w:ind w:firstLine="840"/>
              <w:jc w:val="center"/>
              <w:rPr>
                <w:rFonts w:hint="default" w:ascii="Times New Roman" w:hAnsi="Times New Roman" w:eastAsia="宋体" w:cs="Times New Roman"/>
                <w:b/>
                <w:bCs/>
                <w:color w:val="auto"/>
                <w:szCs w:val="21"/>
              </w:rPr>
            </w:pPr>
            <w:bookmarkStart w:id="13" w:name="_Toc19667"/>
            <w:r>
              <w:rPr>
                <w:rFonts w:hint="default" w:ascii="Times New Roman" w:hAnsi="Times New Roman" w:eastAsia="宋体" w:cs="Times New Roman"/>
                <w:b/>
                <w:bCs/>
                <w:color w:val="auto"/>
                <w:szCs w:val="21"/>
              </w:rPr>
              <w:t>内容</w:t>
            </w:r>
          </w:p>
          <w:p w14:paraId="3C60DDA8">
            <w:pPr>
              <w:widowControl w:val="0"/>
              <w:autoSpaceDE/>
              <w:autoSpaceDN/>
              <w:adjustRightInd/>
              <w:spacing w:after="120" w:line="240" w:lineRule="auto"/>
              <w:ind w:left="420" w:leftChars="200" w:firstLine="420" w:firstLineChars="200"/>
              <w:jc w:val="center"/>
              <w:rPr>
                <w:rFonts w:hint="default" w:ascii="Times New Roman" w:hAnsi="Times New Roman" w:eastAsia="宋体" w:cs="Times New Roman"/>
                <w:color w:val="auto"/>
                <w:kern w:val="2"/>
                <w:sz w:val="21"/>
                <w:szCs w:val="20"/>
                <w:lang w:val="en-US" w:eastAsia="zh-CN" w:bidi="ar-SA"/>
              </w:rPr>
            </w:pPr>
          </w:p>
          <w:p w14:paraId="17D1E2C5">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要素</w:t>
            </w:r>
          </w:p>
        </w:tc>
        <w:tc>
          <w:tcPr>
            <w:tcW w:w="1492" w:type="dxa"/>
            <w:vAlign w:val="center"/>
          </w:tcPr>
          <w:p w14:paraId="0D91585C">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排放口(编号、名称)/污染源</w:t>
            </w:r>
          </w:p>
        </w:tc>
        <w:tc>
          <w:tcPr>
            <w:tcW w:w="1425" w:type="dxa"/>
            <w:vAlign w:val="center"/>
          </w:tcPr>
          <w:p w14:paraId="0C447D70">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污染物项目</w:t>
            </w:r>
          </w:p>
        </w:tc>
        <w:tc>
          <w:tcPr>
            <w:tcW w:w="1995" w:type="dxa"/>
            <w:vAlign w:val="center"/>
          </w:tcPr>
          <w:p w14:paraId="33B2B3C8">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环境保护措施</w:t>
            </w:r>
          </w:p>
        </w:tc>
        <w:tc>
          <w:tcPr>
            <w:tcW w:w="2337" w:type="dxa"/>
            <w:vAlign w:val="center"/>
          </w:tcPr>
          <w:p w14:paraId="3D53AD75">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执行标准</w:t>
            </w:r>
          </w:p>
        </w:tc>
      </w:tr>
      <w:tr w14:paraId="2043D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552" w:type="dxa"/>
            <w:vMerge w:val="restart"/>
            <w:vAlign w:val="center"/>
          </w:tcPr>
          <w:p w14:paraId="4DC3875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大气环境</w:t>
            </w:r>
          </w:p>
        </w:tc>
        <w:tc>
          <w:tcPr>
            <w:tcW w:w="1492" w:type="dxa"/>
            <w:vAlign w:val="center"/>
          </w:tcPr>
          <w:p w14:paraId="102FFF52">
            <w:pPr>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配料粉尘</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DA001</w:t>
            </w:r>
            <w:r>
              <w:rPr>
                <w:rFonts w:hint="default" w:ascii="Times New Roman" w:hAnsi="Times New Roman" w:eastAsia="宋体" w:cs="Times New Roman"/>
                <w:color w:val="auto"/>
                <w:sz w:val="21"/>
                <w:szCs w:val="21"/>
                <w:lang w:eastAsia="zh-CN"/>
              </w:rPr>
              <w:t>）</w:t>
            </w:r>
          </w:p>
        </w:tc>
        <w:tc>
          <w:tcPr>
            <w:tcW w:w="1425" w:type="dxa"/>
            <w:vAlign w:val="center"/>
          </w:tcPr>
          <w:p w14:paraId="39FB6BE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颗粒物</w:t>
            </w:r>
          </w:p>
        </w:tc>
        <w:tc>
          <w:tcPr>
            <w:tcW w:w="1995" w:type="dxa"/>
            <w:tcBorders>
              <w:bottom w:val="single" w:color="auto" w:sz="4" w:space="0"/>
            </w:tcBorders>
            <w:vAlign w:val="center"/>
          </w:tcPr>
          <w:p w14:paraId="18615C33">
            <w:pPr>
              <w:adjustRightInd w:val="0"/>
              <w:ind w:left="-105" w:leftChars="-50" w:right="-105" w:rightChars="-5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布袋除尘器+1根1</w:t>
            </w:r>
            <w:r>
              <w:rPr>
                <w:rFonts w:hint="eastAsia" w:ascii="Times New Roman" w:hAnsi="Times New Roman" w:cs="Times New Roman"/>
                <w:color w:val="auto"/>
                <w:sz w:val="21"/>
                <w:szCs w:val="21"/>
                <w:lang w:val="en-US" w:eastAsia="zh-CN"/>
              </w:rPr>
              <w:t>7</w:t>
            </w:r>
            <w:r>
              <w:rPr>
                <w:rFonts w:hint="default" w:ascii="Times New Roman" w:hAnsi="Times New Roman" w:eastAsia="宋体" w:cs="Times New Roman"/>
                <w:color w:val="auto"/>
                <w:sz w:val="21"/>
                <w:szCs w:val="21"/>
              </w:rPr>
              <w:t>m高排气筒</w:t>
            </w:r>
          </w:p>
        </w:tc>
        <w:tc>
          <w:tcPr>
            <w:tcW w:w="2337" w:type="dxa"/>
            <w:vAlign w:val="center"/>
          </w:tcPr>
          <w:p w14:paraId="024F38EB">
            <w:pPr>
              <w:adjustRightInd w:val="0"/>
              <w:snapToGrid w:val="0"/>
              <w:spacing w:beforeLines="0" w:afterLine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 w:val="21"/>
                <w:szCs w:val="21"/>
              </w:rPr>
              <w:t>《大气污染物综合排放标准》（GB16297-1996）</w:t>
            </w:r>
          </w:p>
        </w:tc>
      </w:tr>
      <w:tr w14:paraId="4A797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552" w:type="dxa"/>
            <w:vMerge w:val="continue"/>
            <w:vAlign w:val="center"/>
          </w:tcPr>
          <w:p w14:paraId="27EAF9E1">
            <w:pPr>
              <w:adjustRightInd w:val="0"/>
              <w:snapToGrid w:val="0"/>
              <w:jc w:val="center"/>
              <w:rPr>
                <w:rFonts w:hint="default" w:ascii="Times New Roman" w:hAnsi="Times New Roman" w:eastAsia="宋体" w:cs="Times New Roman"/>
                <w:color w:val="auto"/>
                <w:szCs w:val="21"/>
              </w:rPr>
            </w:pPr>
          </w:p>
        </w:tc>
        <w:tc>
          <w:tcPr>
            <w:tcW w:w="1492" w:type="dxa"/>
            <w:vAlign w:val="center"/>
          </w:tcPr>
          <w:p w14:paraId="35ABAE79">
            <w:pPr>
              <w:adjustRightIn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rPr>
              <w:t>油炸油烟（DA002）</w:t>
            </w:r>
          </w:p>
        </w:tc>
        <w:tc>
          <w:tcPr>
            <w:tcW w:w="1425" w:type="dxa"/>
            <w:vAlign w:val="center"/>
          </w:tcPr>
          <w:p w14:paraId="12114E0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油烟</w:t>
            </w:r>
          </w:p>
        </w:tc>
        <w:tc>
          <w:tcPr>
            <w:tcW w:w="1995" w:type="dxa"/>
            <w:tcBorders>
              <w:bottom w:val="single" w:color="auto" w:sz="4" w:space="0"/>
            </w:tcBorders>
            <w:vAlign w:val="center"/>
          </w:tcPr>
          <w:p w14:paraId="001A219E">
            <w:pPr>
              <w:adjustRightInd w:val="0"/>
              <w:ind w:left="-105" w:leftChars="-50" w:right="-105" w:rightChars="-5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油烟净化器+</w:t>
            </w:r>
            <w:r>
              <w:rPr>
                <w:rFonts w:hint="default" w:ascii="Times New Roman" w:hAnsi="Times New Roman" w:cs="Times New Roman"/>
                <w:color w:val="auto"/>
                <w:sz w:val="21"/>
                <w:szCs w:val="21"/>
                <w:lang w:val="en-US" w:eastAsia="zh-CN"/>
              </w:rPr>
              <w:t>1根1</w:t>
            </w: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lang w:val="en-US" w:eastAsia="zh-CN"/>
              </w:rPr>
              <w:t>m高排气筒</w:t>
            </w:r>
          </w:p>
        </w:tc>
        <w:tc>
          <w:tcPr>
            <w:tcW w:w="2337" w:type="dxa"/>
            <w:vAlign w:val="center"/>
          </w:tcPr>
          <w:p w14:paraId="688575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4"/>
              </w:rPr>
              <w:t>《饮食业油烟排放标准（试行）》（GB18483-2001）</w:t>
            </w:r>
          </w:p>
        </w:tc>
      </w:tr>
      <w:tr w14:paraId="717F1E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83" w:hRule="atLeast"/>
          <w:jc w:val="center"/>
        </w:trPr>
        <w:tc>
          <w:tcPr>
            <w:tcW w:w="1552" w:type="dxa"/>
            <w:vMerge w:val="continue"/>
            <w:vAlign w:val="center"/>
          </w:tcPr>
          <w:p w14:paraId="1E87AC03">
            <w:pPr>
              <w:adjustRightInd w:val="0"/>
              <w:snapToGrid w:val="0"/>
              <w:jc w:val="center"/>
              <w:rPr>
                <w:rFonts w:hint="default" w:ascii="Times New Roman" w:hAnsi="Times New Roman" w:eastAsia="宋体" w:cs="Times New Roman"/>
                <w:color w:val="auto"/>
                <w:szCs w:val="21"/>
              </w:rPr>
            </w:pPr>
          </w:p>
        </w:tc>
        <w:tc>
          <w:tcPr>
            <w:tcW w:w="1492" w:type="dxa"/>
            <w:vAlign w:val="center"/>
          </w:tcPr>
          <w:p w14:paraId="5B56E069">
            <w:pPr>
              <w:adjustRightIn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rPr>
              <w:t>食堂油烟</w:t>
            </w:r>
          </w:p>
        </w:tc>
        <w:tc>
          <w:tcPr>
            <w:tcW w:w="1425" w:type="dxa"/>
            <w:vAlign w:val="center"/>
          </w:tcPr>
          <w:p w14:paraId="3E16B3B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油烟</w:t>
            </w:r>
          </w:p>
        </w:tc>
        <w:tc>
          <w:tcPr>
            <w:tcW w:w="1995" w:type="dxa"/>
            <w:tcBorders>
              <w:bottom w:val="single" w:color="auto" w:sz="4" w:space="0"/>
            </w:tcBorders>
            <w:vAlign w:val="center"/>
          </w:tcPr>
          <w:p w14:paraId="766818E3">
            <w:pPr>
              <w:adjustRightInd w:val="0"/>
              <w:ind w:left="-105" w:leftChars="-50" w:right="-105" w:rightChars="-5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油烟净化器+专用烟道</w:t>
            </w:r>
          </w:p>
        </w:tc>
        <w:tc>
          <w:tcPr>
            <w:tcW w:w="2337" w:type="dxa"/>
            <w:vAlign w:val="center"/>
          </w:tcPr>
          <w:p w14:paraId="3C587543">
            <w:pPr>
              <w:pStyle w:val="49"/>
              <w:adjustRightInd w:val="0"/>
              <w:snapToGrid w:val="0"/>
              <w:spacing w:after="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《饮食业油烟排放标准（试行）》（GB18483-2001）</w:t>
            </w:r>
          </w:p>
        </w:tc>
      </w:tr>
      <w:tr w14:paraId="72AF2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552" w:type="dxa"/>
            <w:vMerge w:val="continue"/>
            <w:vAlign w:val="center"/>
          </w:tcPr>
          <w:p w14:paraId="687979AF">
            <w:pPr>
              <w:adjustRightInd w:val="0"/>
              <w:snapToGrid w:val="0"/>
              <w:jc w:val="center"/>
              <w:rPr>
                <w:rFonts w:hint="default" w:ascii="Times New Roman" w:hAnsi="Times New Roman" w:eastAsia="宋体" w:cs="Times New Roman"/>
                <w:color w:val="auto"/>
                <w:szCs w:val="21"/>
              </w:rPr>
            </w:pPr>
          </w:p>
        </w:tc>
        <w:tc>
          <w:tcPr>
            <w:tcW w:w="1492" w:type="dxa"/>
            <w:vMerge w:val="restart"/>
            <w:vAlign w:val="center"/>
          </w:tcPr>
          <w:p w14:paraId="7078BB36">
            <w:pPr>
              <w:adjustRightIn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rPr>
              <w:t>天然气燃烧废气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DA00</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p>
        </w:tc>
        <w:tc>
          <w:tcPr>
            <w:tcW w:w="1425" w:type="dxa"/>
            <w:vAlign w:val="center"/>
          </w:tcPr>
          <w:p w14:paraId="3357AF0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颗粒物</w:t>
            </w:r>
          </w:p>
        </w:tc>
        <w:tc>
          <w:tcPr>
            <w:tcW w:w="1995" w:type="dxa"/>
            <w:vMerge w:val="restart"/>
            <w:vAlign w:val="center"/>
          </w:tcPr>
          <w:p w14:paraId="5BBAF65A">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低氮燃烧器+1根1</w:t>
            </w: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m高排气筒</w:t>
            </w:r>
          </w:p>
        </w:tc>
        <w:tc>
          <w:tcPr>
            <w:tcW w:w="2337" w:type="dxa"/>
            <w:vMerge w:val="restart"/>
            <w:vAlign w:val="center"/>
          </w:tcPr>
          <w:p w14:paraId="389CB983">
            <w:pPr>
              <w:adjustRightInd w:val="0"/>
              <w:snapToGrid w:val="0"/>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kern w:val="0"/>
                <w:sz w:val="21"/>
                <w:szCs w:val="21"/>
              </w:rPr>
              <w:t>《锅炉大气污染物排放标准》（GB13271-2014）</w:t>
            </w:r>
          </w:p>
        </w:tc>
      </w:tr>
      <w:tr w14:paraId="610165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2" w:type="dxa"/>
            <w:vMerge w:val="continue"/>
            <w:vAlign w:val="center"/>
          </w:tcPr>
          <w:p w14:paraId="0D627589">
            <w:pPr>
              <w:adjustRightInd w:val="0"/>
              <w:snapToGrid w:val="0"/>
              <w:jc w:val="center"/>
              <w:rPr>
                <w:rFonts w:hint="default" w:ascii="Times New Roman" w:hAnsi="Times New Roman" w:eastAsia="宋体" w:cs="Times New Roman"/>
                <w:color w:val="auto"/>
                <w:szCs w:val="21"/>
              </w:rPr>
            </w:pPr>
          </w:p>
        </w:tc>
        <w:tc>
          <w:tcPr>
            <w:tcW w:w="1492" w:type="dxa"/>
            <w:vMerge w:val="continue"/>
            <w:vAlign w:val="center"/>
          </w:tcPr>
          <w:p w14:paraId="684E3BEA">
            <w:pPr>
              <w:adjustRightInd w:val="0"/>
              <w:jc w:val="center"/>
              <w:rPr>
                <w:rFonts w:hint="default" w:ascii="Times New Roman" w:hAnsi="Times New Roman" w:eastAsia="宋体" w:cs="Times New Roman"/>
                <w:color w:val="auto"/>
                <w:sz w:val="21"/>
                <w:szCs w:val="21"/>
              </w:rPr>
            </w:pPr>
          </w:p>
        </w:tc>
        <w:tc>
          <w:tcPr>
            <w:tcW w:w="1425" w:type="dxa"/>
            <w:vAlign w:val="center"/>
          </w:tcPr>
          <w:p w14:paraId="469184A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SO</w:t>
            </w:r>
            <w:r>
              <w:rPr>
                <w:rFonts w:hint="default" w:ascii="Times New Roman" w:hAnsi="Times New Roman" w:cs="Times New Roman"/>
                <w:color w:val="auto"/>
                <w:kern w:val="0"/>
                <w:szCs w:val="21"/>
                <w:vertAlign w:val="subscript"/>
                <w:lang w:val="en-US" w:eastAsia="zh-CN"/>
              </w:rPr>
              <w:t>2</w:t>
            </w:r>
          </w:p>
        </w:tc>
        <w:tc>
          <w:tcPr>
            <w:tcW w:w="1995" w:type="dxa"/>
            <w:vMerge w:val="continue"/>
            <w:vAlign w:val="center"/>
          </w:tcPr>
          <w:p w14:paraId="786D494B">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p>
        </w:tc>
        <w:tc>
          <w:tcPr>
            <w:tcW w:w="2337" w:type="dxa"/>
            <w:vMerge w:val="continue"/>
            <w:vAlign w:val="center"/>
          </w:tcPr>
          <w:p w14:paraId="5C9C1F4F">
            <w:pPr>
              <w:spacing w:beforeLines="0" w:afterLines="0"/>
              <w:jc w:val="center"/>
              <w:rPr>
                <w:rFonts w:hint="default" w:ascii="Times New Roman" w:hAnsi="Times New Roman" w:eastAsia="宋体" w:cs="Times New Roman"/>
                <w:color w:val="auto"/>
                <w:sz w:val="21"/>
                <w:szCs w:val="21"/>
              </w:rPr>
            </w:pPr>
          </w:p>
        </w:tc>
      </w:tr>
      <w:tr w14:paraId="709EB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552" w:type="dxa"/>
            <w:vMerge w:val="continue"/>
            <w:vAlign w:val="center"/>
          </w:tcPr>
          <w:p w14:paraId="69469985">
            <w:pPr>
              <w:adjustRightInd w:val="0"/>
              <w:snapToGrid w:val="0"/>
              <w:jc w:val="center"/>
              <w:rPr>
                <w:rFonts w:hint="default" w:ascii="Times New Roman" w:hAnsi="Times New Roman" w:eastAsia="宋体" w:cs="Times New Roman"/>
                <w:color w:val="auto"/>
                <w:szCs w:val="21"/>
              </w:rPr>
            </w:pPr>
          </w:p>
        </w:tc>
        <w:tc>
          <w:tcPr>
            <w:tcW w:w="1492" w:type="dxa"/>
            <w:vMerge w:val="continue"/>
            <w:vAlign w:val="center"/>
          </w:tcPr>
          <w:p w14:paraId="231C5E50">
            <w:pPr>
              <w:adjustRightInd w:val="0"/>
              <w:jc w:val="center"/>
              <w:rPr>
                <w:rFonts w:hint="default" w:ascii="Times New Roman" w:hAnsi="Times New Roman" w:eastAsia="宋体" w:cs="Times New Roman"/>
                <w:color w:val="auto"/>
                <w:sz w:val="21"/>
                <w:szCs w:val="21"/>
              </w:rPr>
            </w:pPr>
          </w:p>
        </w:tc>
        <w:tc>
          <w:tcPr>
            <w:tcW w:w="1425" w:type="dxa"/>
            <w:vAlign w:val="center"/>
          </w:tcPr>
          <w:p w14:paraId="356C4AF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NOx</w:t>
            </w:r>
          </w:p>
        </w:tc>
        <w:tc>
          <w:tcPr>
            <w:tcW w:w="1995" w:type="dxa"/>
            <w:vMerge w:val="continue"/>
            <w:tcBorders>
              <w:bottom w:val="single" w:color="auto" w:sz="4" w:space="0"/>
            </w:tcBorders>
            <w:vAlign w:val="center"/>
          </w:tcPr>
          <w:p w14:paraId="2F88FB60">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p>
        </w:tc>
        <w:tc>
          <w:tcPr>
            <w:tcW w:w="2337" w:type="dxa"/>
            <w:vAlign w:val="center"/>
          </w:tcPr>
          <w:p w14:paraId="0D4B4A52">
            <w:pPr>
              <w:pStyle w:val="49"/>
              <w:adjustRightInd w:val="0"/>
              <w:snapToGrid w:val="0"/>
              <w:spacing w:beforeLines="0" w:after="0" w:afterLines="0"/>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皖大气办[2020]2号 安徽省大气办关于印发《安徽省2020年大气污染防治重点工作任务》的通知中不高于50mg/m3的排放限值要求</w:t>
            </w:r>
          </w:p>
        </w:tc>
      </w:tr>
      <w:tr w14:paraId="39282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87" w:hRule="atLeast"/>
          <w:jc w:val="center"/>
        </w:trPr>
        <w:tc>
          <w:tcPr>
            <w:tcW w:w="1552" w:type="dxa"/>
            <w:vMerge w:val="continue"/>
            <w:vAlign w:val="center"/>
          </w:tcPr>
          <w:p w14:paraId="243EDE43">
            <w:pPr>
              <w:adjustRightInd w:val="0"/>
              <w:snapToGrid w:val="0"/>
              <w:jc w:val="center"/>
              <w:rPr>
                <w:rFonts w:hint="default" w:ascii="Times New Roman" w:hAnsi="Times New Roman" w:eastAsia="宋体" w:cs="Times New Roman"/>
                <w:color w:val="auto"/>
                <w:szCs w:val="21"/>
              </w:rPr>
            </w:pPr>
          </w:p>
        </w:tc>
        <w:tc>
          <w:tcPr>
            <w:tcW w:w="1492" w:type="dxa"/>
            <w:vAlign w:val="center"/>
          </w:tcPr>
          <w:p w14:paraId="60FC8BB6">
            <w:pPr>
              <w:widowControl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污水处理站恶臭</w:t>
            </w:r>
          </w:p>
        </w:tc>
        <w:tc>
          <w:tcPr>
            <w:tcW w:w="1425" w:type="dxa"/>
            <w:vAlign w:val="center"/>
          </w:tcPr>
          <w:p w14:paraId="674C41E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NH</w:t>
            </w:r>
            <w:r>
              <w:rPr>
                <w:rFonts w:hint="default" w:ascii="Times New Roman" w:hAnsi="Times New Roman" w:eastAsia="宋体" w:cs="Times New Roman"/>
                <w:color w:val="auto"/>
                <w:kern w:val="0"/>
                <w:szCs w:val="21"/>
                <w:vertAlign w:val="subscript"/>
                <w:lang w:val="en-US" w:eastAsia="zh-CN"/>
              </w:rPr>
              <w:t>3</w:t>
            </w:r>
            <w:r>
              <w:rPr>
                <w:rFonts w:hint="default" w:ascii="Times New Roman" w:hAnsi="Times New Roman" w:eastAsia="宋体" w:cs="Times New Roman"/>
                <w:color w:val="auto"/>
                <w:kern w:val="0"/>
                <w:szCs w:val="21"/>
                <w:lang w:val="en-US" w:eastAsia="zh-CN"/>
              </w:rPr>
              <w:t>、H</w:t>
            </w:r>
            <w:r>
              <w:rPr>
                <w:rFonts w:hint="default" w:ascii="Times New Roman" w:hAnsi="Times New Roman" w:eastAsia="宋体" w:cs="Times New Roman"/>
                <w:color w:val="auto"/>
                <w:kern w:val="0"/>
                <w:szCs w:val="21"/>
                <w:vertAlign w:val="subscript"/>
                <w:lang w:val="en-US" w:eastAsia="zh-CN"/>
              </w:rPr>
              <w:t>2</w:t>
            </w:r>
            <w:r>
              <w:rPr>
                <w:rFonts w:hint="default" w:ascii="Times New Roman" w:hAnsi="Times New Roman" w:eastAsia="宋体" w:cs="Times New Roman"/>
                <w:color w:val="auto"/>
                <w:kern w:val="0"/>
                <w:szCs w:val="21"/>
                <w:lang w:val="en-US" w:eastAsia="zh-CN"/>
              </w:rPr>
              <w:t>S、臭气浓度</w:t>
            </w:r>
          </w:p>
        </w:tc>
        <w:tc>
          <w:tcPr>
            <w:tcW w:w="1995" w:type="dxa"/>
            <w:tcBorders>
              <w:bottom w:val="single" w:color="auto" w:sz="4" w:space="0"/>
            </w:tcBorders>
            <w:vAlign w:val="center"/>
          </w:tcPr>
          <w:p w14:paraId="15DF86A2">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恶臭单元密闭，定期添加除臭剂（污水除臭剂）</w:t>
            </w:r>
          </w:p>
        </w:tc>
        <w:tc>
          <w:tcPr>
            <w:tcW w:w="2337" w:type="dxa"/>
            <w:vAlign w:val="center"/>
          </w:tcPr>
          <w:p w14:paraId="142456D7">
            <w:pPr>
              <w:widowControl/>
              <w:tabs>
                <w:tab w:val="left" w:pos="630"/>
                <w:tab w:val="left" w:pos="1260"/>
              </w:tabs>
              <w:adjustRightIn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符合《恶臭污染物排放标准》（GB14554-93）</w:t>
            </w:r>
          </w:p>
        </w:tc>
      </w:tr>
      <w:tr w14:paraId="290C7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552" w:type="dxa"/>
            <w:vMerge w:val="restart"/>
            <w:vAlign w:val="center"/>
          </w:tcPr>
          <w:p w14:paraId="679B712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地表水环境</w:t>
            </w:r>
          </w:p>
        </w:tc>
        <w:tc>
          <w:tcPr>
            <w:tcW w:w="1492" w:type="dxa"/>
            <w:vAlign w:val="center"/>
          </w:tcPr>
          <w:p w14:paraId="22E8CD4F">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生活污水</w:t>
            </w:r>
          </w:p>
        </w:tc>
        <w:tc>
          <w:tcPr>
            <w:tcW w:w="1425" w:type="dxa"/>
            <w:vMerge w:val="restart"/>
            <w:vAlign w:val="center"/>
          </w:tcPr>
          <w:p w14:paraId="669D441C">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rPr>
              <w:t>COD、BOD</w:t>
            </w:r>
            <w:r>
              <w:rPr>
                <w:rFonts w:hint="default" w:ascii="Times New Roman" w:hAnsi="Times New Roman" w:eastAsia="宋体" w:cs="Times New Roman"/>
                <w:bCs/>
                <w:color w:val="auto"/>
                <w:szCs w:val="21"/>
                <w:vertAlign w:val="subscript"/>
              </w:rPr>
              <w:t>5</w:t>
            </w:r>
            <w:r>
              <w:rPr>
                <w:rFonts w:hint="default" w:ascii="Times New Roman" w:hAnsi="Times New Roman" w:eastAsia="宋体" w:cs="Times New Roman"/>
                <w:bCs/>
                <w:color w:val="auto"/>
                <w:szCs w:val="21"/>
              </w:rPr>
              <w:t>、SS、氨氮</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lang w:val="en-US" w:eastAsia="zh-CN"/>
              </w:rPr>
              <w:t>动植物油</w:t>
            </w:r>
          </w:p>
        </w:tc>
        <w:tc>
          <w:tcPr>
            <w:tcW w:w="1995" w:type="dxa"/>
            <w:vMerge w:val="restart"/>
            <w:vAlign w:val="center"/>
          </w:tcPr>
          <w:p w14:paraId="537E61E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生活污水经隔油池、化粪池处理后用于农田堆肥，生产废水经自建污水处理站预处理后用于厂区绿化</w:t>
            </w:r>
          </w:p>
        </w:tc>
        <w:tc>
          <w:tcPr>
            <w:tcW w:w="2337" w:type="dxa"/>
            <w:vAlign w:val="center"/>
          </w:tcPr>
          <w:p w14:paraId="7E578E3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11FC28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1552" w:type="dxa"/>
            <w:vMerge w:val="continue"/>
            <w:vAlign w:val="center"/>
          </w:tcPr>
          <w:p w14:paraId="65DDA4BA">
            <w:pPr>
              <w:adjustRightInd w:val="0"/>
              <w:snapToGrid w:val="0"/>
              <w:jc w:val="center"/>
              <w:rPr>
                <w:rFonts w:hint="default" w:ascii="Times New Roman" w:hAnsi="Times New Roman" w:eastAsia="宋体" w:cs="Times New Roman"/>
                <w:color w:val="auto"/>
                <w:szCs w:val="21"/>
              </w:rPr>
            </w:pPr>
          </w:p>
        </w:tc>
        <w:tc>
          <w:tcPr>
            <w:tcW w:w="1492" w:type="dxa"/>
            <w:tcBorders>
              <w:bottom w:val="single" w:color="auto" w:sz="4" w:space="0"/>
            </w:tcBorders>
            <w:vAlign w:val="center"/>
          </w:tcPr>
          <w:p w14:paraId="2B5B3F0C">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生产废水</w:t>
            </w:r>
          </w:p>
        </w:tc>
        <w:tc>
          <w:tcPr>
            <w:tcW w:w="1425" w:type="dxa"/>
            <w:vMerge w:val="continue"/>
            <w:tcBorders>
              <w:bottom w:val="single" w:color="auto" w:sz="4" w:space="0"/>
            </w:tcBorders>
            <w:vAlign w:val="center"/>
          </w:tcPr>
          <w:p w14:paraId="49AD8E73">
            <w:pPr>
              <w:jc w:val="center"/>
              <w:rPr>
                <w:rFonts w:hint="default" w:ascii="Times New Roman" w:hAnsi="Times New Roman" w:eastAsia="宋体" w:cs="Times New Roman"/>
                <w:bCs/>
                <w:color w:val="auto"/>
                <w:szCs w:val="21"/>
              </w:rPr>
            </w:pPr>
          </w:p>
        </w:tc>
        <w:tc>
          <w:tcPr>
            <w:tcW w:w="1995" w:type="dxa"/>
            <w:vMerge w:val="continue"/>
            <w:tcBorders>
              <w:bottom w:val="single" w:color="auto" w:sz="4" w:space="0"/>
            </w:tcBorders>
            <w:vAlign w:val="center"/>
          </w:tcPr>
          <w:p w14:paraId="56838218">
            <w:pPr>
              <w:jc w:val="center"/>
              <w:rPr>
                <w:rFonts w:hint="default" w:ascii="Times New Roman" w:hAnsi="Times New Roman" w:eastAsia="宋体" w:cs="Times New Roman"/>
                <w:color w:val="auto"/>
                <w:szCs w:val="21"/>
              </w:rPr>
            </w:pPr>
          </w:p>
        </w:tc>
        <w:tc>
          <w:tcPr>
            <w:tcW w:w="2337" w:type="dxa"/>
            <w:vAlign w:val="center"/>
          </w:tcPr>
          <w:p w14:paraId="6172ECC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《城市污水再生利用城市杂用水水质》GB/T 18920-2020</w:t>
            </w:r>
          </w:p>
        </w:tc>
      </w:tr>
      <w:tr w14:paraId="1293E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552" w:type="dxa"/>
            <w:tcBorders>
              <w:bottom w:val="single" w:color="auto" w:sz="4" w:space="0"/>
            </w:tcBorders>
            <w:vAlign w:val="center"/>
          </w:tcPr>
          <w:p w14:paraId="0A9A9C8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1492" w:type="dxa"/>
            <w:tcBorders>
              <w:bottom w:val="single" w:color="auto" w:sz="4" w:space="0"/>
            </w:tcBorders>
            <w:vAlign w:val="center"/>
          </w:tcPr>
          <w:p w14:paraId="0DBBFCE1">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生产设备</w:t>
            </w:r>
          </w:p>
        </w:tc>
        <w:tc>
          <w:tcPr>
            <w:tcW w:w="1425" w:type="dxa"/>
            <w:tcBorders>
              <w:bottom w:val="single" w:color="auto" w:sz="4" w:space="0"/>
            </w:tcBorders>
            <w:vAlign w:val="center"/>
          </w:tcPr>
          <w:p w14:paraId="3BF32344">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噪声</w:t>
            </w:r>
          </w:p>
        </w:tc>
        <w:tc>
          <w:tcPr>
            <w:tcW w:w="1995" w:type="dxa"/>
            <w:tcBorders>
              <w:bottom w:val="single" w:color="auto" w:sz="4" w:space="0"/>
            </w:tcBorders>
            <w:vAlign w:val="center"/>
          </w:tcPr>
          <w:p w14:paraId="5AC78718">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选用低噪声机械设备，采取隔声、减震等措施</w:t>
            </w:r>
          </w:p>
        </w:tc>
        <w:tc>
          <w:tcPr>
            <w:tcW w:w="2337" w:type="dxa"/>
            <w:tcBorders>
              <w:bottom w:val="single" w:color="auto" w:sz="4" w:space="0"/>
            </w:tcBorders>
            <w:vAlign w:val="center"/>
          </w:tcPr>
          <w:p w14:paraId="53DD207C">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bCs/>
                <w:color w:val="auto"/>
                <w:szCs w:val="21"/>
                <w:lang w:val="en-US" w:eastAsia="zh-CN"/>
              </w:rPr>
              <w:t>厂界东南西侧执行</w:t>
            </w:r>
            <w:r>
              <w:rPr>
                <w:rFonts w:hint="default" w:ascii="Times New Roman" w:hAnsi="Times New Roman" w:eastAsia="宋体" w:cs="Times New Roman"/>
                <w:bCs/>
                <w:color w:val="auto"/>
                <w:szCs w:val="21"/>
              </w:rPr>
              <w:t>《工业企业厂界环境噪声排放标准》（GB12348-2008）中</w:t>
            </w:r>
            <w:r>
              <w:rPr>
                <w:rFonts w:hint="default" w:ascii="Times New Roman" w:hAnsi="Times New Roman" w:cs="Times New Roman"/>
                <w:bCs/>
                <w:color w:val="auto"/>
                <w:szCs w:val="21"/>
                <w:lang w:val="en-US" w:eastAsia="zh-CN"/>
              </w:rPr>
              <w:t>2</w:t>
            </w:r>
            <w:r>
              <w:rPr>
                <w:rFonts w:hint="default" w:ascii="Times New Roman" w:hAnsi="Times New Roman" w:eastAsia="宋体" w:cs="Times New Roman"/>
                <w:bCs/>
                <w:color w:val="auto"/>
                <w:szCs w:val="21"/>
              </w:rPr>
              <w:t>类标准</w:t>
            </w:r>
            <w:r>
              <w:rPr>
                <w:rFonts w:hint="eastAsia" w:ascii="Times New Roman" w:hAnsi="Times New Roman" w:cs="Times New Roman"/>
                <w:lang w:eastAsia="zh-CN"/>
              </w:rPr>
              <w:t>，</w:t>
            </w:r>
            <w:r>
              <w:rPr>
                <w:rFonts w:hint="eastAsia" w:ascii="Times New Roman" w:hAnsi="Times New Roman" w:cs="Times New Roman"/>
                <w:lang w:val="en-US" w:eastAsia="zh-CN"/>
              </w:rPr>
              <w:t>厂界北侧执行《工业企业厂界环境噪声排放标准》（GB12348-2008）中4a类标准</w:t>
            </w:r>
          </w:p>
        </w:tc>
      </w:tr>
      <w:tr w14:paraId="20228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37" w:hRule="atLeast"/>
          <w:jc w:val="center"/>
        </w:trPr>
        <w:tc>
          <w:tcPr>
            <w:tcW w:w="1552" w:type="dxa"/>
            <w:vAlign w:val="center"/>
          </w:tcPr>
          <w:p w14:paraId="71B483D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7249" w:type="dxa"/>
            <w:gridSpan w:val="4"/>
            <w:vAlign w:val="center"/>
          </w:tcPr>
          <w:p w14:paraId="42960671">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项目产生固体废物为职工生活垃圾</w:t>
            </w:r>
            <w:r>
              <w:rPr>
                <w:rFonts w:hint="default" w:ascii="Times New Roman" w:hAnsi="Times New Roman" w:eastAsia="宋体" w:cs="Times New Roman"/>
                <w:color w:val="auto"/>
                <w:kern w:val="0"/>
                <w:sz w:val="21"/>
                <w:szCs w:val="21"/>
                <w:lang w:eastAsia="zh-CN"/>
              </w:rPr>
              <w:t>、废包装材料、污水处理站污泥、</w:t>
            </w:r>
            <w:r>
              <w:rPr>
                <w:rFonts w:hint="default" w:ascii="Times New Roman" w:hAnsi="Times New Roman" w:eastAsia="宋体" w:cs="Times New Roman"/>
                <w:color w:val="auto"/>
                <w:kern w:val="0"/>
                <w:sz w:val="21"/>
                <w:szCs w:val="21"/>
                <w:lang w:val="en-US" w:eastAsia="zh-CN"/>
              </w:rPr>
              <w:t>废</w:t>
            </w:r>
            <w:r>
              <w:rPr>
                <w:rFonts w:hint="default" w:ascii="Times New Roman" w:hAnsi="Times New Roman" w:cs="Times New Roman"/>
                <w:color w:val="auto"/>
                <w:kern w:val="0"/>
                <w:sz w:val="21"/>
                <w:szCs w:val="21"/>
                <w:lang w:val="en-US" w:eastAsia="zh-CN"/>
              </w:rPr>
              <w:t>过滤介质、不合格品、碎粉丝</w:t>
            </w:r>
            <w:r>
              <w:rPr>
                <w:rFonts w:hint="eastAsia" w:cs="Times New Roman"/>
                <w:color w:val="auto"/>
                <w:kern w:val="0"/>
                <w:sz w:val="21"/>
                <w:szCs w:val="21"/>
                <w:lang w:val="en-US" w:eastAsia="zh-CN"/>
              </w:rPr>
              <w:t>、除尘器收集粉尘、废油桶</w:t>
            </w:r>
            <w:r>
              <w:rPr>
                <w:rFonts w:hint="default" w:ascii="Times New Roman" w:hAnsi="Times New Roman" w:eastAsia="宋体" w:cs="Times New Roman"/>
                <w:color w:val="auto"/>
                <w:kern w:val="0"/>
                <w:sz w:val="21"/>
                <w:szCs w:val="21"/>
              </w:rPr>
              <w:t>。</w:t>
            </w:r>
          </w:p>
          <w:p w14:paraId="6D115D01">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职工生活垃圾由环卫部门统一清运处理。</w:t>
            </w:r>
          </w:p>
          <w:p w14:paraId="1057BF14">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新建</w:t>
            </w:r>
            <w:r>
              <w:rPr>
                <w:rFonts w:hint="default" w:ascii="Times New Roman" w:hAnsi="Times New Roman" w:eastAsia="宋体" w:cs="Times New Roman"/>
                <w:color w:val="auto"/>
                <w:kern w:val="0"/>
                <w:sz w:val="21"/>
                <w:szCs w:val="21"/>
                <w:lang w:val="en-US" w:eastAsia="zh-CN"/>
              </w:rPr>
              <w:t>一般固废</w:t>
            </w:r>
            <w:r>
              <w:rPr>
                <w:rFonts w:hint="default" w:ascii="Times New Roman" w:hAnsi="Times New Roman" w:eastAsia="宋体" w:cs="Times New Roman"/>
                <w:color w:val="auto"/>
                <w:kern w:val="0"/>
                <w:sz w:val="21"/>
                <w:szCs w:val="21"/>
              </w:rPr>
              <w:t>暂存间，设置在</w:t>
            </w:r>
            <w:r>
              <w:rPr>
                <w:rFonts w:hint="default" w:ascii="Times New Roman" w:hAnsi="Times New Roman" w:eastAsia="宋体" w:cs="Times New Roman"/>
                <w:color w:val="auto"/>
                <w:kern w:val="0"/>
                <w:sz w:val="21"/>
                <w:szCs w:val="21"/>
                <w:lang w:val="en-US" w:eastAsia="zh-CN"/>
              </w:rPr>
              <w:t>生产车间东北</w:t>
            </w:r>
            <w:r>
              <w:rPr>
                <w:rFonts w:hint="default" w:ascii="Times New Roman" w:hAnsi="Times New Roman" w:eastAsia="宋体" w:cs="Times New Roman"/>
                <w:color w:val="auto"/>
                <w:kern w:val="0"/>
                <w:sz w:val="21"/>
                <w:szCs w:val="21"/>
              </w:rPr>
              <w:t>侧，建筑面积约</w:t>
            </w:r>
            <w:r>
              <w:rPr>
                <w:rFonts w:hint="default" w:ascii="Times New Roman" w:hAnsi="Times New Roman" w:cs="Times New Roman"/>
                <w:color w:val="auto"/>
                <w:kern w:val="0"/>
                <w:sz w:val="21"/>
                <w:szCs w:val="21"/>
                <w:lang w:val="en-US" w:eastAsia="zh-CN"/>
              </w:rPr>
              <w:t>20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，暂存</w:t>
            </w:r>
            <w:r>
              <w:rPr>
                <w:rFonts w:hint="default" w:ascii="Times New Roman" w:hAnsi="Times New Roman" w:cs="Times New Roman"/>
                <w:color w:val="auto"/>
                <w:kern w:val="0"/>
                <w:sz w:val="21"/>
                <w:szCs w:val="21"/>
                <w:lang w:val="en-US" w:eastAsia="zh-CN"/>
              </w:rPr>
              <w:t>的除尘器收集粉尘</w:t>
            </w:r>
            <w:r>
              <w:rPr>
                <w:rFonts w:hint="eastAsia" w:cs="Times New Roman"/>
                <w:color w:val="auto"/>
                <w:kern w:val="0"/>
                <w:sz w:val="21"/>
                <w:szCs w:val="21"/>
                <w:lang w:val="en-US" w:eastAsia="zh-CN"/>
              </w:rPr>
              <w:t>和</w:t>
            </w:r>
            <w:r>
              <w:rPr>
                <w:rFonts w:hint="default" w:ascii="Times New Roman" w:hAnsi="Times New Roman" w:eastAsia="宋体" w:cs="Times New Roman"/>
                <w:color w:val="auto"/>
                <w:kern w:val="0"/>
                <w:sz w:val="21"/>
                <w:szCs w:val="21"/>
              </w:rPr>
              <w:t>废包装材料交由回收单位回收处理</w:t>
            </w:r>
            <w:r>
              <w:rPr>
                <w:rFonts w:hint="default" w:ascii="Times New Roman" w:hAnsi="Times New Roman" w:eastAsia="宋体" w:cs="Times New Roman"/>
                <w:color w:val="auto"/>
                <w:kern w:val="0"/>
                <w:sz w:val="21"/>
                <w:szCs w:val="21"/>
                <w:lang w:eastAsia="zh-CN"/>
              </w:rPr>
              <w:t>、废过滤介质</w:t>
            </w:r>
            <w:r>
              <w:rPr>
                <w:rFonts w:hint="eastAsia" w:cs="Times New Roman"/>
                <w:color w:val="auto"/>
                <w:kern w:val="0"/>
                <w:sz w:val="21"/>
                <w:szCs w:val="21"/>
                <w:lang w:val="en-US" w:eastAsia="zh-CN"/>
              </w:rPr>
              <w:t>和</w:t>
            </w:r>
            <w:r>
              <w:rPr>
                <w:rFonts w:hint="eastAsia" w:cs="Times New Roman"/>
                <w:color w:val="auto"/>
                <w:kern w:val="0"/>
                <w:sz w:val="21"/>
                <w:szCs w:val="21"/>
                <w:lang w:eastAsia="zh-CN"/>
              </w:rPr>
              <w:t>废油桶</w:t>
            </w:r>
            <w:r>
              <w:rPr>
                <w:rFonts w:hint="default" w:ascii="Times New Roman" w:hAnsi="Times New Roman" w:eastAsia="宋体" w:cs="Times New Roman"/>
                <w:color w:val="auto"/>
                <w:kern w:val="0"/>
                <w:sz w:val="21"/>
                <w:szCs w:val="21"/>
                <w:lang w:eastAsia="zh-CN"/>
              </w:rPr>
              <w:t>交由更换厂家回收处置</w:t>
            </w:r>
            <w:r>
              <w:rPr>
                <w:rFonts w:hint="default" w:ascii="Times New Roman" w:hAnsi="Times New Roman" w:cs="Times New Roman"/>
                <w:color w:val="auto"/>
                <w:kern w:val="0"/>
                <w:sz w:val="21"/>
                <w:szCs w:val="21"/>
                <w:lang w:eastAsia="zh-CN"/>
              </w:rPr>
              <w:t>，</w:t>
            </w:r>
            <w:r>
              <w:rPr>
                <w:rFonts w:hint="default" w:ascii="Times New Roman" w:hAnsi="Times New Roman" w:eastAsia="宋体" w:cs="Times New Roman"/>
                <w:color w:val="auto"/>
                <w:kern w:val="0"/>
                <w:sz w:val="21"/>
                <w:szCs w:val="21"/>
              </w:rPr>
              <w:t>碎粉丝</w:t>
            </w:r>
            <w:r>
              <w:rPr>
                <w:rFonts w:hint="default" w:ascii="Times New Roman" w:hAnsi="Times New Roman" w:cs="Times New Roman"/>
                <w:color w:val="auto"/>
                <w:kern w:val="0"/>
                <w:sz w:val="21"/>
                <w:szCs w:val="21"/>
                <w:lang w:eastAsia="zh-CN"/>
              </w:rPr>
              <w:t>，作为饲料销售，污水处理站污泥</w:t>
            </w:r>
            <w:r>
              <w:rPr>
                <w:rFonts w:hint="default" w:ascii="Times New Roman" w:hAnsi="Times New Roman" w:cs="Times New Roman"/>
                <w:color w:val="auto"/>
                <w:kern w:val="0"/>
                <w:sz w:val="21"/>
                <w:szCs w:val="21"/>
                <w:lang w:val="en-US" w:eastAsia="zh-CN"/>
              </w:rPr>
              <w:t>收集后定期外售。</w:t>
            </w:r>
          </w:p>
          <w:p w14:paraId="473D4A63">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蛋制品作为处理品销售；粉丝作为处理品销售；豆腐皮挑选工序退回厂家处理，出厂检验工序作为处理品销售</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处理品暂存于成品库。</w:t>
            </w:r>
          </w:p>
          <w:p w14:paraId="314A848F">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本项目产生的固体废物经妥善处理、处置后，实现零排放，对环境影响较小，符合环境卫生管理要求。</w:t>
            </w:r>
          </w:p>
        </w:tc>
      </w:tr>
      <w:tr w14:paraId="42F86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1552" w:type="dxa"/>
            <w:vAlign w:val="center"/>
          </w:tcPr>
          <w:p w14:paraId="20AB8F7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土壤及地下水</w:t>
            </w:r>
          </w:p>
          <w:p w14:paraId="4D5C691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污染防治措施</w:t>
            </w:r>
          </w:p>
        </w:tc>
        <w:tc>
          <w:tcPr>
            <w:tcW w:w="7249" w:type="dxa"/>
            <w:gridSpan w:val="4"/>
            <w:vAlign w:val="center"/>
          </w:tcPr>
          <w:p w14:paraId="385824E0">
            <w:pPr>
              <w:adjustRightInd w:val="0"/>
              <w:snapToGrid w:val="0"/>
              <w:spacing w:line="240" w:lineRule="auto"/>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21"/>
                <w:szCs w:val="21"/>
              </w:rPr>
              <w:t>分区防渗；落实分区防渗措施，完善风险防范措施。</w:t>
            </w:r>
          </w:p>
        </w:tc>
      </w:tr>
      <w:tr w14:paraId="619DCA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552" w:type="dxa"/>
            <w:vAlign w:val="center"/>
          </w:tcPr>
          <w:p w14:paraId="7809646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生态保护措施</w:t>
            </w:r>
          </w:p>
        </w:tc>
        <w:tc>
          <w:tcPr>
            <w:tcW w:w="7249" w:type="dxa"/>
            <w:gridSpan w:val="4"/>
            <w:vAlign w:val="center"/>
          </w:tcPr>
          <w:p w14:paraId="47A95FF1">
            <w:pPr>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val="en-US" w:eastAsia="zh-CN"/>
              </w:rPr>
              <w:t>/</w:t>
            </w:r>
          </w:p>
        </w:tc>
      </w:tr>
      <w:tr w14:paraId="5D4E02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1552" w:type="dxa"/>
            <w:vAlign w:val="center"/>
          </w:tcPr>
          <w:p w14:paraId="002E0B89">
            <w:pPr>
              <w:adjustRightInd w:val="0"/>
              <w:snapToGrid w:val="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环境风险</w:t>
            </w:r>
          </w:p>
          <w:p w14:paraId="13EDE848">
            <w:pPr>
              <w:adjustRightInd w:val="0"/>
              <w:snapToGrid w:val="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防范措施</w:t>
            </w:r>
          </w:p>
        </w:tc>
        <w:tc>
          <w:tcPr>
            <w:tcW w:w="7249" w:type="dxa"/>
            <w:gridSpan w:val="4"/>
            <w:vAlign w:val="center"/>
          </w:tcPr>
          <w:p w14:paraId="4DAAAA2C">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对厂区设置分区防渗；</w:t>
            </w:r>
          </w:p>
          <w:p w14:paraId="23BC24EB">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加强安全教育培训和宣传；配备完善的消防措施；</w:t>
            </w:r>
          </w:p>
          <w:p w14:paraId="0B33705B">
            <w:pPr>
              <w:keepNext w:val="0"/>
              <w:keepLines w:val="0"/>
              <w:widowControl/>
              <w:suppressLineNumbers w:val="0"/>
              <w:spacing w:line="240" w:lineRule="auto"/>
              <w:jc w:val="center"/>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color w:val="auto"/>
                <w:kern w:val="0"/>
                <w:sz w:val="21"/>
                <w:szCs w:val="21"/>
                <w:lang w:val="en-US" w:eastAsia="zh-CN" w:bidi="ar"/>
              </w:rPr>
              <w:t>设置应急预案、加强员工风险防范意识、规范生产操作。</w:t>
            </w:r>
          </w:p>
        </w:tc>
      </w:tr>
      <w:tr w14:paraId="3878C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46" w:hRule="atLeast"/>
          <w:jc w:val="center"/>
        </w:trPr>
        <w:tc>
          <w:tcPr>
            <w:tcW w:w="1552" w:type="dxa"/>
            <w:vAlign w:val="center"/>
          </w:tcPr>
          <w:p w14:paraId="5B2F4717">
            <w:pPr>
              <w:adjustRightInd w:val="0"/>
              <w:snapToGrid w:val="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其他环境</w:t>
            </w:r>
          </w:p>
          <w:p w14:paraId="3B8E20D4">
            <w:pPr>
              <w:adjustRightInd w:val="0"/>
              <w:snapToGrid w:val="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管理要求</w:t>
            </w:r>
          </w:p>
        </w:tc>
        <w:tc>
          <w:tcPr>
            <w:tcW w:w="7249" w:type="dxa"/>
            <w:gridSpan w:val="4"/>
            <w:vAlign w:val="center"/>
          </w:tcPr>
          <w:p w14:paraId="77FDE249">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①要求建设单位按照《关于开展排放口规范化整治工作的通知》（环发〔1999〕24号）和《排污口规范化整治技术要求（试行）》（环监〔1996〕470号）等文件要求，进行新增排污口规范化设置工作。</w:t>
            </w:r>
          </w:p>
          <w:p w14:paraId="3BACC975">
            <w:pPr>
              <w:adjustRightInd w:val="0"/>
              <w:snapToGrid w:val="0"/>
              <w:spacing w:line="240" w:lineRule="auto"/>
              <w:jc w:val="center"/>
              <w:rPr>
                <w:rFonts w:hint="default" w:ascii="Times New Roman" w:hAnsi="Times New Roman" w:eastAsia="宋体" w:cs="Times New Roman"/>
                <w:color w:val="auto"/>
                <w:spacing w:val="-8"/>
                <w:szCs w:val="21"/>
                <w:lang w:eastAsia="zh-CN"/>
              </w:rPr>
            </w:pPr>
            <w:r>
              <w:rPr>
                <w:rFonts w:hint="default" w:ascii="Times New Roman" w:hAnsi="Times New Roman" w:eastAsia="宋体" w:cs="Times New Roman"/>
                <w:color w:val="auto"/>
                <w:spacing w:val="-8"/>
                <w:szCs w:val="21"/>
              </w:rPr>
              <w:t>②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w:t>
            </w:r>
          </w:p>
        </w:tc>
      </w:tr>
    </w:tbl>
    <w:p w14:paraId="287F08B6">
      <w:pPr>
        <w:pStyle w:val="23"/>
        <w:numPr>
          <w:ilvl w:val="0"/>
          <w:numId w:val="0"/>
        </w:numPr>
        <w:jc w:val="center"/>
        <w:outlineLvl w:val="9"/>
        <w:rPr>
          <w:rFonts w:hint="eastAsia"/>
          <w:snapToGrid w:val="0"/>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8113D29">
      <w:pPr>
        <w:pStyle w:val="23"/>
        <w:numPr>
          <w:ilvl w:val="0"/>
          <w:numId w:val="0"/>
        </w:numPr>
        <w:jc w:val="center"/>
        <w:rPr>
          <w:rFonts w:hint="eastAsia"/>
          <w:snapToGrid w:val="0"/>
        </w:rPr>
      </w:pPr>
      <w:bookmarkStart w:id="14" w:name="_Toc18167"/>
      <w:r>
        <w:rPr>
          <w:rFonts w:hint="eastAsia"/>
          <w:snapToGrid w:val="0"/>
          <w:lang w:eastAsia="zh-CN"/>
        </w:rPr>
        <w:t>六、</w:t>
      </w:r>
      <w:r>
        <w:rPr>
          <w:rFonts w:hint="eastAsia"/>
          <w:snapToGrid w:val="0"/>
        </w:rPr>
        <w:t>结论</w:t>
      </w:r>
      <w:bookmarkEnd w:id="13"/>
      <w:bookmarkEnd w:id="14"/>
    </w:p>
    <w:tbl>
      <w:tblPr>
        <w:tblStyle w:val="25"/>
        <w:tblW w:w="88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54"/>
      </w:tblGrid>
      <w:tr w14:paraId="764A5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19" w:hRule="atLeast"/>
          <w:jc w:val="center"/>
        </w:trPr>
        <w:tc>
          <w:tcPr>
            <w:tcW w:w="8854" w:type="dxa"/>
          </w:tcPr>
          <w:p w14:paraId="5023AEC0">
            <w:pPr>
              <w:spacing w:line="360" w:lineRule="auto"/>
              <w:ind w:firstLine="480" w:firstLineChars="200"/>
              <w:rPr>
                <w:snapToGrid w:val="0"/>
                <w:sz w:val="24"/>
              </w:rPr>
            </w:pPr>
            <w:r>
              <w:rPr>
                <w:rFonts w:hint="eastAsia" w:cs="宋体"/>
                <w:kern w:val="0"/>
                <w:sz w:val="24"/>
                <w:szCs w:val="24"/>
              </w:rPr>
              <w:t>本项目符合国家产业政策、环保政策和法规和有关技术规范的要求。本项目建成后在采用本评价各项污染防治措施，各项污染物均可实现达标排放，且不会降低评价区域原有环境质量功能级别。建设单位应认真贯彻落实建设项目“三同时”制度，将各项环保措施落实到位，在严格执行各项环保措施特别是做好噪声、废气、废水、固废的防治措施的前提下，从环境影响角度而言，该项目建设可行。</w:t>
            </w:r>
          </w:p>
          <w:p w14:paraId="121AEE95">
            <w:pPr>
              <w:adjustRightInd w:val="0"/>
              <w:snapToGrid w:val="0"/>
              <w:ind w:firstLine="315"/>
              <w:rPr>
                <w:szCs w:val="21"/>
              </w:rPr>
            </w:pPr>
          </w:p>
        </w:tc>
      </w:tr>
    </w:tbl>
    <w:p w14:paraId="5845BB84">
      <w:pPr>
        <w:jc w:val="left"/>
        <w:rPr>
          <w:rFonts w:hint="eastAsia"/>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ACB454A">
      <w:pPr>
        <w:pStyle w:val="31"/>
        <w:keepNext w:val="0"/>
        <w:keepLines w:val="0"/>
        <w:pageBreakBefore w:val="0"/>
        <w:widowControl w:val="0"/>
        <w:kinsoku/>
        <w:wordWrap/>
        <w:overflowPunct/>
        <w:topLinePunct w:val="0"/>
        <w:bidi w:val="0"/>
        <w:snapToGrid/>
        <w:spacing w:line="240" w:lineRule="atLeast"/>
        <w:jc w:val="both"/>
        <w:textAlignment w:val="auto"/>
        <w:rPr>
          <w:rFonts w:ascii="宋体" w:hAnsi="宋体" w:cs="黑体"/>
          <w:b/>
          <w:color w:val="auto"/>
          <w:sz w:val="32"/>
          <w:szCs w:val="32"/>
        </w:rPr>
      </w:pPr>
      <w:r>
        <w:rPr>
          <w:rFonts w:ascii="宋体" w:hAnsi="宋体" w:cs="黑体"/>
          <w:b/>
          <w:color w:val="auto"/>
          <w:sz w:val="32"/>
          <w:szCs w:val="32"/>
        </w:rPr>
        <w:t>附表</w:t>
      </w:r>
    </w:p>
    <w:p w14:paraId="1F92C041">
      <w:pPr>
        <w:pStyle w:val="55"/>
        <w:keepNext w:val="0"/>
        <w:keepLines w:val="0"/>
        <w:pageBreakBefore w:val="0"/>
        <w:widowControl w:val="0"/>
        <w:kinsoku/>
        <w:wordWrap/>
        <w:overflowPunct/>
        <w:topLinePunct w:val="0"/>
        <w:autoSpaceDE/>
        <w:autoSpaceDN/>
        <w:bidi w:val="0"/>
        <w:adjustRightInd/>
        <w:snapToGrid/>
        <w:spacing w:line="240" w:lineRule="atLeast"/>
        <w:ind w:left="0"/>
        <w:textAlignment w:val="auto"/>
        <w:outlineLvl w:val="0"/>
        <w:rPr>
          <w:rFonts w:hint="eastAsia"/>
          <w:snapToGrid w:val="0"/>
          <w:color w:val="auto"/>
          <w:sz w:val="32"/>
          <w:szCs w:val="32"/>
        </w:rPr>
      </w:pPr>
      <w:bookmarkStart w:id="15" w:name="_Toc17349"/>
      <w:r>
        <w:rPr>
          <w:rFonts w:hint="eastAsia"/>
          <w:snapToGrid w:val="0"/>
          <w:color w:val="auto"/>
          <w:sz w:val="32"/>
          <w:szCs w:val="32"/>
        </w:rPr>
        <w:t>建设项目污染物排放量汇总表</w:t>
      </w:r>
      <w:r>
        <w:rPr>
          <w:rFonts w:hint="default" w:ascii="Times New Roman" w:hAnsi="Times New Roman" w:eastAsia="宋体" w:cs="Times New Roman"/>
          <w:b/>
          <w:bCs/>
          <w:color w:val="auto"/>
          <w:sz w:val="38"/>
          <w:szCs w:val="38"/>
          <w:lang w:val="en-US" w:eastAsia="zh-CN"/>
        </w:rPr>
        <w:t xml:space="preserve">  </w:t>
      </w:r>
      <w:r>
        <w:rPr>
          <w:rFonts w:hint="default" w:ascii="Times New Roman" w:hAnsi="Times New Roman" w:eastAsia="宋体" w:cs="Times New Roman"/>
          <w:b/>
          <w:bCs/>
          <w:color w:val="auto"/>
          <w:sz w:val="21"/>
          <w:szCs w:val="21"/>
          <w:lang w:val="en-US" w:eastAsia="zh-CN"/>
        </w:rPr>
        <w:t>单位：t/a</w:t>
      </w:r>
      <w:bookmarkEnd w:id="15"/>
    </w:p>
    <w:tbl>
      <w:tblPr>
        <w:tblStyle w:val="25"/>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2244"/>
        <w:gridCol w:w="1334"/>
        <w:gridCol w:w="1298"/>
        <w:gridCol w:w="1604"/>
        <w:gridCol w:w="1620"/>
        <w:gridCol w:w="1619"/>
        <w:gridCol w:w="1768"/>
        <w:gridCol w:w="1322"/>
      </w:tblGrid>
      <w:tr w14:paraId="5A2F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8" w:type="dxa"/>
            <w:tcBorders>
              <w:tl2br w:val="single" w:color="auto" w:sz="4" w:space="0"/>
            </w:tcBorders>
            <w:noWrap w:val="0"/>
            <w:tcMar>
              <w:left w:w="28" w:type="dxa"/>
              <w:right w:w="28" w:type="dxa"/>
            </w:tcMar>
            <w:vAlign w:val="center"/>
          </w:tcPr>
          <w:p w14:paraId="4FA18002">
            <w:pPr>
              <w:widowControl w:val="0"/>
              <w:adjustRightInd w:val="0"/>
              <w:snapToGrid w:val="0"/>
              <w:spacing w:beforeLines="0" w:afterLines="0" w:line="240" w:lineRule="auto"/>
              <w:jc w:val="right"/>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项目</w:t>
            </w:r>
          </w:p>
          <w:p w14:paraId="3610BF47">
            <w:pPr>
              <w:widowControl w:val="0"/>
              <w:adjustRightInd w:val="0"/>
              <w:snapToGrid w:val="0"/>
              <w:spacing w:beforeLines="0" w:afterLines="0" w:line="240" w:lineRule="auto"/>
              <w:jc w:val="left"/>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分类</w:t>
            </w:r>
          </w:p>
        </w:tc>
        <w:tc>
          <w:tcPr>
            <w:tcW w:w="2244" w:type="dxa"/>
            <w:noWrap w:val="0"/>
            <w:tcMar>
              <w:left w:w="28" w:type="dxa"/>
              <w:right w:w="28" w:type="dxa"/>
            </w:tcMar>
            <w:vAlign w:val="center"/>
          </w:tcPr>
          <w:p w14:paraId="4480CB74">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污染物名称</w:t>
            </w:r>
          </w:p>
        </w:tc>
        <w:tc>
          <w:tcPr>
            <w:tcW w:w="1334" w:type="dxa"/>
            <w:noWrap w:val="0"/>
            <w:tcMar>
              <w:left w:w="28" w:type="dxa"/>
              <w:right w:w="28" w:type="dxa"/>
            </w:tcMar>
            <w:vAlign w:val="center"/>
          </w:tcPr>
          <w:p w14:paraId="4504F13F">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现有工程</w:t>
            </w:r>
          </w:p>
          <w:p w14:paraId="62B27706">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排放量（固体废物产生量）</w:t>
            </w:r>
            <w:r>
              <w:rPr>
                <w:rFonts w:hint="default" w:ascii="Times New Roman" w:hAnsi="Times New Roman" w:eastAsia="黑体" w:cs="Times New Roman"/>
                <w:snapToGrid w:val="0"/>
                <w:spacing w:val="-6"/>
                <w:kern w:val="21"/>
                <w:sz w:val="21"/>
                <w:szCs w:val="21"/>
                <w:lang w:val="en-US" w:eastAsia="zh-CN" w:bidi="ar-SA"/>
              </w:rPr>
              <w:fldChar w:fldCharType="begin"/>
            </w:r>
            <w:r>
              <w:rPr>
                <w:rFonts w:hint="default" w:ascii="Times New Roman" w:hAnsi="Times New Roman" w:eastAsia="黑体" w:cs="Times New Roman"/>
                <w:snapToGrid w:val="0"/>
                <w:spacing w:val="-6"/>
                <w:kern w:val="21"/>
                <w:sz w:val="21"/>
                <w:szCs w:val="21"/>
                <w:lang w:val="en-US" w:eastAsia="zh-CN" w:bidi="ar-SA"/>
              </w:rPr>
              <w:instrText xml:space="preserve"> = 1 \* GB3 \* MERGEFORMAT </w:instrText>
            </w:r>
            <w:r>
              <w:rPr>
                <w:rFonts w:hint="default" w:ascii="Times New Roman" w:hAnsi="Times New Roman" w:eastAsia="黑体" w:cs="Times New Roman"/>
                <w:snapToGrid w:val="0"/>
                <w:spacing w:val="-6"/>
                <w:kern w:val="21"/>
                <w:sz w:val="21"/>
                <w:szCs w:val="21"/>
                <w:lang w:val="en-US" w:eastAsia="zh-CN" w:bidi="ar-SA"/>
              </w:rPr>
              <w:fldChar w:fldCharType="separate"/>
            </w:r>
            <w:r>
              <w:rPr>
                <w:rFonts w:hint="default" w:ascii="Times New Roman" w:hAnsi="Times New Roman" w:eastAsia="黑体" w:cs="Times New Roman"/>
                <w:spacing w:val="-10"/>
                <w:kern w:val="2"/>
                <w:sz w:val="21"/>
                <w:szCs w:val="21"/>
                <w:lang w:val="en-US" w:eastAsia="zh-CN" w:bidi="ar-SA"/>
              </w:rPr>
              <w:t>①</w:t>
            </w:r>
            <w:r>
              <w:rPr>
                <w:rFonts w:hint="default" w:ascii="Times New Roman" w:hAnsi="Times New Roman" w:eastAsia="黑体" w:cs="Times New Roman"/>
                <w:snapToGrid w:val="0"/>
                <w:spacing w:val="-6"/>
                <w:kern w:val="21"/>
                <w:sz w:val="21"/>
                <w:szCs w:val="21"/>
                <w:lang w:val="en-US" w:eastAsia="zh-CN" w:bidi="ar-SA"/>
              </w:rPr>
              <w:fldChar w:fldCharType="end"/>
            </w:r>
          </w:p>
        </w:tc>
        <w:tc>
          <w:tcPr>
            <w:tcW w:w="1298" w:type="dxa"/>
            <w:noWrap w:val="0"/>
            <w:tcMar>
              <w:left w:w="28" w:type="dxa"/>
              <w:right w:w="28" w:type="dxa"/>
            </w:tcMar>
            <w:vAlign w:val="center"/>
          </w:tcPr>
          <w:p w14:paraId="4943B1CB">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现有工程</w:t>
            </w:r>
          </w:p>
          <w:p w14:paraId="4E127B7C">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许可排放量</w:t>
            </w:r>
          </w:p>
          <w:p w14:paraId="423DA0E6">
            <w:pPr>
              <w:widowControl w:val="0"/>
              <w:adjustRightInd w:val="0"/>
              <w:snapToGrid w:val="0"/>
              <w:spacing w:beforeLines="0" w:afterLines="0" w:line="259"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fldChar w:fldCharType="begin"/>
            </w:r>
            <w:r>
              <w:rPr>
                <w:rFonts w:hint="default" w:ascii="Times New Roman" w:hAnsi="Times New Roman" w:eastAsia="黑体" w:cs="Times New Roman"/>
                <w:snapToGrid w:val="0"/>
                <w:spacing w:val="-6"/>
                <w:kern w:val="21"/>
                <w:sz w:val="21"/>
                <w:szCs w:val="21"/>
                <w:lang w:val="en-US" w:eastAsia="zh-CN" w:bidi="ar-SA"/>
              </w:rPr>
              <w:instrText xml:space="preserve"> = 2 \* GB3 \* MERGEFORMAT </w:instrText>
            </w:r>
            <w:r>
              <w:rPr>
                <w:rFonts w:hint="default" w:ascii="Times New Roman" w:hAnsi="Times New Roman" w:eastAsia="黑体" w:cs="Times New Roman"/>
                <w:snapToGrid w:val="0"/>
                <w:spacing w:val="-6"/>
                <w:kern w:val="21"/>
                <w:sz w:val="21"/>
                <w:szCs w:val="21"/>
                <w:lang w:val="en-US" w:eastAsia="zh-CN" w:bidi="ar-SA"/>
              </w:rPr>
              <w:fldChar w:fldCharType="separate"/>
            </w:r>
            <w:r>
              <w:rPr>
                <w:rFonts w:hint="default" w:ascii="Times New Roman" w:hAnsi="Times New Roman" w:eastAsia="黑体" w:cs="Times New Roman"/>
                <w:snapToGrid w:val="0"/>
                <w:spacing w:val="-6"/>
                <w:kern w:val="21"/>
                <w:sz w:val="21"/>
                <w:szCs w:val="21"/>
                <w:lang w:val="en-US" w:eastAsia="zh-CN" w:bidi="ar-SA"/>
              </w:rPr>
              <w:t>②</w:t>
            </w:r>
            <w:r>
              <w:rPr>
                <w:rFonts w:hint="default" w:ascii="Times New Roman" w:hAnsi="Times New Roman" w:eastAsia="黑体" w:cs="Times New Roman"/>
                <w:snapToGrid w:val="0"/>
                <w:spacing w:val="-6"/>
                <w:kern w:val="21"/>
                <w:sz w:val="21"/>
                <w:szCs w:val="21"/>
                <w:lang w:val="en-US" w:eastAsia="zh-CN" w:bidi="ar-SA"/>
              </w:rPr>
              <w:fldChar w:fldCharType="end"/>
            </w:r>
          </w:p>
        </w:tc>
        <w:tc>
          <w:tcPr>
            <w:tcW w:w="1604" w:type="dxa"/>
            <w:noWrap w:val="0"/>
            <w:tcMar>
              <w:left w:w="28" w:type="dxa"/>
              <w:right w:w="28" w:type="dxa"/>
            </w:tcMar>
            <w:vAlign w:val="center"/>
          </w:tcPr>
          <w:p w14:paraId="73DFB216">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在建工程</w:t>
            </w:r>
          </w:p>
          <w:p w14:paraId="5AAFE71C">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排放量（固体废物产生量）</w:t>
            </w:r>
            <w:r>
              <w:rPr>
                <w:rFonts w:hint="default" w:ascii="Times New Roman" w:hAnsi="Times New Roman" w:eastAsia="黑体" w:cs="Times New Roman"/>
                <w:snapToGrid w:val="0"/>
                <w:spacing w:val="-6"/>
                <w:kern w:val="21"/>
                <w:sz w:val="21"/>
                <w:szCs w:val="21"/>
                <w:lang w:val="en-US" w:eastAsia="zh-CN" w:bidi="ar-SA"/>
              </w:rPr>
              <w:fldChar w:fldCharType="begin"/>
            </w:r>
            <w:r>
              <w:rPr>
                <w:rFonts w:hint="default" w:ascii="Times New Roman" w:hAnsi="Times New Roman" w:eastAsia="黑体" w:cs="Times New Roman"/>
                <w:snapToGrid w:val="0"/>
                <w:spacing w:val="-6"/>
                <w:kern w:val="21"/>
                <w:sz w:val="21"/>
                <w:szCs w:val="21"/>
                <w:lang w:val="en-US" w:eastAsia="zh-CN" w:bidi="ar-SA"/>
              </w:rPr>
              <w:instrText xml:space="preserve"> = 3 \* GB3 \* MERGEFORMAT </w:instrText>
            </w:r>
            <w:r>
              <w:rPr>
                <w:rFonts w:hint="default" w:ascii="Times New Roman" w:hAnsi="Times New Roman" w:eastAsia="黑体" w:cs="Times New Roman"/>
                <w:snapToGrid w:val="0"/>
                <w:spacing w:val="-6"/>
                <w:kern w:val="21"/>
                <w:sz w:val="21"/>
                <w:szCs w:val="21"/>
                <w:lang w:val="en-US" w:eastAsia="zh-CN" w:bidi="ar-SA"/>
              </w:rPr>
              <w:fldChar w:fldCharType="separate"/>
            </w:r>
            <w:r>
              <w:rPr>
                <w:rFonts w:hint="default" w:ascii="Times New Roman" w:hAnsi="Times New Roman" w:eastAsia="黑体" w:cs="Times New Roman"/>
                <w:spacing w:val="-10"/>
                <w:kern w:val="2"/>
                <w:sz w:val="21"/>
                <w:szCs w:val="21"/>
                <w:lang w:val="en-US" w:eastAsia="zh-CN" w:bidi="ar-SA"/>
              </w:rPr>
              <w:t>③</w:t>
            </w:r>
            <w:r>
              <w:rPr>
                <w:rFonts w:hint="default" w:ascii="Times New Roman" w:hAnsi="Times New Roman" w:eastAsia="黑体" w:cs="Times New Roman"/>
                <w:snapToGrid w:val="0"/>
                <w:spacing w:val="-6"/>
                <w:kern w:val="21"/>
                <w:sz w:val="21"/>
                <w:szCs w:val="21"/>
                <w:lang w:val="en-US" w:eastAsia="zh-CN" w:bidi="ar-SA"/>
              </w:rPr>
              <w:fldChar w:fldCharType="end"/>
            </w:r>
          </w:p>
        </w:tc>
        <w:tc>
          <w:tcPr>
            <w:tcW w:w="1620" w:type="dxa"/>
            <w:noWrap w:val="0"/>
            <w:tcMar>
              <w:left w:w="28" w:type="dxa"/>
              <w:right w:w="28" w:type="dxa"/>
            </w:tcMar>
            <w:vAlign w:val="center"/>
          </w:tcPr>
          <w:p w14:paraId="1AF3A7CE">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本项目</w:t>
            </w:r>
          </w:p>
          <w:p w14:paraId="27C9494F">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排放量（固体废物产生量）</w:t>
            </w:r>
            <w:r>
              <w:rPr>
                <w:rFonts w:hint="default" w:ascii="Times New Roman" w:hAnsi="Times New Roman" w:eastAsia="黑体" w:cs="Times New Roman"/>
                <w:snapToGrid w:val="0"/>
                <w:spacing w:val="-6"/>
                <w:kern w:val="21"/>
                <w:sz w:val="21"/>
                <w:szCs w:val="21"/>
                <w:lang w:val="en-US" w:eastAsia="zh-CN" w:bidi="ar-SA"/>
              </w:rPr>
              <w:fldChar w:fldCharType="begin"/>
            </w:r>
            <w:r>
              <w:rPr>
                <w:rFonts w:hint="default" w:ascii="Times New Roman" w:hAnsi="Times New Roman" w:eastAsia="黑体" w:cs="Times New Roman"/>
                <w:snapToGrid w:val="0"/>
                <w:spacing w:val="-6"/>
                <w:kern w:val="21"/>
                <w:sz w:val="21"/>
                <w:szCs w:val="21"/>
                <w:lang w:val="en-US" w:eastAsia="zh-CN" w:bidi="ar-SA"/>
              </w:rPr>
              <w:instrText xml:space="preserve"> = 4 \* GB3 \* MERGEFORMAT </w:instrText>
            </w:r>
            <w:r>
              <w:rPr>
                <w:rFonts w:hint="default" w:ascii="Times New Roman" w:hAnsi="Times New Roman" w:eastAsia="黑体" w:cs="Times New Roman"/>
                <w:snapToGrid w:val="0"/>
                <w:spacing w:val="-6"/>
                <w:kern w:val="21"/>
                <w:sz w:val="21"/>
                <w:szCs w:val="21"/>
                <w:lang w:val="en-US" w:eastAsia="zh-CN" w:bidi="ar-SA"/>
              </w:rPr>
              <w:fldChar w:fldCharType="separate"/>
            </w:r>
            <w:r>
              <w:rPr>
                <w:rFonts w:hint="default" w:ascii="Times New Roman" w:hAnsi="Times New Roman" w:eastAsia="黑体" w:cs="Times New Roman"/>
                <w:spacing w:val="-10"/>
                <w:kern w:val="2"/>
                <w:sz w:val="21"/>
                <w:szCs w:val="21"/>
                <w:lang w:val="en-US" w:eastAsia="zh-CN" w:bidi="ar-SA"/>
              </w:rPr>
              <w:t>④</w:t>
            </w:r>
            <w:r>
              <w:rPr>
                <w:rFonts w:hint="default" w:ascii="Times New Roman" w:hAnsi="Times New Roman" w:eastAsia="黑体" w:cs="Times New Roman"/>
                <w:snapToGrid w:val="0"/>
                <w:spacing w:val="-6"/>
                <w:kern w:val="21"/>
                <w:sz w:val="21"/>
                <w:szCs w:val="21"/>
                <w:lang w:val="en-US" w:eastAsia="zh-CN" w:bidi="ar-SA"/>
              </w:rPr>
              <w:fldChar w:fldCharType="end"/>
            </w:r>
          </w:p>
        </w:tc>
        <w:tc>
          <w:tcPr>
            <w:tcW w:w="1619" w:type="dxa"/>
            <w:noWrap w:val="0"/>
            <w:tcMar>
              <w:left w:w="28" w:type="dxa"/>
              <w:right w:w="28" w:type="dxa"/>
            </w:tcMar>
            <w:vAlign w:val="center"/>
          </w:tcPr>
          <w:p w14:paraId="62B07350">
            <w:pPr>
              <w:widowControl w:val="0"/>
              <w:adjustRightInd w:val="0"/>
              <w:snapToGrid w:val="0"/>
              <w:spacing w:beforeLines="0" w:afterLines="0" w:line="240" w:lineRule="auto"/>
              <w:jc w:val="center"/>
              <w:rPr>
                <w:rFonts w:hint="default" w:ascii="Times New Roman" w:hAnsi="Times New Roman" w:eastAsia="黑体" w:cs="Times New Roman"/>
                <w:snapToGrid w:val="0"/>
                <w:spacing w:val="-16"/>
                <w:kern w:val="21"/>
                <w:sz w:val="21"/>
                <w:szCs w:val="21"/>
                <w:lang w:val="en-US" w:eastAsia="zh-CN" w:bidi="ar-SA"/>
              </w:rPr>
            </w:pPr>
            <w:r>
              <w:rPr>
                <w:rFonts w:hint="default" w:ascii="Times New Roman" w:hAnsi="Times New Roman" w:eastAsia="黑体" w:cs="Times New Roman"/>
                <w:snapToGrid w:val="0"/>
                <w:spacing w:val="-16"/>
                <w:kern w:val="21"/>
                <w:sz w:val="21"/>
                <w:szCs w:val="21"/>
                <w:lang w:val="en-US" w:eastAsia="zh-CN" w:bidi="ar-SA"/>
              </w:rPr>
              <w:t>以新带老削减量</w:t>
            </w:r>
          </w:p>
          <w:p w14:paraId="449FA4DE">
            <w:pPr>
              <w:widowControl w:val="0"/>
              <w:adjustRightInd w:val="0"/>
              <w:snapToGrid w:val="0"/>
              <w:spacing w:beforeLines="0" w:afterLines="0" w:line="240" w:lineRule="auto"/>
              <w:jc w:val="center"/>
              <w:rPr>
                <w:rFonts w:hint="default" w:ascii="Times New Roman" w:hAnsi="Times New Roman" w:eastAsia="黑体" w:cs="Times New Roman"/>
                <w:snapToGrid w:val="0"/>
                <w:spacing w:val="-16"/>
                <w:kern w:val="21"/>
                <w:sz w:val="21"/>
                <w:szCs w:val="21"/>
                <w:lang w:val="en-US" w:eastAsia="zh-CN" w:bidi="ar-SA"/>
              </w:rPr>
            </w:pPr>
            <w:r>
              <w:rPr>
                <w:rFonts w:hint="default" w:ascii="Times New Roman" w:hAnsi="Times New Roman" w:eastAsia="黑体" w:cs="Times New Roman"/>
                <w:snapToGrid w:val="0"/>
                <w:spacing w:val="-16"/>
                <w:kern w:val="21"/>
                <w:sz w:val="21"/>
                <w:szCs w:val="21"/>
                <w:lang w:val="en-US" w:eastAsia="zh-CN" w:bidi="ar-SA"/>
              </w:rPr>
              <w:t>（新建项目不填）</w:t>
            </w:r>
            <w:r>
              <w:rPr>
                <w:rFonts w:hint="default" w:ascii="Times New Roman" w:hAnsi="Times New Roman" w:eastAsia="黑体" w:cs="Times New Roman"/>
                <w:snapToGrid w:val="0"/>
                <w:spacing w:val="-16"/>
                <w:kern w:val="21"/>
                <w:sz w:val="21"/>
                <w:szCs w:val="21"/>
                <w:lang w:val="en-US" w:eastAsia="zh-CN" w:bidi="ar-SA"/>
              </w:rPr>
              <w:fldChar w:fldCharType="begin"/>
            </w:r>
            <w:r>
              <w:rPr>
                <w:rFonts w:hint="default" w:ascii="Times New Roman" w:hAnsi="Times New Roman" w:eastAsia="黑体" w:cs="Times New Roman"/>
                <w:snapToGrid w:val="0"/>
                <w:spacing w:val="-16"/>
                <w:kern w:val="21"/>
                <w:sz w:val="21"/>
                <w:szCs w:val="21"/>
                <w:lang w:val="en-US" w:eastAsia="zh-CN" w:bidi="ar-SA"/>
              </w:rPr>
              <w:instrText xml:space="preserve"> = 5 \* GB3 \* MERGEFORMAT </w:instrText>
            </w:r>
            <w:r>
              <w:rPr>
                <w:rFonts w:hint="default" w:ascii="Times New Roman" w:hAnsi="Times New Roman" w:eastAsia="黑体" w:cs="Times New Roman"/>
                <w:snapToGrid w:val="0"/>
                <w:spacing w:val="-16"/>
                <w:kern w:val="21"/>
                <w:sz w:val="21"/>
                <w:szCs w:val="21"/>
                <w:lang w:val="en-US" w:eastAsia="zh-CN" w:bidi="ar-SA"/>
              </w:rPr>
              <w:fldChar w:fldCharType="separate"/>
            </w:r>
            <w:r>
              <w:rPr>
                <w:rFonts w:hint="default" w:ascii="Times New Roman" w:hAnsi="Times New Roman" w:eastAsia="黑体" w:cs="Times New Roman"/>
                <w:spacing w:val="-10"/>
                <w:kern w:val="2"/>
                <w:sz w:val="21"/>
                <w:szCs w:val="21"/>
                <w:lang w:val="en-US" w:eastAsia="zh-CN" w:bidi="ar-SA"/>
              </w:rPr>
              <w:t>⑤</w:t>
            </w:r>
            <w:r>
              <w:rPr>
                <w:rFonts w:hint="default" w:ascii="Times New Roman" w:hAnsi="Times New Roman" w:eastAsia="黑体" w:cs="Times New Roman"/>
                <w:snapToGrid w:val="0"/>
                <w:spacing w:val="-16"/>
                <w:kern w:val="21"/>
                <w:sz w:val="21"/>
                <w:szCs w:val="21"/>
                <w:lang w:val="en-US" w:eastAsia="zh-CN" w:bidi="ar-SA"/>
              </w:rPr>
              <w:fldChar w:fldCharType="end"/>
            </w:r>
          </w:p>
        </w:tc>
        <w:tc>
          <w:tcPr>
            <w:tcW w:w="1768" w:type="dxa"/>
            <w:noWrap w:val="0"/>
            <w:tcMar>
              <w:left w:w="28" w:type="dxa"/>
              <w:right w:w="28" w:type="dxa"/>
            </w:tcMar>
            <w:vAlign w:val="center"/>
          </w:tcPr>
          <w:p w14:paraId="079A028C">
            <w:pPr>
              <w:widowControl w:val="0"/>
              <w:adjustRightInd w:val="0"/>
              <w:snapToGrid w:val="0"/>
              <w:spacing w:beforeLines="0" w:afterLines="0" w:line="240" w:lineRule="auto"/>
              <w:jc w:val="center"/>
              <w:rPr>
                <w:rFonts w:hint="default" w:ascii="Times New Roman" w:hAnsi="Times New Roman" w:eastAsia="黑体" w:cs="Times New Roman"/>
                <w:snapToGrid w:val="0"/>
                <w:spacing w:val="-16"/>
                <w:kern w:val="21"/>
                <w:sz w:val="21"/>
                <w:szCs w:val="21"/>
                <w:lang w:val="en-US" w:eastAsia="zh-CN" w:bidi="ar-SA"/>
              </w:rPr>
            </w:pPr>
            <w:r>
              <w:rPr>
                <w:rFonts w:hint="default" w:ascii="Times New Roman" w:hAnsi="Times New Roman" w:eastAsia="黑体" w:cs="Times New Roman"/>
                <w:snapToGrid w:val="0"/>
                <w:spacing w:val="-16"/>
                <w:kern w:val="21"/>
                <w:sz w:val="21"/>
                <w:szCs w:val="21"/>
                <w:lang w:val="en-US" w:eastAsia="zh-CN" w:bidi="ar-SA"/>
              </w:rPr>
              <w:t>本项目建成后</w:t>
            </w:r>
          </w:p>
          <w:p w14:paraId="5274B2E9">
            <w:pPr>
              <w:widowControl w:val="0"/>
              <w:adjustRightInd w:val="0"/>
              <w:snapToGrid w:val="0"/>
              <w:spacing w:beforeLines="0" w:afterLines="0" w:line="240" w:lineRule="auto"/>
              <w:jc w:val="center"/>
              <w:rPr>
                <w:rFonts w:hint="default" w:ascii="Times New Roman" w:hAnsi="Times New Roman" w:eastAsia="黑体" w:cs="Times New Roman"/>
                <w:snapToGrid w:val="0"/>
                <w:spacing w:val="-16"/>
                <w:kern w:val="21"/>
                <w:sz w:val="21"/>
                <w:szCs w:val="21"/>
                <w:lang w:val="en-US" w:eastAsia="zh-CN" w:bidi="ar-SA"/>
              </w:rPr>
            </w:pPr>
            <w:r>
              <w:rPr>
                <w:rFonts w:hint="default" w:ascii="Times New Roman" w:hAnsi="Times New Roman" w:eastAsia="黑体" w:cs="Times New Roman"/>
                <w:snapToGrid w:val="0"/>
                <w:spacing w:val="-16"/>
                <w:kern w:val="21"/>
                <w:sz w:val="21"/>
                <w:szCs w:val="21"/>
                <w:lang w:val="en-US" w:eastAsia="zh-CN" w:bidi="ar-SA"/>
              </w:rPr>
              <w:t>全厂排放量（固体废物产生量）</w:t>
            </w:r>
            <w:r>
              <w:rPr>
                <w:rFonts w:hint="default" w:ascii="Times New Roman" w:hAnsi="Times New Roman" w:eastAsia="黑体" w:cs="Times New Roman"/>
                <w:snapToGrid w:val="0"/>
                <w:spacing w:val="-16"/>
                <w:kern w:val="21"/>
                <w:sz w:val="21"/>
                <w:szCs w:val="21"/>
                <w:lang w:val="en-US" w:eastAsia="zh-CN" w:bidi="ar-SA"/>
              </w:rPr>
              <w:fldChar w:fldCharType="begin"/>
            </w:r>
            <w:r>
              <w:rPr>
                <w:rFonts w:hint="default" w:ascii="Times New Roman" w:hAnsi="Times New Roman" w:eastAsia="黑体" w:cs="Times New Roman"/>
                <w:snapToGrid w:val="0"/>
                <w:spacing w:val="-16"/>
                <w:kern w:val="21"/>
                <w:sz w:val="21"/>
                <w:szCs w:val="21"/>
                <w:lang w:val="en-US" w:eastAsia="zh-CN" w:bidi="ar-SA"/>
              </w:rPr>
              <w:instrText xml:space="preserve"> = 6 \* GB3 \* MERGEFORMAT </w:instrText>
            </w:r>
            <w:r>
              <w:rPr>
                <w:rFonts w:hint="default" w:ascii="Times New Roman" w:hAnsi="Times New Roman" w:eastAsia="黑体" w:cs="Times New Roman"/>
                <w:snapToGrid w:val="0"/>
                <w:spacing w:val="-16"/>
                <w:kern w:val="21"/>
                <w:sz w:val="21"/>
                <w:szCs w:val="21"/>
                <w:lang w:val="en-US" w:eastAsia="zh-CN" w:bidi="ar-SA"/>
              </w:rPr>
              <w:fldChar w:fldCharType="separate"/>
            </w:r>
            <w:r>
              <w:rPr>
                <w:rFonts w:hint="default" w:ascii="Times New Roman" w:hAnsi="Times New Roman" w:eastAsia="黑体" w:cs="Times New Roman"/>
                <w:spacing w:val="-10"/>
                <w:kern w:val="2"/>
                <w:sz w:val="21"/>
                <w:szCs w:val="21"/>
                <w:lang w:val="en-US" w:eastAsia="zh-CN" w:bidi="ar-SA"/>
              </w:rPr>
              <w:t>⑥</w:t>
            </w:r>
            <w:r>
              <w:rPr>
                <w:rFonts w:hint="default" w:ascii="Times New Roman" w:hAnsi="Times New Roman" w:eastAsia="黑体" w:cs="Times New Roman"/>
                <w:snapToGrid w:val="0"/>
                <w:spacing w:val="-16"/>
                <w:kern w:val="21"/>
                <w:sz w:val="21"/>
                <w:szCs w:val="21"/>
                <w:lang w:val="en-US" w:eastAsia="zh-CN" w:bidi="ar-SA"/>
              </w:rPr>
              <w:fldChar w:fldCharType="end"/>
            </w:r>
          </w:p>
        </w:tc>
        <w:tc>
          <w:tcPr>
            <w:tcW w:w="1322" w:type="dxa"/>
            <w:noWrap w:val="0"/>
            <w:tcMar>
              <w:left w:w="28" w:type="dxa"/>
              <w:right w:w="28" w:type="dxa"/>
            </w:tcMar>
            <w:vAlign w:val="center"/>
          </w:tcPr>
          <w:p w14:paraId="00927901">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变化量</w:t>
            </w:r>
          </w:p>
          <w:p w14:paraId="105B53CD">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fldChar w:fldCharType="begin"/>
            </w:r>
            <w:r>
              <w:rPr>
                <w:rFonts w:hint="default" w:ascii="Times New Roman" w:hAnsi="Times New Roman" w:eastAsia="黑体" w:cs="Times New Roman"/>
                <w:snapToGrid w:val="0"/>
                <w:spacing w:val="-6"/>
                <w:kern w:val="21"/>
                <w:sz w:val="21"/>
                <w:szCs w:val="21"/>
                <w:lang w:val="en-US" w:eastAsia="zh-CN" w:bidi="ar-SA"/>
              </w:rPr>
              <w:instrText xml:space="preserve"> = 7 \* GB3 \* MERGEFORMAT </w:instrText>
            </w:r>
            <w:r>
              <w:rPr>
                <w:rFonts w:hint="default" w:ascii="Times New Roman" w:hAnsi="Times New Roman" w:eastAsia="黑体" w:cs="Times New Roman"/>
                <w:snapToGrid w:val="0"/>
                <w:spacing w:val="-6"/>
                <w:kern w:val="21"/>
                <w:sz w:val="21"/>
                <w:szCs w:val="21"/>
                <w:lang w:val="en-US" w:eastAsia="zh-CN" w:bidi="ar-SA"/>
              </w:rPr>
              <w:fldChar w:fldCharType="separate"/>
            </w:r>
            <w:r>
              <w:rPr>
                <w:rFonts w:hint="default" w:ascii="Times New Roman" w:hAnsi="Times New Roman" w:eastAsia="黑体" w:cs="Times New Roman"/>
                <w:spacing w:val="-10"/>
                <w:kern w:val="2"/>
                <w:sz w:val="21"/>
                <w:szCs w:val="21"/>
                <w:lang w:val="en-US" w:eastAsia="zh-CN" w:bidi="ar-SA"/>
              </w:rPr>
              <w:t>⑦</w:t>
            </w:r>
            <w:r>
              <w:rPr>
                <w:rFonts w:hint="default" w:ascii="Times New Roman" w:hAnsi="Times New Roman" w:eastAsia="黑体" w:cs="Times New Roman"/>
                <w:snapToGrid w:val="0"/>
                <w:spacing w:val="-6"/>
                <w:kern w:val="21"/>
                <w:sz w:val="21"/>
                <w:szCs w:val="21"/>
                <w:lang w:val="en-US" w:eastAsia="zh-CN" w:bidi="ar-SA"/>
              </w:rPr>
              <w:fldChar w:fldCharType="end"/>
            </w:r>
          </w:p>
        </w:tc>
      </w:tr>
      <w:tr w14:paraId="3147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8" w:type="dxa"/>
            <w:vMerge w:val="restart"/>
            <w:noWrap w:val="0"/>
            <w:vAlign w:val="center"/>
          </w:tcPr>
          <w:p w14:paraId="22ECC47F">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lang w:val="en-US" w:eastAsia="zh-CN" w:bidi="ar-SA"/>
              </w:rPr>
              <w:t>废气</w:t>
            </w:r>
          </w:p>
        </w:tc>
        <w:tc>
          <w:tcPr>
            <w:tcW w:w="2244" w:type="dxa"/>
            <w:noWrap w:val="0"/>
            <w:vAlign w:val="center"/>
          </w:tcPr>
          <w:p w14:paraId="3ED5FF53">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lang w:val="en-US" w:eastAsia="zh-CN" w:bidi="ar-SA"/>
              </w:rPr>
              <w:t>油烟</w:t>
            </w:r>
          </w:p>
        </w:tc>
        <w:tc>
          <w:tcPr>
            <w:tcW w:w="1334" w:type="dxa"/>
            <w:noWrap w:val="0"/>
            <w:vAlign w:val="center"/>
          </w:tcPr>
          <w:p w14:paraId="1FBBCFD8">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298" w:type="dxa"/>
            <w:noWrap w:val="0"/>
            <w:vAlign w:val="center"/>
          </w:tcPr>
          <w:p w14:paraId="214C8A1B">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604" w:type="dxa"/>
            <w:noWrap w:val="0"/>
            <w:vAlign w:val="center"/>
          </w:tcPr>
          <w:p w14:paraId="4672CB51">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620" w:type="dxa"/>
            <w:noWrap w:val="0"/>
            <w:vAlign w:val="center"/>
          </w:tcPr>
          <w:p w14:paraId="1C7C92CD">
            <w:pPr>
              <w:adjustRightInd w:val="0"/>
              <w:snapToGrid w:val="0"/>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rPr>
              <w:t>0.021</w:t>
            </w:r>
          </w:p>
        </w:tc>
        <w:tc>
          <w:tcPr>
            <w:tcW w:w="1619" w:type="dxa"/>
            <w:noWrap w:val="0"/>
            <w:vAlign w:val="center"/>
          </w:tcPr>
          <w:p w14:paraId="3D58DD5C">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768" w:type="dxa"/>
            <w:noWrap w:val="0"/>
            <w:vAlign w:val="center"/>
          </w:tcPr>
          <w:p w14:paraId="542AF85C">
            <w:pPr>
              <w:adjustRightInd w:val="0"/>
              <w:snapToGrid w:val="0"/>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rPr>
              <w:t>0.021</w:t>
            </w:r>
          </w:p>
        </w:tc>
        <w:tc>
          <w:tcPr>
            <w:tcW w:w="1322" w:type="dxa"/>
            <w:noWrap w:val="0"/>
            <w:vAlign w:val="center"/>
          </w:tcPr>
          <w:p w14:paraId="542CEC47">
            <w:pPr>
              <w:adjustRightInd w:val="0"/>
              <w:snapToGrid w:val="0"/>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lang w:val="en-US" w:eastAsia="zh-CN"/>
              </w:rPr>
              <w:t>+</w:t>
            </w:r>
            <w:r>
              <w:rPr>
                <w:rFonts w:hint="default" w:ascii="Times New Roman" w:hAnsi="Times New Roman" w:eastAsia="黑体" w:cs="Times New Roman"/>
                <w:snapToGrid w:val="0"/>
                <w:spacing w:val="-10"/>
                <w:kern w:val="21"/>
                <w:sz w:val="21"/>
                <w:szCs w:val="21"/>
              </w:rPr>
              <w:t>0.021</w:t>
            </w:r>
          </w:p>
        </w:tc>
      </w:tr>
      <w:tr w14:paraId="4527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8" w:type="dxa"/>
            <w:vMerge w:val="continue"/>
            <w:noWrap w:val="0"/>
            <w:vAlign w:val="center"/>
          </w:tcPr>
          <w:p w14:paraId="7CCC4DF3">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p>
        </w:tc>
        <w:tc>
          <w:tcPr>
            <w:tcW w:w="2244" w:type="dxa"/>
            <w:noWrap w:val="0"/>
            <w:vAlign w:val="center"/>
          </w:tcPr>
          <w:p w14:paraId="1C5E31C5">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lang w:val="en-US" w:eastAsia="zh-CN" w:bidi="ar-SA"/>
              </w:rPr>
              <w:t>颗粒物</w:t>
            </w:r>
          </w:p>
        </w:tc>
        <w:tc>
          <w:tcPr>
            <w:tcW w:w="1334" w:type="dxa"/>
            <w:noWrap w:val="0"/>
            <w:vAlign w:val="center"/>
          </w:tcPr>
          <w:p w14:paraId="79BA01C7">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298" w:type="dxa"/>
            <w:noWrap w:val="0"/>
            <w:vAlign w:val="center"/>
          </w:tcPr>
          <w:p w14:paraId="54A5F37E">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604" w:type="dxa"/>
            <w:noWrap w:val="0"/>
            <w:vAlign w:val="center"/>
          </w:tcPr>
          <w:p w14:paraId="248D75C2">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620" w:type="dxa"/>
            <w:noWrap w:val="0"/>
            <w:vAlign w:val="center"/>
          </w:tcPr>
          <w:p w14:paraId="3687B813">
            <w:pPr>
              <w:adjustRightInd w:val="0"/>
              <w:snapToGrid w:val="0"/>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lang w:val="en-US" w:eastAsia="zh-CN"/>
              </w:rPr>
              <w:t>0.12</w:t>
            </w:r>
          </w:p>
        </w:tc>
        <w:tc>
          <w:tcPr>
            <w:tcW w:w="1619" w:type="dxa"/>
            <w:noWrap w:val="0"/>
            <w:vAlign w:val="center"/>
          </w:tcPr>
          <w:p w14:paraId="7A8188DE">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768" w:type="dxa"/>
            <w:noWrap w:val="0"/>
            <w:vAlign w:val="center"/>
          </w:tcPr>
          <w:p w14:paraId="4A9AA945">
            <w:pPr>
              <w:adjustRightInd w:val="0"/>
              <w:snapToGrid w:val="0"/>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rPr>
              <w:t>0.1</w:t>
            </w:r>
            <w:r>
              <w:rPr>
                <w:rFonts w:hint="default" w:ascii="Times New Roman" w:hAnsi="Times New Roman" w:eastAsia="黑体" w:cs="Times New Roman"/>
                <w:snapToGrid w:val="0"/>
                <w:spacing w:val="-10"/>
                <w:kern w:val="21"/>
                <w:sz w:val="21"/>
                <w:szCs w:val="21"/>
                <w:lang w:val="en-US" w:eastAsia="zh-CN"/>
              </w:rPr>
              <w:t>2</w:t>
            </w:r>
          </w:p>
        </w:tc>
        <w:tc>
          <w:tcPr>
            <w:tcW w:w="1322" w:type="dxa"/>
            <w:noWrap w:val="0"/>
            <w:vAlign w:val="center"/>
          </w:tcPr>
          <w:p w14:paraId="06A2FE38">
            <w:pPr>
              <w:adjustRightInd w:val="0"/>
              <w:snapToGrid w:val="0"/>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lang w:val="en-US" w:eastAsia="zh-CN"/>
              </w:rPr>
              <w:t>+</w:t>
            </w:r>
            <w:r>
              <w:rPr>
                <w:rFonts w:hint="default" w:ascii="Times New Roman" w:hAnsi="Times New Roman" w:eastAsia="黑体" w:cs="Times New Roman"/>
                <w:snapToGrid w:val="0"/>
                <w:spacing w:val="-10"/>
                <w:kern w:val="21"/>
                <w:sz w:val="21"/>
                <w:szCs w:val="21"/>
              </w:rPr>
              <w:t>0.1</w:t>
            </w:r>
            <w:r>
              <w:rPr>
                <w:rFonts w:hint="default" w:ascii="Times New Roman" w:hAnsi="Times New Roman" w:eastAsia="黑体" w:cs="Times New Roman"/>
                <w:snapToGrid w:val="0"/>
                <w:spacing w:val="-10"/>
                <w:kern w:val="21"/>
                <w:sz w:val="21"/>
                <w:szCs w:val="21"/>
                <w:lang w:val="en-US" w:eastAsia="zh-CN"/>
              </w:rPr>
              <w:t>2</w:t>
            </w:r>
          </w:p>
        </w:tc>
      </w:tr>
      <w:tr w14:paraId="0B9D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8" w:type="dxa"/>
            <w:vMerge w:val="continue"/>
            <w:noWrap w:val="0"/>
            <w:vAlign w:val="center"/>
          </w:tcPr>
          <w:p w14:paraId="0CBB41C0">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p>
        </w:tc>
        <w:tc>
          <w:tcPr>
            <w:tcW w:w="2244" w:type="dxa"/>
            <w:noWrap w:val="0"/>
            <w:vAlign w:val="center"/>
          </w:tcPr>
          <w:p w14:paraId="2CE7A86D">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lang w:val="en-US" w:eastAsia="zh-CN" w:bidi="ar-SA"/>
              </w:rPr>
              <w:t>SO</w:t>
            </w:r>
            <w:r>
              <w:rPr>
                <w:rFonts w:hint="default" w:ascii="Times New Roman" w:hAnsi="Times New Roman" w:eastAsia="黑体" w:cs="Times New Roman"/>
                <w:snapToGrid w:val="0"/>
                <w:spacing w:val="-10"/>
                <w:kern w:val="21"/>
                <w:sz w:val="21"/>
                <w:szCs w:val="21"/>
                <w:vertAlign w:val="subscript"/>
                <w:lang w:val="en-US" w:eastAsia="zh-CN" w:bidi="ar-SA"/>
              </w:rPr>
              <w:t>2</w:t>
            </w:r>
          </w:p>
        </w:tc>
        <w:tc>
          <w:tcPr>
            <w:tcW w:w="1334" w:type="dxa"/>
            <w:noWrap w:val="0"/>
            <w:vAlign w:val="center"/>
          </w:tcPr>
          <w:p w14:paraId="01FA2BD3">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298" w:type="dxa"/>
            <w:noWrap w:val="0"/>
            <w:vAlign w:val="center"/>
          </w:tcPr>
          <w:p w14:paraId="46E1D63E">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604" w:type="dxa"/>
            <w:noWrap w:val="0"/>
            <w:vAlign w:val="center"/>
          </w:tcPr>
          <w:p w14:paraId="176A68F9">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620" w:type="dxa"/>
            <w:noWrap w:val="0"/>
            <w:vAlign w:val="center"/>
          </w:tcPr>
          <w:p w14:paraId="7E0C6818">
            <w:pPr>
              <w:adjustRightInd w:val="0"/>
              <w:snapToGrid w:val="0"/>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lang w:val="en-US" w:eastAsia="zh-CN" w:bidi="ar-SA"/>
              </w:rPr>
              <w:t>0.2</w:t>
            </w:r>
          </w:p>
        </w:tc>
        <w:tc>
          <w:tcPr>
            <w:tcW w:w="1619" w:type="dxa"/>
            <w:noWrap w:val="0"/>
            <w:vAlign w:val="center"/>
          </w:tcPr>
          <w:p w14:paraId="1E406A76">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768" w:type="dxa"/>
            <w:noWrap w:val="0"/>
            <w:vAlign w:val="center"/>
          </w:tcPr>
          <w:p w14:paraId="7740CC55">
            <w:pPr>
              <w:adjustRightInd w:val="0"/>
              <w:snapToGrid w:val="0"/>
              <w:spacing w:beforeLines="0" w:afterLines="0"/>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rPr>
              <w:t>0.2</w:t>
            </w:r>
          </w:p>
        </w:tc>
        <w:tc>
          <w:tcPr>
            <w:tcW w:w="1322" w:type="dxa"/>
            <w:noWrap w:val="0"/>
            <w:vAlign w:val="center"/>
          </w:tcPr>
          <w:p w14:paraId="1E773DC2">
            <w:pPr>
              <w:adjustRightInd w:val="0"/>
              <w:snapToGrid w:val="0"/>
              <w:spacing w:beforeLines="0" w:afterLines="0"/>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lang w:val="en-US" w:eastAsia="zh-CN"/>
              </w:rPr>
              <w:t>+</w:t>
            </w:r>
            <w:r>
              <w:rPr>
                <w:rFonts w:hint="default" w:ascii="Times New Roman" w:hAnsi="Times New Roman" w:eastAsia="黑体" w:cs="Times New Roman"/>
                <w:snapToGrid w:val="0"/>
                <w:spacing w:val="-10"/>
                <w:kern w:val="21"/>
                <w:sz w:val="21"/>
                <w:szCs w:val="21"/>
              </w:rPr>
              <w:t>0.2</w:t>
            </w:r>
          </w:p>
        </w:tc>
      </w:tr>
      <w:tr w14:paraId="22F5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8" w:type="dxa"/>
            <w:vMerge w:val="continue"/>
            <w:noWrap w:val="0"/>
            <w:vAlign w:val="center"/>
          </w:tcPr>
          <w:p w14:paraId="071CA38C">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p>
        </w:tc>
        <w:tc>
          <w:tcPr>
            <w:tcW w:w="2244" w:type="dxa"/>
            <w:noWrap w:val="0"/>
            <w:vAlign w:val="center"/>
          </w:tcPr>
          <w:p w14:paraId="10329F3E">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lang w:val="en-US" w:eastAsia="zh-CN" w:bidi="ar-SA"/>
              </w:rPr>
              <w:t>NOx</w:t>
            </w:r>
          </w:p>
        </w:tc>
        <w:tc>
          <w:tcPr>
            <w:tcW w:w="1334" w:type="dxa"/>
            <w:noWrap w:val="0"/>
            <w:vAlign w:val="center"/>
          </w:tcPr>
          <w:p w14:paraId="173282AA">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298" w:type="dxa"/>
            <w:noWrap w:val="0"/>
            <w:vAlign w:val="center"/>
          </w:tcPr>
          <w:p w14:paraId="1A29BF84">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604" w:type="dxa"/>
            <w:noWrap w:val="0"/>
            <w:vAlign w:val="center"/>
          </w:tcPr>
          <w:p w14:paraId="1F771BEB">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620" w:type="dxa"/>
            <w:noWrap w:val="0"/>
            <w:vAlign w:val="center"/>
          </w:tcPr>
          <w:p w14:paraId="17C6748D">
            <w:pPr>
              <w:adjustRightInd w:val="0"/>
              <w:snapToGrid w:val="0"/>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lang w:val="en-US" w:eastAsia="zh-CN" w:bidi="ar-SA"/>
              </w:rPr>
              <w:t>0.5</w:t>
            </w:r>
          </w:p>
        </w:tc>
        <w:tc>
          <w:tcPr>
            <w:tcW w:w="1619" w:type="dxa"/>
            <w:noWrap w:val="0"/>
            <w:vAlign w:val="center"/>
          </w:tcPr>
          <w:p w14:paraId="42D8ED59">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768" w:type="dxa"/>
            <w:noWrap w:val="0"/>
            <w:vAlign w:val="center"/>
          </w:tcPr>
          <w:p w14:paraId="5AD1D14C">
            <w:pPr>
              <w:adjustRightInd w:val="0"/>
              <w:snapToGrid w:val="0"/>
              <w:spacing w:beforeLines="0" w:afterLines="0"/>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rPr>
              <w:t>0.5</w:t>
            </w:r>
          </w:p>
        </w:tc>
        <w:tc>
          <w:tcPr>
            <w:tcW w:w="1322" w:type="dxa"/>
            <w:noWrap w:val="0"/>
            <w:vAlign w:val="center"/>
          </w:tcPr>
          <w:p w14:paraId="2FD91270">
            <w:pPr>
              <w:adjustRightInd w:val="0"/>
              <w:snapToGrid w:val="0"/>
              <w:spacing w:beforeLines="0" w:afterLines="0"/>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lang w:val="en-US" w:eastAsia="zh-CN"/>
              </w:rPr>
              <w:t>+</w:t>
            </w:r>
            <w:r>
              <w:rPr>
                <w:rFonts w:hint="default" w:ascii="Times New Roman" w:hAnsi="Times New Roman" w:eastAsia="黑体" w:cs="Times New Roman"/>
                <w:snapToGrid w:val="0"/>
                <w:spacing w:val="-10"/>
                <w:kern w:val="21"/>
                <w:sz w:val="21"/>
                <w:szCs w:val="21"/>
              </w:rPr>
              <w:t>0.5</w:t>
            </w:r>
          </w:p>
        </w:tc>
      </w:tr>
      <w:tr w14:paraId="0669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08" w:type="dxa"/>
            <w:noWrap w:val="0"/>
            <w:vAlign w:val="center"/>
          </w:tcPr>
          <w:p w14:paraId="414DC7BF">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eastAsia="黑体" w:cs="Times New Roman"/>
                <w:snapToGrid w:val="0"/>
                <w:spacing w:val="-10"/>
                <w:kern w:val="21"/>
                <w:sz w:val="21"/>
                <w:szCs w:val="21"/>
                <w:lang w:val="en-US" w:eastAsia="zh-CN" w:bidi="ar-SA"/>
              </w:rPr>
              <w:t>废水</w:t>
            </w:r>
          </w:p>
        </w:tc>
        <w:tc>
          <w:tcPr>
            <w:tcW w:w="2244" w:type="dxa"/>
            <w:noWrap w:val="0"/>
            <w:vAlign w:val="center"/>
          </w:tcPr>
          <w:p w14:paraId="05AF69FA">
            <w:pPr>
              <w:jc w:val="center"/>
              <w:rPr>
                <w:rFonts w:hint="default" w:ascii="Times New Roman" w:hAnsi="Times New Roman" w:eastAsia="黑体" w:cs="Times New Roman"/>
                <w:szCs w:val="24"/>
                <w:lang w:val="en-US" w:eastAsia="zh-CN"/>
              </w:rPr>
            </w:pPr>
            <w:r>
              <w:rPr>
                <w:rFonts w:hint="default" w:ascii="Times New Roman" w:hAnsi="Times New Roman" w:eastAsia="黑体" w:cs="Times New Roman"/>
                <w:szCs w:val="24"/>
                <w:lang w:val="en-US" w:eastAsia="zh-CN"/>
              </w:rPr>
              <w:t>/</w:t>
            </w:r>
          </w:p>
        </w:tc>
        <w:tc>
          <w:tcPr>
            <w:tcW w:w="1334" w:type="dxa"/>
            <w:noWrap w:val="0"/>
            <w:vAlign w:val="center"/>
          </w:tcPr>
          <w:p w14:paraId="5623B649">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298" w:type="dxa"/>
            <w:noWrap w:val="0"/>
            <w:vAlign w:val="center"/>
          </w:tcPr>
          <w:p w14:paraId="12D79B65">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604" w:type="dxa"/>
            <w:noWrap w:val="0"/>
            <w:vAlign w:val="center"/>
          </w:tcPr>
          <w:p w14:paraId="7A388C25">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620" w:type="dxa"/>
            <w:noWrap w:val="0"/>
            <w:vAlign w:val="center"/>
          </w:tcPr>
          <w:p w14:paraId="61B0A82E">
            <w:pPr>
              <w:jc w:val="center"/>
              <w:textAlignment w:val="bottom"/>
              <w:rPr>
                <w:rFonts w:hint="default" w:ascii="Times New Roman" w:hAnsi="Times New Roman" w:eastAsia="黑体" w:cs="Times New Roman"/>
                <w:snapToGrid w:val="0"/>
                <w:kern w:val="21"/>
                <w:szCs w:val="21"/>
                <w:lang w:val="en-US" w:eastAsia="zh-CN"/>
              </w:rPr>
            </w:pPr>
            <w:r>
              <w:rPr>
                <w:rFonts w:hint="default" w:ascii="Times New Roman" w:hAnsi="Times New Roman" w:eastAsia="黑体" w:cs="Times New Roman"/>
                <w:snapToGrid w:val="0"/>
                <w:kern w:val="21"/>
                <w:szCs w:val="21"/>
                <w:lang w:val="en-US" w:eastAsia="zh-CN"/>
              </w:rPr>
              <w:t>/</w:t>
            </w:r>
          </w:p>
        </w:tc>
        <w:tc>
          <w:tcPr>
            <w:tcW w:w="1619" w:type="dxa"/>
            <w:noWrap w:val="0"/>
            <w:vAlign w:val="center"/>
          </w:tcPr>
          <w:p w14:paraId="30CC478F">
            <w:pPr>
              <w:widowControl w:val="0"/>
              <w:adjustRightInd w:val="0"/>
              <w:snapToGrid w:val="0"/>
              <w:spacing w:beforeLines="0" w:afterLines="0" w:line="240" w:lineRule="auto"/>
              <w:jc w:val="center"/>
              <w:rPr>
                <w:rFonts w:hint="default" w:ascii="Times New Roman" w:hAnsi="Times New Roman" w:eastAsia="黑体" w:cs="Times New Roman"/>
                <w:snapToGrid w:val="0"/>
                <w:spacing w:val="-10"/>
                <w:kern w:val="21"/>
                <w:sz w:val="21"/>
                <w:szCs w:val="21"/>
                <w:lang w:val="en-US" w:eastAsia="zh-CN" w:bidi="ar-SA"/>
              </w:rPr>
            </w:pPr>
            <w:r>
              <w:rPr>
                <w:rFonts w:hint="default" w:ascii="Times New Roman" w:hAnsi="Times New Roman" w:cs="Times New Roman"/>
              </w:rPr>
              <w:t>/</w:t>
            </w:r>
          </w:p>
        </w:tc>
        <w:tc>
          <w:tcPr>
            <w:tcW w:w="1768" w:type="dxa"/>
            <w:noWrap w:val="0"/>
            <w:vAlign w:val="center"/>
          </w:tcPr>
          <w:p w14:paraId="6F02660A">
            <w:pPr>
              <w:adjustRightInd w:val="0"/>
              <w:snapToGrid w:val="0"/>
              <w:jc w:val="center"/>
              <w:rPr>
                <w:rFonts w:hint="default" w:ascii="Times New Roman" w:hAnsi="Times New Roman" w:eastAsia="黑体" w:cs="Times New Roman"/>
                <w:snapToGrid w:val="0"/>
                <w:kern w:val="21"/>
                <w:szCs w:val="21"/>
                <w:lang w:val="en-US" w:eastAsia="zh-CN"/>
              </w:rPr>
            </w:pPr>
            <w:r>
              <w:rPr>
                <w:rFonts w:hint="default" w:ascii="Times New Roman" w:hAnsi="Times New Roman" w:cs="Times New Roman"/>
              </w:rPr>
              <w:t>/</w:t>
            </w:r>
          </w:p>
        </w:tc>
        <w:tc>
          <w:tcPr>
            <w:tcW w:w="1322" w:type="dxa"/>
            <w:noWrap w:val="0"/>
            <w:vAlign w:val="center"/>
          </w:tcPr>
          <w:p w14:paraId="55604F8B">
            <w:pPr>
              <w:adjustRightInd w:val="0"/>
              <w:snapToGrid w:val="0"/>
              <w:jc w:val="center"/>
              <w:rPr>
                <w:rFonts w:hint="default" w:ascii="Times New Roman" w:hAnsi="Times New Roman" w:eastAsia="宋体" w:cs="Times New Roman"/>
                <w:snapToGrid w:val="0"/>
                <w:kern w:val="21"/>
                <w:szCs w:val="21"/>
                <w:lang w:val="en-US" w:eastAsia="zh-CN"/>
              </w:rPr>
            </w:pPr>
            <w:r>
              <w:rPr>
                <w:rFonts w:hint="default" w:ascii="Times New Roman" w:hAnsi="Times New Roman" w:cs="Times New Roman"/>
              </w:rPr>
              <w:t>/</w:t>
            </w:r>
          </w:p>
        </w:tc>
      </w:tr>
      <w:tr w14:paraId="44F9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8" w:type="dxa"/>
            <w:noWrap w:val="0"/>
            <w:vAlign w:val="center"/>
          </w:tcPr>
          <w:p w14:paraId="7322AA65">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生活垃圾</w:t>
            </w:r>
          </w:p>
        </w:tc>
        <w:tc>
          <w:tcPr>
            <w:tcW w:w="2244" w:type="dxa"/>
            <w:noWrap w:val="0"/>
            <w:vAlign w:val="center"/>
          </w:tcPr>
          <w:p w14:paraId="1374B780">
            <w:pPr>
              <w:widowControl/>
              <w:jc w:val="center"/>
              <w:textAlignment w:val="center"/>
              <w:rPr>
                <w:rFonts w:hint="default" w:ascii="Times New Roman" w:hAnsi="Times New Roman" w:eastAsia="黑体" w:cs="Times New Roman"/>
                <w:b w:val="0"/>
                <w:bCs w:val="0"/>
                <w:snapToGrid w:val="0"/>
                <w:spacing w:val="-6"/>
                <w:kern w:val="21"/>
                <w:szCs w:val="24"/>
                <w:lang w:val="en-US" w:eastAsia="zh-CN"/>
              </w:rPr>
            </w:pPr>
            <w:r>
              <w:rPr>
                <w:rFonts w:hint="default" w:ascii="Times New Roman" w:hAnsi="Times New Roman" w:eastAsia="黑体" w:cs="Times New Roman"/>
                <w:b w:val="0"/>
                <w:bCs w:val="0"/>
                <w:kern w:val="0"/>
                <w:szCs w:val="21"/>
                <w:lang w:val="en-US" w:eastAsia="zh-CN" w:bidi="ar"/>
              </w:rPr>
              <w:t>生活垃圾</w:t>
            </w:r>
          </w:p>
        </w:tc>
        <w:tc>
          <w:tcPr>
            <w:tcW w:w="1334" w:type="dxa"/>
            <w:noWrap w:val="0"/>
            <w:vAlign w:val="center"/>
          </w:tcPr>
          <w:p w14:paraId="3A460260">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w:t>
            </w:r>
          </w:p>
        </w:tc>
        <w:tc>
          <w:tcPr>
            <w:tcW w:w="1298" w:type="dxa"/>
            <w:noWrap w:val="0"/>
            <w:vAlign w:val="center"/>
          </w:tcPr>
          <w:p w14:paraId="62CB0E94">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w:t>
            </w:r>
          </w:p>
        </w:tc>
        <w:tc>
          <w:tcPr>
            <w:tcW w:w="1604" w:type="dxa"/>
            <w:noWrap w:val="0"/>
            <w:vAlign w:val="center"/>
          </w:tcPr>
          <w:p w14:paraId="711E64F7">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w:t>
            </w:r>
          </w:p>
        </w:tc>
        <w:tc>
          <w:tcPr>
            <w:tcW w:w="1620" w:type="dxa"/>
            <w:noWrap w:val="0"/>
            <w:vAlign w:val="center"/>
          </w:tcPr>
          <w:p w14:paraId="53259FE2">
            <w:pPr>
              <w:widowControl/>
              <w:jc w:val="center"/>
              <w:textAlignment w:val="center"/>
              <w:rPr>
                <w:rFonts w:hint="default" w:ascii="Times New Roman" w:hAnsi="Times New Roman" w:eastAsia="黑体" w:cs="Times New Roman"/>
                <w:snapToGrid w:val="0"/>
                <w:spacing w:val="-6"/>
                <w:kern w:val="21"/>
                <w:szCs w:val="21"/>
                <w:lang w:val="en-US" w:eastAsia="zh-CN"/>
              </w:rPr>
            </w:pPr>
            <w:r>
              <w:rPr>
                <w:rFonts w:hint="default" w:ascii="Times New Roman" w:hAnsi="Times New Roman" w:eastAsia="黑体" w:cs="Times New Roman"/>
                <w:snapToGrid w:val="0"/>
                <w:spacing w:val="-6"/>
                <w:kern w:val="21"/>
                <w:szCs w:val="21"/>
                <w:lang w:val="en-US" w:eastAsia="zh-CN"/>
              </w:rPr>
              <w:t>2.7</w:t>
            </w:r>
          </w:p>
        </w:tc>
        <w:tc>
          <w:tcPr>
            <w:tcW w:w="1619" w:type="dxa"/>
            <w:noWrap w:val="0"/>
            <w:vAlign w:val="center"/>
          </w:tcPr>
          <w:p w14:paraId="1D5958D2">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cs="Times New Roman"/>
              </w:rPr>
              <w:t>/</w:t>
            </w:r>
          </w:p>
        </w:tc>
        <w:tc>
          <w:tcPr>
            <w:tcW w:w="1768" w:type="dxa"/>
            <w:noWrap w:val="0"/>
            <w:vAlign w:val="center"/>
          </w:tcPr>
          <w:p w14:paraId="42F4254A">
            <w:pPr>
              <w:widowControl/>
              <w:spacing w:beforeLines="0" w:afterLines="0"/>
              <w:jc w:val="center"/>
              <w:textAlignment w:val="center"/>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 w:val="21"/>
                <w:szCs w:val="21"/>
              </w:rPr>
              <w:t>2.7</w:t>
            </w:r>
          </w:p>
        </w:tc>
        <w:tc>
          <w:tcPr>
            <w:tcW w:w="1322" w:type="dxa"/>
            <w:noWrap w:val="0"/>
            <w:vAlign w:val="center"/>
          </w:tcPr>
          <w:p w14:paraId="3380F5FA">
            <w:pPr>
              <w:widowControl/>
              <w:spacing w:beforeLines="0" w:afterLines="0"/>
              <w:jc w:val="center"/>
              <w:textAlignment w:val="center"/>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 w:val="21"/>
                <w:szCs w:val="21"/>
                <w:lang w:val="en-US" w:eastAsia="zh-CN"/>
              </w:rPr>
              <w:t>+</w:t>
            </w:r>
            <w:r>
              <w:rPr>
                <w:rFonts w:hint="default" w:ascii="Times New Roman" w:hAnsi="Times New Roman" w:eastAsia="黑体" w:cs="Times New Roman"/>
                <w:snapToGrid w:val="0"/>
                <w:spacing w:val="-6"/>
                <w:kern w:val="21"/>
                <w:sz w:val="21"/>
                <w:szCs w:val="21"/>
              </w:rPr>
              <w:t>2.7</w:t>
            </w:r>
          </w:p>
        </w:tc>
      </w:tr>
      <w:tr w14:paraId="787B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8" w:type="dxa"/>
            <w:vMerge w:val="restart"/>
            <w:noWrap w:val="0"/>
            <w:vAlign w:val="center"/>
          </w:tcPr>
          <w:p w14:paraId="5E660355">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一般工业</w:t>
            </w:r>
          </w:p>
          <w:p w14:paraId="3D6AD2D4">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固体废物</w:t>
            </w:r>
          </w:p>
        </w:tc>
        <w:tc>
          <w:tcPr>
            <w:tcW w:w="2244" w:type="dxa"/>
            <w:noWrap w:val="0"/>
            <w:vAlign w:val="center"/>
          </w:tcPr>
          <w:p w14:paraId="0F656F4C">
            <w:pPr>
              <w:widowControl/>
              <w:jc w:val="center"/>
              <w:textAlignment w:val="center"/>
              <w:rPr>
                <w:rFonts w:hint="default" w:ascii="Times New Roman" w:hAnsi="Times New Roman" w:eastAsia="黑体" w:cs="Times New Roman"/>
                <w:b w:val="0"/>
                <w:bCs w:val="0"/>
                <w:kern w:val="0"/>
                <w:szCs w:val="21"/>
                <w:lang w:val="en-US" w:eastAsia="zh-CN" w:bidi="ar"/>
              </w:rPr>
            </w:pPr>
            <w:r>
              <w:rPr>
                <w:rFonts w:hint="default" w:ascii="Times New Roman" w:hAnsi="Times New Roman" w:eastAsia="黑体" w:cs="Times New Roman"/>
                <w:b w:val="0"/>
                <w:bCs w:val="0"/>
                <w:kern w:val="0"/>
                <w:szCs w:val="21"/>
                <w:lang w:val="en-US" w:eastAsia="zh-CN" w:bidi="ar"/>
              </w:rPr>
              <w:t>污水处理站污泥</w:t>
            </w:r>
          </w:p>
        </w:tc>
        <w:tc>
          <w:tcPr>
            <w:tcW w:w="1334" w:type="dxa"/>
            <w:noWrap w:val="0"/>
            <w:vAlign w:val="center"/>
          </w:tcPr>
          <w:p w14:paraId="1747AACA">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w:t>
            </w:r>
          </w:p>
        </w:tc>
        <w:tc>
          <w:tcPr>
            <w:tcW w:w="1298" w:type="dxa"/>
            <w:noWrap w:val="0"/>
            <w:vAlign w:val="center"/>
          </w:tcPr>
          <w:p w14:paraId="48FF2085">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w:t>
            </w:r>
          </w:p>
        </w:tc>
        <w:tc>
          <w:tcPr>
            <w:tcW w:w="1604" w:type="dxa"/>
            <w:noWrap w:val="0"/>
            <w:vAlign w:val="center"/>
          </w:tcPr>
          <w:p w14:paraId="398DFA19">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w:t>
            </w:r>
          </w:p>
        </w:tc>
        <w:tc>
          <w:tcPr>
            <w:tcW w:w="1620" w:type="dxa"/>
            <w:noWrap w:val="0"/>
            <w:vAlign w:val="center"/>
          </w:tcPr>
          <w:p w14:paraId="2D3535EC">
            <w:pPr>
              <w:widowControl/>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0.9</w:t>
            </w:r>
          </w:p>
        </w:tc>
        <w:tc>
          <w:tcPr>
            <w:tcW w:w="1619" w:type="dxa"/>
            <w:noWrap w:val="0"/>
            <w:vAlign w:val="center"/>
          </w:tcPr>
          <w:p w14:paraId="7252B632">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cs="Times New Roman"/>
              </w:rPr>
              <w:t>/</w:t>
            </w:r>
          </w:p>
        </w:tc>
        <w:tc>
          <w:tcPr>
            <w:tcW w:w="1768" w:type="dxa"/>
            <w:noWrap w:val="0"/>
            <w:vAlign w:val="center"/>
          </w:tcPr>
          <w:p w14:paraId="1FF974ED">
            <w:pPr>
              <w:widowControl/>
              <w:spacing w:beforeLines="0" w:afterLines="0"/>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kern w:val="0"/>
                <w:sz w:val="21"/>
                <w:szCs w:val="21"/>
                <w:lang w:bidi="ar"/>
              </w:rPr>
              <w:t>0.9</w:t>
            </w:r>
          </w:p>
        </w:tc>
        <w:tc>
          <w:tcPr>
            <w:tcW w:w="1322" w:type="dxa"/>
            <w:noWrap w:val="0"/>
            <w:vAlign w:val="center"/>
          </w:tcPr>
          <w:p w14:paraId="054D7DED">
            <w:pPr>
              <w:widowControl/>
              <w:spacing w:beforeLines="0" w:afterLines="0"/>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bidi="ar"/>
              </w:rPr>
              <w:t>0.9</w:t>
            </w:r>
          </w:p>
        </w:tc>
      </w:tr>
      <w:tr w14:paraId="0FA5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8" w:type="dxa"/>
            <w:vMerge w:val="continue"/>
            <w:noWrap w:val="0"/>
            <w:vAlign w:val="center"/>
          </w:tcPr>
          <w:p w14:paraId="71393065">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p>
        </w:tc>
        <w:tc>
          <w:tcPr>
            <w:tcW w:w="2244" w:type="dxa"/>
            <w:noWrap w:val="0"/>
            <w:vAlign w:val="center"/>
          </w:tcPr>
          <w:p w14:paraId="0CE01A38">
            <w:pPr>
              <w:widowControl/>
              <w:jc w:val="center"/>
              <w:textAlignment w:val="center"/>
              <w:rPr>
                <w:rFonts w:hint="default" w:ascii="Times New Roman" w:hAnsi="Times New Roman" w:eastAsia="黑体" w:cs="Times New Roman"/>
                <w:b w:val="0"/>
                <w:bCs w:val="0"/>
                <w:kern w:val="0"/>
                <w:szCs w:val="21"/>
                <w:lang w:val="en-US" w:eastAsia="zh-CN" w:bidi="ar"/>
              </w:rPr>
            </w:pPr>
            <w:r>
              <w:rPr>
                <w:rFonts w:hint="default" w:ascii="Times New Roman" w:hAnsi="Times New Roman" w:eastAsia="黑体" w:cs="Times New Roman"/>
                <w:b w:val="0"/>
                <w:bCs w:val="0"/>
                <w:kern w:val="0"/>
                <w:szCs w:val="21"/>
                <w:lang w:val="en-US" w:eastAsia="zh-CN" w:bidi="ar"/>
              </w:rPr>
              <w:t>废包装材料</w:t>
            </w:r>
          </w:p>
        </w:tc>
        <w:tc>
          <w:tcPr>
            <w:tcW w:w="1334" w:type="dxa"/>
            <w:noWrap w:val="0"/>
            <w:vAlign w:val="center"/>
          </w:tcPr>
          <w:p w14:paraId="2619492B">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w:t>
            </w:r>
          </w:p>
        </w:tc>
        <w:tc>
          <w:tcPr>
            <w:tcW w:w="1298" w:type="dxa"/>
            <w:noWrap w:val="0"/>
            <w:vAlign w:val="center"/>
          </w:tcPr>
          <w:p w14:paraId="1E074920">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w:t>
            </w:r>
          </w:p>
        </w:tc>
        <w:tc>
          <w:tcPr>
            <w:tcW w:w="1604" w:type="dxa"/>
            <w:noWrap w:val="0"/>
            <w:vAlign w:val="center"/>
          </w:tcPr>
          <w:p w14:paraId="68981E95">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eastAsia="黑体" w:cs="Times New Roman"/>
                <w:snapToGrid w:val="0"/>
                <w:spacing w:val="-6"/>
                <w:kern w:val="21"/>
                <w:sz w:val="21"/>
                <w:szCs w:val="21"/>
                <w:lang w:val="en-US" w:eastAsia="zh-CN" w:bidi="ar-SA"/>
              </w:rPr>
              <w:t>/</w:t>
            </w:r>
          </w:p>
        </w:tc>
        <w:tc>
          <w:tcPr>
            <w:tcW w:w="1620" w:type="dxa"/>
            <w:noWrap w:val="0"/>
            <w:vAlign w:val="center"/>
          </w:tcPr>
          <w:p w14:paraId="166581C7">
            <w:pPr>
              <w:ind w:left="-105" w:leftChars="-50" w:right="-105" w:rightChars="-50"/>
              <w:jc w:val="center"/>
              <w:rPr>
                <w:rFonts w:hint="default" w:ascii="Times New Roman" w:hAnsi="Times New Roman" w:eastAsia="宋体" w:cs="Times New Roman"/>
                <w:snapToGrid w:val="0"/>
                <w:spacing w:val="-6"/>
                <w:kern w:val="21"/>
                <w:szCs w:val="21"/>
                <w:lang w:val="en-US" w:eastAsia="zh-CN"/>
              </w:rPr>
            </w:pPr>
            <w:r>
              <w:rPr>
                <w:rFonts w:hint="default" w:ascii="Times New Roman" w:hAnsi="Times New Roman" w:cs="Times New Roman"/>
                <w:snapToGrid w:val="0"/>
                <w:spacing w:val="-6"/>
                <w:kern w:val="21"/>
                <w:szCs w:val="21"/>
                <w:lang w:val="en-US" w:eastAsia="zh-CN"/>
              </w:rPr>
              <w:t>1.5</w:t>
            </w:r>
          </w:p>
        </w:tc>
        <w:tc>
          <w:tcPr>
            <w:tcW w:w="1619" w:type="dxa"/>
            <w:noWrap w:val="0"/>
            <w:vAlign w:val="center"/>
          </w:tcPr>
          <w:p w14:paraId="3912C343">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cs="Times New Roman"/>
              </w:rPr>
              <w:t>/</w:t>
            </w:r>
          </w:p>
        </w:tc>
        <w:tc>
          <w:tcPr>
            <w:tcW w:w="1768" w:type="dxa"/>
            <w:noWrap w:val="0"/>
            <w:vAlign w:val="center"/>
          </w:tcPr>
          <w:p w14:paraId="1214010C">
            <w:pPr>
              <w:spacing w:beforeLines="0" w:afterLines="0"/>
              <w:ind w:left="-105" w:leftChars="-50" w:right="-105" w:rightChars="-50"/>
              <w:jc w:val="center"/>
              <w:rPr>
                <w:rFonts w:hint="default" w:ascii="Times New Roman" w:hAnsi="Times New Roman" w:cs="Times New Roman"/>
                <w:snapToGrid w:val="0"/>
                <w:spacing w:val="-6"/>
                <w:kern w:val="21"/>
                <w:szCs w:val="21"/>
              </w:rPr>
            </w:pPr>
            <w:r>
              <w:rPr>
                <w:rFonts w:hint="default" w:ascii="Times New Roman" w:hAnsi="Times New Roman" w:eastAsia="宋体" w:cs="Times New Roman"/>
                <w:snapToGrid w:val="0"/>
                <w:spacing w:val="-6"/>
                <w:kern w:val="21"/>
                <w:sz w:val="21"/>
                <w:szCs w:val="21"/>
              </w:rPr>
              <w:t>1.5</w:t>
            </w:r>
          </w:p>
        </w:tc>
        <w:tc>
          <w:tcPr>
            <w:tcW w:w="1322" w:type="dxa"/>
            <w:noWrap w:val="0"/>
            <w:vAlign w:val="center"/>
          </w:tcPr>
          <w:p w14:paraId="2F2E574F">
            <w:pPr>
              <w:spacing w:beforeLines="0" w:afterLines="0"/>
              <w:ind w:left="-105" w:leftChars="-50" w:right="-105" w:rightChars="-50"/>
              <w:jc w:val="center"/>
              <w:rPr>
                <w:rFonts w:hint="default" w:ascii="Times New Roman" w:hAnsi="Times New Roman" w:cs="Times New Roman"/>
                <w:snapToGrid w:val="0"/>
                <w:spacing w:val="-6"/>
                <w:kern w:val="21"/>
                <w:szCs w:val="21"/>
              </w:rPr>
            </w:pPr>
            <w:r>
              <w:rPr>
                <w:rFonts w:hint="default" w:ascii="Times New Roman" w:hAnsi="Times New Roman" w:cs="Times New Roman"/>
                <w:snapToGrid w:val="0"/>
                <w:spacing w:val="-6"/>
                <w:kern w:val="21"/>
                <w:sz w:val="21"/>
                <w:szCs w:val="21"/>
                <w:lang w:val="en-US" w:eastAsia="zh-CN"/>
              </w:rPr>
              <w:t>+</w:t>
            </w:r>
            <w:r>
              <w:rPr>
                <w:rFonts w:hint="default" w:ascii="Times New Roman" w:hAnsi="Times New Roman" w:eastAsia="宋体" w:cs="Times New Roman"/>
                <w:snapToGrid w:val="0"/>
                <w:spacing w:val="-6"/>
                <w:kern w:val="21"/>
                <w:sz w:val="21"/>
                <w:szCs w:val="21"/>
              </w:rPr>
              <w:t>1.5</w:t>
            </w:r>
          </w:p>
        </w:tc>
      </w:tr>
      <w:tr w14:paraId="1DCC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8" w:type="dxa"/>
            <w:vMerge w:val="continue"/>
            <w:noWrap w:val="0"/>
            <w:vAlign w:val="center"/>
          </w:tcPr>
          <w:p w14:paraId="168E6C1E">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p>
        </w:tc>
        <w:tc>
          <w:tcPr>
            <w:tcW w:w="2244" w:type="dxa"/>
            <w:noWrap w:val="0"/>
            <w:vAlign w:val="center"/>
          </w:tcPr>
          <w:p w14:paraId="6D4CFE45">
            <w:pPr>
              <w:widowControl/>
              <w:jc w:val="center"/>
              <w:textAlignment w:val="center"/>
              <w:rPr>
                <w:rFonts w:hint="default" w:ascii="Times New Roman" w:hAnsi="Times New Roman" w:eastAsia="黑体" w:cs="Times New Roman"/>
                <w:b w:val="0"/>
                <w:bCs w:val="0"/>
                <w:kern w:val="0"/>
                <w:szCs w:val="21"/>
                <w:lang w:val="en-US" w:eastAsia="zh-CN" w:bidi="ar"/>
              </w:rPr>
            </w:pPr>
            <w:r>
              <w:rPr>
                <w:rFonts w:hint="default" w:ascii="Times New Roman" w:hAnsi="Times New Roman" w:eastAsia="黑体" w:cs="Times New Roman"/>
                <w:b w:val="0"/>
                <w:bCs w:val="0"/>
                <w:kern w:val="0"/>
                <w:szCs w:val="21"/>
                <w:lang w:val="en-US" w:eastAsia="zh-CN" w:bidi="ar"/>
              </w:rPr>
              <w:t>废过滤介质</w:t>
            </w:r>
          </w:p>
        </w:tc>
        <w:tc>
          <w:tcPr>
            <w:tcW w:w="1334" w:type="dxa"/>
            <w:noWrap w:val="0"/>
            <w:vAlign w:val="center"/>
          </w:tcPr>
          <w:p w14:paraId="19BB2257">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cs="Times New Roman"/>
              </w:rPr>
              <w:t>/</w:t>
            </w:r>
          </w:p>
        </w:tc>
        <w:tc>
          <w:tcPr>
            <w:tcW w:w="1298" w:type="dxa"/>
            <w:noWrap w:val="0"/>
            <w:vAlign w:val="center"/>
          </w:tcPr>
          <w:p w14:paraId="7E653C50">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cs="Times New Roman"/>
              </w:rPr>
              <w:t>/</w:t>
            </w:r>
          </w:p>
        </w:tc>
        <w:tc>
          <w:tcPr>
            <w:tcW w:w="1604" w:type="dxa"/>
            <w:noWrap w:val="0"/>
            <w:vAlign w:val="center"/>
          </w:tcPr>
          <w:p w14:paraId="7D71AD0D">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cs="Times New Roman"/>
              </w:rPr>
              <w:t>/</w:t>
            </w:r>
          </w:p>
        </w:tc>
        <w:tc>
          <w:tcPr>
            <w:tcW w:w="1620" w:type="dxa"/>
            <w:noWrap w:val="0"/>
            <w:vAlign w:val="center"/>
          </w:tcPr>
          <w:p w14:paraId="64591DEA">
            <w:pPr>
              <w:ind w:left="-105" w:leftChars="-50" w:right="-105" w:rightChars="-50"/>
              <w:jc w:val="center"/>
              <w:rPr>
                <w:rFonts w:hint="default" w:ascii="Times New Roman" w:hAnsi="Times New Roman" w:eastAsia="宋体" w:cs="Times New Roman"/>
                <w:snapToGrid w:val="0"/>
                <w:spacing w:val="-6"/>
                <w:kern w:val="21"/>
                <w:szCs w:val="21"/>
                <w:lang w:val="en-US" w:eastAsia="zh-CN"/>
              </w:rPr>
            </w:pPr>
            <w:r>
              <w:rPr>
                <w:rFonts w:hint="default" w:ascii="Times New Roman" w:hAnsi="Times New Roman" w:cs="Times New Roman"/>
                <w:snapToGrid w:val="0"/>
                <w:spacing w:val="-6"/>
                <w:kern w:val="21"/>
                <w:szCs w:val="21"/>
                <w:lang w:val="en-US" w:eastAsia="zh-CN"/>
              </w:rPr>
              <w:t>0.1</w:t>
            </w:r>
          </w:p>
        </w:tc>
        <w:tc>
          <w:tcPr>
            <w:tcW w:w="1619" w:type="dxa"/>
            <w:noWrap w:val="0"/>
            <w:vAlign w:val="center"/>
          </w:tcPr>
          <w:p w14:paraId="46C1C8F9">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cs="Times New Roman"/>
              </w:rPr>
              <w:t>/</w:t>
            </w:r>
          </w:p>
        </w:tc>
        <w:tc>
          <w:tcPr>
            <w:tcW w:w="1768" w:type="dxa"/>
            <w:noWrap w:val="0"/>
            <w:vAlign w:val="center"/>
          </w:tcPr>
          <w:p w14:paraId="43119147">
            <w:pPr>
              <w:spacing w:beforeLines="0" w:afterLines="0"/>
              <w:ind w:left="-105" w:leftChars="-50" w:right="-105" w:rightChars="-50"/>
              <w:jc w:val="center"/>
              <w:rPr>
                <w:rFonts w:hint="default" w:ascii="Times New Roman" w:hAnsi="Times New Roman" w:eastAsia="宋体" w:cs="Times New Roman"/>
                <w:snapToGrid w:val="0"/>
                <w:spacing w:val="-6"/>
                <w:kern w:val="21"/>
                <w:szCs w:val="21"/>
                <w:lang w:val="en-US" w:eastAsia="zh-CN"/>
              </w:rPr>
            </w:pPr>
            <w:r>
              <w:rPr>
                <w:rFonts w:hint="default" w:ascii="Times New Roman" w:hAnsi="Times New Roman" w:eastAsia="宋体" w:cs="Times New Roman"/>
                <w:snapToGrid w:val="0"/>
                <w:spacing w:val="-6"/>
                <w:kern w:val="21"/>
                <w:sz w:val="21"/>
                <w:szCs w:val="21"/>
              </w:rPr>
              <w:t>0.1</w:t>
            </w:r>
          </w:p>
        </w:tc>
        <w:tc>
          <w:tcPr>
            <w:tcW w:w="1322" w:type="dxa"/>
            <w:noWrap w:val="0"/>
            <w:vAlign w:val="center"/>
          </w:tcPr>
          <w:p w14:paraId="40DBF7E5">
            <w:pPr>
              <w:spacing w:beforeLines="0" w:afterLines="0"/>
              <w:ind w:left="-105" w:leftChars="-50" w:right="-105" w:rightChars="-50"/>
              <w:jc w:val="center"/>
              <w:rPr>
                <w:rFonts w:hint="default" w:ascii="Times New Roman" w:hAnsi="Times New Roman" w:eastAsia="宋体" w:cs="Times New Roman"/>
                <w:szCs w:val="21"/>
                <w:lang w:val="en-US" w:eastAsia="zh-CN"/>
              </w:rPr>
            </w:pPr>
            <w:r>
              <w:rPr>
                <w:rFonts w:hint="default" w:ascii="Times New Roman" w:hAnsi="Times New Roman" w:cs="Times New Roman"/>
                <w:snapToGrid w:val="0"/>
                <w:spacing w:val="-6"/>
                <w:kern w:val="21"/>
                <w:sz w:val="21"/>
                <w:szCs w:val="21"/>
                <w:lang w:val="en-US" w:eastAsia="zh-CN"/>
              </w:rPr>
              <w:t>+</w:t>
            </w:r>
            <w:r>
              <w:rPr>
                <w:rFonts w:hint="default" w:ascii="Times New Roman" w:hAnsi="Times New Roman" w:eastAsia="宋体" w:cs="Times New Roman"/>
                <w:snapToGrid w:val="0"/>
                <w:spacing w:val="-6"/>
                <w:kern w:val="21"/>
                <w:sz w:val="21"/>
                <w:szCs w:val="21"/>
              </w:rPr>
              <w:t>0.1</w:t>
            </w:r>
          </w:p>
        </w:tc>
      </w:tr>
      <w:tr w14:paraId="3E93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8" w:type="dxa"/>
            <w:vMerge w:val="continue"/>
            <w:noWrap w:val="0"/>
            <w:vAlign w:val="center"/>
          </w:tcPr>
          <w:p w14:paraId="045CCB18">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p>
        </w:tc>
        <w:tc>
          <w:tcPr>
            <w:tcW w:w="2244" w:type="dxa"/>
            <w:noWrap w:val="0"/>
            <w:vAlign w:val="center"/>
          </w:tcPr>
          <w:p w14:paraId="1E7F69E3">
            <w:pPr>
              <w:widowControl/>
              <w:jc w:val="center"/>
              <w:textAlignment w:val="center"/>
              <w:rPr>
                <w:rFonts w:hint="default" w:ascii="Times New Roman" w:hAnsi="Times New Roman" w:eastAsia="黑体" w:cs="Times New Roman"/>
                <w:b w:val="0"/>
                <w:bCs w:val="0"/>
                <w:kern w:val="0"/>
                <w:szCs w:val="21"/>
                <w:lang w:val="en-US" w:eastAsia="zh-CN" w:bidi="ar"/>
              </w:rPr>
            </w:pPr>
            <w:r>
              <w:rPr>
                <w:rFonts w:hint="default" w:ascii="Times New Roman" w:hAnsi="Times New Roman" w:eastAsia="黑体" w:cs="Times New Roman"/>
                <w:b w:val="0"/>
                <w:bCs w:val="0"/>
                <w:kern w:val="0"/>
                <w:szCs w:val="21"/>
                <w:lang w:val="en-US" w:eastAsia="zh-CN" w:bidi="ar"/>
              </w:rPr>
              <w:t>不合格品</w:t>
            </w:r>
          </w:p>
        </w:tc>
        <w:tc>
          <w:tcPr>
            <w:tcW w:w="1334" w:type="dxa"/>
            <w:noWrap w:val="0"/>
            <w:vAlign w:val="center"/>
          </w:tcPr>
          <w:p w14:paraId="54758193">
            <w:pPr>
              <w:widowControl w:val="0"/>
              <w:adjustRightInd w:val="0"/>
              <w:snapToGrid w:val="0"/>
              <w:spacing w:beforeLines="0" w:afterLines="0" w:line="240" w:lineRule="auto"/>
              <w:jc w:val="center"/>
              <w:rPr>
                <w:rFonts w:hint="default" w:ascii="Times New Roman" w:hAnsi="Times New Roman" w:cs="Times New Roman"/>
              </w:rPr>
            </w:pPr>
            <w:r>
              <w:rPr>
                <w:rFonts w:hint="default" w:ascii="Times New Roman" w:hAnsi="Times New Roman" w:cs="Times New Roman"/>
              </w:rPr>
              <w:t>/</w:t>
            </w:r>
          </w:p>
        </w:tc>
        <w:tc>
          <w:tcPr>
            <w:tcW w:w="1298" w:type="dxa"/>
            <w:noWrap w:val="0"/>
            <w:vAlign w:val="center"/>
          </w:tcPr>
          <w:p w14:paraId="6248B46B">
            <w:pPr>
              <w:widowControl w:val="0"/>
              <w:adjustRightInd w:val="0"/>
              <w:snapToGrid w:val="0"/>
              <w:spacing w:beforeLines="0" w:afterLines="0" w:line="240" w:lineRule="auto"/>
              <w:jc w:val="center"/>
              <w:rPr>
                <w:rFonts w:hint="default" w:ascii="Times New Roman" w:hAnsi="Times New Roman" w:cs="Times New Roman"/>
              </w:rPr>
            </w:pPr>
            <w:r>
              <w:rPr>
                <w:rFonts w:hint="default" w:ascii="Times New Roman" w:hAnsi="Times New Roman" w:cs="Times New Roman"/>
              </w:rPr>
              <w:t>/</w:t>
            </w:r>
          </w:p>
        </w:tc>
        <w:tc>
          <w:tcPr>
            <w:tcW w:w="1604" w:type="dxa"/>
            <w:noWrap w:val="0"/>
            <w:vAlign w:val="center"/>
          </w:tcPr>
          <w:p w14:paraId="35720FEB">
            <w:pPr>
              <w:widowControl w:val="0"/>
              <w:adjustRightInd w:val="0"/>
              <w:snapToGrid w:val="0"/>
              <w:spacing w:beforeLines="0" w:afterLines="0" w:line="240" w:lineRule="auto"/>
              <w:jc w:val="center"/>
              <w:rPr>
                <w:rFonts w:hint="default" w:ascii="Times New Roman" w:hAnsi="Times New Roman" w:cs="Times New Roman"/>
              </w:rPr>
            </w:pPr>
            <w:r>
              <w:rPr>
                <w:rFonts w:hint="default" w:ascii="Times New Roman" w:hAnsi="Times New Roman" w:cs="Times New Roman"/>
              </w:rPr>
              <w:t>/</w:t>
            </w:r>
          </w:p>
        </w:tc>
        <w:tc>
          <w:tcPr>
            <w:tcW w:w="1620" w:type="dxa"/>
            <w:noWrap w:val="0"/>
            <w:vAlign w:val="center"/>
          </w:tcPr>
          <w:p w14:paraId="2739FDE8">
            <w:pPr>
              <w:ind w:left="-105" w:leftChars="-50" w:right="-105" w:rightChars="-50"/>
              <w:jc w:val="center"/>
              <w:rPr>
                <w:rFonts w:hint="default" w:ascii="Times New Roman" w:hAnsi="Times New Roman" w:cs="Times New Roman"/>
                <w:snapToGrid w:val="0"/>
                <w:spacing w:val="-6"/>
                <w:kern w:val="21"/>
                <w:szCs w:val="21"/>
                <w:lang w:val="en-US" w:eastAsia="zh-CN"/>
              </w:rPr>
            </w:pPr>
            <w:r>
              <w:rPr>
                <w:rFonts w:hint="default" w:ascii="Times New Roman" w:hAnsi="Times New Roman" w:cs="Times New Roman"/>
                <w:snapToGrid w:val="0"/>
                <w:spacing w:val="-6"/>
                <w:kern w:val="21"/>
                <w:szCs w:val="21"/>
                <w:lang w:val="en-US" w:eastAsia="zh-CN"/>
              </w:rPr>
              <w:t>37</w:t>
            </w:r>
          </w:p>
        </w:tc>
        <w:tc>
          <w:tcPr>
            <w:tcW w:w="1619" w:type="dxa"/>
            <w:noWrap w:val="0"/>
            <w:vAlign w:val="center"/>
          </w:tcPr>
          <w:p w14:paraId="2DD94C97">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cs="Times New Roman"/>
              </w:rPr>
              <w:t>/</w:t>
            </w:r>
          </w:p>
        </w:tc>
        <w:tc>
          <w:tcPr>
            <w:tcW w:w="1768" w:type="dxa"/>
            <w:noWrap w:val="0"/>
            <w:vAlign w:val="center"/>
          </w:tcPr>
          <w:p w14:paraId="1E174876">
            <w:pPr>
              <w:spacing w:beforeLines="0" w:afterLines="0"/>
              <w:ind w:left="-105" w:leftChars="-50" w:right="-105" w:rightChars="-50"/>
              <w:jc w:val="center"/>
              <w:rPr>
                <w:rFonts w:hint="default" w:ascii="Times New Roman" w:hAnsi="Times New Roman" w:cs="Times New Roman"/>
                <w:snapToGrid w:val="0"/>
                <w:spacing w:val="-6"/>
                <w:kern w:val="21"/>
                <w:szCs w:val="21"/>
                <w:lang w:val="en-US" w:eastAsia="zh-CN"/>
              </w:rPr>
            </w:pPr>
            <w:r>
              <w:rPr>
                <w:rFonts w:hint="default" w:ascii="Times New Roman" w:hAnsi="Times New Roman" w:eastAsia="宋体" w:cs="Times New Roman"/>
                <w:snapToGrid w:val="0"/>
                <w:spacing w:val="-6"/>
                <w:kern w:val="21"/>
                <w:sz w:val="21"/>
                <w:szCs w:val="21"/>
              </w:rPr>
              <w:t>37</w:t>
            </w:r>
          </w:p>
        </w:tc>
        <w:tc>
          <w:tcPr>
            <w:tcW w:w="1322" w:type="dxa"/>
            <w:noWrap w:val="0"/>
            <w:vAlign w:val="center"/>
          </w:tcPr>
          <w:p w14:paraId="46E5FDF4">
            <w:pPr>
              <w:spacing w:beforeLines="0" w:afterLines="0"/>
              <w:ind w:left="-105" w:leftChars="-50" w:right="-105" w:rightChars="-50"/>
              <w:jc w:val="center"/>
              <w:rPr>
                <w:rFonts w:hint="default" w:ascii="Times New Roman" w:hAnsi="Times New Roman" w:cs="Times New Roman"/>
                <w:szCs w:val="21"/>
                <w:lang w:val="en-US" w:eastAsia="zh-CN"/>
              </w:rPr>
            </w:pPr>
            <w:r>
              <w:rPr>
                <w:rFonts w:hint="default" w:ascii="Times New Roman" w:hAnsi="Times New Roman" w:cs="Times New Roman"/>
                <w:snapToGrid w:val="0"/>
                <w:spacing w:val="-6"/>
                <w:kern w:val="21"/>
                <w:sz w:val="21"/>
                <w:szCs w:val="21"/>
                <w:lang w:val="en-US" w:eastAsia="zh-CN"/>
              </w:rPr>
              <w:t>+</w:t>
            </w:r>
            <w:r>
              <w:rPr>
                <w:rFonts w:hint="default" w:ascii="Times New Roman" w:hAnsi="Times New Roman" w:eastAsia="宋体" w:cs="Times New Roman"/>
                <w:snapToGrid w:val="0"/>
                <w:spacing w:val="-6"/>
                <w:kern w:val="21"/>
                <w:sz w:val="21"/>
                <w:szCs w:val="21"/>
              </w:rPr>
              <w:t>37</w:t>
            </w:r>
          </w:p>
        </w:tc>
      </w:tr>
      <w:tr w14:paraId="4834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8" w:type="dxa"/>
            <w:vMerge w:val="continue"/>
            <w:noWrap w:val="0"/>
            <w:vAlign w:val="center"/>
          </w:tcPr>
          <w:p w14:paraId="2B03083F">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p>
        </w:tc>
        <w:tc>
          <w:tcPr>
            <w:tcW w:w="2244" w:type="dxa"/>
            <w:noWrap w:val="0"/>
            <w:vAlign w:val="center"/>
          </w:tcPr>
          <w:p w14:paraId="3CD4FC50">
            <w:pPr>
              <w:widowControl/>
              <w:jc w:val="center"/>
              <w:textAlignment w:val="center"/>
              <w:rPr>
                <w:rFonts w:hint="default" w:ascii="Times New Roman" w:hAnsi="Times New Roman" w:eastAsia="黑体" w:cs="Times New Roman"/>
                <w:b w:val="0"/>
                <w:bCs w:val="0"/>
                <w:kern w:val="0"/>
                <w:szCs w:val="21"/>
                <w:lang w:val="en-US" w:eastAsia="zh-CN" w:bidi="ar"/>
              </w:rPr>
            </w:pPr>
            <w:r>
              <w:rPr>
                <w:rFonts w:hint="default" w:ascii="Times New Roman" w:hAnsi="Times New Roman" w:eastAsia="黑体" w:cs="Times New Roman"/>
                <w:b w:val="0"/>
                <w:bCs w:val="0"/>
                <w:kern w:val="0"/>
                <w:szCs w:val="21"/>
                <w:lang w:val="en-US" w:eastAsia="zh-CN" w:bidi="ar"/>
              </w:rPr>
              <w:t>碎粉丝</w:t>
            </w:r>
          </w:p>
        </w:tc>
        <w:tc>
          <w:tcPr>
            <w:tcW w:w="1334" w:type="dxa"/>
            <w:noWrap w:val="0"/>
            <w:vAlign w:val="center"/>
          </w:tcPr>
          <w:p w14:paraId="351C0410">
            <w:pPr>
              <w:widowControl w:val="0"/>
              <w:adjustRightInd w:val="0"/>
              <w:snapToGrid w:val="0"/>
              <w:spacing w:beforeLines="0" w:afterLines="0" w:line="240" w:lineRule="auto"/>
              <w:jc w:val="center"/>
              <w:rPr>
                <w:rFonts w:hint="default" w:ascii="Times New Roman" w:hAnsi="Times New Roman" w:cs="Times New Roman"/>
              </w:rPr>
            </w:pPr>
          </w:p>
        </w:tc>
        <w:tc>
          <w:tcPr>
            <w:tcW w:w="1298" w:type="dxa"/>
            <w:noWrap w:val="0"/>
            <w:vAlign w:val="center"/>
          </w:tcPr>
          <w:p w14:paraId="17DEC87D">
            <w:pPr>
              <w:widowControl w:val="0"/>
              <w:adjustRightInd w:val="0"/>
              <w:snapToGrid w:val="0"/>
              <w:spacing w:beforeLines="0" w:afterLines="0" w:line="240" w:lineRule="auto"/>
              <w:jc w:val="center"/>
              <w:rPr>
                <w:rFonts w:hint="default" w:ascii="Times New Roman" w:hAnsi="Times New Roman" w:cs="Times New Roman"/>
              </w:rPr>
            </w:pPr>
          </w:p>
        </w:tc>
        <w:tc>
          <w:tcPr>
            <w:tcW w:w="1604" w:type="dxa"/>
            <w:noWrap w:val="0"/>
            <w:vAlign w:val="center"/>
          </w:tcPr>
          <w:p w14:paraId="2D21B16F">
            <w:pPr>
              <w:widowControl w:val="0"/>
              <w:adjustRightInd w:val="0"/>
              <w:snapToGrid w:val="0"/>
              <w:spacing w:beforeLines="0" w:afterLines="0" w:line="240" w:lineRule="auto"/>
              <w:jc w:val="center"/>
              <w:rPr>
                <w:rFonts w:hint="default" w:ascii="Times New Roman" w:hAnsi="Times New Roman" w:cs="Times New Roman"/>
              </w:rPr>
            </w:pPr>
          </w:p>
        </w:tc>
        <w:tc>
          <w:tcPr>
            <w:tcW w:w="1620" w:type="dxa"/>
            <w:noWrap w:val="0"/>
            <w:vAlign w:val="center"/>
          </w:tcPr>
          <w:p w14:paraId="78B88F3B">
            <w:pPr>
              <w:ind w:left="-105" w:leftChars="-50" w:right="-105" w:rightChars="-50"/>
              <w:jc w:val="center"/>
              <w:rPr>
                <w:rFonts w:hint="default" w:ascii="Times New Roman" w:hAnsi="Times New Roman" w:cs="Times New Roman"/>
                <w:snapToGrid w:val="0"/>
                <w:spacing w:val="-6"/>
                <w:kern w:val="21"/>
                <w:szCs w:val="21"/>
                <w:lang w:val="en-US" w:eastAsia="zh-CN"/>
              </w:rPr>
            </w:pPr>
            <w:r>
              <w:rPr>
                <w:rFonts w:hint="default" w:ascii="Times New Roman" w:hAnsi="Times New Roman" w:cs="Times New Roman"/>
                <w:snapToGrid w:val="0"/>
                <w:spacing w:val="-6"/>
                <w:kern w:val="21"/>
                <w:szCs w:val="21"/>
                <w:lang w:val="en-US" w:eastAsia="zh-CN"/>
              </w:rPr>
              <w:t>2</w:t>
            </w:r>
          </w:p>
        </w:tc>
        <w:tc>
          <w:tcPr>
            <w:tcW w:w="1619" w:type="dxa"/>
            <w:noWrap w:val="0"/>
            <w:vAlign w:val="center"/>
          </w:tcPr>
          <w:p w14:paraId="10843716">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r>
              <w:rPr>
                <w:rFonts w:hint="default" w:ascii="Times New Roman" w:hAnsi="Times New Roman" w:cs="Times New Roman"/>
              </w:rPr>
              <w:t>/</w:t>
            </w:r>
          </w:p>
        </w:tc>
        <w:tc>
          <w:tcPr>
            <w:tcW w:w="1768" w:type="dxa"/>
            <w:noWrap w:val="0"/>
            <w:vAlign w:val="center"/>
          </w:tcPr>
          <w:p w14:paraId="0E99EC5D">
            <w:pPr>
              <w:spacing w:beforeLines="0" w:afterLines="0"/>
              <w:ind w:left="-105" w:leftChars="-50" w:right="-105" w:rightChars="-50"/>
              <w:jc w:val="center"/>
              <w:rPr>
                <w:rFonts w:hint="default" w:ascii="Times New Roman" w:hAnsi="Times New Roman" w:cs="Times New Roman"/>
                <w:snapToGrid w:val="0"/>
                <w:spacing w:val="-6"/>
                <w:kern w:val="21"/>
                <w:szCs w:val="21"/>
                <w:lang w:val="en-US" w:eastAsia="zh-CN"/>
              </w:rPr>
            </w:pPr>
            <w:r>
              <w:rPr>
                <w:rFonts w:hint="default" w:ascii="Times New Roman" w:hAnsi="Times New Roman" w:eastAsia="宋体" w:cs="Times New Roman"/>
                <w:snapToGrid w:val="0"/>
                <w:spacing w:val="-6"/>
                <w:kern w:val="21"/>
                <w:sz w:val="21"/>
                <w:szCs w:val="21"/>
              </w:rPr>
              <w:t>2</w:t>
            </w:r>
          </w:p>
        </w:tc>
        <w:tc>
          <w:tcPr>
            <w:tcW w:w="1322" w:type="dxa"/>
            <w:noWrap w:val="0"/>
            <w:vAlign w:val="center"/>
          </w:tcPr>
          <w:p w14:paraId="008E1D5D">
            <w:pPr>
              <w:spacing w:beforeLines="0" w:afterLines="0"/>
              <w:ind w:left="-105" w:leftChars="-50" w:right="-105" w:rightChars="-50"/>
              <w:jc w:val="center"/>
              <w:rPr>
                <w:rFonts w:hint="default" w:ascii="Times New Roman" w:hAnsi="Times New Roman" w:cs="Times New Roman"/>
                <w:szCs w:val="21"/>
                <w:lang w:val="en-US" w:eastAsia="zh-CN"/>
              </w:rPr>
            </w:pPr>
            <w:r>
              <w:rPr>
                <w:rFonts w:hint="default" w:ascii="Times New Roman" w:hAnsi="Times New Roman" w:cs="Times New Roman"/>
                <w:snapToGrid w:val="0"/>
                <w:spacing w:val="-6"/>
                <w:kern w:val="21"/>
                <w:sz w:val="21"/>
                <w:szCs w:val="21"/>
                <w:lang w:val="en-US" w:eastAsia="zh-CN"/>
              </w:rPr>
              <w:t>+</w:t>
            </w:r>
            <w:r>
              <w:rPr>
                <w:rFonts w:hint="default" w:ascii="Times New Roman" w:hAnsi="Times New Roman" w:eastAsia="宋体" w:cs="Times New Roman"/>
                <w:snapToGrid w:val="0"/>
                <w:spacing w:val="-6"/>
                <w:kern w:val="21"/>
                <w:sz w:val="21"/>
                <w:szCs w:val="21"/>
              </w:rPr>
              <w:t>2</w:t>
            </w:r>
          </w:p>
        </w:tc>
      </w:tr>
      <w:tr w14:paraId="11A5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8" w:type="dxa"/>
            <w:vMerge w:val="continue"/>
            <w:noWrap w:val="0"/>
            <w:vAlign w:val="center"/>
          </w:tcPr>
          <w:p w14:paraId="0466D8ED">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p>
        </w:tc>
        <w:tc>
          <w:tcPr>
            <w:tcW w:w="2244" w:type="dxa"/>
            <w:noWrap w:val="0"/>
            <w:vAlign w:val="center"/>
          </w:tcPr>
          <w:p w14:paraId="3895867A">
            <w:pPr>
              <w:widowControl/>
              <w:jc w:val="center"/>
              <w:textAlignment w:val="center"/>
              <w:rPr>
                <w:rFonts w:hint="default" w:ascii="Times New Roman" w:hAnsi="Times New Roman" w:eastAsia="黑体" w:cs="Times New Roman"/>
                <w:b w:val="0"/>
                <w:bCs w:val="0"/>
                <w:kern w:val="0"/>
                <w:szCs w:val="21"/>
                <w:lang w:val="en-US" w:eastAsia="zh-CN" w:bidi="ar"/>
              </w:rPr>
            </w:pPr>
            <w:r>
              <w:rPr>
                <w:rFonts w:hint="default" w:ascii="Times New Roman" w:hAnsi="Times New Roman" w:eastAsia="黑体" w:cs="Times New Roman"/>
                <w:b w:val="0"/>
                <w:bCs w:val="0"/>
                <w:kern w:val="0"/>
                <w:szCs w:val="21"/>
                <w:lang w:val="en-US" w:eastAsia="zh-CN" w:bidi="ar"/>
              </w:rPr>
              <w:t>除尘器收集粉尘</w:t>
            </w:r>
          </w:p>
        </w:tc>
        <w:tc>
          <w:tcPr>
            <w:tcW w:w="1334" w:type="dxa"/>
            <w:noWrap w:val="0"/>
            <w:vAlign w:val="center"/>
          </w:tcPr>
          <w:p w14:paraId="651D5D13">
            <w:pPr>
              <w:widowControl w:val="0"/>
              <w:adjustRightInd w:val="0"/>
              <w:snapToGrid w:val="0"/>
              <w:spacing w:beforeLines="0" w:afterLines="0" w:line="240" w:lineRule="auto"/>
              <w:jc w:val="center"/>
              <w:rPr>
                <w:rFonts w:hint="default" w:ascii="Times New Roman" w:hAnsi="Times New Roman" w:cs="Times New Roman"/>
              </w:rPr>
            </w:pPr>
          </w:p>
        </w:tc>
        <w:tc>
          <w:tcPr>
            <w:tcW w:w="1298" w:type="dxa"/>
            <w:noWrap w:val="0"/>
            <w:vAlign w:val="center"/>
          </w:tcPr>
          <w:p w14:paraId="2340FB25">
            <w:pPr>
              <w:widowControl w:val="0"/>
              <w:adjustRightInd w:val="0"/>
              <w:snapToGrid w:val="0"/>
              <w:spacing w:beforeLines="0" w:afterLines="0" w:line="240" w:lineRule="auto"/>
              <w:jc w:val="center"/>
              <w:rPr>
                <w:rFonts w:hint="default" w:ascii="Times New Roman" w:hAnsi="Times New Roman" w:cs="Times New Roman"/>
              </w:rPr>
            </w:pPr>
          </w:p>
        </w:tc>
        <w:tc>
          <w:tcPr>
            <w:tcW w:w="1604" w:type="dxa"/>
            <w:noWrap w:val="0"/>
            <w:vAlign w:val="center"/>
          </w:tcPr>
          <w:p w14:paraId="38CB150B">
            <w:pPr>
              <w:widowControl w:val="0"/>
              <w:adjustRightInd w:val="0"/>
              <w:snapToGrid w:val="0"/>
              <w:spacing w:beforeLines="0" w:afterLines="0" w:line="240" w:lineRule="auto"/>
              <w:jc w:val="center"/>
              <w:rPr>
                <w:rFonts w:hint="default" w:ascii="Times New Roman" w:hAnsi="Times New Roman" w:cs="Times New Roman"/>
              </w:rPr>
            </w:pPr>
          </w:p>
        </w:tc>
        <w:tc>
          <w:tcPr>
            <w:tcW w:w="1620" w:type="dxa"/>
            <w:noWrap w:val="0"/>
            <w:vAlign w:val="center"/>
          </w:tcPr>
          <w:p w14:paraId="6FF5142A">
            <w:pPr>
              <w:ind w:left="-105" w:leftChars="-50" w:right="-105" w:rightChars="-50"/>
              <w:jc w:val="center"/>
              <w:rPr>
                <w:rFonts w:hint="default" w:ascii="Times New Roman" w:hAnsi="Times New Roman" w:cs="Times New Roman"/>
                <w:snapToGrid w:val="0"/>
                <w:spacing w:val="-6"/>
                <w:kern w:val="21"/>
                <w:szCs w:val="21"/>
                <w:lang w:val="en-US" w:eastAsia="zh-CN"/>
              </w:rPr>
            </w:pPr>
            <w:r>
              <w:rPr>
                <w:rFonts w:hint="default" w:ascii="Times New Roman" w:hAnsi="Times New Roman" w:cs="Times New Roman"/>
                <w:snapToGrid w:val="0"/>
                <w:spacing w:val="-6"/>
                <w:kern w:val="21"/>
                <w:szCs w:val="21"/>
                <w:lang w:val="en-US" w:eastAsia="zh-CN"/>
              </w:rPr>
              <w:t>0.65</w:t>
            </w:r>
          </w:p>
        </w:tc>
        <w:tc>
          <w:tcPr>
            <w:tcW w:w="1619" w:type="dxa"/>
            <w:noWrap w:val="0"/>
            <w:vAlign w:val="center"/>
          </w:tcPr>
          <w:p w14:paraId="6F2C54A7">
            <w:pPr>
              <w:widowControl w:val="0"/>
              <w:adjustRightInd w:val="0"/>
              <w:snapToGrid w:val="0"/>
              <w:spacing w:beforeLines="0" w:afterLines="0" w:line="240" w:lineRule="auto"/>
              <w:jc w:val="center"/>
              <w:rPr>
                <w:rFonts w:hint="default" w:ascii="Times New Roman" w:hAnsi="Times New Roman" w:cs="Times New Roman"/>
              </w:rPr>
            </w:pPr>
          </w:p>
        </w:tc>
        <w:tc>
          <w:tcPr>
            <w:tcW w:w="1768" w:type="dxa"/>
            <w:noWrap w:val="0"/>
            <w:vAlign w:val="center"/>
          </w:tcPr>
          <w:p w14:paraId="0A253B79">
            <w:pPr>
              <w:spacing w:beforeLines="0" w:afterLines="0"/>
              <w:ind w:left="-105" w:leftChars="-50" w:right="-105" w:rightChars="-50"/>
              <w:jc w:val="center"/>
              <w:rPr>
                <w:rFonts w:hint="default" w:ascii="Times New Roman" w:hAnsi="Times New Roman" w:eastAsia="宋体" w:cs="Times New Roman"/>
                <w:snapToGrid w:val="0"/>
                <w:spacing w:val="-6"/>
                <w:kern w:val="21"/>
                <w:sz w:val="21"/>
                <w:szCs w:val="21"/>
              </w:rPr>
            </w:pPr>
            <w:r>
              <w:rPr>
                <w:rFonts w:hint="default" w:ascii="Times New Roman" w:hAnsi="Times New Roman" w:cs="Times New Roman"/>
                <w:snapToGrid w:val="0"/>
                <w:spacing w:val="-6"/>
                <w:kern w:val="21"/>
                <w:sz w:val="21"/>
                <w:szCs w:val="21"/>
              </w:rPr>
              <w:t>0.65</w:t>
            </w:r>
          </w:p>
        </w:tc>
        <w:tc>
          <w:tcPr>
            <w:tcW w:w="1322" w:type="dxa"/>
            <w:noWrap w:val="0"/>
            <w:vAlign w:val="center"/>
          </w:tcPr>
          <w:p w14:paraId="132CC44E">
            <w:pPr>
              <w:spacing w:beforeLines="0" w:afterLines="0"/>
              <w:ind w:left="-105" w:leftChars="-50" w:right="-105" w:rightChars="-50"/>
              <w:jc w:val="center"/>
              <w:rPr>
                <w:rFonts w:hint="default" w:ascii="Times New Roman" w:hAnsi="Times New Roman" w:eastAsia="宋体" w:cs="Times New Roman"/>
                <w:snapToGrid w:val="0"/>
                <w:spacing w:val="-6"/>
                <w:kern w:val="21"/>
                <w:sz w:val="21"/>
                <w:szCs w:val="21"/>
              </w:rPr>
            </w:pPr>
            <w:r>
              <w:rPr>
                <w:rFonts w:hint="default" w:ascii="Times New Roman" w:hAnsi="Times New Roman" w:cs="Times New Roman"/>
                <w:snapToGrid w:val="0"/>
                <w:spacing w:val="-6"/>
                <w:kern w:val="21"/>
                <w:sz w:val="21"/>
                <w:szCs w:val="21"/>
                <w:lang w:val="en-US" w:eastAsia="zh-CN"/>
              </w:rPr>
              <w:t>+</w:t>
            </w:r>
            <w:r>
              <w:rPr>
                <w:rFonts w:hint="default" w:ascii="Times New Roman" w:hAnsi="Times New Roman" w:cs="Times New Roman"/>
                <w:snapToGrid w:val="0"/>
                <w:spacing w:val="-6"/>
                <w:kern w:val="21"/>
                <w:sz w:val="21"/>
                <w:szCs w:val="21"/>
              </w:rPr>
              <w:t>0.65</w:t>
            </w:r>
          </w:p>
        </w:tc>
      </w:tr>
      <w:tr w14:paraId="440A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8" w:type="dxa"/>
            <w:vMerge w:val="continue"/>
            <w:noWrap w:val="0"/>
            <w:vAlign w:val="center"/>
          </w:tcPr>
          <w:p w14:paraId="73A91A18">
            <w:pPr>
              <w:widowControl w:val="0"/>
              <w:adjustRightInd w:val="0"/>
              <w:snapToGrid w:val="0"/>
              <w:spacing w:beforeLines="0" w:afterLines="0" w:line="240" w:lineRule="auto"/>
              <w:jc w:val="center"/>
              <w:rPr>
                <w:rFonts w:hint="default" w:ascii="Times New Roman" w:hAnsi="Times New Roman" w:eastAsia="黑体" w:cs="Times New Roman"/>
                <w:snapToGrid w:val="0"/>
                <w:spacing w:val="-6"/>
                <w:kern w:val="21"/>
                <w:sz w:val="21"/>
                <w:szCs w:val="21"/>
                <w:lang w:val="en-US" w:eastAsia="zh-CN" w:bidi="ar-SA"/>
              </w:rPr>
            </w:pPr>
          </w:p>
        </w:tc>
        <w:tc>
          <w:tcPr>
            <w:tcW w:w="2244" w:type="dxa"/>
            <w:noWrap w:val="0"/>
            <w:vAlign w:val="center"/>
          </w:tcPr>
          <w:p w14:paraId="05D96963">
            <w:pPr>
              <w:widowControl/>
              <w:jc w:val="center"/>
              <w:textAlignment w:val="center"/>
              <w:rPr>
                <w:rFonts w:hint="default" w:ascii="Times New Roman" w:hAnsi="Times New Roman" w:eastAsia="黑体" w:cs="Times New Roman"/>
                <w:b w:val="0"/>
                <w:bCs w:val="0"/>
                <w:kern w:val="0"/>
                <w:szCs w:val="21"/>
                <w:lang w:val="en-US" w:eastAsia="zh-CN" w:bidi="ar"/>
              </w:rPr>
            </w:pPr>
            <w:r>
              <w:rPr>
                <w:rFonts w:hint="default" w:ascii="Times New Roman" w:hAnsi="Times New Roman" w:eastAsia="黑体" w:cs="Times New Roman"/>
                <w:b w:val="0"/>
                <w:bCs w:val="0"/>
                <w:kern w:val="0"/>
                <w:szCs w:val="21"/>
                <w:lang w:val="en-US" w:eastAsia="zh-CN" w:bidi="ar"/>
              </w:rPr>
              <w:t>废油桶</w:t>
            </w:r>
          </w:p>
        </w:tc>
        <w:tc>
          <w:tcPr>
            <w:tcW w:w="1334" w:type="dxa"/>
            <w:noWrap w:val="0"/>
            <w:vAlign w:val="center"/>
          </w:tcPr>
          <w:p w14:paraId="001692DE">
            <w:pPr>
              <w:widowControl w:val="0"/>
              <w:adjustRightInd w:val="0"/>
              <w:snapToGrid w:val="0"/>
              <w:spacing w:beforeLines="0" w:afterLines="0" w:line="240" w:lineRule="auto"/>
              <w:jc w:val="center"/>
              <w:rPr>
                <w:rFonts w:hint="default" w:ascii="Times New Roman" w:hAnsi="Times New Roman" w:cs="Times New Roman"/>
              </w:rPr>
            </w:pPr>
          </w:p>
        </w:tc>
        <w:tc>
          <w:tcPr>
            <w:tcW w:w="1298" w:type="dxa"/>
            <w:noWrap w:val="0"/>
            <w:vAlign w:val="center"/>
          </w:tcPr>
          <w:p w14:paraId="48F2AD7F">
            <w:pPr>
              <w:widowControl w:val="0"/>
              <w:adjustRightInd w:val="0"/>
              <w:snapToGrid w:val="0"/>
              <w:spacing w:beforeLines="0" w:afterLines="0" w:line="240" w:lineRule="auto"/>
              <w:jc w:val="center"/>
              <w:rPr>
                <w:rFonts w:hint="default" w:ascii="Times New Roman" w:hAnsi="Times New Roman" w:cs="Times New Roman"/>
              </w:rPr>
            </w:pPr>
          </w:p>
        </w:tc>
        <w:tc>
          <w:tcPr>
            <w:tcW w:w="1604" w:type="dxa"/>
            <w:noWrap w:val="0"/>
            <w:vAlign w:val="center"/>
          </w:tcPr>
          <w:p w14:paraId="424D33BD">
            <w:pPr>
              <w:widowControl w:val="0"/>
              <w:adjustRightInd w:val="0"/>
              <w:snapToGrid w:val="0"/>
              <w:spacing w:beforeLines="0" w:afterLines="0" w:line="240" w:lineRule="auto"/>
              <w:jc w:val="center"/>
              <w:rPr>
                <w:rFonts w:hint="default" w:ascii="Times New Roman" w:hAnsi="Times New Roman" w:cs="Times New Roman"/>
              </w:rPr>
            </w:pPr>
          </w:p>
        </w:tc>
        <w:tc>
          <w:tcPr>
            <w:tcW w:w="1620" w:type="dxa"/>
            <w:noWrap w:val="0"/>
            <w:vAlign w:val="center"/>
          </w:tcPr>
          <w:p w14:paraId="7E9E15A3">
            <w:pPr>
              <w:ind w:left="-105" w:leftChars="-50" w:right="-105" w:rightChars="-50"/>
              <w:jc w:val="center"/>
              <w:rPr>
                <w:rFonts w:hint="default" w:ascii="Times New Roman" w:hAnsi="Times New Roman" w:cs="Times New Roman"/>
                <w:snapToGrid w:val="0"/>
                <w:spacing w:val="-6"/>
                <w:kern w:val="21"/>
                <w:szCs w:val="21"/>
                <w:lang w:val="en-US" w:eastAsia="zh-CN"/>
              </w:rPr>
            </w:pPr>
            <w:r>
              <w:rPr>
                <w:rFonts w:hint="default" w:ascii="Times New Roman" w:hAnsi="Times New Roman" w:cs="Times New Roman"/>
                <w:snapToGrid w:val="0"/>
                <w:spacing w:val="-6"/>
                <w:kern w:val="21"/>
                <w:szCs w:val="21"/>
                <w:lang w:val="en-US" w:eastAsia="zh-CN"/>
              </w:rPr>
              <w:t>0.05</w:t>
            </w:r>
          </w:p>
        </w:tc>
        <w:tc>
          <w:tcPr>
            <w:tcW w:w="1619" w:type="dxa"/>
            <w:noWrap w:val="0"/>
            <w:vAlign w:val="center"/>
          </w:tcPr>
          <w:p w14:paraId="1A3DBE40">
            <w:pPr>
              <w:widowControl w:val="0"/>
              <w:adjustRightInd w:val="0"/>
              <w:snapToGrid w:val="0"/>
              <w:spacing w:beforeLines="0" w:afterLines="0" w:line="240" w:lineRule="auto"/>
              <w:jc w:val="center"/>
              <w:rPr>
                <w:rFonts w:hint="default" w:ascii="Times New Roman" w:hAnsi="Times New Roman" w:cs="Times New Roman"/>
              </w:rPr>
            </w:pPr>
          </w:p>
        </w:tc>
        <w:tc>
          <w:tcPr>
            <w:tcW w:w="1768" w:type="dxa"/>
            <w:noWrap w:val="0"/>
            <w:vAlign w:val="center"/>
          </w:tcPr>
          <w:p w14:paraId="12029683">
            <w:pPr>
              <w:spacing w:beforeLines="0" w:afterLines="0"/>
              <w:ind w:left="-105" w:leftChars="-50" w:right="-105" w:rightChars="-50"/>
              <w:jc w:val="center"/>
              <w:rPr>
                <w:rFonts w:hint="default" w:ascii="Times New Roman" w:hAnsi="Times New Roman" w:eastAsia="宋体" w:cs="Times New Roman"/>
                <w:snapToGrid w:val="0"/>
                <w:spacing w:val="-6"/>
                <w:kern w:val="21"/>
                <w:sz w:val="21"/>
                <w:szCs w:val="21"/>
              </w:rPr>
            </w:pPr>
            <w:r>
              <w:rPr>
                <w:rFonts w:hint="default" w:ascii="Times New Roman" w:hAnsi="Times New Roman" w:cs="Times New Roman"/>
                <w:snapToGrid w:val="0"/>
                <w:spacing w:val="-6"/>
                <w:kern w:val="21"/>
                <w:sz w:val="21"/>
                <w:szCs w:val="21"/>
              </w:rPr>
              <w:t>0.05</w:t>
            </w:r>
          </w:p>
        </w:tc>
        <w:tc>
          <w:tcPr>
            <w:tcW w:w="1322" w:type="dxa"/>
            <w:noWrap w:val="0"/>
            <w:vAlign w:val="center"/>
          </w:tcPr>
          <w:p w14:paraId="1BDC719E">
            <w:pPr>
              <w:spacing w:beforeLines="0" w:afterLines="0"/>
              <w:ind w:left="-105" w:leftChars="-50" w:right="-105" w:rightChars="-50"/>
              <w:jc w:val="center"/>
              <w:rPr>
                <w:rFonts w:hint="default" w:ascii="Times New Roman" w:hAnsi="Times New Roman" w:eastAsia="宋体" w:cs="Times New Roman"/>
                <w:snapToGrid w:val="0"/>
                <w:spacing w:val="-6"/>
                <w:kern w:val="21"/>
                <w:sz w:val="21"/>
                <w:szCs w:val="21"/>
              </w:rPr>
            </w:pPr>
            <w:r>
              <w:rPr>
                <w:rFonts w:hint="default" w:ascii="Times New Roman" w:hAnsi="Times New Roman" w:cs="Times New Roman"/>
                <w:snapToGrid w:val="0"/>
                <w:spacing w:val="-6"/>
                <w:kern w:val="21"/>
                <w:sz w:val="21"/>
                <w:szCs w:val="21"/>
                <w:lang w:val="en-US" w:eastAsia="zh-CN"/>
              </w:rPr>
              <w:t>+</w:t>
            </w:r>
            <w:r>
              <w:rPr>
                <w:rFonts w:hint="default" w:ascii="Times New Roman" w:hAnsi="Times New Roman" w:cs="Times New Roman"/>
                <w:snapToGrid w:val="0"/>
                <w:spacing w:val="-6"/>
                <w:kern w:val="21"/>
                <w:sz w:val="21"/>
                <w:szCs w:val="21"/>
              </w:rPr>
              <w:t>0.05</w:t>
            </w:r>
          </w:p>
        </w:tc>
      </w:tr>
    </w:tbl>
    <w:p w14:paraId="71F6E91D">
      <w:pPr>
        <w:pStyle w:val="11"/>
        <w:ind w:left="0" w:leftChars="0" w:firstLine="0" w:firstLineChars="0"/>
      </w:pPr>
      <w:r>
        <w:t>注：</w:t>
      </w:r>
      <w:r>
        <w:rPr>
          <w:rFonts w:hAnsi="宋体"/>
          <w:spacing w:val="-3"/>
        </w:rPr>
        <w:t>⑥</w:t>
      </w:r>
      <w:r>
        <w:rPr>
          <w:rFonts w:eastAsia="Times New Roman"/>
          <w:spacing w:val="-16"/>
        </w:rPr>
        <w:t>=</w:t>
      </w:r>
      <w:r>
        <w:rPr>
          <w:rFonts w:hAnsi="宋体"/>
        </w:rPr>
        <w:t>①</w:t>
      </w:r>
      <w:r>
        <w:rPr>
          <w:rFonts w:eastAsia="Times New Roman"/>
          <w:spacing w:val="-9"/>
        </w:rPr>
        <w:t>+</w:t>
      </w:r>
      <w:r>
        <w:rPr>
          <w:rFonts w:hAnsi="宋体"/>
        </w:rPr>
        <w:t>③</w:t>
      </w:r>
      <w:r>
        <w:rPr>
          <w:rFonts w:eastAsia="Times New Roman"/>
          <w:spacing w:val="-9"/>
        </w:rPr>
        <w:t>+</w:t>
      </w:r>
      <w:r>
        <w:rPr>
          <w:rFonts w:hAnsi="宋体"/>
        </w:rPr>
        <w:t>④</w:t>
      </w:r>
      <w:r>
        <w:rPr>
          <w:rFonts w:eastAsia="Times New Roman"/>
          <w:spacing w:val="-8"/>
        </w:rPr>
        <w:t>-</w:t>
      </w:r>
      <w:r>
        <w:rPr>
          <w:rFonts w:hAnsi="宋体"/>
        </w:rPr>
        <w:t>⑤</w:t>
      </w:r>
      <w:r>
        <w:rPr>
          <w:spacing w:val="-34"/>
        </w:rPr>
        <w:t>；</w:t>
      </w:r>
      <w:r>
        <w:rPr>
          <w:rFonts w:hAnsi="宋体"/>
        </w:rPr>
        <w:t>⑦</w:t>
      </w:r>
      <w:r>
        <w:rPr>
          <w:rFonts w:eastAsia="Times New Roman"/>
          <w:spacing w:val="-9"/>
        </w:rPr>
        <w:t>=</w:t>
      </w:r>
      <w:r>
        <w:rPr>
          <w:rFonts w:hAnsi="宋体"/>
        </w:rPr>
        <w:t>⑥</w:t>
      </w:r>
      <w:r>
        <w:rPr>
          <w:rFonts w:eastAsia="Times New Roman"/>
          <w:spacing w:val="-18"/>
        </w:rPr>
        <w:t>-</w:t>
      </w:r>
      <w:r>
        <w:rPr>
          <w:rFonts w:hAnsi="宋体"/>
        </w:rPr>
        <w:t>①</w:t>
      </w:r>
    </w:p>
    <w:p w14:paraId="36DD706C">
      <w:pPr>
        <w:spacing w:line="480" w:lineRule="auto"/>
        <w:jc w:val="center"/>
        <w:outlineLvl w:val="9"/>
        <w:rPr>
          <w:rFonts w:hint="eastAsia" w:eastAsia="宋体"/>
          <w:lang w:eastAsia="zh-CN"/>
        </w:rPr>
      </w:pPr>
    </w:p>
    <w:p w14:paraId="74EEFEE1">
      <w:pPr>
        <w:widowControl/>
        <w:numPr>
          <w:ilvl w:val="0"/>
          <w:numId w:val="0"/>
        </w:numPr>
        <w:spacing w:after="160" w:line="259" w:lineRule="auto"/>
        <w:jc w:val="both"/>
        <w:rPr>
          <w:rFonts w:hint="eastAsia" w:eastAsia="宋体"/>
          <w:lang w:eastAsia="zh-CN"/>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00007A87" w:usb1="80000000" w:usb2="00000008"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Calibri Light">
    <w:altName w:val="Times New Roman"/>
    <w:panose1 w:val="020F0302020204030204"/>
    <w:charset w:val="00"/>
    <w:family w:val="swiss"/>
    <w:pitch w:val="default"/>
    <w:sig w:usb0="00000000" w:usb1="00000000" w:usb2="00000009" w:usb3="00000000" w:csb0="200001F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MS Mincho">
    <w:altName w:val="宋体"/>
    <w:panose1 w:val="02020609040205080304"/>
    <w:charset w:val="80"/>
    <w:family w:val="modern"/>
    <w:pitch w:val="default"/>
    <w:sig w:usb0="00000000" w:usb1="00000000" w:usb2="00000012" w:usb3="00000000" w:csb0="4002009F" w:csb1="DFD70000"/>
  </w:font>
  <w:font w:name="MingLiU">
    <w:altName w:val="宋体"/>
    <w:panose1 w:val="02010609000101010101"/>
    <w:charset w:val="88"/>
    <w:family w:val="modern"/>
    <w:pitch w:val="default"/>
    <w:sig w:usb0="00000000" w:usb1="00000000" w:usb2="00000016" w:usb3="00000000" w:csb0="00100001" w:csb1="00000000"/>
  </w:font>
  <w:font w:name="Verdana">
    <w:altName w:val="DejaVu Sans"/>
    <w:panose1 w:val="020B0604030504040204"/>
    <w:charset w:val="00"/>
    <w:family w:val="swiss"/>
    <w:pitch w:val="default"/>
    <w:sig w:usb0="00000000" w:usb1="00000000" w:usb2="00000010" w:usb3="00000000" w:csb0="2000019F" w:csb1="00000000"/>
  </w:font>
  <w:font w:name="Impact">
    <w:altName w:val="Noto Kufi Arabic"/>
    <w:panose1 w:val="020B0806030902050204"/>
    <w:charset w:val="00"/>
    <w:family w:val="swiss"/>
    <w:pitch w:val="default"/>
    <w:sig w:usb0="00000000" w:usb1="00000000" w:usb2="00000000" w:usb3="00000000" w:csb0="2000009F" w:csb1="DFD70000"/>
  </w:font>
  <w:font w:name="Noto Kufi Arabic">
    <w:panose1 w:val="020B0506030804020204"/>
    <w:charset w:val="00"/>
    <w:family w:val="auto"/>
    <w:pitch w:val="default"/>
    <w:sig w:usb0="00002000" w:usb1="00000000" w:usb2="00000008" w:usb3="00000000" w:csb0="00000001" w:csb1="00000000"/>
  </w:font>
  <w:font w:name="楷体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86"/>
    <w:family w:val="auto"/>
    <w:pitch w:val="default"/>
    <w:sig w:usb0="00000000" w:usb1="00000000" w:usb2="00000000" w:usb3="00000000" w:csb0="00040000" w:csb1="00000000"/>
  </w:font>
  <w:font w:name="宋体e眠副浡渀.">
    <w:altName w:val="宋体"/>
    <w:panose1 w:val="00000000000000000000"/>
    <w:charset w:val="86"/>
    <w:family w:val="roma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2D5E3">
    <w:pPr>
      <w:pStyle w:val="16"/>
      <w:jc w:val="center"/>
    </w:pPr>
  </w:p>
  <w:p w14:paraId="7AB904FF">
    <w:pPr>
      <w:pStyle w:val="1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40CAE">
    <w:pPr>
      <w:pStyle w:val="16"/>
      <w:jc w:val="center"/>
    </w:pPr>
  </w:p>
  <w:p w14:paraId="718149C6">
    <w:pPr>
      <w:pStyle w:val="1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BC277">
    <w:pPr>
      <w:pStyle w:val="1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67151">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3C67151">
                    <w:pPr>
                      <w:pStyle w:val="16"/>
                    </w:pPr>
                    <w:r>
                      <w:fldChar w:fldCharType="begin"/>
                    </w:r>
                    <w:r>
                      <w:instrText xml:space="preserve"> PAGE  \* MERGEFORMAT </w:instrText>
                    </w:r>
                    <w:r>
                      <w:fldChar w:fldCharType="separate"/>
                    </w:r>
                    <w:r>
                      <w:t>1</w:t>
                    </w:r>
                    <w:r>
                      <w:fldChar w:fldCharType="end"/>
                    </w:r>
                  </w:p>
                </w:txbxContent>
              </v:textbox>
            </v:shape>
          </w:pict>
        </mc:Fallback>
      </mc:AlternateContent>
    </w:r>
  </w:p>
  <w:p w14:paraId="39281095">
    <w:pPr>
      <w:pStyle w:val="16"/>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3A9AEA"/>
    <w:multiLevelType w:val="singleLevel"/>
    <w:tmpl w:val="EE3A9AEA"/>
    <w:lvl w:ilvl="0" w:tentative="0">
      <w:start w:val="4"/>
      <w:numFmt w:val="decimal"/>
      <w:suff w:val="nothing"/>
      <w:lvlText w:val="（%1）"/>
      <w:lvlJc w:val="left"/>
    </w:lvl>
  </w:abstractNum>
  <w:abstractNum w:abstractNumId="1">
    <w:nsid w:val="0986A220"/>
    <w:multiLevelType w:val="singleLevel"/>
    <w:tmpl w:val="0986A220"/>
    <w:lvl w:ilvl="0" w:tentative="0">
      <w:start w:val="5"/>
      <w:numFmt w:val="decimal"/>
      <w:suff w:val="nothing"/>
      <w:lvlText w:val="%1、"/>
      <w:lvlJc w:val="left"/>
    </w:lvl>
  </w:abstractNum>
  <w:abstractNum w:abstractNumId="2">
    <w:nsid w:val="21C76AA4"/>
    <w:multiLevelType w:val="singleLevel"/>
    <w:tmpl w:val="21C76AA4"/>
    <w:lvl w:ilvl="0" w:tentative="0">
      <w:start w:val="2"/>
      <w:numFmt w:val="decimal"/>
      <w:suff w:val="nothing"/>
      <w:lvlText w:val="（%1）"/>
      <w:lvlJc w:val="left"/>
    </w:lvl>
  </w:abstractNum>
  <w:abstractNum w:abstractNumId="3">
    <w:nsid w:val="2C463D35"/>
    <w:multiLevelType w:val="singleLevel"/>
    <w:tmpl w:val="2C463D35"/>
    <w:lvl w:ilvl="0" w:tentative="0">
      <w:start w:val="2"/>
      <w:numFmt w:val="decimal"/>
      <w:suff w:val="nothing"/>
      <w:lvlText w:val="%1）"/>
      <w:lvlJc w:val="left"/>
    </w:lvl>
  </w:abstractNum>
  <w:abstractNum w:abstractNumId="4">
    <w:nsid w:val="391CD47D"/>
    <w:multiLevelType w:val="singleLevel"/>
    <w:tmpl w:val="391CD47D"/>
    <w:lvl w:ilvl="0" w:tentative="0">
      <w:start w:val="2"/>
      <w:numFmt w:val="decimal"/>
      <w:suff w:val="nothing"/>
      <w:lvlText w:val="%1）"/>
      <w:lvlJc w:val="left"/>
    </w:lvl>
  </w:abstractNum>
  <w:abstractNum w:abstractNumId="5">
    <w:nsid w:val="3FEBFF67"/>
    <w:multiLevelType w:val="singleLevel"/>
    <w:tmpl w:val="3FEBFF67"/>
    <w:lvl w:ilvl="0" w:tentative="0">
      <w:start w:val="2"/>
      <w:numFmt w:val="decimal"/>
      <w:suff w:val="nothing"/>
      <w:lvlText w:val="%1、"/>
      <w:lvlJc w:val="left"/>
    </w:lvl>
  </w:abstractNum>
  <w:num w:numId="1">
    <w:abstractNumId w:val="5"/>
  </w:num>
  <w:num w:numId="2">
    <w:abstractNumId w:val="0"/>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kMzdiZmMzMjFhZjA4MTUwMjdmMTViYjJiYTFjN2EifQ=="/>
  </w:docVars>
  <w:rsids>
    <w:rsidRoot w:val="00172A27"/>
    <w:rsid w:val="00016698"/>
    <w:rsid w:val="000943C8"/>
    <w:rsid w:val="00367C7C"/>
    <w:rsid w:val="00475ABE"/>
    <w:rsid w:val="006F6E22"/>
    <w:rsid w:val="007C717F"/>
    <w:rsid w:val="008316EF"/>
    <w:rsid w:val="00846801"/>
    <w:rsid w:val="00937640"/>
    <w:rsid w:val="00CF6FBB"/>
    <w:rsid w:val="00D21CAA"/>
    <w:rsid w:val="00EB4E03"/>
    <w:rsid w:val="010F3B4F"/>
    <w:rsid w:val="012E34F5"/>
    <w:rsid w:val="014D0B1B"/>
    <w:rsid w:val="01503938"/>
    <w:rsid w:val="015E5D03"/>
    <w:rsid w:val="015F40C2"/>
    <w:rsid w:val="01883901"/>
    <w:rsid w:val="018B7317"/>
    <w:rsid w:val="019B6940"/>
    <w:rsid w:val="01AF70E0"/>
    <w:rsid w:val="01BC1CFB"/>
    <w:rsid w:val="01C34939"/>
    <w:rsid w:val="01DB23E9"/>
    <w:rsid w:val="01EC7397"/>
    <w:rsid w:val="01F1249D"/>
    <w:rsid w:val="020339F1"/>
    <w:rsid w:val="02105DD0"/>
    <w:rsid w:val="022655F4"/>
    <w:rsid w:val="024806E1"/>
    <w:rsid w:val="02591C86"/>
    <w:rsid w:val="026C6D7F"/>
    <w:rsid w:val="02721317"/>
    <w:rsid w:val="02C84FF0"/>
    <w:rsid w:val="02D7523F"/>
    <w:rsid w:val="02ED1C6E"/>
    <w:rsid w:val="03306ED2"/>
    <w:rsid w:val="033C49A3"/>
    <w:rsid w:val="033E0407"/>
    <w:rsid w:val="03561F09"/>
    <w:rsid w:val="035909CA"/>
    <w:rsid w:val="035C508B"/>
    <w:rsid w:val="03690FFE"/>
    <w:rsid w:val="037D6FD0"/>
    <w:rsid w:val="03914CEF"/>
    <w:rsid w:val="03A16222"/>
    <w:rsid w:val="03AC0546"/>
    <w:rsid w:val="03EC192C"/>
    <w:rsid w:val="04105E54"/>
    <w:rsid w:val="04242D8F"/>
    <w:rsid w:val="04267B2D"/>
    <w:rsid w:val="04310280"/>
    <w:rsid w:val="0433593E"/>
    <w:rsid w:val="043E061A"/>
    <w:rsid w:val="04893C18"/>
    <w:rsid w:val="04AC5B58"/>
    <w:rsid w:val="04B748FF"/>
    <w:rsid w:val="04C93849"/>
    <w:rsid w:val="04DD619A"/>
    <w:rsid w:val="051A2E33"/>
    <w:rsid w:val="05277AB9"/>
    <w:rsid w:val="055B706D"/>
    <w:rsid w:val="05656433"/>
    <w:rsid w:val="05B44CC5"/>
    <w:rsid w:val="05E355AA"/>
    <w:rsid w:val="05ED2BE6"/>
    <w:rsid w:val="05F461E5"/>
    <w:rsid w:val="06103DE6"/>
    <w:rsid w:val="06112117"/>
    <w:rsid w:val="0611588E"/>
    <w:rsid w:val="061F2A86"/>
    <w:rsid w:val="062C7870"/>
    <w:rsid w:val="06B20533"/>
    <w:rsid w:val="06DD024B"/>
    <w:rsid w:val="070C63F7"/>
    <w:rsid w:val="071A6FCB"/>
    <w:rsid w:val="071C5B49"/>
    <w:rsid w:val="072916E2"/>
    <w:rsid w:val="07305F29"/>
    <w:rsid w:val="074F4623"/>
    <w:rsid w:val="07746E01"/>
    <w:rsid w:val="07AB0349"/>
    <w:rsid w:val="07E531DF"/>
    <w:rsid w:val="08256325"/>
    <w:rsid w:val="08591ACA"/>
    <w:rsid w:val="087F5A5E"/>
    <w:rsid w:val="08AE6343"/>
    <w:rsid w:val="08D61EA3"/>
    <w:rsid w:val="08E857F4"/>
    <w:rsid w:val="08FA7353"/>
    <w:rsid w:val="09093579"/>
    <w:rsid w:val="09095327"/>
    <w:rsid w:val="091E6AF0"/>
    <w:rsid w:val="093712DB"/>
    <w:rsid w:val="093C56FD"/>
    <w:rsid w:val="093E21E5"/>
    <w:rsid w:val="09452F50"/>
    <w:rsid w:val="0946583B"/>
    <w:rsid w:val="095F06BB"/>
    <w:rsid w:val="096663F0"/>
    <w:rsid w:val="09AD3DB5"/>
    <w:rsid w:val="09CE5FB9"/>
    <w:rsid w:val="09DC0C8E"/>
    <w:rsid w:val="09DE4A07"/>
    <w:rsid w:val="09F2265C"/>
    <w:rsid w:val="0A03572A"/>
    <w:rsid w:val="0A195A3E"/>
    <w:rsid w:val="0A3D6784"/>
    <w:rsid w:val="0A5A7E1E"/>
    <w:rsid w:val="0A8B6BDA"/>
    <w:rsid w:val="0AC21634"/>
    <w:rsid w:val="0ADD4CBE"/>
    <w:rsid w:val="0ADE68AF"/>
    <w:rsid w:val="0AE448AF"/>
    <w:rsid w:val="0B310B66"/>
    <w:rsid w:val="0B61144B"/>
    <w:rsid w:val="0B6E577C"/>
    <w:rsid w:val="0B996710"/>
    <w:rsid w:val="0B9B3CF5"/>
    <w:rsid w:val="0BF74031"/>
    <w:rsid w:val="0C001ED3"/>
    <w:rsid w:val="0C0369A6"/>
    <w:rsid w:val="0C525237"/>
    <w:rsid w:val="0C526FE5"/>
    <w:rsid w:val="0C590977"/>
    <w:rsid w:val="0C7A5A87"/>
    <w:rsid w:val="0C7B39F0"/>
    <w:rsid w:val="0C8353F1"/>
    <w:rsid w:val="0C874EE1"/>
    <w:rsid w:val="0C985340"/>
    <w:rsid w:val="0CB047C5"/>
    <w:rsid w:val="0CC87372"/>
    <w:rsid w:val="0CD21ED4"/>
    <w:rsid w:val="0CF85DDF"/>
    <w:rsid w:val="0D4A2254"/>
    <w:rsid w:val="0D4C612B"/>
    <w:rsid w:val="0D5C56ED"/>
    <w:rsid w:val="0D676AC1"/>
    <w:rsid w:val="0D6945E7"/>
    <w:rsid w:val="0D933D59"/>
    <w:rsid w:val="0DBA3094"/>
    <w:rsid w:val="0DDC74AE"/>
    <w:rsid w:val="0DED5218"/>
    <w:rsid w:val="0E124C7E"/>
    <w:rsid w:val="0E243758"/>
    <w:rsid w:val="0E3F0800"/>
    <w:rsid w:val="0E4A5E15"/>
    <w:rsid w:val="0E4F6AB3"/>
    <w:rsid w:val="0E6E510A"/>
    <w:rsid w:val="0E7E6F87"/>
    <w:rsid w:val="0E8C0841"/>
    <w:rsid w:val="0E992DA0"/>
    <w:rsid w:val="0EB57F28"/>
    <w:rsid w:val="0ED5487A"/>
    <w:rsid w:val="0EF44332"/>
    <w:rsid w:val="0F03241F"/>
    <w:rsid w:val="0F0942D3"/>
    <w:rsid w:val="0F1D7F5B"/>
    <w:rsid w:val="0F2C698C"/>
    <w:rsid w:val="0F3063CE"/>
    <w:rsid w:val="0F386966"/>
    <w:rsid w:val="0F4310CA"/>
    <w:rsid w:val="0F594194"/>
    <w:rsid w:val="0F5F0397"/>
    <w:rsid w:val="0F713C26"/>
    <w:rsid w:val="0FAC0E16"/>
    <w:rsid w:val="0FAD393C"/>
    <w:rsid w:val="0FB568C1"/>
    <w:rsid w:val="0FD11502"/>
    <w:rsid w:val="10391350"/>
    <w:rsid w:val="10505922"/>
    <w:rsid w:val="108160EB"/>
    <w:rsid w:val="108D478C"/>
    <w:rsid w:val="108F60A9"/>
    <w:rsid w:val="10AB02C6"/>
    <w:rsid w:val="10CF49A1"/>
    <w:rsid w:val="10D4446D"/>
    <w:rsid w:val="10DF0AEE"/>
    <w:rsid w:val="110A1967"/>
    <w:rsid w:val="111637D2"/>
    <w:rsid w:val="1122167C"/>
    <w:rsid w:val="115346C8"/>
    <w:rsid w:val="11641C72"/>
    <w:rsid w:val="117855F0"/>
    <w:rsid w:val="118E03B4"/>
    <w:rsid w:val="11F36B75"/>
    <w:rsid w:val="123E122C"/>
    <w:rsid w:val="12525F80"/>
    <w:rsid w:val="12686540"/>
    <w:rsid w:val="127B54E8"/>
    <w:rsid w:val="128E7C70"/>
    <w:rsid w:val="12B96010"/>
    <w:rsid w:val="12C47AD5"/>
    <w:rsid w:val="12C50D7D"/>
    <w:rsid w:val="12D11331"/>
    <w:rsid w:val="12F2507E"/>
    <w:rsid w:val="13174AE5"/>
    <w:rsid w:val="131B6383"/>
    <w:rsid w:val="13235525"/>
    <w:rsid w:val="134411F9"/>
    <w:rsid w:val="139D499C"/>
    <w:rsid w:val="13EE5846"/>
    <w:rsid w:val="14051F81"/>
    <w:rsid w:val="14223741"/>
    <w:rsid w:val="142676D5"/>
    <w:rsid w:val="14321BD6"/>
    <w:rsid w:val="14363C32"/>
    <w:rsid w:val="143F2545"/>
    <w:rsid w:val="14401E8B"/>
    <w:rsid w:val="146E1FB8"/>
    <w:rsid w:val="14757A62"/>
    <w:rsid w:val="147D23CE"/>
    <w:rsid w:val="147D5F1C"/>
    <w:rsid w:val="147F2EA9"/>
    <w:rsid w:val="14B06F9F"/>
    <w:rsid w:val="14B12B8F"/>
    <w:rsid w:val="14BA1BCC"/>
    <w:rsid w:val="14DB6E89"/>
    <w:rsid w:val="150115A9"/>
    <w:rsid w:val="15035321"/>
    <w:rsid w:val="15072F1C"/>
    <w:rsid w:val="151237B6"/>
    <w:rsid w:val="152448FE"/>
    <w:rsid w:val="152710DE"/>
    <w:rsid w:val="15507EB4"/>
    <w:rsid w:val="15AD52A1"/>
    <w:rsid w:val="15B946B5"/>
    <w:rsid w:val="15D05B4B"/>
    <w:rsid w:val="15FD448C"/>
    <w:rsid w:val="165572DE"/>
    <w:rsid w:val="169C77DB"/>
    <w:rsid w:val="16A42C73"/>
    <w:rsid w:val="16AD5235"/>
    <w:rsid w:val="16B33B0F"/>
    <w:rsid w:val="16B46741"/>
    <w:rsid w:val="16CD5BE6"/>
    <w:rsid w:val="16EF2001"/>
    <w:rsid w:val="17077F2B"/>
    <w:rsid w:val="17125526"/>
    <w:rsid w:val="171952CF"/>
    <w:rsid w:val="17285A63"/>
    <w:rsid w:val="173178CA"/>
    <w:rsid w:val="173D5F8E"/>
    <w:rsid w:val="174B5407"/>
    <w:rsid w:val="174F484D"/>
    <w:rsid w:val="175865D3"/>
    <w:rsid w:val="175D340E"/>
    <w:rsid w:val="176D18F5"/>
    <w:rsid w:val="177C13BA"/>
    <w:rsid w:val="177C3D7E"/>
    <w:rsid w:val="17914E66"/>
    <w:rsid w:val="179E7583"/>
    <w:rsid w:val="17A855CC"/>
    <w:rsid w:val="17A93E97"/>
    <w:rsid w:val="17B85C1D"/>
    <w:rsid w:val="17BA0EE4"/>
    <w:rsid w:val="17E14C8B"/>
    <w:rsid w:val="18137F71"/>
    <w:rsid w:val="181C560B"/>
    <w:rsid w:val="182061EA"/>
    <w:rsid w:val="18371EB1"/>
    <w:rsid w:val="18954E2A"/>
    <w:rsid w:val="189C31D2"/>
    <w:rsid w:val="18D158CD"/>
    <w:rsid w:val="18DC52D3"/>
    <w:rsid w:val="18E36797"/>
    <w:rsid w:val="18F714EB"/>
    <w:rsid w:val="193C72BA"/>
    <w:rsid w:val="194A3E63"/>
    <w:rsid w:val="19527F63"/>
    <w:rsid w:val="19766A09"/>
    <w:rsid w:val="19B226DE"/>
    <w:rsid w:val="19F02D3B"/>
    <w:rsid w:val="19F91A7F"/>
    <w:rsid w:val="1A1E49AB"/>
    <w:rsid w:val="1A1F60F4"/>
    <w:rsid w:val="1A3E19F8"/>
    <w:rsid w:val="1A450189"/>
    <w:rsid w:val="1A786EBB"/>
    <w:rsid w:val="1A7D2B87"/>
    <w:rsid w:val="1A92521A"/>
    <w:rsid w:val="1A9371B4"/>
    <w:rsid w:val="1A98315E"/>
    <w:rsid w:val="1AC00F46"/>
    <w:rsid w:val="1AD80FFE"/>
    <w:rsid w:val="1AF851FC"/>
    <w:rsid w:val="1B416BA3"/>
    <w:rsid w:val="1B522B5E"/>
    <w:rsid w:val="1B6D6B14"/>
    <w:rsid w:val="1B6F0841"/>
    <w:rsid w:val="1B7C6E73"/>
    <w:rsid w:val="1B8371BB"/>
    <w:rsid w:val="1BAB545C"/>
    <w:rsid w:val="1BB61021"/>
    <w:rsid w:val="1BC9697F"/>
    <w:rsid w:val="1C073948"/>
    <w:rsid w:val="1C337FE9"/>
    <w:rsid w:val="1C3B12AB"/>
    <w:rsid w:val="1C3D736A"/>
    <w:rsid w:val="1C477EAC"/>
    <w:rsid w:val="1C5B22AB"/>
    <w:rsid w:val="1C5E29F1"/>
    <w:rsid w:val="1C662D65"/>
    <w:rsid w:val="1C6A3ED7"/>
    <w:rsid w:val="1C9378D2"/>
    <w:rsid w:val="1CA2418D"/>
    <w:rsid w:val="1CB8554D"/>
    <w:rsid w:val="1CBF49A9"/>
    <w:rsid w:val="1CC61B30"/>
    <w:rsid w:val="1D0A19F7"/>
    <w:rsid w:val="1D175E0D"/>
    <w:rsid w:val="1D187DD7"/>
    <w:rsid w:val="1D660B43"/>
    <w:rsid w:val="1D6E0FDD"/>
    <w:rsid w:val="1D6E6B59"/>
    <w:rsid w:val="1D836D10"/>
    <w:rsid w:val="1D9B1E75"/>
    <w:rsid w:val="1DB60737"/>
    <w:rsid w:val="1DCB4E4A"/>
    <w:rsid w:val="1DF05734"/>
    <w:rsid w:val="1DF61EC7"/>
    <w:rsid w:val="1E0770F8"/>
    <w:rsid w:val="1E0B1A73"/>
    <w:rsid w:val="1E272003"/>
    <w:rsid w:val="1E2D4011"/>
    <w:rsid w:val="1E3F74F0"/>
    <w:rsid w:val="1E696B3C"/>
    <w:rsid w:val="1E804F82"/>
    <w:rsid w:val="1EBC2FC3"/>
    <w:rsid w:val="1EC65D3D"/>
    <w:rsid w:val="1EE6094F"/>
    <w:rsid w:val="1EEA4C21"/>
    <w:rsid w:val="1EF41CFE"/>
    <w:rsid w:val="1EFB38DF"/>
    <w:rsid w:val="1F002DBB"/>
    <w:rsid w:val="1F466758"/>
    <w:rsid w:val="1F494278"/>
    <w:rsid w:val="1F536EA5"/>
    <w:rsid w:val="1FD70F22"/>
    <w:rsid w:val="1FDA2689"/>
    <w:rsid w:val="1FDE2C12"/>
    <w:rsid w:val="1FF50E64"/>
    <w:rsid w:val="20043C15"/>
    <w:rsid w:val="20253A35"/>
    <w:rsid w:val="2043516B"/>
    <w:rsid w:val="205151C3"/>
    <w:rsid w:val="20664BB5"/>
    <w:rsid w:val="207C4C1E"/>
    <w:rsid w:val="20803CC9"/>
    <w:rsid w:val="208B3024"/>
    <w:rsid w:val="209D2ACD"/>
    <w:rsid w:val="20A73672"/>
    <w:rsid w:val="20CE2C87"/>
    <w:rsid w:val="20D44015"/>
    <w:rsid w:val="20DB2C37"/>
    <w:rsid w:val="20DB4589"/>
    <w:rsid w:val="21022930"/>
    <w:rsid w:val="211E6605"/>
    <w:rsid w:val="21262AC3"/>
    <w:rsid w:val="21303941"/>
    <w:rsid w:val="213A329E"/>
    <w:rsid w:val="214747E7"/>
    <w:rsid w:val="215C4736"/>
    <w:rsid w:val="21606EA4"/>
    <w:rsid w:val="21843C8D"/>
    <w:rsid w:val="21B14902"/>
    <w:rsid w:val="21B20007"/>
    <w:rsid w:val="21C80E29"/>
    <w:rsid w:val="21E30AD4"/>
    <w:rsid w:val="21F5013F"/>
    <w:rsid w:val="21FB7711"/>
    <w:rsid w:val="220047EB"/>
    <w:rsid w:val="22121299"/>
    <w:rsid w:val="224A458F"/>
    <w:rsid w:val="22510DDD"/>
    <w:rsid w:val="226A22F7"/>
    <w:rsid w:val="22764D9B"/>
    <w:rsid w:val="228C2DF9"/>
    <w:rsid w:val="22995C29"/>
    <w:rsid w:val="229B4DEB"/>
    <w:rsid w:val="229C32FD"/>
    <w:rsid w:val="229E0D7F"/>
    <w:rsid w:val="229E691C"/>
    <w:rsid w:val="22C571C7"/>
    <w:rsid w:val="22E569AE"/>
    <w:rsid w:val="22FD68F6"/>
    <w:rsid w:val="231B0D31"/>
    <w:rsid w:val="23270D74"/>
    <w:rsid w:val="233012E3"/>
    <w:rsid w:val="23424069"/>
    <w:rsid w:val="237812D8"/>
    <w:rsid w:val="239C4BF9"/>
    <w:rsid w:val="23A91789"/>
    <w:rsid w:val="23BE1D4F"/>
    <w:rsid w:val="23CD5689"/>
    <w:rsid w:val="23D5257E"/>
    <w:rsid w:val="23E32EED"/>
    <w:rsid w:val="24060E83"/>
    <w:rsid w:val="24155FDF"/>
    <w:rsid w:val="241A53B7"/>
    <w:rsid w:val="24255F27"/>
    <w:rsid w:val="242C7CBC"/>
    <w:rsid w:val="2431506E"/>
    <w:rsid w:val="244E1C1C"/>
    <w:rsid w:val="24515BA0"/>
    <w:rsid w:val="247C0C4C"/>
    <w:rsid w:val="24A44D47"/>
    <w:rsid w:val="24C745BD"/>
    <w:rsid w:val="24CC71DD"/>
    <w:rsid w:val="24D76B19"/>
    <w:rsid w:val="24EA0089"/>
    <w:rsid w:val="250076E0"/>
    <w:rsid w:val="251A2A07"/>
    <w:rsid w:val="254A45C9"/>
    <w:rsid w:val="2558495E"/>
    <w:rsid w:val="25637F0D"/>
    <w:rsid w:val="256911D0"/>
    <w:rsid w:val="256C08D7"/>
    <w:rsid w:val="25825C7E"/>
    <w:rsid w:val="25900E53"/>
    <w:rsid w:val="25A641D2"/>
    <w:rsid w:val="25B6018D"/>
    <w:rsid w:val="25BE4173"/>
    <w:rsid w:val="25C05C9B"/>
    <w:rsid w:val="25C16350"/>
    <w:rsid w:val="25D82405"/>
    <w:rsid w:val="25F43C20"/>
    <w:rsid w:val="26026312"/>
    <w:rsid w:val="26031625"/>
    <w:rsid w:val="260D24A3"/>
    <w:rsid w:val="26312B63"/>
    <w:rsid w:val="26344ABE"/>
    <w:rsid w:val="263D1327"/>
    <w:rsid w:val="26492DAF"/>
    <w:rsid w:val="264F6618"/>
    <w:rsid w:val="26655E3B"/>
    <w:rsid w:val="26731922"/>
    <w:rsid w:val="26914755"/>
    <w:rsid w:val="26961CC1"/>
    <w:rsid w:val="26B23417"/>
    <w:rsid w:val="26BF01F7"/>
    <w:rsid w:val="26CB1A16"/>
    <w:rsid w:val="26D60EAB"/>
    <w:rsid w:val="2704340F"/>
    <w:rsid w:val="271B0BF0"/>
    <w:rsid w:val="274C3B2F"/>
    <w:rsid w:val="275A6ED1"/>
    <w:rsid w:val="276854B7"/>
    <w:rsid w:val="277B343D"/>
    <w:rsid w:val="2788668C"/>
    <w:rsid w:val="278B0919"/>
    <w:rsid w:val="27A0443F"/>
    <w:rsid w:val="27A75C31"/>
    <w:rsid w:val="27A961FC"/>
    <w:rsid w:val="27CF5DC4"/>
    <w:rsid w:val="27DB1AC1"/>
    <w:rsid w:val="27EE4BBD"/>
    <w:rsid w:val="280E42B1"/>
    <w:rsid w:val="28201487"/>
    <w:rsid w:val="28345A5E"/>
    <w:rsid w:val="283E2364"/>
    <w:rsid w:val="286453B4"/>
    <w:rsid w:val="287C121A"/>
    <w:rsid w:val="28933FD5"/>
    <w:rsid w:val="28C01A4F"/>
    <w:rsid w:val="28D92B11"/>
    <w:rsid w:val="28F13416"/>
    <w:rsid w:val="28F9610A"/>
    <w:rsid w:val="29003DC2"/>
    <w:rsid w:val="2927239E"/>
    <w:rsid w:val="29361A0F"/>
    <w:rsid w:val="29451F54"/>
    <w:rsid w:val="29A30A29"/>
    <w:rsid w:val="29B312E9"/>
    <w:rsid w:val="29C9048F"/>
    <w:rsid w:val="2A0B6CFA"/>
    <w:rsid w:val="2A293624"/>
    <w:rsid w:val="2A297180"/>
    <w:rsid w:val="2A462DFF"/>
    <w:rsid w:val="2A6428AE"/>
    <w:rsid w:val="2A7E0EF0"/>
    <w:rsid w:val="2A7F4FF2"/>
    <w:rsid w:val="2A835B77"/>
    <w:rsid w:val="2A930A9D"/>
    <w:rsid w:val="2A971437"/>
    <w:rsid w:val="2B09741E"/>
    <w:rsid w:val="2B0A55ED"/>
    <w:rsid w:val="2B253DEB"/>
    <w:rsid w:val="2B434271"/>
    <w:rsid w:val="2B553F84"/>
    <w:rsid w:val="2B630856"/>
    <w:rsid w:val="2B6D374A"/>
    <w:rsid w:val="2B9176D3"/>
    <w:rsid w:val="2B9457A6"/>
    <w:rsid w:val="2B9B5249"/>
    <w:rsid w:val="2B9B5E5B"/>
    <w:rsid w:val="2BA707AB"/>
    <w:rsid w:val="2BD36576"/>
    <w:rsid w:val="2BDC3A2E"/>
    <w:rsid w:val="2C042437"/>
    <w:rsid w:val="2C320963"/>
    <w:rsid w:val="2C6848AA"/>
    <w:rsid w:val="2C7F7D3F"/>
    <w:rsid w:val="2C96331D"/>
    <w:rsid w:val="2C9E48FE"/>
    <w:rsid w:val="2CC969F8"/>
    <w:rsid w:val="2CE850D0"/>
    <w:rsid w:val="2CFA79C3"/>
    <w:rsid w:val="2D223109"/>
    <w:rsid w:val="2D4B565F"/>
    <w:rsid w:val="2D9C6103"/>
    <w:rsid w:val="2DA059AB"/>
    <w:rsid w:val="2DA20350"/>
    <w:rsid w:val="2DB256DE"/>
    <w:rsid w:val="2DBB0A37"/>
    <w:rsid w:val="2DD51823"/>
    <w:rsid w:val="2DE05DD0"/>
    <w:rsid w:val="2DF779E5"/>
    <w:rsid w:val="2E190FA2"/>
    <w:rsid w:val="2E206AEC"/>
    <w:rsid w:val="2E5831CB"/>
    <w:rsid w:val="2E622742"/>
    <w:rsid w:val="2E6B5FB9"/>
    <w:rsid w:val="2E707520"/>
    <w:rsid w:val="2EA36A42"/>
    <w:rsid w:val="2EB4027F"/>
    <w:rsid w:val="2EBA0733"/>
    <w:rsid w:val="2ECE6548"/>
    <w:rsid w:val="2EDA6C9B"/>
    <w:rsid w:val="2EDE3E51"/>
    <w:rsid w:val="2EF81EC8"/>
    <w:rsid w:val="2F1531D0"/>
    <w:rsid w:val="2F253708"/>
    <w:rsid w:val="2F2B74F6"/>
    <w:rsid w:val="2F49754B"/>
    <w:rsid w:val="2F544C9F"/>
    <w:rsid w:val="2F6E294B"/>
    <w:rsid w:val="2F6F1AD9"/>
    <w:rsid w:val="2F921130"/>
    <w:rsid w:val="2FAB079C"/>
    <w:rsid w:val="2FDB0F1C"/>
    <w:rsid w:val="2FF67B04"/>
    <w:rsid w:val="30542BDD"/>
    <w:rsid w:val="30830005"/>
    <w:rsid w:val="309D4424"/>
    <w:rsid w:val="30A13F14"/>
    <w:rsid w:val="30B654E5"/>
    <w:rsid w:val="30C23E8A"/>
    <w:rsid w:val="30C839CF"/>
    <w:rsid w:val="30E97669"/>
    <w:rsid w:val="30F744B4"/>
    <w:rsid w:val="310C43DF"/>
    <w:rsid w:val="311E37B6"/>
    <w:rsid w:val="31322EA5"/>
    <w:rsid w:val="31437511"/>
    <w:rsid w:val="31575F6A"/>
    <w:rsid w:val="3186310A"/>
    <w:rsid w:val="318F6462"/>
    <w:rsid w:val="31947CE4"/>
    <w:rsid w:val="31B82C24"/>
    <w:rsid w:val="31D46742"/>
    <w:rsid w:val="31EF6F01"/>
    <w:rsid w:val="31F43120"/>
    <w:rsid w:val="31FE2359"/>
    <w:rsid w:val="321425C5"/>
    <w:rsid w:val="322D19F7"/>
    <w:rsid w:val="324A3315"/>
    <w:rsid w:val="32A64AD9"/>
    <w:rsid w:val="32B0173D"/>
    <w:rsid w:val="32E70585"/>
    <w:rsid w:val="3302726F"/>
    <w:rsid w:val="33415B8B"/>
    <w:rsid w:val="33560103"/>
    <w:rsid w:val="335D7E9A"/>
    <w:rsid w:val="33A8380B"/>
    <w:rsid w:val="33A86870"/>
    <w:rsid w:val="33B2468A"/>
    <w:rsid w:val="33D03D2A"/>
    <w:rsid w:val="33D930D8"/>
    <w:rsid w:val="33EB22BD"/>
    <w:rsid w:val="342310E4"/>
    <w:rsid w:val="342876D1"/>
    <w:rsid w:val="342A0EE3"/>
    <w:rsid w:val="34367371"/>
    <w:rsid w:val="343A3A1F"/>
    <w:rsid w:val="344F3C87"/>
    <w:rsid w:val="34621C0C"/>
    <w:rsid w:val="34652DEE"/>
    <w:rsid w:val="34913BBC"/>
    <w:rsid w:val="3491429F"/>
    <w:rsid w:val="34E02B31"/>
    <w:rsid w:val="34F14D3E"/>
    <w:rsid w:val="35063095"/>
    <w:rsid w:val="350C2516"/>
    <w:rsid w:val="35100387"/>
    <w:rsid w:val="35123632"/>
    <w:rsid w:val="352959DB"/>
    <w:rsid w:val="352E7D40"/>
    <w:rsid w:val="35374E47"/>
    <w:rsid w:val="353A1D60"/>
    <w:rsid w:val="354C1B5C"/>
    <w:rsid w:val="35756001"/>
    <w:rsid w:val="357C7FEC"/>
    <w:rsid w:val="35865F9F"/>
    <w:rsid w:val="359009FB"/>
    <w:rsid w:val="35A340B4"/>
    <w:rsid w:val="35C87FBA"/>
    <w:rsid w:val="35CF1523"/>
    <w:rsid w:val="35DF103A"/>
    <w:rsid w:val="35E75811"/>
    <w:rsid w:val="35F3628D"/>
    <w:rsid w:val="362A675A"/>
    <w:rsid w:val="36484E32"/>
    <w:rsid w:val="366D21BD"/>
    <w:rsid w:val="3674667A"/>
    <w:rsid w:val="36877708"/>
    <w:rsid w:val="368857DA"/>
    <w:rsid w:val="368E1087"/>
    <w:rsid w:val="36A54032"/>
    <w:rsid w:val="36F50E34"/>
    <w:rsid w:val="371511B8"/>
    <w:rsid w:val="372A7794"/>
    <w:rsid w:val="374C0952"/>
    <w:rsid w:val="37503F9E"/>
    <w:rsid w:val="37554FD1"/>
    <w:rsid w:val="375810A4"/>
    <w:rsid w:val="376021AD"/>
    <w:rsid w:val="37706C11"/>
    <w:rsid w:val="37737E4F"/>
    <w:rsid w:val="37840664"/>
    <w:rsid w:val="37970BC0"/>
    <w:rsid w:val="37B92FAD"/>
    <w:rsid w:val="37D746BF"/>
    <w:rsid w:val="37E077D5"/>
    <w:rsid w:val="37F920DA"/>
    <w:rsid w:val="380D6333"/>
    <w:rsid w:val="38285A56"/>
    <w:rsid w:val="38305B3C"/>
    <w:rsid w:val="38532F9C"/>
    <w:rsid w:val="385555E4"/>
    <w:rsid w:val="3862651D"/>
    <w:rsid w:val="38763ED8"/>
    <w:rsid w:val="38821536"/>
    <w:rsid w:val="38A345A1"/>
    <w:rsid w:val="38BD29A1"/>
    <w:rsid w:val="38C20ECB"/>
    <w:rsid w:val="38D80E06"/>
    <w:rsid w:val="38E250CA"/>
    <w:rsid w:val="391B682D"/>
    <w:rsid w:val="392F4087"/>
    <w:rsid w:val="394D60DE"/>
    <w:rsid w:val="396C0E37"/>
    <w:rsid w:val="39875765"/>
    <w:rsid w:val="399772F3"/>
    <w:rsid w:val="39AB7BB1"/>
    <w:rsid w:val="39B60304"/>
    <w:rsid w:val="39BF0A72"/>
    <w:rsid w:val="39C173D5"/>
    <w:rsid w:val="39D013C6"/>
    <w:rsid w:val="3A371C54"/>
    <w:rsid w:val="3A433D6D"/>
    <w:rsid w:val="3A614714"/>
    <w:rsid w:val="3A6C39BB"/>
    <w:rsid w:val="3A7366A7"/>
    <w:rsid w:val="3A7B223D"/>
    <w:rsid w:val="3A8723CC"/>
    <w:rsid w:val="3A976388"/>
    <w:rsid w:val="3AA27206"/>
    <w:rsid w:val="3ACC4283"/>
    <w:rsid w:val="3B186779"/>
    <w:rsid w:val="3B23087F"/>
    <w:rsid w:val="3B3A43F7"/>
    <w:rsid w:val="3B594FAB"/>
    <w:rsid w:val="3B5A363D"/>
    <w:rsid w:val="3B6874B1"/>
    <w:rsid w:val="3B895CD0"/>
    <w:rsid w:val="3B912DD7"/>
    <w:rsid w:val="3B954675"/>
    <w:rsid w:val="3B9820D8"/>
    <w:rsid w:val="3BA26D92"/>
    <w:rsid w:val="3BAA13E4"/>
    <w:rsid w:val="3BC25393"/>
    <w:rsid w:val="3BEA5C31"/>
    <w:rsid w:val="3BFB79B8"/>
    <w:rsid w:val="3BFF0A2D"/>
    <w:rsid w:val="3C13447A"/>
    <w:rsid w:val="3C3519B4"/>
    <w:rsid w:val="3C4560BD"/>
    <w:rsid w:val="3C4B67BD"/>
    <w:rsid w:val="3C84649C"/>
    <w:rsid w:val="3C850B8E"/>
    <w:rsid w:val="3C8C1F1C"/>
    <w:rsid w:val="3CAA0661"/>
    <w:rsid w:val="3D0A2E41"/>
    <w:rsid w:val="3D114B43"/>
    <w:rsid w:val="3D29758D"/>
    <w:rsid w:val="3D313921"/>
    <w:rsid w:val="3D3D6D72"/>
    <w:rsid w:val="3D4445A5"/>
    <w:rsid w:val="3D446D65"/>
    <w:rsid w:val="3D681032"/>
    <w:rsid w:val="3D7D7AB7"/>
    <w:rsid w:val="3D995F73"/>
    <w:rsid w:val="3DB42DAD"/>
    <w:rsid w:val="3DC254CA"/>
    <w:rsid w:val="3DC77D0F"/>
    <w:rsid w:val="3DD90390"/>
    <w:rsid w:val="3DED37F9"/>
    <w:rsid w:val="3E09134A"/>
    <w:rsid w:val="3E19660A"/>
    <w:rsid w:val="3E3E1A84"/>
    <w:rsid w:val="3E4F10C4"/>
    <w:rsid w:val="3E5E3444"/>
    <w:rsid w:val="3E8135D7"/>
    <w:rsid w:val="3EA232A3"/>
    <w:rsid w:val="3EDC25BB"/>
    <w:rsid w:val="3EE9030D"/>
    <w:rsid w:val="3EEF1CC6"/>
    <w:rsid w:val="3F080E86"/>
    <w:rsid w:val="3F0C494C"/>
    <w:rsid w:val="3F473ED8"/>
    <w:rsid w:val="3F632CDC"/>
    <w:rsid w:val="3F9B06C8"/>
    <w:rsid w:val="3FE315B6"/>
    <w:rsid w:val="3FFF2A05"/>
    <w:rsid w:val="400B13AA"/>
    <w:rsid w:val="40205CF6"/>
    <w:rsid w:val="40281B4E"/>
    <w:rsid w:val="40512B35"/>
    <w:rsid w:val="40571326"/>
    <w:rsid w:val="4063698F"/>
    <w:rsid w:val="407A0E6B"/>
    <w:rsid w:val="408E3D59"/>
    <w:rsid w:val="40A11D0E"/>
    <w:rsid w:val="40A13BA7"/>
    <w:rsid w:val="40AE7C64"/>
    <w:rsid w:val="40B61704"/>
    <w:rsid w:val="40C65B0C"/>
    <w:rsid w:val="40C8729B"/>
    <w:rsid w:val="40DF49A6"/>
    <w:rsid w:val="410302D3"/>
    <w:rsid w:val="4105404B"/>
    <w:rsid w:val="4113228A"/>
    <w:rsid w:val="412C5BD7"/>
    <w:rsid w:val="41566655"/>
    <w:rsid w:val="41636FF7"/>
    <w:rsid w:val="41733B91"/>
    <w:rsid w:val="417B255F"/>
    <w:rsid w:val="41840C58"/>
    <w:rsid w:val="418E6179"/>
    <w:rsid w:val="41BD2B78"/>
    <w:rsid w:val="41DB574A"/>
    <w:rsid w:val="41F06AA9"/>
    <w:rsid w:val="42032ACC"/>
    <w:rsid w:val="422B564B"/>
    <w:rsid w:val="425B7131"/>
    <w:rsid w:val="426E4174"/>
    <w:rsid w:val="42784CF1"/>
    <w:rsid w:val="429A4C67"/>
    <w:rsid w:val="42EF105C"/>
    <w:rsid w:val="430449D6"/>
    <w:rsid w:val="43051EA2"/>
    <w:rsid w:val="43160791"/>
    <w:rsid w:val="43517677"/>
    <w:rsid w:val="43670FED"/>
    <w:rsid w:val="437F0128"/>
    <w:rsid w:val="4388777F"/>
    <w:rsid w:val="439E653F"/>
    <w:rsid w:val="43A51B15"/>
    <w:rsid w:val="43BB6C43"/>
    <w:rsid w:val="43BF6C09"/>
    <w:rsid w:val="43C53F65"/>
    <w:rsid w:val="43CE6ECC"/>
    <w:rsid w:val="43DB5537"/>
    <w:rsid w:val="43F860E9"/>
    <w:rsid w:val="44163FD1"/>
    <w:rsid w:val="442B31AA"/>
    <w:rsid w:val="44387F8A"/>
    <w:rsid w:val="444D0A53"/>
    <w:rsid w:val="44536725"/>
    <w:rsid w:val="446D6E8D"/>
    <w:rsid w:val="44867251"/>
    <w:rsid w:val="449050E1"/>
    <w:rsid w:val="44A10A33"/>
    <w:rsid w:val="44C22A57"/>
    <w:rsid w:val="44D42A00"/>
    <w:rsid w:val="44D60B75"/>
    <w:rsid w:val="45431C2B"/>
    <w:rsid w:val="45A24357"/>
    <w:rsid w:val="45BC6351"/>
    <w:rsid w:val="45DF68CB"/>
    <w:rsid w:val="45F75F2C"/>
    <w:rsid w:val="469C1979"/>
    <w:rsid w:val="469D2B56"/>
    <w:rsid w:val="46A63BDA"/>
    <w:rsid w:val="46A73E7E"/>
    <w:rsid w:val="46AF0723"/>
    <w:rsid w:val="46BC338C"/>
    <w:rsid w:val="46E24DDD"/>
    <w:rsid w:val="470A29C3"/>
    <w:rsid w:val="47154978"/>
    <w:rsid w:val="473019A3"/>
    <w:rsid w:val="479559FD"/>
    <w:rsid w:val="47C615D0"/>
    <w:rsid w:val="47CB06B2"/>
    <w:rsid w:val="47D6229D"/>
    <w:rsid w:val="47DB266C"/>
    <w:rsid w:val="48496F13"/>
    <w:rsid w:val="48943F06"/>
    <w:rsid w:val="489B320D"/>
    <w:rsid w:val="48A2084E"/>
    <w:rsid w:val="48A22F72"/>
    <w:rsid w:val="48DA0BAD"/>
    <w:rsid w:val="48E46722"/>
    <w:rsid w:val="49072EEB"/>
    <w:rsid w:val="49275FFC"/>
    <w:rsid w:val="49494CF1"/>
    <w:rsid w:val="494E054C"/>
    <w:rsid w:val="497F6A07"/>
    <w:rsid w:val="498D72D3"/>
    <w:rsid w:val="49CB792D"/>
    <w:rsid w:val="49E862B8"/>
    <w:rsid w:val="49F033BE"/>
    <w:rsid w:val="4A01189B"/>
    <w:rsid w:val="4A0376C1"/>
    <w:rsid w:val="4A11593B"/>
    <w:rsid w:val="4A2117CA"/>
    <w:rsid w:val="4A3E47C6"/>
    <w:rsid w:val="4A983F84"/>
    <w:rsid w:val="4AB012C1"/>
    <w:rsid w:val="4AC37F0D"/>
    <w:rsid w:val="4AD351BA"/>
    <w:rsid w:val="4AD64409"/>
    <w:rsid w:val="4ADA2423"/>
    <w:rsid w:val="4AEA44DF"/>
    <w:rsid w:val="4B0610EB"/>
    <w:rsid w:val="4B062BD9"/>
    <w:rsid w:val="4B2C50D3"/>
    <w:rsid w:val="4B306168"/>
    <w:rsid w:val="4B4B30CF"/>
    <w:rsid w:val="4B9F3E1E"/>
    <w:rsid w:val="4BC34B9A"/>
    <w:rsid w:val="4BF52199"/>
    <w:rsid w:val="4BF56837"/>
    <w:rsid w:val="4BF627CC"/>
    <w:rsid w:val="4BF75C22"/>
    <w:rsid w:val="4BF928B7"/>
    <w:rsid w:val="4C0C538C"/>
    <w:rsid w:val="4C12586E"/>
    <w:rsid w:val="4C3D6555"/>
    <w:rsid w:val="4C7B3413"/>
    <w:rsid w:val="4C9B1E73"/>
    <w:rsid w:val="4C9C194B"/>
    <w:rsid w:val="4C9E625C"/>
    <w:rsid w:val="4CA94424"/>
    <w:rsid w:val="4D027691"/>
    <w:rsid w:val="4D083AC4"/>
    <w:rsid w:val="4D1778FC"/>
    <w:rsid w:val="4D25439B"/>
    <w:rsid w:val="4D54382D"/>
    <w:rsid w:val="4D7E26B6"/>
    <w:rsid w:val="4DB13C6B"/>
    <w:rsid w:val="4DBF1900"/>
    <w:rsid w:val="4DC02226"/>
    <w:rsid w:val="4DDC4386"/>
    <w:rsid w:val="4E724CEA"/>
    <w:rsid w:val="4E7A31B6"/>
    <w:rsid w:val="4E8567CB"/>
    <w:rsid w:val="4E997D08"/>
    <w:rsid w:val="4E9E788D"/>
    <w:rsid w:val="4EA8070C"/>
    <w:rsid w:val="4EC67A99"/>
    <w:rsid w:val="4F0A4F22"/>
    <w:rsid w:val="4F0F42E7"/>
    <w:rsid w:val="4F251D5C"/>
    <w:rsid w:val="4F371833"/>
    <w:rsid w:val="4F38503B"/>
    <w:rsid w:val="4F427227"/>
    <w:rsid w:val="4F8C5937"/>
    <w:rsid w:val="4F9071D6"/>
    <w:rsid w:val="4FB355BE"/>
    <w:rsid w:val="4FD0316D"/>
    <w:rsid w:val="503E63E0"/>
    <w:rsid w:val="5042188F"/>
    <w:rsid w:val="50533AEF"/>
    <w:rsid w:val="50700DB5"/>
    <w:rsid w:val="50751BE2"/>
    <w:rsid w:val="507F5666"/>
    <w:rsid w:val="508807F5"/>
    <w:rsid w:val="508F3931"/>
    <w:rsid w:val="50A665E1"/>
    <w:rsid w:val="50EF64EE"/>
    <w:rsid w:val="510314B3"/>
    <w:rsid w:val="5118442F"/>
    <w:rsid w:val="51306B4E"/>
    <w:rsid w:val="513C2E56"/>
    <w:rsid w:val="51483623"/>
    <w:rsid w:val="51493AE0"/>
    <w:rsid w:val="51794915"/>
    <w:rsid w:val="517B5710"/>
    <w:rsid w:val="51940402"/>
    <w:rsid w:val="5196484B"/>
    <w:rsid w:val="519805C3"/>
    <w:rsid w:val="519C2B02"/>
    <w:rsid w:val="51C422DF"/>
    <w:rsid w:val="51CE0489"/>
    <w:rsid w:val="51DD000C"/>
    <w:rsid w:val="51DD6BC9"/>
    <w:rsid w:val="51E97C0D"/>
    <w:rsid w:val="523C1531"/>
    <w:rsid w:val="5246001F"/>
    <w:rsid w:val="52474925"/>
    <w:rsid w:val="525564B4"/>
    <w:rsid w:val="525635A3"/>
    <w:rsid w:val="5256604B"/>
    <w:rsid w:val="526C7B62"/>
    <w:rsid w:val="527D06D3"/>
    <w:rsid w:val="5291096A"/>
    <w:rsid w:val="52954560"/>
    <w:rsid w:val="52AC7F54"/>
    <w:rsid w:val="52C8312A"/>
    <w:rsid w:val="52D7336D"/>
    <w:rsid w:val="52EF4B5B"/>
    <w:rsid w:val="53192609"/>
    <w:rsid w:val="533B38FC"/>
    <w:rsid w:val="5342531F"/>
    <w:rsid w:val="535B5D4C"/>
    <w:rsid w:val="53607B50"/>
    <w:rsid w:val="536956BA"/>
    <w:rsid w:val="537961D3"/>
    <w:rsid w:val="538057B3"/>
    <w:rsid w:val="53923F51"/>
    <w:rsid w:val="53A72340"/>
    <w:rsid w:val="53B279CA"/>
    <w:rsid w:val="53BF452D"/>
    <w:rsid w:val="53F73DB6"/>
    <w:rsid w:val="54222AC8"/>
    <w:rsid w:val="543B42DA"/>
    <w:rsid w:val="54537DBA"/>
    <w:rsid w:val="545C06D9"/>
    <w:rsid w:val="54624EB9"/>
    <w:rsid w:val="5463135D"/>
    <w:rsid w:val="54771FF3"/>
    <w:rsid w:val="547E551D"/>
    <w:rsid w:val="54B94AEC"/>
    <w:rsid w:val="54F80A0C"/>
    <w:rsid w:val="550735B3"/>
    <w:rsid w:val="55104BC9"/>
    <w:rsid w:val="551663CF"/>
    <w:rsid w:val="553B7FB2"/>
    <w:rsid w:val="553D7E00"/>
    <w:rsid w:val="555511ED"/>
    <w:rsid w:val="55766E6E"/>
    <w:rsid w:val="55A4193E"/>
    <w:rsid w:val="55B90409"/>
    <w:rsid w:val="55EC63FA"/>
    <w:rsid w:val="55EF09CE"/>
    <w:rsid w:val="55F80AFC"/>
    <w:rsid w:val="55FD133D"/>
    <w:rsid w:val="5600548B"/>
    <w:rsid w:val="56057971"/>
    <w:rsid w:val="564C04DC"/>
    <w:rsid w:val="56684F5B"/>
    <w:rsid w:val="56764297"/>
    <w:rsid w:val="56777341"/>
    <w:rsid w:val="56941CA1"/>
    <w:rsid w:val="56A8574D"/>
    <w:rsid w:val="56AF0AAE"/>
    <w:rsid w:val="56E15F7D"/>
    <w:rsid w:val="56EA4C93"/>
    <w:rsid w:val="56F005ED"/>
    <w:rsid w:val="56FC15F5"/>
    <w:rsid w:val="57175E3D"/>
    <w:rsid w:val="5718342D"/>
    <w:rsid w:val="57193533"/>
    <w:rsid w:val="57684ECE"/>
    <w:rsid w:val="5789732C"/>
    <w:rsid w:val="57923D07"/>
    <w:rsid w:val="57E91B79"/>
    <w:rsid w:val="57FC03A3"/>
    <w:rsid w:val="58315248"/>
    <w:rsid w:val="58475996"/>
    <w:rsid w:val="5866374F"/>
    <w:rsid w:val="586C4558"/>
    <w:rsid w:val="587F241D"/>
    <w:rsid w:val="58821913"/>
    <w:rsid w:val="58FD3088"/>
    <w:rsid w:val="59046E89"/>
    <w:rsid w:val="591744C4"/>
    <w:rsid w:val="59282B75"/>
    <w:rsid w:val="593F3A1A"/>
    <w:rsid w:val="5957597C"/>
    <w:rsid w:val="5960230F"/>
    <w:rsid w:val="596173AF"/>
    <w:rsid w:val="596B66AF"/>
    <w:rsid w:val="59715160"/>
    <w:rsid w:val="5985013A"/>
    <w:rsid w:val="59C60849"/>
    <w:rsid w:val="59CD3484"/>
    <w:rsid w:val="59D2488F"/>
    <w:rsid w:val="59F237BA"/>
    <w:rsid w:val="5A0306BD"/>
    <w:rsid w:val="5A0348A2"/>
    <w:rsid w:val="5A3C1B6C"/>
    <w:rsid w:val="5A6220B6"/>
    <w:rsid w:val="5A731BCE"/>
    <w:rsid w:val="5A77527B"/>
    <w:rsid w:val="5A89319F"/>
    <w:rsid w:val="5AB00B4F"/>
    <w:rsid w:val="5AC216D8"/>
    <w:rsid w:val="5AD424B7"/>
    <w:rsid w:val="5ADE71D6"/>
    <w:rsid w:val="5B595267"/>
    <w:rsid w:val="5B5A1AFA"/>
    <w:rsid w:val="5BA721D5"/>
    <w:rsid w:val="5BBC1352"/>
    <w:rsid w:val="5BC13F81"/>
    <w:rsid w:val="5BD40D92"/>
    <w:rsid w:val="5BD963A8"/>
    <w:rsid w:val="5BE76CCC"/>
    <w:rsid w:val="5BFE012D"/>
    <w:rsid w:val="5C1D4939"/>
    <w:rsid w:val="5C4558FE"/>
    <w:rsid w:val="5C4F5842"/>
    <w:rsid w:val="5C5B5F38"/>
    <w:rsid w:val="5C5C6C96"/>
    <w:rsid w:val="5C5D5B23"/>
    <w:rsid w:val="5C78796F"/>
    <w:rsid w:val="5C8D7DFA"/>
    <w:rsid w:val="5C9347A9"/>
    <w:rsid w:val="5CA72002"/>
    <w:rsid w:val="5CAA7089"/>
    <w:rsid w:val="5CB12968"/>
    <w:rsid w:val="5CBB785C"/>
    <w:rsid w:val="5CCB5CF1"/>
    <w:rsid w:val="5D0D2688"/>
    <w:rsid w:val="5D135C62"/>
    <w:rsid w:val="5D1B33EE"/>
    <w:rsid w:val="5D447851"/>
    <w:rsid w:val="5D46465A"/>
    <w:rsid w:val="5D691E8B"/>
    <w:rsid w:val="5D7C2FBE"/>
    <w:rsid w:val="5D9745CC"/>
    <w:rsid w:val="5D9C143B"/>
    <w:rsid w:val="5DA84E12"/>
    <w:rsid w:val="5DC664B8"/>
    <w:rsid w:val="5DD26913"/>
    <w:rsid w:val="5DE057CC"/>
    <w:rsid w:val="5E082F75"/>
    <w:rsid w:val="5E0C14B0"/>
    <w:rsid w:val="5E29006B"/>
    <w:rsid w:val="5E2953CE"/>
    <w:rsid w:val="5E841E57"/>
    <w:rsid w:val="5E896CFA"/>
    <w:rsid w:val="5E983815"/>
    <w:rsid w:val="5E9E5865"/>
    <w:rsid w:val="5EA25E16"/>
    <w:rsid w:val="5EC05B97"/>
    <w:rsid w:val="5ECF4213"/>
    <w:rsid w:val="5EFC6636"/>
    <w:rsid w:val="5F0629CC"/>
    <w:rsid w:val="5F13397F"/>
    <w:rsid w:val="5F184590"/>
    <w:rsid w:val="5F215FFC"/>
    <w:rsid w:val="5F443B39"/>
    <w:rsid w:val="5F6366B5"/>
    <w:rsid w:val="5F812FDF"/>
    <w:rsid w:val="5F8E45AC"/>
    <w:rsid w:val="5FBA5715"/>
    <w:rsid w:val="5FC829BC"/>
    <w:rsid w:val="5FF13E39"/>
    <w:rsid w:val="600E6018"/>
    <w:rsid w:val="6013007F"/>
    <w:rsid w:val="6027183B"/>
    <w:rsid w:val="60314542"/>
    <w:rsid w:val="605C1D5C"/>
    <w:rsid w:val="605E4585"/>
    <w:rsid w:val="608E7761"/>
    <w:rsid w:val="60996D9D"/>
    <w:rsid w:val="60DD2E9E"/>
    <w:rsid w:val="61377DF9"/>
    <w:rsid w:val="615E036F"/>
    <w:rsid w:val="61665FE8"/>
    <w:rsid w:val="617C1CB0"/>
    <w:rsid w:val="618E553F"/>
    <w:rsid w:val="61A3338D"/>
    <w:rsid w:val="61AC2B03"/>
    <w:rsid w:val="61C921AB"/>
    <w:rsid w:val="61CB0541"/>
    <w:rsid w:val="61ED6D3C"/>
    <w:rsid w:val="61F5736C"/>
    <w:rsid w:val="6206660D"/>
    <w:rsid w:val="621E1BB5"/>
    <w:rsid w:val="621E78AA"/>
    <w:rsid w:val="6253630E"/>
    <w:rsid w:val="625F7422"/>
    <w:rsid w:val="62C9714A"/>
    <w:rsid w:val="62D376AD"/>
    <w:rsid w:val="62D6719E"/>
    <w:rsid w:val="62F35FA1"/>
    <w:rsid w:val="63014D81"/>
    <w:rsid w:val="63147FAF"/>
    <w:rsid w:val="631E27F9"/>
    <w:rsid w:val="633012AA"/>
    <w:rsid w:val="63456CB1"/>
    <w:rsid w:val="63471DDF"/>
    <w:rsid w:val="63617C53"/>
    <w:rsid w:val="637D3ABD"/>
    <w:rsid w:val="639B4BBF"/>
    <w:rsid w:val="63B141AA"/>
    <w:rsid w:val="63B75221"/>
    <w:rsid w:val="63BE42DA"/>
    <w:rsid w:val="63F718D5"/>
    <w:rsid w:val="64061D04"/>
    <w:rsid w:val="6426638B"/>
    <w:rsid w:val="649317EA"/>
    <w:rsid w:val="64C64FF0"/>
    <w:rsid w:val="64CF20F6"/>
    <w:rsid w:val="6510548D"/>
    <w:rsid w:val="65181CEF"/>
    <w:rsid w:val="651F4C2E"/>
    <w:rsid w:val="65270184"/>
    <w:rsid w:val="65515201"/>
    <w:rsid w:val="655A40B6"/>
    <w:rsid w:val="658B0713"/>
    <w:rsid w:val="658D45A0"/>
    <w:rsid w:val="65C9123C"/>
    <w:rsid w:val="65D774B5"/>
    <w:rsid w:val="66171831"/>
    <w:rsid w:val="66456B14"/>
    <w:rsid w:val="66666A8A"/>
    <w:rsid w:val="666D4B17"/>
    <w:rsid w:val="667441BF"/>
    <w:rsid w:val="669D01C8"/>
    <w:rsid w:val="66A54284"/>
    <w:rsid w:val="66AD24F1"/>
    <w:rsid w:val="66BB5028"/>
    <w:rsid w:val="66C51557"/>
    <w:rsid w:val="66D93700"/>
    <w:rsid w:val="671958AB"/>
    <w:rsid w:val="67207AF4"/>
    <w:rsid w:val="67273BB1"/>
    <w:rsid w:val="67322237"/>
    <w:rsid w:val="67535261"/>
    <w:rsid w:val="6753700F"/>
    <w:rsid w:val="67677FB2"/>
    <w:rsid w:val="677B31EE"/>
    <w:rsid w:val="67876CB8"/>
    <w:rsid w:val="679725B9"/>
    <w:rsid w:val="67D5211A"/>
    <w:rsid w:val="68066955"/>
    <w:rsid w:val="68081363"/>
    <w:rsid w:val="681F15E7"/>
    <w:rsid w:val="684C3967"/>
    <w:rsid w:val="68660FC4"/>
    <w:rsid w:val="68662D72"/>
    <w:rsid w:val="688D02FE"/>
    <w:rsid w:val="6897117D"/>
    <w:rsid w:val="68C161FA"/>
    <w:rsid w:val="68D53504"/>
    <w:rsid w:val="690552FB"/>
    <w:rsid w:val="692C577D"/>
    <w:rsid w:val="693E5A9D"/>
    <w:rsid w:val="69482477"/>
    <w:rsid w:val="694B7883"/>
    <w:rsid w:val="6959497D"/>
    <w:rsid w:val="6965614B"/>
    <w:rsid w:val="696F532F"/>
    <w:rsid w:val="697A4EED"/>
    <w:rsid w:val="69A07FDC"/>
    <w:rsid w:val="69C80215"/>
    <w:rsid w:val="69DA6B07"/>
    <w:rsid w:val="69FE2034"/>
    <w:rsid w:val="6A0550F9"/>
    <w:rsid w:val="6A2C0F95"/>
    <w:rsid w:val="6A2E78BF"/>
    <w:rsid w:val="6A327783"/>
    <w:rsid w:val="6A3330B2"/>
    <w:rsid w:val="6A3756D2"/>
    <w:rsid w:val="6A6E04AD"/>
    <w:rsid w:val="6A726DA4"/>
    <w:rsid w:val="6A8A6A56"/>
    <w:rsid w:val="6A903C04"/>
    <w:rsid w:val="6AAB53B4"/>
    <w:rsid w:val="6AAE27AE"/>
    <w:rsid w:val="6AB136D8"/>
    <w:rsid w:val="6ABA1153"/>
    <w:rsid w:val="6AD541DF"/>
    <w:rsid w:val="6AEB520A"/>
    <w:rsid w:val="6B1E7934"/>
    <w:rsid w:val="6B426AD4"/>
    <w:rsid w:val="6B641AE6"/>
    <w:rsid w:val="6BA96417"/>
    <w:rsid w:val="6BBD5DD2"/>
    <w:rsid w:val="6BDB6D89"/>
    <w:rsid w:val="6BE648F5"/>
    <w:rsid w:val="6BE772E4"/>
    <w:rsid w:val="6BEC5C84"/>
    <w:rsid w:val="6C040B51"/>
    <w:rsid w:val="6C133210"/>
    <w:rsid w:val="6C17696D"/>
    <w:rsid w:val="6C186A79"/>
    <w:rsid w:val="6C33428D"/>
    <w:rsid w:val="6C411E06"/>
    <w:rsid w:val="6C5309A3"/>
    <w:rsid w:val="6C5F6456"/>
    <w:rsid w:val="6C9C771D"/>
    <w:rsid w:val="6C9F2CF6"/>
    <w:rsid w:val="6CA845F8"/>
    <w:rsid w:val="6CD429A0"/>
    <w:rsid w:val="6CDA3D2E"/>
    <w:rsid w:val="6CE90F1A"/>
    <w:rsid w:val="6CED5418"/>
    <w:rsid w:val="6CFB7C8C"/>
    <w:rsid w:val="6D0D5EB2"/>
    <w:rsid w:val="6D110371"/>
    <w:rsid w:val="6D1267F8"/>
    <w:rsid w:val="6D192AA9"/>
    <w:rsid w:val="6D1B0BFF"/>
    <w:rsid w:val="6D466AFF"/>
    <w:rsid w:val="6D4D2EAF"/>
    <w:rsid w:val="6D6345CC"/>
    <w:rsid w:val="6D655433"/>
    <w:rsid w:val="6D671445"/>
    <w:rsid w:val="6D6C0EF4"/>
    <w:rsid w:val="6D7171FA"/>
    <w:rsid w:val="6D7C4333"/>
    <w:rsid w:val="6DBE5AF8"/>
    <w:rsid w:val="6E397E13"/>
    <w:rsid w:val="6E3E6269"/>
    <w:rsid w:val="6E4771C6"/>
    <w:rsid w:val="6E4A2BE0"/>
    <w:rsid w:val="6E587601"/>
    <w:rsid w:val="6E604AF0"/>
    <w:rsid w:val="6E724E8F"/>
    <w:rsid w:val="6E752DF4"/>
    <w:rsid w:val="6E88039E"/>
    <w:rsid w:val="6E891720"/>
    <w:rsid w:val="6E9C129B"/>
    <w:rsid w:val="6EB34837"/>
    <w:rsid w:val="6EBF1B48"/>
    <w:rsid w:val="6ED175D4"/>
    <w:rsid w:val="6F1436E0"/>
    <w:rsid w:val="6F1928EC"/>
    <w:rsid w:val="6F1A48B6"/>
    <w:rsid w:val="6F537CDF"/>
    <w:rsid w:val="6F6A75EB"/>
    <w:rsid w:val="6F6C5FA7"/>
    <w:rsid w:val="6F705F8A"/>
    <w:rsid w:val="6F7E36FE"/>
    <w:rsid w:val="6F8771AB"/>
    <w:rsid w:val="6F9730F7"/>
    <w:rsid w:val="6FB10C4C"/>
    <w:rsid w:val="6FB81AA4"/>
    <w:rsid w:val="6FC3303F"/>
    <w:rsid w:val="6FD712C1"/>
    <w:rsid w:val="6FD77E83"/>
    <w:rsid w:val="703B0F88"/>
    <w:rsid w:val="70416101"/>
    <w:rsid w:val="70651B61"/>
    <w:rsid w:val="70657DB3"/>
    <w:rsid w:val="706939AC"/>
    <w:rsid w:val="707149AA"/>
    <w:rsid w:val="70720239"/>
    <w:rsid w:val="707A22FC"/>
    <w:rsid w:val="70924DD5"/>
    <w:rsid w:val="70931401"/>
    <w:rsid w:val="70A26A58"/>
    <w:rsid w:val="70B60746"/>
    <w:rsid w:val="70BF5715"/>
    <w:rsid w:val="70C65747"/>
    <w:rsid w:val="70CE5958"/>
    <w:rsid w:val="70EE5FFA"/>
    <w:rsid w:val="714A76D4"/>
    <w:rsid w:val="71500A63"/>
    <w:rsid w:val="71551BD5"/>
    <w:rsid w:val="71600462"/>
    <w:rsid w:val="71645191"/>
    <w:rsid w:val="718D41DB"/>
    <w:rsid w:val="71FE226D"/>
    <w:rsid w:val="725246C0"/>
    <w:rsid w:val="7260025E"/>
    <w:rsid w:val="726B0392"/>
    <w:rsid w:val="729A3D44"/>
    <w:rsid w:val="72B017B9"/>
    <w:rsid w:val="72CC5166"/>
    <w:rsid w:val="73185FA3"/>
    <w:rsid w:val="7325566E"/>
    <w:rsid w:val="73593B14"/>
    <w:rsid w:val="737A76B5"/>
    <w:rsid w:val="738F5872"/>
    <w:rsid w:val="7391373E"/>
    <w:rsid w:val="73996588"/>
    <w:rsid w:val="73DC213A"/>
    <w:rsid w:val="741B47FA"/>
    <w:rsid w:val="742A56ED"/>
    <w:rsid w:val="74312486"/>
    <w:rsid w:val="74331D80"/>
    <w:rsid w:val="744142D3"/>
    <w:rsid w:val="745C0B11"/>
    <w:rsid w:val="7476258E"/>
    <w:rsid w:val="74A04B0B"/>
    <w:rsid w:val="74A7099A"/>
    <w:rsid w:val="74AC3A68"/>
    <w:rsid w:val="74C4154C"/>
    <w:rsid w:val="74F472E7"/>
    <w:rsid w:val="750000AA"/>
    <w:rsid w:val="750D185B"/>
    <w:rsid w:val="751C6422"/>
    <w:rsid w:val="75262145"/>
    <w:rsid w:val="753A4DD2"/>
    <w:rsid w:val="754C32EF"/>
    <w:rsid w:val="755723C0"/>
    <w:rsid w:val="75674472"/>
    <w:rsid w:val="757840E4"/>
    <w:rsid w:val="757C3BD5"/>
    <w:rsid w:val="75995495"/>
    <w:rsid w:val="75A21011"/>
    <w:rsid w:val="75C00134"/>
    <w:rsid w:val="75D532E5"/>
    <w:rsid w:val="75DC7088"/>
    <w:rsid w:val="75E23A15"/>
    <w:rsid w:val="75E70309"/>
    <w:rsid w:val="75EB44C4"/>
    <w:rsid w:val="75EB6C83"/>
    <w:rsid w:val="76171B4F"/>
    <w:rsid w:val="76491375"/>
    <w:rsid w:val="764B3BCB"/>
    <w:rsid w:val="767937AB"/>
    <w:rsid w:val="769029F1"/>
    <w:rsid w:val="769C0F63"/>
    <w:rsid w:val="76A34897"/>
    <w:rsid w:val="76E01F41"/>
    <w:rsid w:val="76E53FD5"/>
    <w:rsid w:val="76E6219A"/>
    <w:rsid w:val="76E87327"/>
    <w:rsid w:val="76FD0D45"/>
    <w:rsid w:val="7750356B"/>
    <w:rsid w:val="776921AC"/>
    <w:rsid w:val="777010FC"/>
    <w:rsid w:val="77B86DDE"/>
    <w:rsid w:val="77C11489"/>
    <w:rsid w:val="77C74EAF"/>
    <w:rsid w:val="77C875A5"/>
    <w:rsid w:val="77CC60A6"/>
    <w:rsid w:val="77D96641"/>
    <w:rsid w:val="77DE46D3"/>
    <w:rsid w:val="77EE068E"/>
    <w:rsid w:val="78025490"/>
    <w:rsid w:val="783A0F16"/>
    <w:rsid w:val="78531063"/>
    <w:rsid w:val="785F2B9F"/>
    <w:rsid w:val="78866B18"/>
    <w:rsid w:val="78AE6510"/>
    <w:rsid w:val="78DB3308"/>
    <w:rsid w:val="78FC77E6"/>
    <w:rsid w:val="7902461F"/>
    <w:rsid w:val="795F5CE7"/>
    <w:rsid w:val="796105DC"/>
    <w:rsid w:val="7970070C"/>
    <w:rsid w:val="79780265"/>
    <w:rsid w:val="79801512"/>
    <w:rsid w:val="79B500E4"/>
    <w:rsid w:val="79C42B56"/>
    <w:rsid w:val="79C673B1"/>
    <w:rsid w:val="79C70B90"/>
    <w:rsid w:val="79CF5664"/>
    <w:rsid w:val="79D0655B"/>
    <w:rsid w:val="79D42231"/>
    <w:rsid w:val="79F533EE"/>
    <w:rsid w:val="79FF03B2"/>
    <w:rsid w:val="7A156933"/>
    <w:rsid w:val="7A59578B"/>
    <w:rsid w:val="7A831561"/>
    <w:rsid w:val="7A835A05"/>
    <w:rsid w:val="7AA04D70"/>
    <w:rsid w:val="7AAF44EA"/>
    <w:rsid w:val="7AC555F6"/>
    <w:rsid w:val="7AF54A87"/>
    <w:rsid w:val="7AF9135E"/>
    <w:rsid w:val="7AFD012E"/>
    <w:rsid w:val="7B0223B6"/>
    <w:rsid w:val="7B0928BC"/>
    <w:rsid w:val="7B14665D"/>
    <w:rsid w:val="7B1C2B77"/>
    <w:rsid w:val="7B282AE9"/>
    <w:rsid w:val="7B53680C"/>
    <w:rsid w:val="7B75534E"/>
    <w:rsid w:val="7B8302DC"/>
    <w:rsid w:val="7BA13369"/>
    <w:rsid w:val="7BB5094F"/>
    <w:rsid w:val="7BE81D4E"/>
    <w:rsid w:val="7C253FBC"/>
    <w:rsid w:val="7C350F81"/>
    <w:rsid w:val="7C56344A"/>
    <w:rsid w:val="7C75312C"/>
    <w:rsid w:val="7C8B278C"/>
    <w:rsid w:val="7CB42C35"/>
    <w:rsid w:val="7CD2038B"/>
    <w:rsid w:val="7D0F231D"/>
    <w:rsid w:val="7D1E3982"/>
    <w:rsid w:val="7D306D5D"/>
    <w:rsid w:val="7D3354C1"/>
    <w:rsid w:val="7D36428A"/>
    <w:rsid w:val="7D3905FD"/>
    <w:rsid w:val="7D6A33FA"/>
    <w:rsid w:val="7D7A4791"/>
    <w:rsid w:val="7DA544A1"/>
    <w:rsid w:val="7DAE0FEB"/>
    <w:rsid w:val="7DB63FF6"/>
    <w:rsid w:val="7DD24CD9"/>
    <w:rsid w:val="7DDA593C"/>
    <w:rsid w:val="7DE80822"/>
    <w:rsid w:val="7DF519E9"/>
    <w:rsid w:val="7E1978B9"/>
    <w:rsid w:val="7E4B4B5E"/>
    <w:rsid w:val="7E8C07D3"/>
    <w:rsid w:val="7EA3263E"/>
    <w:rsid w:val="7EAA17B2"/>
    <w:rsid w:val="7EAA3560"/>
    <w:rsid w:val="7EBE0DBA"/>
    <w:rsid w:val="7EC363D0"/>
    <w:rsid w:val="7EC6133F"/>
    <w:rsid w:val="7EC81D76"/>
    <w:rsid w:val="7EE30E0B"/>
    <w:rsid w:val="7F2F7F0A"/>
    <w:rsid w:val="7F331398"/>
    <w:rsid w:val="7F336C02"/>
    <w:rsid w:val="7F5E434B"/>
    <w:rsid w:val="7F722CCF"/>
    <w:rsid w:val="7F7A317C"/>
    <w:rsid w:val="7FA646A1"/>
    <w:rsid w:val="7FDD1714"/>
    <w:rsid w:val="7FDF723A"/>
    <w:rsid w:val="FFF6E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autoRedefine/>
    <w:qFormat/>
    <w:uiPriority w:val="0"/>
    <w:pPr>
      <w:keepNext/>
      <w:keepLines/>
      <w:spacing w:before="260" w:beforeLines="0" w:after="260" w:afterLines="0" w:line="416" w:lineRule="auto"/>
      <w:outlineLvl w:val="2"/>
    </w:pPr>
    <w:rPr>
      <w:b/>
      <w:bCs/>
      <w:sz w:val="32"/>
      <w:szCs w:val="32"/>
    </w:rPr>
  </w:style>
  <w:style w:type="paragraph" w:styleId="6">
    <w:name w:val="heading 4"/>
    <w:basedOn w:val="1"/>
    <w:next w:val="1"/>
    <w:link w:val="38"/>
    <w:autoRedefine/>
    <w:semiHidden/>
    <w:unhideWhenUsed/>
    <w:qFormat/>
    <w:uiPriority w:val="0"/>
    <w:pPr>
      <w:keepNext/>
      <w:keepLines/>
      <w:spacing w:before="280" w:after="290" w:line="376" w:lineRule="atLeast"/>
      <w:jc w:val="left"/>
      <w:outlineLvl w:val="3"/>
    </w:pPr>
    <w:rPr>
      <w:rFonts w:eastAsia="黑体" w:asciiTheme="majorAscii" w:hAnsiTheme="majorAscii" w:cstheme="majorBidi"/>
      <w:bCs/>
      <w:sz w:val="24"/>
      <w:szCs w:val="28"/>
    </w:rPr>
  </w:style>
  <w:style w:type="character" w:default="1" w:styleId="27">
    <w:name w:val="Default Paragraph Font"/>
    <w:autoRedefine/>
    <w:semiHidden/>
    <w:unhideWhenUsed/>
    <w:qFormat/>
    <w:uiPriority w:val="1"/>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after="120"/>
    </w:pPr>
  </w:style>
  <w:style w:type="paragraph" w:styleId="7">
    <w:name w:val="List 3"/>
    <w:basedOn w:val="1"/>
    <w:autoRedefine/>
    <w:unhideWhenUsed/>
    <w:qFormat/>
    <w:uiPriority w:val="99"/>
    <w:pPr>
      <w:spacing w:line="360" w:lineRule="atLeast"/>
      <w:jc w:val="center"/>
    </w:pPr>
  </w:style>
  <w:style w:type="paragraph" w:styleId="8">
    <w:name w:val="Normal Indent"/>
    <w:basedOn w:val="1"/>
    <w:next w:val="6"/>
    <w:autoRedefine/>
    <w:qFormat/>
    <w:uiPriority w:val="0"/>
    <w:pPr>
      <w:ind w:firstLine="420"/>
    </w:pPr>
  </w:style>
  <w:style w:type="paragraph" w:styleId="9">
    <w:name w:val="annotation text"/>
    <w:basedOn w:val="1"/>
    <w:autoRedefine/>
    <w:qFormat/>
    <w:uiPriority w:val="0"/>
    <w:pPr>
      <w:jc w:val="left"/>
    </w:pPr>
  </w:style>
  <w:style w:type="paragraph" w:styleId="10">
    <w:name w:val="Salutation"/>
    <w:basedOn w:val="1"/>
    <w:next w:val="1"/>
    <w:autoRedefine/>
    <w:qFormat/>
    <w:uiPriority w:val="0"/>
    <w:rPr>
      <w:rFonts w:ascii="Calibri" w:hAnsi="Calibri"/>
      <w:kern w:val="0"/>
      <w:sz w:val="20"/>
      <w:szCs w:val="24"/>
    </w:rPr>
  </w:style>
  <w:style w:type="paragraph" w:styleId="11">
    <w:name w:val="Body Text Indent"/>
    <w:basedOn w:val="1"/>
    <w:next w:val="12"/>
    <w:autoRedefine/>
    <w:qFormat/>
    <w:uiPriority w:val="0"/>
    <w:pPr>
      <w:autoSpaceDE w:val="0"/>
      <w:autoSpaceDN w:val="0"/>
      <w:adjustRightInd w:val="0"/>
      <w:spacing w:line="360" w:lineRule="auto"/>
      <w:ind w:firstLine="480" w:firstLineChars="200"/>
    </w:pPr>
    <w:rPr>
      <w:rFonts w:ascii="宋体" w:hAnsi="宋体"/>
      <w:kern w:val="0"/>
      <w:sz w:val="24"/>
      <w:szCs w:val="21"/>
    </w:rPr>
  </w:style>
  <w:style w:type="paragraph" w:styleId="12">
    <w:name w:val="Body Text Indent 2"/>
    <w:basedOn w:val="1"/>
    <w:next w:val="13"/>
    <w:autoRedefine/>
    <w:qFormat/>
    <w:uiPriority w:val="0"/>
    <w:pPr>
      <w:spacing w:after="120" w:line="480" w:lineRule="auto"/>
      <w:ind w:left="420" w:leftChars="200"/>
    </w:pPr>
  </w:style>
  <w:style w:type="paragraph" w:styleId="13">
    <w:name w:val="Body Text First Indent 2"/>
    <w:basedOn w:val="11"/>
    <w:next w:val="1"/>
    <w:autoRedefine/>
    <w:qFormat/>
    <w:uiPriority w:val="0"/>
    <w:pPr>
      <w:autoSpaceDE/>
      <w:autoSpaceDN/>
      <w:adjustRightInd/>
      <w:spacing w:after="120" w:line="240" w:lineRule="auto"/>
      <w:ind w:left="420" w:leftChars="200" w:firstLine="420"/>
    </w:pPr>
    <w:rPr>
      <w:rFonts w:ascii="Times New Roman" w:hAnsi="Times New Roman"/>
      <w:kern w:val="2"/>
      <w:sz w:val="21"/>
      <w:szCs w:val="20"/>
    </w:rPr>
  </w:style>
  <w:style w:type="paragraph" w:styleId="14">
    <w:name w:val="Plain Text"/>
    <w:basedOn w:val="1"/>
    <w:next w:val="15"/>
    <w:autoRedefine/>
    <w:qFormat/>
    <w:uiPriority w:val="0"/>
    <w:rPr>
      <w:rFonts w:ascii="宋体" w:hAnsi="Courier New" w:cs="Courier New"/>
      <w:szCs w:val="21"/>
    </w:rPr>
  </w:style>
  <w:style w:type="paragraph" w:styleId="15">
    <w:name w:val="toc 1"/>
    <w:basedOn w:val="1"/>
    <w:next w:val="1"/>
    <w:autoRedefine/>
    <w:qFormat/>
    <w:uiPriority w:val="39"/>
    <w:pPr>
      <w:snapToGrid w:val="0"/>
      <w:spacing w:line="360" w:lineRule="auto"/>
    </w:pPr>
    <w:rPr>
      <w:rFonts w:ascii="黑体" w:eastAsia="黑体"/>
      <w:bCs/>
      <w:sz w:val="28"/>
      <w:szCs w:val="24"/>
    </w:rPr>
  </w:style>
  <w:style w:type="paragraph" w:styleId="16">
    <w:name w:val="footer"/>
    <w:basedOn w:val="1"/>
    <w:next w:val="1"/>
    <w:autoRedefine/>
    <w:qFormat/>
    <w:uiPriority w:val="99"/>
    <w:pPr>
      <w:tabs>
        <w:tab w:val="center" w:pos="4153"/>
        <w:tab w:val="right" w:pos="8306"/>
      </w:tabs>
      <w:snapToGrid w:val="0"/>
      <w:jc w:val="left"/>
    </w:pPr>
    <w:rPr>
      <w:sz w:val="18"/>
      <w:szCs w:val="18"/>
    </w:rPr>
  </w:style>
  <w:style w:type="paragraph" w:styleId="17">
    <w:name w:val="envelope return"/>
    <w:autoRedefine/>
    <w:unhideWhenUsed/>
    <w:qFormat/>
    <w:uiPriority w:val="0"/>
    <w:pPr>
      <w:widowControl w:val="0"/>
      <w:snapToGrid w:val="0"/>
      <w:spacing w:beforeLines="0" w:afterLines="0"/>
      <w:jc w:val="both"/>
    </w:pPr>
    <w:rPr>
      <w:rFonts w:hint="default" w:ascii="Arial" w:hAnsi="Arial" w:eastAsia="宋体" w:cs="Arial"/>
      <w:kern w:val="2"/>
      <w:sz w:val="21"/>
      <w:szCs w:val="24"/>
      <w:lang w:val="en-US" w:eastAsia="zh-CN" w:bidi="ar-SA"/>
    </w:rPr>
  </w:style>
  <w:style w:type="paragraph" w:styleId="18">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Body Text Indent 3"/>
    <w:basedOn w:val="1"/>
    <w:autoRedefine/>
    <w:qFormat/>
    <w:uiPriority w:val="0"/>
    <w:pPr>
      <w:ind w:firstLine="560" w:firstLineChars="200"/>
    </w:pPr>
    <w:rPr>
      <w:rFonts w:ascii="宋体" w:hAnsi="宋体"/>
      <w:color w:val="000000"/>
      <w:sz w:val="28"/>
      <w:szCs w:val="24"/>
    </w:rPr>
  </w:style>
  <w:style w:type="paragraph" w:styleId="20">
    <w:name w:val="toc 2"/>
    <w:basedOn w:val="1"/>
    <w:next w:val="1"/>
    <w:autoRedefine/>
    <w:qFormat/>
    <w:uiPriority w:val="0"/>
    <w:pPr>
      <w:ind w:left="420" w:leftChars="200"/>
    </w:pPr>
  </w:style>
  <w:style w:type="paragraph" w:styleId="21">
    <w:name w:val="Body Text 2"/>
    <w:basedOn w:val="1"/>
    <w:autoRedefine/>
    <w:unhideWhenUsed/>
    <w:qFormat/>
    <w:uiPriority w:val="99"/>
    <w:pPr>
      <w:spacing w:line="420" w:lineRule="exact"/>
    </w:pPr>
    <w:rPr>
      <w:bCs/>
      <w:sz w:val="28"/>
    </w:rPr>
  </w:style>
  <w:style w:type="paragraph" w:styleId="22">
    <w:name w:val="Normal (Web)"/>
    <w:basedOn w:val="1"/>
    <w:autoRedefine/>
    <w:qFormat/>
    <w:uiPriority w:val="0"/>
    <w:pPr>
      <w:widowControl/>
      <w:spacing w:before="100" w:beforeAutospacing="1" w:after="100" w:afterAutospacing="1"/>
      <w:jc w:val="left"/>
    </w:pPr>
    <w:rPr>
      <w:rFonts w:ascii="宋体" w:hAnsi="宋体"/>
      <w:kern w:val="0"/>
      <w:sz w:val="24"/>
      <w:szCs w:val="24"/>
    </w:rPr>
  </w:style>
  <w:style w:type="paragraph" w:styleId="23">
    <w:name w:val="Title"/>
    <w:basedOn w:val="1"/>
    <w:next w:val="1"/>
    <w:autoRedefine/>
    <w:qFormat/>
    <w:uiPriority w:val="0"/>
    <w:pPr>
      <w:spacing w:before="240" w:after="60"/>
      <w:jc w:val="center"/>
      <w:outlineLvl w:val="0"/>
    </w:pPr>
    <w:rPr>
      <w:rFonts w:asciiTheme="majorHAnsi" w:hAnsiTheme="majorHAnsi" w:cstheme="majorBidi"/>
      <w:b/>
      <w:bCs/>
      <w:sz w:val="32"/>
      <w:szCs w:val="32"/>
    </w:rPr>
  </w:style>
  <w:style w:type="paragraph" w:styleId="24">
    <w:name w:val="Body Text First Indent"/>
    <w:basedOn w:val="2"/>
    <w:unhideWhenUsed/>
    <w:qFormat/>
    <w:uiPriority w:val="0"/>
    <w:pPr>
      <w:spacing w:beforeLines="0" w:afterLines="0"/>
      <w:ind w:firstLine="420" w:firstLineChars="100"/>
    </w:pPr>
    <w:rPr>
      <w:rFonts w:hint="eastAsia"/>
      <w:sz w:val="21"/>
      <w:szCs w:val="24"/>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autoRedefine/>
    <w:qFormat/>
    <w:uiPriority w:val="0"/>
  </w:style>
  <w:style w:type="character" w:styleId="29">
    <w:name w:val="Hyperlink"/>
    <w:autoRedefine/>
    <w:qFormat/>
    <w:uiPriority w:val="99"/>
    <w:rPr>
      <w:color w:val="000000"/>
      <w:u w:val="none"/>
    </w:rPr>
  </w:style>
  <w:style w:type="character" w:styleId="30">
    <w:name w:val="annotation reference"/>
    <w:autoRedefine/>
    <w:qFormat/>
    <w:uiPriority w:val="0"/>
    <w:rPr>
      <w:sz w:val="21"/>
    </w:rPr>
  </w:style>
  <w:style w:type="paragraph" w:customStyle="1" w:styleId="31">
    <w:name w:val="Default"/>
    <w:basedOn w:val="32"/>
    <w:next w:val="1"/>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2">
    <w:name w:val="标题2"/>
    <w:basedOn w:val="1"/>
    <w:next w:val="4"/>
    <w:autoRedefine/>
    <w:qFormat/>
    <w:uiPriority w:val="99"/>
    <w:pPr>
      <w:spacing w:line="360" w:lineRule="auto"/>
      <w:ind w:firstLine="0" w:firstLineChars="0"/>
      <w:jc w:val="left"/>
    </w:pPr>
    <w:rPr>
      <w:b/>
      <w:sz w:val="28"/>
    </w:rPr>
  </w:style>
  <w:style w:type="paragraph" w:customStyle="1" w:styleId="33">
    <w:name w:val="纯文本1"/>
    <w:basedOn w:val="1"/>
    <w:autoRedefine/>
    <w:qFormat/>
    <w:uiPriority w:val="0"/>
    <w:pPr>
      <w:adjustRightInd w:val="0"/>
      <w:jc w:val="left"/>
      <w:textAlignment w:val="baseline"/>
    </w:pPr>
    <w:rPr>
      <w:rFonts w:ascii="宋体"/>
      <w:kern w:val="0"/>
      <w:sz w:val="24"/>
      <w:szCs w:val="20"/>
    </w:rPr>
  </w:style>
  <w:style w:type="paragraph" w:customStyle="1" w:styleId="34">
    <w:name w:val="样式3"/>
    <w:basedOn w:val="15"/>
    <w:next w:val="35"/>
    <w:autoRedefine/>
    <w:qFormat/>
    <w:uiPriority w:val="0"/>
    <w:pPr>
      <w:autoSpaceDE w:val="0"/>
      <w:autoSpaceDN w:val="0"/>
      <w:snapToGrid w:val="0"/>
      <w:spacing w:before="120" w:line="460" w:lineRule="atLeast"/>
      <w:jc w:val="center"/>
    </w:pPr>
    <w:rPr>
      <w:rFonts w:eastAsia="黑体"/>
      <w:sz w:val="28"/>
      <w:szCs w:val="24"/>
    </w:rPr>
  </w:style>
  <w:style w:type="paragraph" w:customStyle="1" w:styleId="35">
    <w:name w:val="目录 53"/>
    <w:basedOn w:val="1"/>
    <w:next w:val="1"/>
    <w:autoRedefine/>
    <w:qFormat/>
    <w:uiPriority w:val="0"/>
    <w:pPr>
      <w:ind w:left="840"/>
    </w:pPr>
    <w:rPr>
      <w:rFonts w:cs="宋体"/>
      <w:color w:val="000000"/>
    </w:rPr>
  </w:style>
  <w:style w:type="paragraph" w:customStyle="1" w:styleId="36">
    <w:name w:val="xl27"/>
    <w:basedOn w:val="1"/>
    <w:next w:val="37"/>
    <w:autoRedefine/>
    <w:qFormat/>
    <w:uiPriority w:val="0"/>
    <w:pPr>
      <w:widowControl/>
      <w:spacing w:before="100" w:beforeAutospacing="1" w:after="100" w:afterAutospacing="1"/>
      <w:jc w:val="left"/>
    </w:pPr>
    <w:rPr>
      <w:color w:val="FF0000"/>
      <w:kern w:val="0"/>
      <w:sz w:val="24"/>
    </w:rPr>
  </w:style>
  <w:style w:type="paragraph" w:customStyle="1" w:styleId="37">
    <w:name w:val="A正文"/>
    <w:basedOn w:val="1"/>
    <w:autoRedefine/>
    <w:qFormat/>
    <w:uiPriority w:val="0"/>
    <w:pPr>
      <w:widowControl/>
      <w:overflowPunct w:val="0"/>
      <w:autoSpaceDE w:val="0"/>
      <w:autoSpaceDN w:val="0"/>
      <w:adjustRightInd w:val="0"/>
      <w:snapToGrid w:val="0"/>
      <w:spacing w:line="360" w:lineRule="auto"/>
      <w:ind w:firstLine="200" w:firstLineChars="200"/>
      <w:jc w:val="left"/>
      <w:textAlignment w:val="baseline"/>
    </w:pPr>
    <w:rPr>
      <w:rFonts w:eastAsia="仿宋_GB2312"/>
      <w:kern w:val="0"/>
      <w:sz w:val="24"/>
      <w:szCs w:val="20"/>
    </w:rPr>
  </w:style>
  <w:style w:type="character" w:customStyle="1" w:styleId="38">
    <w:name w:val="标题 4 字符"/>
    <w:basedOn w:val="27"/>
    <w:link w:val="6"/>
    <w:autoRedefine/>
    <w:qFormat/>
    <w:uiPriority w:val="0"/>
    <w:rPr>
      <w:rFonts w:eastAsia="黑体" w:asciiTheme="majorAscii" w:hAnsiTheme="majorAscii" w:cstheme="majorBidi"/>
      <w:bCs/>
      <w:kern w:val="2"/>
      <w:sz w:val="24"/>
      <w:szCs w:val="28"/>
    </w:rPr>
  </w:style>
  <w:style w:type="paragraph" w:customStyle="1" w:styleId="39">
    <w:name w:val="xl22"/>
    <w:basedOn w:val="1"/>
    <w:autoRedefine/>
    <w:qFormat/>
    <w:uiPriority w:val="0"/>
    <w:pPr>
      <w:widowControl/>
      <w:spacing w:before="100" w:beforeAutospacing="1" w:after="100" w:afterAutospacing="1"/>
      <w:jc w:val="center"/>
    </w:pPr>
    <w:rPr>
      <w:rFonts w:ascii="宋体" w:hAnsi="宋体"/>
      <w:kern w:val="0"/>
      <w:sz w:val="24"/>
      <w:szCs w:val="24"/>
    </w:rPr>
  </w:style>
  <w:style w:type="paragraph" w:customStyle="1" w:styleId="40">
    <w:name w:val="小5正文"/>
    <w:basedOn w:val="41"/>
    <w:autoRedefine/>
    <w:qFormat/>
    <w:uiPriority w:val="0"/>
    <w:pPr>
      <w:adjustRightInd/>
      <w:spacing w:line="360" w:lineRule="auto"/>
      <w:ind w:firstLine="420" w:firstLineChars="200"/>
    </w:pPr>
    <w:rPr>
      <w:rFonts w:hAnsi="Times New Roman" w:cs="Times New Roman"/>
      <w:snapToGrid w:val="0"/>
      <w:spacing w:val="0"/>
      <w:sz w:val="21"/>
    </w:rPr>
  </w:style>
  <w:style w:type="paragraph" w:customStyle="1" w:styleId="41">
    <w:name w:val="正文2"/>
    <w:autoRedefine/>
    <w:qFormat/>
    <w:uiPriority w:val="99"/>
    <w:pPr>
      <w:widowControl w:val="0"/>
      <w:adjustRightInd w:val="0"/>
      <w:jc w:val="both"/>
    </w:pPr>
    <w:rPr>
      <w:rFonts w:ascii="Times New Roman" w:hAnsi="MS Mincho" w:eastAsia="宋体" w:cs="MS Mincho"/>
      <w:spacing w:val="-6"/>
      <w:sz w:val="10"/>
      <w:lang w:val="en-US" w:eastAsia="zh-CN" w:bidi="ar-SA"/>
    </w:rPr>
  </w:style>
  <w:style w:type="paragraph" w:customStyle="1" w:styleId="42">
    <w:name w:val="Other|1"/>
    <w:basedOn w:val="1"/>
    <w:autoRedefine/>
    <w:qFormat/>
    <w:uiPriority w:val="0"/>
    <w:pPr>
      <w:widowControl w:val="0"/>
      <w:shd w:val="clear" w:color="auto" w:fill="auto"/>
      <w:spacing w:after="220" w:line="310" w:lineRule="auto"/>
    </w:pPr>
    <w:rPr>
      <w:b/>
      <w:bCs/>
      <w:sz w:val="68"/>
      <w:szCs w:val="68"/>
      <w:u w:val="none"/>
      <w:shd w:val="clear" w:color="auto" w:fill="auto"/>
      <w:lang w:val="zh-TW" w:eastAsia="zh-TW" w:bidi="zh-TW"/>
    </w:rPr>
  </w:style>
  <w:style w:type="paragraph" w:customStyle="1" w:styleId="43">
    <w:name w:val="Body text|1"/>
    <w:basedOn w:val="1"/>
    <w:autoRedefine/>
    <w:qFormat/>
    <w:uiPriority w:val="0"/>
    <w:pPr>
      <w:spacing w:line="403" w:lineRule="auto"/>
      <w:ind w:firstLine="400"/>
      <w:jc w:val="left"/>
    </w:pPr>
    <w:rPr>
      <w:rFonts w:ascii="MingLiU" w:hAnsi="MingLiU" w:eastAsia="MingLiU" w:cs="MingLiU"/>
      <w:sz w:val="19"/>
      <w:szCs w:val="19"/>
      <w:lang w:val="zh-TW" w:eastAsia="zh-TW" w:bidi="zh-TW"/>
    </w:rPr>
  </w:style>
  <w:style w:type="paragraph" w:styleId="44">
    <w:name w:val="No Spacing"/>
    <w:autoRedefine/>
    <w:qFormat/>
    <w:uiPriority w:val="0"/>
    <w:pPr>
      <w:widowControl w:val="0"/>
      <w:jc w:val="center"/>
    </w:pPr>
    <w:rPr>
      <w:rFonts w:ascii="Verdana" w:hAnsi="Verdana" w:eastAsia="宋体" w:cs="Times New Roman"/>
      <w:snapToGrid w:val="0"/>
      <w:sz w:val="21"/>
      <w:szCs w:val="24"/>
      <w:lang w:val="en-US" w:eastAsia="en-US" w:bidi="ar-SA"/>
    </w:rPr>
  </w:style>
  <w:style w:type="paragraph" w:styleId="45">
    <w:name w:val="List Paragraph"/>
    <w:basedOn w:val="1"/>
    <w:autoRedefine/>
    <w:qFormat/>
    <w:uiPriority w:val="34"/>
    <w:pPr>
      <w:spacing w:line="500" w:lineRule="exact"/>
      <w:ind w:firstLine="420" w:firstLineChars="200"/>
    </w:pPr>
    <w:rPr>
      <w:sz w:val="24"/>
    </w:rPr>
  </w:style>
  <w:style w:type="paragraph" w:customStyle="1" w:styleId="46">
    <w:name w:val="1正文段落"/>
    <w:basedOn w:val="1"/>
    <w:autoRedefine/>
    <w:qFormat/>
    <w:uiPriority w:val="0"/>
    <w:pPr>
      <w:spacing w:line="360" w:lineRule="auto"/>
      <w:ind w:firstLine="480" w:firstLineChars="200"/>
      <w:jc w:val="left"/>
    </w:pPr>
    <w:rPr>
      <w:snapToGrid w:val="0"/>
      <w:kern w:val="0"/>
      <w:sz w:val="24"/>
      <w:szCs w:val="24"/>
    </w:rPr>
  </w:style>
  <w:style w:type="paragraph" w:customStyle="1" w:styleId="47">
    <w:name w:val="样式35"/>
    <w:basedOn w:val="1"/>
    <w:autoRedefine/>
    <w:qFormat/>
    <w:uiPriority w:val="0"/>
    <w:pPr>
      <w:adjustRightInd w:val="0"/>
      <w:spacing w:line="312" w:lineRule="auto"/>
      <w:ind w:firstLine="567"/>
    </w:pPr>
    <w:rPr>
      <w:rFonts w:ascii="宋体"/>
      <w:kern w:val="0"/>
      <w:sz w:val="28"/>
    </w:rPr>
  </w:style>
  <w:style w:type="paragraph" w:customStyle="1" w:styleId="48">
    <w:name w:val="表格内容"/>
    <w:basedOn w:val="1"/>
    <w:autoRedefine/>
    <w:qFormat/>
    <w:uiPriority w:val="0"/>
    <w:pPr>
      <w:spacing w:line="360" w:lineRule="exact"/>
      <w:ind w:firstLine="0" w:firstLineChars="0"/>
      <w:jc w:val="left"/>
    </w:pPr>
    <w:rPr>
      <w:rFonts w:cs="Times New Roman"/>
      <w:color w:val="0D0D0D"/>
      <w:kern w:val="0"/>
      <w:sz w:val="21"/>
      <w:szCs w:val="21"/>
    </w:rPr>
  </w:style>
  <w:style w:type="paragraph" w:customStyle="1" w:styleId="49">
    <w:name w:val="正文首行缩进1"/>
    <w:basedOn w:val="2"/>
    <w:autoRedefine/>
    <w:qFormat/>
    <w:uiPriority w:val="0"/>
    <w:pPr>
      <w:ind w:firstLine="420" w:firstLineChars="100"/>
    </w:pPr>
  </w:style>
  <w:style w:type="paragraph" w:customStyle="1" w:styleId="50">
    <w:name w:val="表格-可研"/>
    <w:basedOn w:val="51"/>
    <w:next w:val="1"/>
    <w:autoRedefine/>
    <w:qFormat/>
    <w:uiPriority w:val="0"/>
    <w:pPr>
      <w:autoSpaceDE w:val="0"/>
      <w:autoSpaceDN w:val="0"/>
      <w:spacing w:beforeLines="20" w:afterLines="20" w:line="240" w:lineRule="auto"/>
      <w:textAlignment w:val="center"/>
    </w:pPr>
    <w:rPr>
      <w:rFonts w:eastAsia="宋体"/>
      <w:color w:val="000000"/>
    </w:rPr>
  </w:style>
  <w:style w:type="paragraph" w:customStyle="1" w:styleId="51">
    <w:name w:val="表格"/>
    <w:basedOn w:val="1"/>
    <w:next w:val="1"/>
    <w:autoRedefine/>
    <w:qFormat/>
    <w:uiPriority w:val="0"/>
    <w:pPr>
      <w:adjustRightInd w:val="0"/>
      <w:snapToGrid w:val="0"/>
      <w:spacing w:line="240" w:lineRule="atLeast"/>
      <w:jc w:val="center"/>
    </w:pPr>
    <w:rPr>
      <w:rFonts w:eastAsia="仿宋_GB2312"/>
    </w:rPr>
  </w:style>
  <w:style w:type="paragraph" w:customStyle="1" w:styleId="52">
    <w:name w:val="4正文"/>
    <w:basedOn w:val="1"/>
    <w:autoRedefine/>
    <w:qFormat/>
    <w:uiPriority w:val="0"/>
    <w:pPr>
      <w:spacing w:line="360" w:lineRule="auto"/>
      <w:ind w:firstLine="200" w:firstLineChars="200"/>
    </w:pPr>
    <w:rPr>
      <w:rFonts w:ascii="Times New Roman" w:hAnsi="Times New Roman" w:eastAsia="宋体"/>
      <w:sz w:val="24"/>
    </w:rPr>
  </w:style>
  <w:style w:type="paragraph" w:customStyle="1" w:styleId="53">
    <w:name w:val="表头22"/>
    <w:basedOn w:val="1"/>
    <w:autoRedefine/>
    <w:qFormat/>
    <w:uiPriority w:val="0"/>
    <w:pPr>
      <w:widowControl/>
      <w:jc w:val="center"/>
    </w:pPr>
    <w:rPr>
      <w:rFonts w:ascii="Times New Roman" w:hAnsi="Times New Roman" w:eastAsia="宋体" w:cs="Times New Roman"/>
      <w:b/>
      <w:kern w:val="0"/>
      <w:sz w:val="24"/>
      <w:szCs w:val="24"/>
    </w:rPr>
  </w:style>
  <w:style w:type="paragraph" w:customStyle="1" w:styleId="54">
    <w:name w:val="正 文"/>
    <w:autoRedefine/>
    <w:qFormat/>
    <w:uiPriority w:val="0"/>
    <w:pPr>
      <w:widowControl w:val="0"/>
      <w:spacing w:line="480" w:lineRule="exact"/>
      <w:ind w:firstLine="471"/>
      <w:jc w:val="both"/>
    </w:pPr>
    <w:rPr>
      <w:rFonts w:ascii="Arial" w:hAnsi="Arial" w:eastAsia="宋体" w:cs="Times New Roman"/>
      <w:kern w:val="2"/>
      <w:sz w:val="24"/>
      <w:lang w:val="en-US" w:eastAsia="zh-CN" w:bidi="ar-SA"/>
    </w:rPr>
  </w:style>
  <w:style w:type="paragraph" w:customStyle="1" w:styleId="55">
    <w:name w:val="表中文字"/>
    <w:basedOn w:val="1"/>
    <w:autoRedefine/>
    <w:qFormat/>
    <w:uiPriority w:val="0"/>
    <w:pPr>
      <w:spacing w:line="300" w:lineRule="exact"/>
      <w:jc w:val="center"/>
    </w:pPr>
    <w:rPr>
      <w:rFonts w:ascii="宋体" w:hAnsi="宋体" w:cs="宋体"/>
      <w:b/>
      <w:color w:val="000000"/>
      <w:spacing w:val="4"/>
      <w:szCs w:val="24"/>
    </w:rPr>
  </w:style>
  <w:style w:type="paragraph" w:customStyle="1" w:styleId="56">
    <w:name w:val="表格内容自定"/>
    <w:basedOn w:val="1"/>
    <w:autoRedefine/>
    <w:qFormat/>
    <w:uiPriority w:val="0"/>
    <w:pPr>
      <w:spacing w:line="280" w:lineRule="exact"/>
      <w:jc w:val="center"/>
    </w:pPr>
    <w:rPr>
      <w:kern w:val="0"/>
      <w:sz w:val="18"/>
      <w:szCs w:val="20"/>
    </w:rPr>
  </w:style>
  <w:style w:type="paragraph" w:customStyle="1" w:styleId="57">
    <w:name w:val="表格1"/>
    <w:basedOn w:val="8"/>
    <w:autoRedefine/>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58">
    <w:name w:val="Table Paragraph"/>
    <w:basedOn w:val="1"/>
    <w:autoRedefine/>
    <w:qFormat/>
    <w:uiPriority w:val="1"/>
    <w:pPr>
      <w:autoSpaceDE w:val="0"/>
      <w:autoSpaceDN w:val="0"/>
      <w:jc w:val="left"/>
    </w:pPr>
    <w:rPr>
      <w:rFonts w:ascii="宋体" w:hAnsi="宋体" w:cs="宋体"/>
      <w:kern w:val="0"/>
      <w:sz w:val="22"/>
      <w:szCs w:val="22"/>
    </w:rPr>
  </w:style>
  <w:style w:type="paragraph" w:customStyle="1" w:styleId="59">
    <w:name w:val="表头5"/>
    <w:basedOn w:val="2"/>
    <w:autoRedefine/>
    <w:qFormat/>
    <w:uiPriority w:val="0"/>
    <w:pPr>
      <w:adjustRightInd/>
      <w:spacing w:after="0" w:afterLines="0"/>
      <w:jc w:val="center"/>
    </w:pPr>
    <w:rPr>
      <w:rFonts w:ascii="Times New Roman" w:hAnsi="Times New Roman"/>
      <w:b/>
      <w:sz w:val="21"/>
      <w:szCs w:val="24"/>
    </w:rPr>
  </w:style>
  <w:style w:type="paragraph" w:customStyle="1" w:styleId="60">
    <w:name w:val="环评 表格内容"/>
    <w:basedOn w:val="1"/>
    <w:autoRedefine/>
    <w:qFormat/>
    <w:uiPriority w:val="0"/>
    <w:pPr>
      <w:spacing w:line="240" w:lineRule="auto"/>
      <w:ind w:firstLine="0" w:firstLineChars="0"/>
      <w:jc w:val="center"/>
    </w:pPr>
    <w:rPr>
      <w:rFonts w:ascii="Times New Roman" w:hAnsi="Times New Roman" w:eastAsia="宋体" w:cs="Times New Roman"/>
      <w:sz w:val="21"/>
      <w:szCs w:val="21"/>
    </w:rPr>
  </w:style>
  <w:style w:type="paragraph" w:customStyle="1" w:styleId="61">
    <w:name w:val="表格加粗"/>
    <w:basedOn w:val="48"/>
    <w:autoRedefine/>
    <w:qFormat/>
    <w:uiPriority w:val="0"/>
    <w:rPr>
      <w:b/>
    </w:rPr>
  </w:style>
  <w:style w:type="paragraph" w:customStyle="1" w:styleId="62">
    <w:name w:val="bg"/>
    <w:basedOn w:val="1"/>
    <w:autoRedefine/>
    <w:qFormat/>
    <w:uiPriority w:val="0"/>
    <w:pPr>
      <w:widowControl/>
    </w:pPr>
    <w:rPr>
      <w:kern w:val="0"/>
      <w:sz w:val="24"/>
      <w:szCs w:val="20"/>
    </w:rPr>
  </w:style>
  <w:style w:type="paragraph" w:customStyle="1" w:styleId="63">
    <w:name w:val="表格正文"/>
    <w:basedOn w:val="8"/>
    <w:next w:val="1"/>
    <w:autoRedefine/>
    <w:qFormat/>
    <w:uiPriority w:val="0"/>
    <w:pPr>
      <w:spacing w:line="360" w:lineRule="exact"/>
      <w:jc w:val="center"/>
    </w:pPr>
    <w:rPr>
      <w:szCs w:val="20"/>
    </w:rPr>
  </w:style>
  <w:style w:type="paragraph" w:customStyle="1" w:styleId="64">
    <w:name w:val="p0"/>
    <w:basedOn w:val="1"/>
    <w:autoRedefine/>
    <w:qFormat/>
    <w:uiPriority w:val="0"/>
    <w:pPr>
      <w:widowControl/>
    </w:pPr>
    <w:rPr>
      <w:kern w:val="0"/>
      <w:szCs w:val="21"/>
    </w:rPr>
  </w:style>
  <w:style w:type="paragraph" w:customStyle="1" w:styleId="65">
    <w:name w:val="表-正文"/>
    <w:basedOn w:val="1"/>
    <w:autoRedefine/>
    <w:qFormat/>
    <w:uiPriority w:val="0"/>
    <w:pPr>
      <w:adjustRightInd w:val="0"/>
      <w:snapToGrid w:val="0"/>
      <w:spacing w:line="360" w:lineRule="auto"/>
      <w:jc w:val="center"/>
    </w:pPr>
    <w:rPr>
      <w:bCs/>
      <w:szCs w:val="72"/>
    </w:rPr>
  </w:style>
  <w:style w:type="paragraph" w:customStyle="1" w:styleId="66">
    <w:name w:val="BodyText1I2"/>
    <w:basedOn w:val="1"/>
    <w:next w:val="1"/>
    <w:autoRedefine/>
    <w:qFormat/>
    <w:uiPriority w:val="0"/>
    <w:pPr>
      <w:ind w:firstLine="420"/>
      <w:jc w:val="both"/>
      <w:textAlignment w:val="baseline"/>
    </w:pPr>
  </w:style>
  <w:style w:type="paragraph" w:customStyle="1" w:styleId="67">
    <w:name w:val="表体"/>
    <w:autoRedefine/>
    <w:qFormat/>
    <w:uiPriority w:val="0"/>
    <w:pPr>
      <w:jc w:val="center"/>
    </w:pPr>
    <w:rPr>
      <w:rFonts w:ascii="宋体" w:hAnsi="宋体" w:eastAsia="宋体" w:cs="Times New Roman"/>
      <w:color w:val="000080"/>
      <w:kern w:val="2"/>
      <w:sz w:val="24"/>
      <w:szCs w:val="24"/>
      <w:lang w:val="en-US" w:eastAsia="zh-CN" w:bidi="ar-SA"/>
    </w:rPr>
  </w:style>
  <w:style w:type="paragraph" w:customStyle="1" w:styleId="68">
    <w:name w:val="A标准格式"/>
    <w:basedOn w:val="1"/>
    <w:autoRedefine/>
    <w:qFormat/>
    <w:uiPriority w:val="0"/>
    <w:pPr>
      <w:ind w:firstLine="480"/>
    </w:pPr>
  </w:style>
  <w:style w:type="paragraph" w:customStyle="1" w:styleId="69">
    <w:name w:val="！ 正文"/>
    <w:basedOn w:val="1"/>
    <w:autoRedefine/>
    <w:qFormat/>
    <w:uiPriority w:val="0"/>
    <w:pPr>
      <w:adjustRightInd w:val="0"/>
      <w:snapToGrid w:val="0"/>
      <w:spacing w:line="360" w:lineRule="auto"/>
      <w:ind w:firstLine="200" w:firstLineChars="200"/>
    </w:pPr>
    <w:rPr>
      <w:sz w:val="24"/>
    </w:rPr>
  </w:style>
  <w:style w:type="paragraph" w:customStyle="1" w:styleId="70">
    <w:name w:val="表格 32"/>
    <w:basedOn w:val="1"/>
    <w:autoRedefine/>
    <w:qFormat/>
    <w:uiPriority w:val="0"/>
    <w:pPr>
      <w:autoSpaceDE w:val="0"/>
      <w:autoSpaceDN w:val="0"/>
      <w:adjustRightInd w:val="0"/>
      <w:jc w:val="center"/>
      <w:textAlignment w:val="baseline"/>
    </w:pPr>
    <w:rPr>
      <w:rFonts w:ascii="宋体" w:hAnsi="Impact"/>
      <w:kern w:val="24"/>
      <w:sz w:val="24"/>
      <w:szCs w:val="20"/>
    </w:rPr>
  </w:style>
  <w:style w:type="paragraph" w:customStyle="1" w:styleId="71">
    <w:name w:val="li_正文"/>
    <w:basedOn w:val="1"/>
    <w:autoRedefine/>
    <w:unhideWhenUsed/>
    <w:qFormat/>
    <w:uiPriority w:val="0"/>
    <w:pPr>
      <w:tabs>
        <w:tab w:val="left" w:pos="2340"/>
        <w:tab w:val="left" w:pos="4320"/>
      </w:tabs>
      <w:spacing w:beforeLines="0" w:afterLines="0"/>
      <w:ind w:firstLine="530" w:firstLineChars="200"/>
      <w:jc w:val="left"/>
    </w:pPr>
    <w:rPr>
      <w:rFonts w:hint="default"/>
      <w:sz w:val="28"/>
      <w:szCs w:val="24"/>
    </w:rPr>
  </w:style>
  <w:style w:type="paragraph" w:customStyle="1" w:styleId="72">
    <w:name w:val="表头"/>
    <w:basedOn w:val="1"/>
    <w:autoRedefine/>
    <w:unhideWhenUsed/>
    <w:qFormat/>
    <w:uiPriority w:val="0"/>
    <w:pPr>
      <w:adjustRightInd w:val="0"/>
      <w:spacing w:beforeLines="0" w:afterLines="0" w:line="320" w:lineRule="atLeast"/>
      <w:jc w:val="center"/>
    </w:pPr>
    <w:rPr>
      <w:rFonts w:hint="eastAsia" w:ascii="黑体" w:hAnsi="黑体" w:eastAsia="黑体"/>
      <w:spacing w:val="-10"/>
      <w:kern w:val="0"/>
      <w:sz w:val="21"/>
      <w:szCs w:val="24"/>
    </w:rPr>
  </w:style>
  <w:style w:type="paragraph" w:customStyle="1" w:styleId="73">
    <w:name w:val="Body Text 21"/>
    <w:basedOn w:val="1"/>
    <w:autoRedefine/>
    <w:unhideWhenUsed/>
    <w:qFormat/>
    <w:uiPriority w:val="0"/>
    <w:pPr>
      <w:adjustRightInd w:val="0"/>
      <w:spacing w:beforeLines="0" w:afterLines="0"/>
    </w:pPr>
    <w:rPr>
      <w:rFonts w:hint="eastAsia" w:ascii="仿宋_GB2312" w:hAnsi="Times New Roman" w:eastAsia="仿宋_GB2312"/>
      <w:sz w:val="24"/>
      <w:szCs w:val="24"/>
    </w:rPr>
  </w:style>
  <w:style w:type="paragraph" w:customStyle="1" w:styleId="74">
    <w:name w:val="报告书正文"/>
    <w:basedOn w:val="1"/>
    <w:autoRedefine/>
    <w:unhideWhenUsed/>
    <w:qFormat/>
    <w:uiPriority w:val="0"/>
    <w:pPr>
      <w:spacing w:beforeLines="0" w:afterLines="0" w:line="360" w:lineRule="auto"/>
      <w:ind w:firstLine="560" w:firstLineChars="200"/>
    </w:pPr>
    <w:rPr>
      <w:rFonts w:hint="eastAsia" w:ascii="宋体" w:hAnsi="宋体" w:eastAsia="宋体"/>
      <w:kern w:val="0"/>
      <w:sz w:val="28"/>
      <w:szCs w:val="24"/>
    </w:rPr>
  </w:style>
  <w:style w:type="paragraph" w:customStyle="1" w:styleId="75">
    <w:name w:val="bt2"/>
    <w:basedOn w:val="1"/>
    <w:autoRedefine/>
    <w:unhideWhenUsed/>
    <w:qFormat/>
    <w:uiPriority w:val="0"/>
    <w:pPr>
      <w:autoSpaceDE w:val="0"/>
      <w:autoSpaceDN w:val="0"/>
      <w:adjustRightInd w:val="0"/>
      <w:spacing w:beforeLines="0" w:afterLines="0" w:line="360" w:lineRule="auto"/>
    </w:pPr>
    <w:rPr>
      <w:rFonts w:hint="eastAsia" w:ascii="宋体"/>
      <w:b/>
      <w:kern w:val="0"/>
      <w:sz w:val="28"/>
      <w:szCs w:val="24"/>
    </w:rPr>
  </w:style>
  <w:style w:type="paragraph" w:customStyle="1" w:styleId="76">
    <w:name w:val="36表头"/>
    <w:autoRedefine/>
    <w:unhideWhenUsed/>
    <w:qFormat/>
    <w:uiPriority w:val="0"/>
    <w:pPr>
      <w:jc w:val="center"/>
    </w:pPr>
    <w:rPr>
      <w:rFonts w:hint="eastAsia" w:ascii="Times New Roman" w:hAnsi="Times New Roman" w:eastAsia="Times New Roman" w:cs="Times New Roman"/>
      <w:b/>
      <w:kern w:val="2"/>
      <w:sz w:val="24"/>
      <w:szCs w:val="24"/>
      <w:lang w:val="en-US" w:eastAsia="zh-CN" w:bidi="ar-SA"/>
    </w:rPr>
  </w:style>
  <w:style w:type="paragraph" w:customStyle="1" w:styleId="77">
    <w:name w:val="36表格内"/>
    <w:autoRedefine/>
    <w:unhideWhenUsed/>
    <w:qFormat/>
    <w:uiPriority w:val="0"/>
    <w:pPr>
      <w:jc w:val="center"/>
    </w:pPr>
    <w:rPr>
      <w:rFonts w:hint="eastAsia" w:ascii="Times New Roman" w:hAnsi="Times New Roman" w:eastAsia="Times New Roman" w:cs="Times New Roman"/>
      <w:kern w:val="2"/>
      <w:sz w:val="21"/>
      <w:szCs w:val="24"/>
      <w:lang w:val="en-US" w:eastAsia="zh-CN" w:bidi="ar-SA"/>
    </w:rPr>
  </w:style>
  <w:style w:type="paragraph" w:customStyle="1" w:styleId="78">
    <w:name w:val="正文样式"/>
    <w:basedOn w:val="1"/>
    <w:autoRedefine/>
    <w:unhideWhenUsed/>
    <w:qFormat/>
    <w:uiPriority w:val="0"/>
    <w:pPr>
      <w:spacing w:beforeLines="0" w:afterLines="0" w:line="360" w:lineRule="auto"/>
      <w:ind w:firstLine="480" w:firstLineChars="200"/>
    </w:pPr>
    <w:rPr>
      <w:rFonts w:hint="default" w:cs="黑体"/>
      <w:sz w:val="24"/>
      <w:szCs w:val="22"/>
    </w:rPr>
  </w:style>
  <w:style w:type="paragraph" w:customStyle="1" w:styleId="79">
    <w:name w:val="正文1"/>
    <w:basedOn w:val="1"/>
    <w:unhideWhenUsed/>
    <w:qFormat/>
    <w:uiPriority w:val="0"/>
    <w:pPr>
      <w:spacing w:beforeLines="0" w:afterLines="0" w:line="600" w:lineRule="exact"/>
      <w:ind w:firstLine="200" w:firstLineChars="200"/>
    </w:pPr>
    <w:rPr>
      <w:rFonts w:hint="default"/>
      <w:sz w:val="28"/>
      <w:szCs w:val="24"/>
    </w:rPr>
  </w:style>
  <w:style w:type="paragraph" w:customStyle="1" w:styleId="80">
    <w:name w:val="表单倍"/>
    <w:basedOn w:val="1"/>
    <w:unhideWhenUsed/>
    <w:qFormat/>
    <w:uiPriority w:val="0"/>
    <w:pPr>
      <w:adjustRightInd w:val="0"/>
      <w:snapToGrid w:val="0"/>
      <w:jc w:val="center"/>
    </w:pPr>
    <w:rPr>
      <w:rFonts w:hint="default"/>
      <w:sz w:val="21"/>
      <w:szCs w:val="24"/>
    </w:rPr>
  </w:style>
  <w:style w:type="paragraph" w:customStyle="1" w:styleId="81">
    <w:name w:val="报告正文"/>
    <w:basedOn w:val="14"/>
    <w:unhideWhenUsed/>
    <w:qFormat/>
    <w:uiPriority w:val="0"/>
    <w:pPr>
      <w:spacing w:beforeLines="0" w:afterLines="0" w:line="600" w:lineRule="exact"/>
      <w:ind w:firstLine="567"/>
    </w:pPr>
    <w:rPr>
      <w:rFonts w:hint="default" w:hAnsi="宋体" w:cs="Times New Roman"/>
      <w:sz w:val="28"/>
      <w:szCs w:val="28"/>
    </w:rPr>
  </w:style>
  <w:style w:type="paragraph" w:customStyle="1" w:styleId="82">
    <w:name w:val="样式 小四 行距: 1.5 倍行距"/>
    <w:basedOn w:val="1"/>
    <w:unhideWhenUsed/>
    <w:qFormat/>
    <w:uiPriority w:val="0"/>
    <w:pPr>
      <w:spacing w:beforeLines="0" w:afterLines="0"/>
      <w:ind w:firstLine="480" w:firstLineChars="200"/>
    </w:pPr>
    <w:rPr>
      <w:rFonts w:hint="default" w:cs="宋体"/>
      <w:sz w:val="21"/>
      <w:szCs w:val="24"/>
    </w:rPr>
  </w:style>
  <w:style w:type="paragraph" w:customStyle="1" w:styleId="83">
    <w:name w:val="! 表中"/>
    <w:unhideWhenUsed/>
    <w:qFormat/>
    <w:uiPriority w:val="0"/>
    <w:pPr>
      <w:overflowPunct w:val="0"/>
      <w:autoSpaceDE w:val="0"/>
      <w:autoSpaceDN w:val="0"/>
      <w:adjustRightInd w:val="0"/>
      <w:snapToGrid w:val="0"/>
      <w:spacing w:beforeLines="0" w:afterLines="0"/>
      <w:jc w:val="center"/>
      <w:textAlignment w:val="baseline"/>
    </w:pPr>
    <w:rPr>
      <w:rFonts w:hint="default" w:ascii="Times New Roman" w:hAnsi="Times New Roman" w:eastAsia="宋体" w:cs="Times New Roman"/>
      <w:sz w:val="21"/>
      <w:szCs w:val="24"/>
      <w:lang w:val="en-US" w:eastAsia="zh-CN" w:bidi="ar-SA"/>
    </w:rPr>
  </w:style>
  <w:style w:type="paragraph" w:customStyle="1" w:styleId="84">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emf"/><Relationship Id="rId21" Type="http://schemas.openxmlformats.org/officeDocument/2006/relationships/oleObject" Target="embeddings/oleObject7.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10877</Words>
  <Characters>11765</Characters>
  <Lines>0</Lines>
  <Paragraphs>0</Paragraphs>
  <TotalTime>93</TotalTime>
  <ScaleCrop>false</ScaleCrop>
  <LinksUpToDate>false</LinksUpToDate>
  <CharactersWithSpaces>11940</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2022-10-11T16:23:00Z</dcterms:created>
  <dc:creator>谁释谁刃</dc:creator>
  <cp:lastModifiedBy>uos</cp:lastModifiedBy>
  <dcterms:modified xsi:type="dcterms:W3CDTF">2025-06-24T08:16:45Z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D433D37C1FAE44D0B71F6AB8184347DC_13</vt:lpwstr>
  </property>
  <property fmtid="{D5CDD505-2E9C-101B-9397-08002B2CF9AE}" pid="4" name="KSOTemplateDocerSaveRecord">
    <vt:lpwstr>eyJoZGlkIjoiOGQ4MTAxM2ZmOTZkZWQ1ZjkxZDE3N2E3N2FkODIzZjkiLCJ1c2VySWQiOiIzMzQwODc5NTcifQ==</vt:lpwstr>
  </property>
</Properties>
</file>