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4BF78">
      <w:pPr>
        <w:jc w:val="both"/>
        <w:rPr>
          <w:rFonts w:hint="eastAsia" w:ascii="仿宋_GB2312" w:hAnsi="仿宋_GB2312" w:eastAsia="仿宋_GB2312" w:cs="仿宋_GB2312"/>
          <w:b w:val="0"/>
          <w:bCs/>
          <w:strike w:val="0"/>
          <w:dstrike w:val="0"/>
          <w:color w:val="444444"/>
          <w:kern w:val="0"/>
          <w:sz w:val="28"/>
          <w:szCs w:val="28"/>
          <w:u w:val="none"/>
          <w:lang w:eastAsia="zh-CN"/>
        </w:rPr>
      </w:pPr>
    </w:p>
    <w:p w14:paraId="3A0CB0C2">
      <w:pPr>
        <w:ind w:firstLine="2520" w:firstLineChars="900"/>
        <w:jc w:val="both"/>
        <w:rPr>
          <w:rFonts w:hint="eastAsia" w:ascii="仿宋_GB2312" w:hAnsi="仿宋_GB2312" w:eastAsia="仿宋_GB2312" w:cs="仿宋_GB2312"/>
          <w:b w:val="0"/>
          <w:bCs/>
          <w:strike w:val="0"/>
          <w:dstrike w:val="0"/>
          <w:color w:val="444444"/>
          <w:kern w:val="0"/>
          <w:sz w:val="28"/>
          <w:szCs w:val="28"/>
          <w:u w:val="none"/>
          <w:lang w:eastAsia="zh-CN"/>
        </w:rPr>
      </w:pPr>
    </w:p>
    <w:p w14:paraId="4C21A648">
      <w:pPr>
        <w:ind w:firstLine="1170" w:firstLineChars="900"/>
        <w:jc w:val="both"/>
        <w:rPr>
          <w:rFonts w:hint="eastAsia" w:ascii="仿宋_GB2312" w:hAnsi="仿宋_GB2312" w:eastAsia="仿宋_GB2312" w:cs="仿宋_GB2312"/>
          <w:b w:val="0"/>
          <w:bCs/>
          <w:strike w:val="0"/>
          <w:dstrike w:val="0"/>
          <w:color w:val="444444"/>
          <w:kern w:val="0"/>
          <w:sz w:val="13"/>
          <w:szCs w:val="13"/>
          <w:u w:val="none"/>
          <w:lang w:eastAsia="zh-CN"/>
        </w:rPr>
      </w:pPr>
    </w:p>
    <w:p w14:paraId="05E37E78">
      <w:pPr>
        <w:ind w:firstLine="1170" w:firstLineChars="900"/>
        <w:jc w:val="both"/>
        <w:rPr>
          <w:rFonts w:hint="eastAsia" w:ascii="仿宋_GB2312" w:hAnsi="仿宋_GB2312" w:eastAsia="仿宋_GB2312" w:cs="仿宋_GB2312"/>
          <w:b w:val="0"/>
          <w:bCs/>
          <w:strike w:val="0"/>
          <w:dstrike w:val="0"/>
          <w:color w:val="444444"/>
          <w:kern w:val="0"/>
          <w:sz w:val="13"/>
          <w:szCs w:val="13"/>
          <w:u w:val="none"/>
          <w:lang w:eastAsia="zh-CN"/>
        </w:rPr>
      </w:pPr>
    </w:p>
    <w:p w14:paraId="61058628">
      <w:pPr>
        <w:jc w:val="both"/>
        <w:rPr>
          <w:rFonts w:hint="eastAsia" w:ascii="仿宋_GB2312" w:hAnsi="仿宋_GB2312" w:eastAsia="仿宋_GB2312" w:cs="仿宋_GB2312"/>
          <w:b w:val="0"/>
          <w:bCs/>
          <w:strike w:val="0"/>
          <w:dstrike w:val="0"/>
          <w:color w:val="444444"/>
          <w:kern w:val="0"/>
          <w:sz w:val="28"/>
          <w:szCs w:val="28"/>
          <w:u w:val="none"/>
          <w:lang w:eastAsia="zh-CN"/>
        </w:rPr>
      </w:pPr>
    </w:p>
    <w:p w14:paraId="51966B6C">
      <w:pPr>
        <w:ind w:firstLine="2520" w:firstLineChars="900"/>
        <w:jc w:val="both"/>
        <w:rPr>
          <w:rFonts w:hint="eastAsia" w:ascii="仿宋_GB2312" w:hAnsi="仿宋_GB2312" w:eastAsia="仿宋_GB2312" w:cs="仿宋_GB2312"/>
          <w:b w:val="0"/>
          <w:bCs/>
          <w:strike w:val="0"/>
          <w:dstrike w:val="0"/>
          <w:color w:val="444444"/>
          <w:kern w:val="0"/>
          <w:sz w:val="28"/>
          <w:szCs w:val="28"/>
          <w:u w:val="none"/>
          <w:lang w:eastAsia="zh-CN"/>
        </w:rPr>
      </w:pPr>
    </w:p>
    <w:p w14:paraId="2EBAA865">
      <w:pPr>
        <w:pStyle w:val="2"/>
        <w:rPr>
          <w:rFonts w:hint="eastAsia" w:eastAsia="宋体"/>
          <w:lang w:eastAsia="zh-CN"/>
        </w:rPr>
      </w:pPr>
    </w:p>
    <w:p w14:paraId="10CB24B9">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b w:val="0"/>
          <w:bCs/>
          <w:strike w:val="0"/>
          <w:dstrike w:val="0"/>
          <w:color w:val="444444"/>
          <w:kern w:val="0"/>
          <w:sz w:val="32"/>
          <w:szCs w:val="32"/>
          <w:u w:val="none"/>
          <w:lang w:val="en-US" w:eastAsia="zh-CN"/>
        </w:rPr>
      </w:pPr>
      <w:r>
        <w:rPr>
          <w:rFonts w:hint="eastAsia" w:ascii="仿宋_GB2312" w:hAnsi="仿宋_GB2312" w:eastAsia="仿宋_GB2312" w:cs="仿宋_GB2312"/>
          <w:b w:val="0"/>
          <w:bCs/>
          <w:strike w:val="0"/>
          <w:dstrike w:val="0"/>
          <w:color w:val="444444"/>
          <w:kern w:val="0"/>
          <w:sz w:val="32"/>
          <w:szCs w:val="32"/>
          <w:u w:val="none"/>
          <w:lang w:eastAsia="zh-CN"/>
        </w:rPr>
        <w:t>刘政〔</w:t>
      </w:r>
      <w:r>
        <w:rPr>
          <w:rFonts w:hint="default" w:ascii="Times New Roman" w:hAnsi="Times New Roman" w:eastAsia="仿宋_GB2312" w:cs="Times New Roman"/>
          <w:b w:val="0"/>
          <w:bCs/>
          <w:strike w:val="0"/>
          <w:dstrike w:val="0"/>
          <w:color w:val="444444"/>
          <w:kern w:val="0"/>
          <w:sz w:val="32"/>
          <w:szCs w:val="32"/>
          <w:u w:val="none"/>
          <w:lang w:val="en-US" w:eastAsia="zh-CN"/>
        </w:rPr>
        <w:t>202</w:t>
      </w:r>
      <w:r>
        <w:rPr>
          <w:rFonts w:hint="eastAsia" w:ascii="Times New Roman" w:hAnsi="Times New Roman" w:eastAsia="仿宋_GB2312" w:cs="Times New Roman"/>
          <w:b w:val="0"/>
          <w:bCs/>
          <w:strike w:val="0"/>
          <w:dstrike w:val="0"/>
          <w:color w:val="444444"/>
          <w:kern w:val="0"/>
          <w:sz w:val="32"/>
          <w:szCs w:val="32"/>
          <w:u w:val="none"/>
          <w:lang w:val="en-US" w:eastAsia="zh-CN"/>
        </w:rPr>
        <w:t>2</w:t>
      </w:r>
      <w:r>
        <w:rPr>
          <w:rFonts w:hint="eastAsia" w:ascii="仿宋_GB2312" w:hAnsi="仿宋_GB2312" w:eastAsia="仿宋_GB2312" w:cs="仿宋_GB2312"/>
          <w:b w:val="0"/>
          <w:bCs/>
          <w:strike w:val="0"/>
          <w:dstrike w:val="0"/>
          <w:color w:val="444444"/>
          <w:kern w:val="0"/>
          <w:sz w:val="32"/>
          <w:szCs w:val="32"/>
          <w:u w:val="none"/>
          <w:lang w:eastAsia="zh-CN"/>
        </w:rPr>
        <w:t>〕</w:t>
      </w:r>
      <w:r>
        <w:rPr>
          <w:rFonts w:hint="default" w:ascii="Times New Roman" w:hAnsi="Times New Roman" w:eastAsia="仿宋_GB2312" w:cs="Times New Roman"/>
          <w:b w:val="0"/>
          <w:bCs/>
          <w:strike w:val="0"/>
          <w:dstrike w:val="0"/>
          <w:color w:val="444444"/>
          <w:kern w:val="0"/>
          <w:sz w:val="32"/>
          <w:szCs w:val="32"/>
          <w:u w:val="none"/>
          <w:lang w:val="en-US" w:eastAsia="zh-CN"/>
        </w:rPr>
        <w:t>108</w:t>
      </w:r>
      <w:r>
        <w:rPr>
          <w:rFonts w:hint="eastAsia" w:ascii="仿宋_GB2312" w:hAnsi="仿宋_GB2312" w:eastAsia="仿宋_GB2312" w:cs="仿宋_GB2312"/>
          <w:b w:val="0"/>
          <w:bCs/>
          <w:strike w:val="0"/>
          <w:dstrike w:val="0"/>
          <w:color w:val="444444"/>
          <w:kern w:val="0"/>
          <w:sz w:val="32"/>
          <w:szCs w:val="32"/>
          <w:u w:val="none"/>
          <w:lang w:val="en-US" w:eastAsia="zh-CN"/>
        </w:rPr>
        <w:t>号</w:t>
      </w:r>
    </w:p>
    <w:p w14:paraId="43E54CAE">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eastAsia" w:ascii="仿宋" w:hAnsi="仿宋" w:eastAsia="仿宋" w:cs="仿宋"/>
          <w:b w:val="0"/>
          <w:bCs/>
          <w:strike w:val="0"/>
          <w:dstrike w:val="0"/>
          <w:color w:val="444444"/>
          <w:kern w:val="0"/>
          <w:sz w:val="32"/>
          <w:szCs w:val="32"/>
          <w:u w:val="none"/>
          <w:lang w:val="en-US" w:eastAsia="zh-CN"/>
        </w:rPr>
      </w:pPr>
    </w:p>
    <w:p w14:paraId="4BE51E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刘集</w:t>
      </w:r>
      <w:r>
        <w:rPr>
          <w:rFonts w:hint="eastAsia" w:ascii="方正小标宋简体" w:hAnsi="方正小标宋简体" w:eastAsia="方正小标宋简体" w:cs="方正小标宋简体"/>
          <w:sz w:val="44"/>
          <w:szCs w:val="44"/>
          <w:lang w:val="en-US" w:eastAsia="zh-CN"/>
        </w:rPr>
        <w:t>镇人民政府关于印发《</w:t>
      </w:r>
      <w:r>
        <w:rPr>
          <w:rFonts w:hint="eastAsia" w:ascii="方正小标宋简体" w:hAnsi="方正小标宋简体" w:eastAsia="方正小标宋简体" w:cs="方正小标宋简体"/>
          <w:sz w:val="44"/>
          <w:szCs w:val="44"/>
        </w:rPr>
        <w:t>刘集镇国民经济和社会发展第十四个五年规划和2035年</w:t>
      </w:r>
    </w:p>
    <w:p w14:paraId="355253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远景目标纲要</w:t>
      </w:r>
      <w:r>
        <w:rPr>
          <w:rFonts w:hint="eastAsia" w:ascii="方正小标宋简体" w:hAnsi="方正小标宋简体" w:eastAsia="方正小标宋简体" w:cs="方正小标宋简体"/>
          <w:sz w:val="44"/>
          <w:szCs w:val="44"/>
          <w:lang w:val="en-US" w:eastAsia="zh-CN"/>
        </w:rPr>
        <w:t>》的通知</w:t>
      </w:r>
    </w:p>
    <w:p w14:paraId="40E18B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7C51A6F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村（居）、镇直各单位</w:t>
      </w:r>
      <w:r>
        <w:rPr>
          <w:rFonts w:hint="eastAsia" w:ascii="仿宋_GB2312" w:hAnsi="仿宋_GB2312" w:eastAsia="仿宋_GB2312" w:cs="仿宋_GB2312"/>
          <w:sz w:val="32"/>
          <w:szCs w:val="32"/>
        </w:rPr>
        <w:t>：</w:t>
      </w:r>
    </w:p>
    <w:p w14:paraId="72BB95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《刘集镇国民经济和社会发展第十四个五年规划和2035年远景目标纲要》已经</w:t>
      </w:r>
      <w:r>
        <w:rPr>
          <w:rFonts w:hint="eastAsia" w:ascii="仿宋_GB2312" w:hAnsi="仿宋_GB2312" w:eastAsia="仿宋_GB2312" w:cs="仿宋_GB2312"/>
          <w:sz w:val="32"/>
          <w:szCs w:val="32"/>
          <w:lang w:val="en-US" w:eastAsia="zh-CN"/>
        </w:rPr>
        <w:t>刘集镇</w:t>
      </w:r>
      <w:r>
        <w:rPr>
          <w:rFonts w:hint="eastAsia" w:ascii="仿宋_GB2312" w:hAnsi="仿宋_GB2312" w:eastAsia="仿宋_GB2312" w:cs="仿宋_GB2312"/>
          <w:sz w:val="32"/>
          <w:szCs w:val="32"/>
        </w:rPr>
        <w:t>人民政府同意，现印发给你们，请认真贯彻执行。</w:t>
      </w:r>
    </w:p>
    <w:p w14:paraId="22495524">
      <w:pPr>
        <w:keepNext w:val="0"/>
        <w:keepLines w:val="0"/>
        <w:pageBreakBefore w:val="0"/>
        <w:widowControl w:val="0"/>
        <w:kinsoku/>
        <w:wordWrap w:val="0"/>
        <w:overflowPunct/>
        <w:topLinePunct w:val="0"/>
        <w:autoSpaceDE/>
        <w:autoSpaceDN/>
        <w:bidi w:val="0"/>
        <w:adjustRightInd/>
        <w:snapToGrid/>
        <w:spacing w:line="560" w:lineRule="exact"/>
        <w:ind w:left="0" w:leftChars="0" w:right="443" w:rightChars="211" w:firstLine="4419" w:firstLineChars="1381"/>
        <w:jc w:val="center"/>
        <w:textAlignment w:val="auto"/>
        <w:rPr>
          <w:rFonts w:hint="eastAsia" w:ascii="仿宋_GB2312" w:hAnsi="仿宋_GB2312" w:eastAsia="仿宋_GB2312" w:cs="仿宋_GB2312"/>
          <w:sz w:val="32"/>
          <w:szCs w:val="32"/>
          <w:lang w:val="en-US" w:eastAsia="zh-CN"/>
        </w:rPr>
      </w:pPr>
    </w:p>
    <w:p w14:paraId="34E7DCE1">
      <w:pPr>
        <w:keepNext w:val="0"/>
        <w:keepLines w:val="0"/>
        <w:pageBreakBefore w:val="0"/>
        <w:widowControl w:val="0"/>
        <w:kinsoku/>
        <w:wordWrap w:val="0"/>
        <w:overflowPunct/>
        <w:topLinePunct w:val="0"/>
        <w:autoSpaceDE/>
        <w:autoSpaceDN/>
        <w:bidi w:val="0"/>
        <w:adjustRightInd/>
        <w:snapToGrid/>
        <w:spacing w:line="560" w:lineRule="exact"/>
        <w:ind w:left="0" w:leftChars="0" w:right="443" w:rightChars="211" w:firstLine="4419" w:firstLineChars="1381"/>
        <w:jc w:val="center"/>
        <w:textAlignment w:val="auto"/>
        <w:rPr>
          <w:rFonts w:hint="eastAsia" w:ascii="仿宋_GB2312" w:hAnsi="仿宋_GB2312" w:eastAsia="仿宋_GB2312" w:cs="仿宋_GB2312"/>
          <w:sz w:val="32"/>
          <w:szCs w:val="32"/>
          <w:lang w:val="en-US" w:eastAsia="zh-CN"/>
        </w:rPr>
      </w:pPr>
    </w:p>
    <w:p w14:paraId="479C5C0E">
      <w:pPr>
        <w:keepNext w:val="0"/>
        <w:keepLines w:val="0"/>
        <w:pageBreakBefore w:val="0"/>
        <w:widowControl w:val="0"/>
        <w:kinsoku/>
        <w:wordWrap w:val="0"/>
        <w:overflowPunct/>
        <w:topLinePunct w:val="0"/>
        <w:autoSpaceDE/>
        <w:autoSpaceDN/>
        <w:bidi w:val="0"/>
        <w:adjustRightInd/>
        <w:snapToGrid/>
        <w:spacing w:line="560" w:lineRule="exact"/>
        <w:ind w:left="0" w:leftChars="0" w:right="443" w:rightChars="211" w:firstLine="4419" w:firstLineChars="1381"/>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刘集镇人民政府</w:t>
      </w:r>
    </w:p>
    <w:p w14:paraId="6CD2F841">
      <w:pPr>
        <w:keepNext w:val="0"/>
        <w:keepLines w:val="0"/>
        <w:pageBreakBefore w:val="0"/>
        <w:widowControl w:val="0"/>
        <w:kinsoku/>
        <w:wordWrap w:val="0"/>
        <w:overflowPunct/>
        <w:topLinePunct w:val="0"/>
        <w:autoSpaceDE/>
        <w:autoSpaceDN/>
        <w:bidi w:val="0"/>
        <w:adjustRightInd/>
        <w:snapToGrid/>
        <w:spacing w:line="560" w:lineRule="exact"/>
        <w:ind w:left="0" w:leftChars="0" w:right="443" w:rightChars="211" w:firstLine="4419" w:firstLineChars="1381"/>
        <w:jc w:val="center"/>
        <w:textAlignment w:val="auto"/>
        <w:rPr>
          <w:rFonts w:hint="default" w:ascii="仿宋_GB2312" w:hAnsi="仿宋_GB2312" w:eastAsia="仿宋_GB2312" w:cs="仿宋_GB2312"/>
          <w:sz w:val="32"/>
          <w:szCs w:val="32"/>
          <w:lang w:val="en-US"/>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19</w:t>
      </w:r>
      <w:r>
        <w:rPr>
          <w:rFonts w:hint="eastAsia" w:ascii="仿宋_GB2312" w:hAnsi="仿宋_GB2312" w:eastAsia="仿宋_GB2312" w:cs="仿宋_GB2312"/>
          <w:sz w:val="32"/>
          <w:szCs w:val="32"/>
          <w:lang w:val="en-US" w:eastAsia="zh-CN"/>
        </w:rPr>
        <w:t>日</w:t>
      </w:r>
    </w:p>
    <w:p w14:paraId="242B70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62FBCB95">
      <w:pPr>
        <w:pStyle w:val="2"/>
        <w:ind w:left="0" w:leftChars="0" w:firstLine="0" w:firstLineChars="0"/>
        <w:rPr>
          <w:rFonts w:hint="eastAsia" w:ascii="方正小标宋简体" w:hAnsi="方正小标宋简体" w:eastAsia="方正小标宋简体" w:cs="方正小标宋简体"/>
          <w:sz w:val="44"/>
          <w:szCs w:val="44"/>
        </w:rPr>
      </w:pPr>
    </w:p>
    <w:p w14:paraId="7EE0F672">
      <w:pPr>
        <w:rPr>
          <w:rFonts w:hint="eastAsia" w:ascii="Times New Roman" w:hAnsi="Times New Roman" w:eastAsia="宋体" w:cs="Times New Roman"/>
        </w:rPr>
      </w:pPr>
    </w:p>
    <w:p w14:paraId="33801DB3">
      <w:pPr>
        <w:rPr>
          <w:rFonts w:hint="eastAsia" w:ascii="Times New Roman" w:hAnsi="Times New Roman" w:eastAsia="宋体" w:cs="Times New Roman"/>
        </w:rPr>
      </w:pPr>
    </w:p>
    <w:p w14:paraId="5440F3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刘集镇国民经济和社会发展第十四个</w:t>
      </w:r>
    </w:p>
    <w:p w14:paraId="3881AD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44"/>
          <w:szCs w:val="44"/>
        </w:rPr>
      </w:pPr>
      <w:r>
        <w:rPr>
          <w:rFonts w:hint="eastAsia" w:ascii="方正小标宋简体" w:hAnsi="方正小标宋简体" w:eastAsia="方正小标宋简体" w:cs="方正小标宋简体"/>
          <w:sz w:val="44"/>
          <w:szCs w:val="44"/>
        </w:rPr>
        <w:t>五年规划和2035年远景目标纲要</w:t>
      </w:r>
    </w:p>
    <w:p w14:paraId="6D158C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1FD300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710DD940">
      <w:pPr>
        <w:pStyle w:val="2"/>
        <w:rPr>
          <w:rFonts w:hint="eastAsia" w:ascii="仿宋_GB2312" w:hAnsi="仿宋_GB2312" w:eastAsia="仿宋_GB2312" w:cs="仿宋_GB2312"/>
          <w:sz w:val="32"/>
          <w:szCs w:val="32"/>
        </w:rPr>
      </w:pPr>
    </w:p>
    <w:p w14:paraId="54E0C6F6">
      <w:pPr>
        <w:rPr>
          <w:rFonts w:hint="eastAsia" w:ascii="Times New Roman" w:hAnsi="Times New Roman" w:eastAsia="宋体" w:cs="Times New Roman"/>
        </w:rPr>
      </w:pPr>
    </w:p>
    <w:p w14:paraId="6CB72694">
      <w:pPr>
        <w:pStyle w:val="2"/>
        <w:rPr>
          <w:rFonts w:hint="eastAsia" w:ascii="仿宋_GB2312" w:hAnsi="仿宋_GB2312" w:eastAsia="仿宋_GB2312" w:cs="仿宋_GB2312"/>
          <w:sz w:val="32"/>
          <w:szCs w:val="32"/>
        </w:rPr>
      </w:pPr>
    </w:p>
    <w:p w14:paraId="345F8165">
      <w:pPr>
        <w:rPr>
          <w:rFonts w:hint="eastAsia" w:ascii="仿宋_GB2312" w:hAnsi="仿宋_GB2312" w:eastAsia="仿宋_GB2312" w:cs="仿宋_GB2312"/>
          <w:sz w:val="32"/>
          <w:szCs w:val="32"/>
        </w:rPr>
      </w:pPr>
    </w:p>
    <w:p w14:paraId="2A7E0878">
      <w:pPr>
        <w:pStyle w:val="2"/>
        <w:rPr>
          <w:rFonts w:hint="eastAsia" w:ascii="仿宋_GB2312" w:hAnsi="仿宋_GB2312" w:eastAsia="仿宋_GB2312" w:cs="仿宋_GB2312"/>
          <w:sz w:val="32"/>
          <w:szCs w:val="32"/>
        </w:rPr>
      </w:pPr>
    </w:p>
    <w:p w14:paraId="3A488242">
      <w:pPr>
        <w:pStyle w:val="2"/>
        <w:ind w:left="0" w:leftChars="0" w:firstLine="0" w:firstLineChars="0"/>
        <w:rPr>
          <w:rFonts w:hint="eastAsia" w:eastAsia="宋体"/>
        </w:rPr>
      </w:pPr>
    </w:p>
    <w:p w14:paraId="0FECDE6C">
      <w:pPr>
        <w:rPr>
          <w:rFonts w:hint="eastAsia" w:ascii="Times New Roman" w:hAnsi="Times New Roman" w:eastAsia="宋体" w:cs="Times New Roman"/>
        </w:rPr>
      </w:pPr>
    </w:p>
    <w:p w14:paraId="1BE13451">
      <w:pPr>
        <w:pStyle w:val="2"/>
        <w:ind w:left="0" w:leftChars="0" w:firstLine="0" w:firstLineChars="0"/>
        <w:rPr>
          <w:rFonts w:hint="eastAsia" w:eastAsia="宋体"/>
        </w:rPr>
      </w:pPr>
    </w:p>
    <w:p w14:paraId="21BF2A2A">
      <w:pPr>
        <w:keepNext w:val="0"/>
        <w:keepLines w:val="0"/>
        <w:pageBreakBefore w:val="0"/>
        <w:widowControl w:val="0"/>
        <w:kinsoku/>
        <w:wordWrap w:val="0"/>
        <w:overflowPunct/>
        <w:topLinePunct w:val="0"/>
        <w:autoSpaceDE/>
        <w:autoSpaceDN/>
        <w:bidi w:val="0"/>
        <w:adjustRightInd/>
        <w:snapToGrid/>
        <w:spacing w:line="560" w:lineRule="exact"/>
        <w:ind w:left="0" w:leftChars="0" w:right="443" w:rightChars="211" w:firstLine="4419" w:firstLineChars="1381"/>
        <w:jc w:val="center"/>
        <w:textAlignment w:val="auto"/>
        <w:rPr>
          <w:rFonts w:hint="eastAsia" w:ascii="仿宋_GB2312" w:hAnsi="仿宋_GB2312" w:eastAsia="仿宋_GB2312" w:cs="仿宋_GB2312"/>
          <w:sz w:val="32"/>
          <w:szCs w:val="32"/>
          <w:lang w:val="en-US" w:eastAsia="zh-CN"/>
        </w:rPr>
      </w:pPr>
    </w:p>
    <w:p w14:paraId="1BE555D8">
      <w:pPr>
        <w:keepNext w:val="0"/>
        <w:keepLines w:val="0"/>
        <w:pageBreakBefore w:val="0"/>
        <w:widowControl w:val="0"/>
        <w:kinsoku/>
        <w:wordWrap w:val="0"/>
        <w:overflowPunct/>
        <w:topLinePunct w:val="0"/>
        <w:autoSpaceDE/>
        <w:autoSpaceDN/>
        <w:bidi w:val="0"/>
        <w:adjustRightInd/>
        <w:snapToGrid/>
        <w:spacing w:line="560" w:lineRule="exact"/>
        <w:ind w:right="443" w:rightChars="211"/>
        <w:jc w:val="center"/>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刘集镇人民政府</w:t>
      </w:r>
    </w:p>
    <w:p w14:paraId="5B478F63">
      <w:pPr>
        <w:keepNext w:val="0"/>
        <w:keepLines w:val="0"/>
        <w:pageBreakBefore w:val="0"/>
        <w:widowControl w:val="0"/>
        <w:kinsoku/>
        <w:wordWrap w:val="0"/>
        <w:overflowPunct/>
        <w:topLinePunct w:val="0"/>
        <w:autoSpaceDE/>
        <w:autoSpaceDN/>
        <w:bidi w:val="0"/>
        <w:adjustRightInd/>
        <w:snapToGrid/>
        <w:spacing w:line="560" w:lineRule="exact"/>
        <w:ind w:right="443" w:rightChars="211"/>
        <w:jc w:val="center"/>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2022</w:t>
      </w:r>
      <w:r>
        <w:rPr>
          <w:rFonts w:hint="default"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9</w:t>
      </w:r>
      <w:r>
        <w:rPr>
          <w:rFonts w:hint="default" w:ascii="仿宋_GB2312" w:hAnsi="仿宋_GB2312" w:eastAsia="仿宋_GB2312" w:cs="仿宋_GB2312"/>
          <w:sz w:val="32"/>
          <w:szCs w:val="32"/>
          <w:lang w:val="en-US" w:eastAsia="zh-CN"/>
        </w:rPr>
        <w:t>月</w:t>
      </w:r>
    </w:p>
    <w:p w14:paraId="1F71EF5A">
      <w:pPr>
        <w:widowControl w:val="0"/>
        <w:spacing w:before="100" w:beforeAutospacing="1" w:after="120" w:line="480" w:lineRule="auto"/>
        <w:ind w:left="0" w:leftChars="0" w:firstLine="0" w:firstLineChars="0"/>
        <w:jc w:val="both"/>
        <w:rPr>
          <w:rFonts w:hint="default" w:ascii="Times New Roman" w:hAnsi="Times New Roman" w:eastAsia="黑体" w:cs="Times New Roman"/>
          <w:b/>
          <w:bCs/>
          <w:kern w:val="2"/>
          <w:sz w:val="36"/>
          <w:szCs w:val="36"/>
          <w:lang w:val="en-US" w:eastAsia="zh-CN" w:bidi="ar-SA"/>
        </w:rPr>
      </w:pPr>
    </w:p>
    <w:p w14:paraId="2B7EEAC3">
      <w:pPr>
        <w:widowControl w:val="0"/>
        <w:spacing w:before="100" w:beforeAutospacing="1" w:after="120" w:line="480" w:lineRule="auto"/>
        <w:ind w:left="0" w:leftChars="0" w:firstLine="0" w:firstLineChars="0"/>
        <w:jc w:val="center"/>
        <w:rPr>
          <w:rFonts w:hint="default" w:ascii="Times New Roman" w:hAnsi="Times New Roman" w:eastAsia="仿宋_GB2312" w:cs="Times New Roman"/>
          <w:b/>
          <w:kern w:val="2"/>
          <w:sz w:val="32"/>
          <w:szCs w:val="32"/>
          <w:lang w:val="en-US" w:eastAsia="zh-CN" w:bidi="ar-SA"/>
        </w:rPr>
      </w:pPr>
      <w:r>
        <w:rPr>
          <w:rFonts w:hint="default" w:ascii="Times New Roman" w:hAnsi="Times New Roman" w:eastAsia="黑体" w:cs="Times New Roman"/>
          <w:b/>
          <w:bCs/>
          <w:kern w:val="2"/>
          <w:sz w:val="36"/>
          <w:szCs w:val="36"/>
          <w:lang w:val="en-US" w:eastAsia="zh-CN" w:bidi="ar-SA"/>
        </w:rPr>
        <w:t>目  录</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TOC \o "1-2" \h \u </w:instrText>
      </w:r>
      <w:r>
        <w:rPr>
          <w:rFonts w:hint="default" w:ascii="Times New Roman" w:hAnsi="Times New Roman" w:eastAsia="仿宋_GB2312" w:cs="Times New Roman"/>
          <w:kern w:val="2"/>
          <w:sz w:val="32"/>
          <w:szCs w:val="32"/>
          <w:lang w:val="en-US" w:eastAsia="zh-CN" w:bidi="ar-SA"/>
        </w:rPr>
        <w:fldChar w:fldCharType="separate"/>
      </w:r>
    </w:p>
    <w:p w14:paraId="4DAC49B6">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HYPERLINK \l _Toc27487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24"/>
          <w:lang w:val="en-US" w:eastAsia="zh-CN" w:bidi="ar-SA"/>
        </w:rPr>
        <w:t>第一章 发展基础和发展环境</w:t>
      </w:r>
      <w:r>
        <w:rPr>
          <w:rFonts w:hint="default" w:ascii="Times New Roman" w:hAnsi="Times New Roman" w:eastAsia="黑体" w:cs="Times New Roman"/>
          <w:kern w:val="2"/>
          <w:sz w:val="32"/>
          <w:szCs w:val="24"/>
          <w:lang w:val="en-US" w:eastAsia="zh-CN" w:bidi="ar-SA"/>
        </w:rPr>
        <w:tab/>
      </w:r>
      <w:r>
        <w:rPr>
          <w:rFonts w:hint="default" w:ascii="Times New Roman" w:hAnsi="Times New Roman" w:eastAsia="黑体" w:cs="Times New Roman"/>
          <w:kern w:val="2"/>
          <w:sz w:val="32"/>
          <w:szCs w:val="24"/>
          <w:lang w:val="en-US" w:eastAsia="zh-CN" w:bidi="ar-SA"/>
        </w:rPr>
        <w:fldChar w:fldCharType="begin"/>
      </w:r>
      <w:r>
        <w:rPr>
          <w:rFonts w:hint="default" w:ascii="Times New Roman" w:hAnsi="Times New Roman" w:eastAsia="黑体" w:cs="Times New Roman"/>
          <w:kern w:val="2"/>
          <w:sz w:val="32"/>
          <w:szCs w:val="24"/>
          <w:lang w:val="en-US" w:eastAsia="zh-CN" w:bidi="ar-SA"/>
        </w:rPr>
        <w:instrText xml:space="preserve"> PAGEREF _Toc27487 \h </w:instrText>
      </w:r>
      <w:r>
        <w:rPr>
          <w:rFonts w:hint="default" w:ascii="Times New Roman" w:hAnsi="Times New Roman" w:eastAsia="黑体" w:cs="Times New Roman"/>
          <w:kern w:val="2"/>
          <w:sz w:val="32"/>
          <w:szCs w:val="24"/>
          <w:lang w:val="en-US" w:eastAsia="zh-CN" w:bidi="ar-SA"/>
        </w:rPr>
        <w:fldChar w:fldCharType="separate"/>
      </w:r>
      <w:r>
        <w:rPr>
          <w:rFonts w:hint="default" w:ascii="Times New Roman" w:hAnsi="Times New Roman" w:eastAsia="黑体" w:cs="Times New Roman"/>
          <w:kern w:val="2"/>
          <w:sz w:val="32"/>
          <w:szCs w:val="24"/>
          <w:lang w:val="en-US" w:eastAsia="zh-CN" w:bidi="ar-SA"/>
        </w:rPr>
        <w:t>- 5 -</w:t>
      </w:r>
      <w:r>
        <w:rPr>
          <w:rFonts w:hint="default" w:ascii="Times New Roman" w:hAnsi="Times New Roman" w:eastAsia="黑体" w:cs="Times New Roman"/>
          <w:kern w:val="2"/>
          <w:sz w:val="32"/>
          <w:szCs w:val="24"/>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14:paraId="39BDDB0C">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_Toc15368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第一节 发展基础</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_Toc15368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- 5 -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758F04C1">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_Toc22128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第二节 发展环境</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_Toc22128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- 8 -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2BD52159">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HYPERLINK \l _Toc29826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第二章  总体要求</w:t>
      </w:r>
      <w:r>
        <w:rPr>
          <w:rFonts w:hint="default" w:ascii="Times New Roman" w:hAnsi="Times New Roman" w:eastAsia="黑体" w:cs="Times New Roman"/>
          <w:kern w:val="2"/>
          <w:sz w:val="32"/>
          <w:szCs w:val="32"/>
          <w:lang w:val="en-US" w:eastAsia="zh-CN" w:bidi="ar-SA"/>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_Toc29826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- 10 -</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14:paraId="60250CEA">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_Toc23324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第一节 指导思想</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_Toc23324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- 10 -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1F20282A">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_Toc2763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第二节 基本原则</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_Toc2763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- 10 -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74696622">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_Toc8053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第三节 发展目标</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_Toc8053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- 11 -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07C2BB49">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HYPERLINK \l _Toc19396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 xml:space="preserve">第三章  </w:t>
      </w:r>
      <w:r>
        <w:rPr>
          <w:rFonts w:hint="eastAsia" w:ascii="Times New Roman" w:hAnsi="Times New Roman" w:eastAsia="黑体" w:cs="Times New Roman"/>
          <w:kern w:val="2"/>
          <w:sz w:val="32"/>
          <w:szCs w:val="32"/>
          <w:lang w:val="en-US" w:eastAsia="zh-CN" w:bidi="ar-SA"/>
        </w:rPr>
        <w:t>加快产业体系优化升级</w:t>
      </w:r>
      <w:r>
        <w:rPr>
          <w:rFonts w:hint="default" w:ascii="Times New Roman" w:hAnsi="Times New Roman" w:eastAsia="黑体" w:cs="Times New Roman"/>
          <w:kern w:val="2"/>
          <w:sz w:val="32"/>
          <w:szCs w:val="32"/>
          <w:lang w:val="en-US" w:eastAsia="zh-CN" w:bidi="ar-SA"/>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_Toc19396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- 12 -</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14:paraId="24255868">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_Toc18340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第一节 推进工业经济高质量发展</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_Toc18340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- 12 -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424F2460">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_Toc21136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第二节 全力优化产业发展环境</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_Toc21136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- 13 -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682A5122">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HYPERLINK \l _Toc29522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第四章  持续改善基础设施条件</w:t>
      </w:r>
      <w:r>
        <w:rPr>
          <w:rFonts w:hint="default" w:ascii="Times New Roman" w:hAnsi="Times New Roman" w:eastAsia="黑体" w:cs="Times New Roman"/>
          <w:kern w:val="2"/>
          <w:sz w:val="32"/>
          <w:szCs w:val="32"/>
          <w:lang w:val="en-US" w:eastAsia="zh-CN" w:bidi="ar-SA"/>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_Toc29522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- 14 -</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14:paraId="04D29743">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_Toc21735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rtl w:val="0"/>
          <w:lang w:val="en-US" w:eastAsia="zh-CN" w:bidi="ar-SA"/>
        </w:rPr>
        <w:t>第一节 统筹推进现代交通设施建设</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_Toc21735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- 15 -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0F5798B3">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_Toc2889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rtl w:val="0"/>
          <w:lang w:val="en-US" w:eastAsia="zh-CN" w:bidi="ar-SA"/>
        </w:rPr>
        <w:t>第二节 构建现代化水利体系</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_Toc2889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- 15 -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0E2DFCA6">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_Toc8878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xml:space="preserve">第三节 </w:t>
      </w:r>
      <w:r>
        <w:rPr>
          <w:rFonts w:hint="default" w:ascii="Times New Roman" w:hAnsi="Times New Roman" w:eastAsia="楷体" w:cs="Times New Roman"/>
          <w:kern w:val="2"/>
          <w:sz w:val="32"/>
          <w:szCs w:val="32"/>
          <w:rtl w:val="0"/>
          <w:lang w:val="en-US" w:eastAsia="zh-CN" w:bidi="ar-SA"/>
        </w:rPr>
        <w:t>加强能源保障能力建设</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_Toc8878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- 16 -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06C96C99">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_Toc2324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第四节 推进数字乡村建设</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_Toc2324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- 16 -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27DA031C">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HYPERLINK \l _Toc31636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第五章  全面实施乡村振兴战略</w:t>
      </w:r>
      <w:r>
        <w:rPr>
          <w:rFonts w:hint="default" w:ascii="Times New Roman" w:hAnsi="Times New Roman" w:eastAsia="黑体" w:cs="Times New Roman"/>
          <w:kern w:val="2"/>
          <w:sz w:val="32"/>
          <w:szCs w:val="32"/>
          <w:lang w:val="en-US" w:eastAsia="zh-CN" w:bidi="ar-SA"/>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_Toc31636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- 17 -</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14:paraId="4A5B1E01">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_Toc28842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第一节 做好脱贫攻坚与乡村振兴有效衔接</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_Toc28842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- 17 -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6C376A18">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_Toc12954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第二节 大力发展现代农业</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_Toc12954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- 18 -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6245F625">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_Toc13414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第三节 推动一二三产融合发展</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_Toc13414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- 18 -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30E5E0BC">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_Toc5786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第四节 构建现代农业经营体系</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_Toc5786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- 20 -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2C1BA96F">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HYPERLINK \l _Toc15841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第六章  大力发展社会民生事业</w:t>
      </w:r>
      <w:r>
        <w:rPr>
          <w:rFonts w:hint="default" w:ascii="Times New Roman" w:hAnsi="Times New Roman" w:eastAsia="黑体" w:cs="Times New Roman"/>
          <w:kern w:val="2"/>
          <w:sz w:val="32"/>
          <w:szCs w:val="32"/>
          <w:lang w:val="en-US" w:eastAsia="zh-CN" w:bidi="ar-SA"/>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_Toc15841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- 22 -</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14:paraId="7E261750">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_Toc4178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第一节 推动教育事业优质发展</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_Toc4178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- 22 -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38B4359A">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_Toc27234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第二节 全面推进健康乡村建设</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_Toc27234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- 22 -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7CA26599">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_Toc10620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第三节 健全多层次社会保障体系</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_Toc10620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- 23 -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3173EC67">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_Toc32766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第四节 繁荣兴盛乡村文化</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_Toc32766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- 23 -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7C4B5225">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HYPERLINK \l _Toc3579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第七章  加强农村生态环境保护</w:t>
      </w:r>
      <w:r>
        <w:rPr>
          <w:rFonts w:hint="default" w:ascii="Times New Roman" w:hAnsi="Times New Roman" w:eastAsia="黑体" w:cs="Times New Roman"/>
          <w:kern w:val="2"/>
          <w:sz w:val="32"/>
          <w:szCs w:val="32"/>
          <w:lang w:val="en-US" w:eastAsia="zh-CN" w:bidi="ar-SA"/>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_Toc3579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- 24 -</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14:paraId="4714B1A3">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_Toc2215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第一节 扎实推进环境问题治理</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_Toc2215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- 24 -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38A6AFE9">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_Toc24363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第二节 全面推动农业绿色发展</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_Toc24363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- 25 -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4A36C83E">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_Toc10933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第三节 提升人居环境治理水平</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_Toc10933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- 26 -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4B347219">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_Toc13000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第四节 加强资源节约集约利用</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_Toc13000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- 26 -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6EB0CED5">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HYPERLINK \l _Toc4780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第八章  完善乡村治理体系</w:t>
      </w:r>
      <w:r>
        <w:rPr>
          <w:rFonts w:hint="default" w:ascii="Times New Roman" w:hAnsi="Times New Roman" w:eastAsia="黑体" w:cs="Times New Roman"/>
          <w:kern w:val="2"/>
          <w:sz w:val="32"/>
          <w:szCs w:val="32"/>
          <w:lang w:val="en-US" w:eastAsia="zh-CN" w:bidi="ar-SA"/>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_Toc4780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- 27 -</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14:paraId="6D87F911">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_Toc8724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第一节 深化法治政府建设</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_Toc8724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- 27 -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430DF964">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_Toc24659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第二节 创新基层社会治理</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_Toc24659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- 28 -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194D2D26">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_Toc13087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第三节 防范化解重大风险</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_Toc13087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- 29 -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1C24F89B">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HYPERLINK \l _Toc22868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第九章  规划实施保障措施</w:t>
      </w:r>
      <w:r>
        <w:rPr>
          <w:rFonts w:hint="default" w:ascii="Times New Roman" w:hAnsi="Times New Roman" w:eastAsia="黑体" w:cs="Times New Roman"/>
          <w:kern w:val="2"/>
          <w:sz w:val="32"/>
          <w:szCs w:val="32"/>
          <w:lang w:val="en-US" w:eastAsia="zh-CN" w:bidi="ar-SA"/>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_Toc22868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- 30 -</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14:paraId="285E114A">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_Toc30045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第一节 加强组织领导</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_Toc30045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- 30 -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5ACBAA50">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_Toc30198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第二节 强化项目支撑</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_Toc30198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- 30 -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3D30D8D0">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_Toc13303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第三节 加强要素保障</w:t>
      </w:r>
      <w:r>
        <w:rPr>
          <w:rFonts w:hint="default" w:ascii="Times New Roman" w:hAnsi="Times New Roman" w:eastAsia="楷体" w:cs="Times New Roman"/>
          <w:kern w:val="2"/>
          <w:sz w:val="32"/>
          <w:szCs w:val="32"/>
          <w:lang w:val="en-US" w:eastAsia="zh-CN" w:bidi="ar-SA"/>
        </w:rPr>
        <w:tab/>
      </w: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PAGEREF _Toc13303 \h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32"/>
          <w:lang w:val="en-US" w:eastAsia="zh-CN" w:bidi="ar-SA"/>
        </w:rPr>
        <w:t>- 31 -</w:t>
      </w:r>
      <w:r>
        <w:rPr>
          <w:rFonts w:hint="default" w:ascii="Times New Roman" w:hAnsi="Times New Roman" w:eastAsia="楷体" w:cs="Times New Roman"/>
          <w:kern w:val="2"/>
          <w:sz w:val="32"/>
          <w:szCs w:val="32"/>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4E6A839C">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420" w:leftChars="200" w:firstLine="0" w:firstLineChars="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楷体" w:cs="Times New Roman"/>
          <w:kern w:val="2"/>
          <w:sz w:val="32"/>
          <w:szCs w:val="32"/>
          <w:lang w:val="en-US" w:eastAsia="zh-CN" w:bidi="ar-SA"/>
        </w:rPr>
        <w:fldChar w:fldCharType="begin"/>
      </w:r>
      <w:r>
        <w:rPr>
          <w:rFonts w:hint="default" w:ascii="Times New Roman" w:hAnsi="Times New Roman" w:eastAsia="楷体" w:cs="Times New Roman"/>
          <w:kern w:val="2"/>
          <w:sz w:val="32"/>
          <w:szCs w:val="32"/>
          <w:lang w:val="en-US" w:eastAsia="zh-CN" w:bidi="ar-SA"/>
        </w:rPr>
        <w:instrText xml:space="preserve"> HYPERLINK \l _Toc16578 </w:instrText>
      </w:r>
      <w:r>
        <w:rPr>
          <w:rFonts w:hint="default" w:ascii="Times New Roman" w:hAnsi="Times New Roman" w:eastAsia="楷体" w:cs="Times New Roman"/>
          <w:kern w:val="2"/>
          <w:sz w:val="32"/>
          <w:szCs w:val="32"/>
          <w:lang w:val="en-US" w:eastAsia="zh-CN" w:bidi="ar-SA"/>
        </w:rPr>
        <w:fldChar w:fldCharType="separate"/>
      </w:r>
      <w:r>
        <w:rPr>
          <w:rFonts w:hint="default" w:ascii="Times New Roman" w:hAnsi="Times New Roman" w:eastAsia="楷体" w:cs="Times New Roman"/>
          <w:kern w:val="2"/>
          <w:sz w:val="32"/>
          <w:szCs w:val="24"/>
          <w:lang w:val="en-US" w:eastAsia="zh-CN" w:bidi="ar-SA"/>
        </w:rPr>
        <w:t>第四节 实施监督评估</w:t>
      </w:r>
      <w:r>
        <w:rPr>
          <w:rFonts w:hint="default" w:ascii="Times New Roman" w:hAnsi="Times New Roman" w:eastAsia="楷体" w:cs="Times New Roman"/>
          <w:kern w:val="2"/>
          <w:sz w:val="32"/>
          <w:szCs w:val="24"/>
          <w:lang w:val="en-US" w:eastAsia="zh-CN" w:bidi="ar-SA"/>
        </w:rPr>
        <w:tab/>
      </w:r>
      <w:r>
        <w:rPr>
          <w:rFonts w:hint="default" w:ascii="Times New Roman" w:hAnsi="Times New Roman" w:eastAsia="楷体" w:cs="Times New Roman"/>
          <w:kern w:val="2"/>
          <w:sz w:val="32"/>
          <w:szCs w:val="24"/>
          <w:lang w:val="en-US" w:eastAsia="zh-CN" w:bidi="ar-SA"/>
        </w:rPr>
        <w:fldChar w:fldCharType="begin"/>
      </w:r>
      <w:r>
        <w:rPr>
          <w:rFonts w:hint="default" w:ascii="Times New Roman" w:hAnsi="Times New Roman" w:eastAsia="楷体" w:cs="Times New Roman"/>
          <w:kern w:val="2"/>
          <w:sz w:val="32"/>
          <w:szCs w:val="24"/>
          <w:lang w:val="en-US" w:eastAsia="zh-CN" w:bidi="ar-SA"/>
        </w:rPr>
        <w:instrText xml:space="preserve"> PAGEREF _Toc16578 \h </w:instrText>
      </w:r>
      <w:r>
        <w:rPr>
          <w:rFonts w:hint="default" w:ascii="Times New Roman" w:hAnsi="Times New Roman" w:eastAsia="楷体" w:cs="Times New Roman"/>
          <w:kern w:val="2"/>
          <w:sz w:val="32"/>
          <w:szCs w:val="24"/>
          <w:lang w:val="en-US" w:eastAsia="zh-CN" w:bidi="ar-SA"/>
        </w:rPr>
        <w:fldChar w:fldCharType="separate"/>
      </w:r>
      <w:r>
        <w:rPr>
          <w:rFonts w:hint="default" w:ascii="Times New Roman" w:hAnsi="Times New Roman" w:eastAsia="楷体" w:cs="Times New Roman"/>
          <w:kern w:val="2"/>
          <w:sz w:val="32"/>
          <w:szCs w:val="24"/>
          <w:lang w:val="en-US" w:eastAsia="zh-CN" w:bidi="ar-SA"/>
        </w:rPr>
        <w:t>- 31 -</w:t>
      </w:r>
      <w:r>
        <w:rPr>
          <w:rFonts w:hint="default" w:ascii="Times New Roman" w:hAnsi="Times New Roman" w:eastAsia="楷体" w:cs="Times New Roman"/>
          <w:kern w:val="2"/>
          <w:sz w:val="32"/>
          <w:szCs w:val="24"/>
          <w:lang w:val="en-US" w:eastAsia="zh-CN" w:bidi="ar-SA"/>
        </w:rPr>
        <w:fldChar w:fldCharType="end"/>
      </w:r>
      <w:r>
        <w:rPr>
          <w:rFonts w:hint="default" w:ascii="Times New Roman" w:hAnsi="Times New Roman" w:eastAsia="楷体" w:cs="Times New Roman"/>
          <w:kern w:val="2"/>
          <w:sz w:val="32"/>
          <w:szCs w:val="32"/>
          <w:lang w:val="en-US" w:eastAsia="zh-CN" w:bidi="ar-SA"/>
        </w:rPr>
        <w:fldChar w:fldCharType="end"/>
      </w:r>
    </w:p>
    <w:p w14:paraId="71B7FF1F">
      <w:pPr>
        <w:spacing w:before="0" w:beforeLines="0" w:after="0" w:afterLines="0" w:line="240" w:lineRule="auto"/>
        <w:ind w:left="0" w:leftChars="0" w:right="0" w:rightChars="0" w:firstLine="0" w:firstLineChars="0"/>
        <w:jc w:val="center"/>
        <w:rPr>
          <w:rFonts w:hint="default" w:ascii="Times New Roman" w:hAnsi="Times New Roman" w:cs="Times New Roman"/>
          <w:lang w:val="en-US" w:eastAsia="zh-CN"/>
        </w:rPr>
        <w:sectPr>
          <w:footerReference r:id="rId3" w:type="default"/>
          <w:pgSz w:w="11906" w:h="16838"/>
          <w:pgMar w:top="2098" w:right="1474" w:bottom="1984" w:left="1587" w:header="851" w:footer="992" w:gutter="0"/>
          <w:pgNumType w:fmt="numberInDash" w:start="1"/>
          <w:cols w:space="720" w:num="1"/>
          <w:docGrid w:type="lines" w:linePitch="312" w:charSpace="0"/>
        </w:sectPr>
      </w:pPr>
      <w:r>
        <w:rPr>
          <w:rFonts w:hint="default" w:ascii="Times New Roman" w:hAnsi="Times New Roman" w:eastAsia="仿宋_GB2312" w:cs="Times New Roman"/>
          <w:b/>
          <w:sz w:val="32"/>
          <w:szCs w:val="32"/>
          <w:lang w:val="en-US" w:eastAsia="zh-CN"/>
        </w:rPr>
        <w:fldChar w:fldCharType="end"/>
      </w:r>
    </w:p>
    <w:p w14:paraId="620150C4">
      <w:pPr>
        <w:keepNext/>
        <w:keepLines/>
        <w:widowControl w:val="0"/>
        <w:bidi w:val="0"/>
        <w:spacing w:beforeLines="0" w:beforeAutospacing="0" w:afterLines="0" w:afterAutospacing="0" w:line="560" w:lineRule="exact"/>
        <w:ind w:firstLine="640" w:firstLineChars="200"/>
        <w:jc w:val="both"/>
        <w:outlineLvl w:val="0"/>
        <w:rPr>
          <w:rFonts w:hint="default" w:ascii="Calibri" w:hAnsi="Calibri" w:eastAsia="黑体" w:cs="Times New Roman"/>
          <w:kern w:val="44"/>
          <w:sz w:val="32"/>
          <w:szCs w:val="24"/>
          <w:lang w:val="en-US" w:eastAsia="zh-CN" w:bidi="ar-SA"/>
        </w:rPr>
      </w:pPr>
      <w:bookmarkStart w:id="0" w:name="_Toc27487"/>
      <w:bookmarkStart w:id="1" w:name="_Toc5375"/>
      <w:r>
        <w:rPr>
          <w:rFonts w:hint="default" w:ascii="Calibri" w:hAnsi="Calibri" w:eastAsia="黑体" w:cs="Times New Roman"/>
          <w:kern w:val="44"/>
          <w:sz w:val="32"/>
          <w:szCs w:val="24"/>
          <w:lang w:val="en-US" w:eastAsia="zh-CN" w:bidi="ar-SA"/>
        </w:rPr>
        <w:t>第一章 发展基础和发展环境</w:t>
      </w:r>
      <w:bookmarkEnd w:id="0"/>
    </w:p>
    <w:p w14:paraId="3E22F750">
      <w:pPr>
        <w:keepNext/>
        <w:keepLines/>
        <w:widowControl w:val="0"/>
        <w:bidi w:val="0"/>
        <w:spacing w:beforeLines="0" w:beforeAutospacing="0" w:afterLines="0" w:afterAutospacing="0" w:line="560" w:lineRule="exact"/>
        <w:ind w:firstLine="643" w:firstLineChars="200"/>
        <w:jc w:val="both"/>
        <w:outlineLvl w:val="1"/>
        <w:rPr>
          <w:rFonts w:hint="default" w:ascii="Arial" w:hAnsi="Arial" w:eastAsia="楷体" w:cs="Times New Roman"/>
          <w:b/>
          <w:kern w:val="2"/>
          <w:sz w:val="32"/>
          <w:szCs w:val="24"/>
          <w:lang w:val="en-US" w:eastAsia="zh-CN" w:bidi="ar-SA"/>
        </w:rPr>
      </w:pPr>
      <w:bookmarkStart w:id="2" w:name="_Toc15368"/>
      <w:r>
        <w:rPr>
          <w:rFonts w:hint="default" w:ascii="Arial" w:hAnsi="Arial" w:eastAsia="楷体" w:cs="Times New Roman"/>
          <w:b/>
          <w:kern w:val="2"/>
          <w:sz w:val="32"/>
          <w:szCs w:val="24"/>
          <w:lang w:val="en-US" w:eastAsia="zh-CN" w:bidi="ar-SA"/>
        </w:rPr>
        <w:t>第一节 发展基础</w:t>
      </w:r>
      <w:bookmarkEnd w:id="2"/>
    </w:p>
    <w:p w14:paraId="61520347">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十三五”期间，在市委、市政府及县委、县政府的正确领导下，全镇上下以习近平新时代中国特色社会主义思想为指导，深入学习贯彻习近平总书记考察安徽重要讲话指示精神，坚持稳中求进工作总基调，全面贯彻新发展理念，紧跟国家政策大势，顺应宏观发展走势，突出地域特色优势，奋发作为，与时俱进，全镇呈现出经济发展、民生改善、社会和谐、生态宜居的良好局面。</w:t>
      </w:r>
    </w:p>
    <w:p w14:paraId="7558BBF6">
      <w:pPr>
        <w:bidi w:val="0"/>
        <w:spacing w:line="560" w:lineRule="exact"/>
        <w:ind w:firstLine="643"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sz w:val="32"/>
          <w:lang w:val="en-US" w:eastAsia="zh-CN"/>
        </w:rPr>
        <w:t>经济建设成绩良好。</w:t>
      </w:r>
      <w:r>
        <w:rPr>
          <w:rFonts w:hint="default" w:ascii="Times New Roman" w:hAnsi="Times New Roman" w:eastAsia="仿宋_GB2312" w:cs="Times New Roman"/>
          <w:sz w:val="32"/>
          <w:lang w:val="en-US" w:eastAsia="zh-CN"/>
        </w:rPr>
        <w:t>五年来，全镇立足区位优势、坚持问题导向、创新工作方式、凝聚内生动力，经济发展取得了可喜成效。</w:t>
      </w:r>
      <w:r>
        <w:rPr>
          <w:rFonts w:hint="default" w:ascii="Times New Roman" w:hAnsi="Times New Roman" w:eastAsia="仿宋_GB2312" w:cs="Times New Roman"/>
          <w:color w:val="auto"/>
          <w:sz w:val="32"/>
          <w:lang w:val="en-US" w:eastAsia="zh-CN"/>
        </w:rPr>
        <w:t>财税收入由5437.18万元提升至7500万元；</w:t>
      </w:r>
      <w:r>
        <w:rPr>
          <w:rFonts w:hint="default" w:ascii="Times New Roman" w:hAnsi="Times New Roman" w:eastAsia="仿宋_GB2312" w:cs="Times New Roman"/>
          <w:sz w:val="32"/>
          <w:lang w:val="en-US" w:eastAsia="zh-CN"/>
        </w:rPr>
        <w:t>规模以上工业</w:t>
      </w:r>
      <w:r>
        <w:rPr>
          <w:rFonts w:hint="eastAsia" w:ascii="Times New Roman" w:hAnsi="Times New Roman" w:eastAsia="仿宋_GB2312" w:cs="Times New Roman"/>
          <w:sz w:val="32"/>
          <w:lang w:val="en-US" w:eastAsia="zh-CN"/>
        </w:rPr>
        <w:t>8家，工业增加值</w:t>
      </w:r>
      <w:r>
        <w:rPr>
          <w:rFonts w:hint="default" w:ascii="Times New Roman" w:hAnsi="Times New Roman" w:eastAsia="仿宋_GB2312" w:cs="Times New Roman"/>
          <w:sz w:val="32"/>
          <w:lang w:val="en-US" w:eastAsia="zh-CN"/>
        </w:rPr>
        <w:t>增加值由</w:t>
      </w:r>
      <w:r>
        <w:rPr>
          <w:rFonts w:hint="eastAsia" w:ascii="Times New Roman" w:hAnsi="Times New Roman" w:eastAsia="仿宋_GB2312" w:cs="Times New Roman"/>
          <w:sz w:val="32"/>
          <w:lang w:val="en-US" w:eastAsia="zh-CN"/>
        </w:rPr>
        <w:t>4.9亿</w:t>
      </w:r>
      <w:r>
        <w:rPr>
          <w:rFonts w:hint="default" w:ascii="Times New Roman" w:hAnsi="Times New Roman" w:eastAsia="仿宋_GB2312" w:cs="Times New Roman"/>
          <w:sz w:val="32"/>
          <w:lang w:val="en-US" w:eastAsia="zh-CN"/>
        </w:rPr>
        <w:t>元增长到9.53亿元；固定资产投资由</w:t>
      </w:r>
      <w:r>
        <w:rPr>
          <w:rFonts w:hint="eastAsia" w:ascii="Times New Roman" w:hAnsi="Times New Roman" w:eastAsia="仿宋_GB2312" w:cs="Times New Roman"/>
          <w:sz w:val="32"/>
          <w:lang w:val="en-US" w:eastAsia="zh-CN"/>
        </w:rPr>
        <w:t>3</w:t>
      </w:r>
      <w:r>
        <w:rPr>
          <w:rFonts w:hint="default" w:ascii="Times New Roman" w:hAnsi="Times New Roman" w:eastAsia="仿宋_GB2312" w:cs="Times New Roman"/>
          <w:sz w:val="32"/>
          <w:lang w:val="en-US" w:eastAsia="zh-CN"/>
        </w:rPr>
        <w:t>亿元增长到</w:t>
      </w:r>
      <w:r>
        <w:rPr>
          <w:rFonts w:hint="eastAsia" w:ascii="Times New Roman" w:hAnsi="Times New Roman" w:eastAsia="仿宋_GB2312" w:cs="Times New Roman"/>
          <w:sz w:val="32"/>
          <w:lang w:val="en-US" w:eastAsia="zh-CN"/>
        </w:rPr>
        <w:t>5.5</w:t>
      </w:r>
      <w:r>
        <w:rPr>
          <w:rFonts w:hint="default" w:ascii="Times New Roman" w:hAnsi="Times New Roman" w:eastAsia="仿宋_GB2312" w:cs="Times New Roman"/>
          <w:sz w:val="32"/>
          <w:lang w:val="en-US" w:eastAsia="zh-CN"/>
        </w:rPr>
        <w:t>亿元；农村常住居民人均可支配收入由 12802元增长到18217元。强化“双招双引”意识，投资3亿元的大北农种养循环现代农业项目</w:t>
      </w:r>
      <w:r>
        <w:rPr>
          <w:rFonts w:hint="eastAsia" w:ascii="Times New Roman" w:hAnsi="Times New Roman" w:eastAsia="仿宋_GB2312" w:cs="Times New Roman"/>
          <w:sz w:val="32"/>
          <w:lang w:val="en-US" w:eastAsia="zh-CN"/>
        </w:rPr>
        <w:t>建成运行</w:t>
      </w:r>
      <w:r>
        <w:rPr>
          <w:rFonts w:hint="default" w:ascii="Times New Roman" w:hAnsi="Times New Roman" w:eastAsia="仿宋_GB2312" w:cs="Times New Roman"/>
          <w:sz w:val="32"/>
          <w:lang w:val="en-US" w:eastAsia="zh-CN"/>
        </w:rPr>
        <w:t>，</w:t>
      </w:r>
      <w:r>
        <w:rPr>
          <w:rFonts w:hint="eastAsia" w:ascii="仿宋_GB2312" w:hAnsi="仿宋_GB2312" w:eastAsia="仿宋_GB2312" w:cs="仿宋_GB2312"/>
          <w:sz w:val="32"/>
          <w:szCs w:val="32"/>
          <w:lang w:val="en-US" w:eastAsia="zh-CN"/>
        </w:rPr>
        <w:t>年产30万方环保木地板项目</w:t>
      </w:r>
      <w:r>
        <w:rPr>
          <w:rFonts w:hint="default" w:ascii="Times New Roman" w:hAnsi="Times New Roman" w:eastAsia="仿宋_GB2312" w:cs="Times New Roman"/>
          <w:sz w:val="32"/>
          <w:lang w:val="en-US" w:eastAsia="zh-CN"/>
        </w:rPr>
        <w:t>落地投产</w:t>
      </w:r>
      <w:r>
        <w:rPr>
          <w:rFonts w:hint="eastAsia" w:ascii="Times New Roman" w:hAnsi="Times New Roman" w:eastAsia="仿宋_GB2312" w:cs="Times New Roman"/>
          <w:sz w:val="32"/>
          <w:lang w:val="en-US" w:eastAsia="zh-CN"/>
        </w:rPr>
        <w:t>，</w:t>
      </w:r>
      <w:r>
        <w:rPr>
          <w:rFonts w:hint="eastAsia" w:ascii="仿宋_GB2312" w:hAnsi="仿宋_GB2312" w:eastAsia="仿宋_GB2312" w:cs="仿宋_GB2312"/>
          <w:sz w:val="32"/>
          <w:szCs w:val="32"/>
          <w:lang w:val="en-US" w:eastAsia="zh-CN"/>
        </w:rPr>
        <w:t>年产1万方特种陶瓷蜂窝活性炭项目、年产4.5万立方米高强度复合材料LVL及其包装制品项目、年产500台环保处理设备及年产100万支火花塞组装生产线项目加速推进</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顺利实施蚌埠昌农农牧食品有限公司的种养一体项目，在循环产业模式搭建方面取得新经验。成立村经济联合社，全面消除了10万元以下村，不断强化发展思维，壮大村级集体经济。</w:t>
      </w:r>
    </w:p>
    <w:p w14:paraId="38D50EBC">
      <w:pPr>
        <w:bidi w:val="0"/>
        <w:spacing w:line="560" w:lineRule="exact"/>
        <w:ind w:firstLine="643" w:firstLineChars="200"/>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bCs/>
          <w:sz w:val="32"/>
          <w:lang w:val="en-US" w:eastAsia="zh-CN"/>
        </w:rPr>
        <w:t>脱贫攻坚成效显著。</w:t>
      </w:r>
      <w:r>
        <w:rPr>
          <w:rFonts w:hint="default" w:ascii="Times New Roman" w:hAnsi="Times New Roman" w:eastAsia="仿宋_GB2312" w:cs="Times New Roman"/>
          <w:b w:val="0"/>
          <w:bCs w:val="0"/>
          <w:sz w:val="32"/>
          <w:lang w:val="en-US" w:eastAsia="zh-CN"/>
        </w:rPr>
        <w:t>五年来，全镇始终把打好脱贫攻坚战作为最大的政治责任和第一民生工程。贫困户</w:t>
      </w:r>
      <w:r>
        <w:rPr>
          <w:rFonts w:hint="eastAsia" w:ascii="Times New Roman" w:hAnsi="Times New Roman" w:eastAsia="仿宋_GB2312" w:cs="Times New Roman"/>
          <w:b w:val="0"/>
          <w:bCs w:val="0"/>
          <w:sz w:val="32"/>
          <w:lang w:val="en-US" w:eastAsia="zh-CN"/>
        </w:rPr>
        <w:t>累计</w:t>
      </w:r>
      <w:r>
        <w:rPr>
          <w:rFonts w:hint="default" w:ascii="Times New Roman" w:hAnsi="Times New Roman" w:eastAsia="仿宋_GB2312" w:cs="Times New Roman"/>
          <w:b w:val="0"/>
          <w:bCs w:val="0"/>
          <w:sz w:val="32"/>
          <w:lang w:val="en-US" w:eastAsia="zh-CN"/>
        </w:rPr>
        <w:t>实施危房改造</w:t>
      </w:r>
      <w:r>
        <w:rPr>
          <w:rFonts w:hint="eastAsia" w:ascii="Times New Roman" w:hAnsi="Times New Roman" w:eastAsia="仿宋_GB2312" w:cs="Times New Roman"/>
          <w:b w:val="0"/>
          <w:bCs w:val="0"/>
          <w:sz w:val="32"/>
          <w:lang w:val="en-US" w:eastAsia="zh-CN"/>
        </w:rPr>
        <w:t>702</w:t>
      </w:r>
      <w:r>
        <w:rPr>
          <w:rFonts w:hint="default" w:ascii="Times New Roman" w:hAnsi="Times New Roman" w:eastAsia="仿宋_GB2312" w:cs="Times New Roman"/>
          <w:b w:val="0"/>
          <w:bCs w:val="0"/>
          <w:sz w:val="32"/>
          <w:lang w:val="en-US" w:eastAsia="zh-CN"/>
        </w:rPr>
        <w:t>户；实施扶贫道路项目，建设总长度</w:t>
      </w:r>
      <w:r>
        <w:rPr>
          <w:rFonts w:hint="eastAsia" w:ascii="Times New Roman" w:hAnsi="Times New Roman" w:eastAsia="仿宋_GB2312" w:cs="Times New Roman"/>
          <w:b w:val="0"/>
          <w:bCs w:val="0"/>
          <w:sz w:val="32"/>
          <w:lang w:val="en-US" w:eastAsia="zh-CN"/>
        </w:rPr>
        <w:t>33.95</w:t>
      </w:r>
      <w:r>
        <w:rPr>
          <w:rFonts w:hint="default" w:ascii="Times New Roman" w:hAnsi="Times New Roman" w:eastAsia="仿宋_GB2312" w:cs="Times New Roman"/>
          <w:b w:val="0"/>
          <w:bCs w:val="0"/>
          <w:sz w:val="32"/>
          <w:lang w:val="en-US" w:eastAsia="zh-CN"/>
        </w:rPr>
        <w:t>公里，总投资</w:t>
      </w:r>
      <w:r>
        <w:rPr>
          <w:rFonts w:hint="eastAsia" w:ascii="Times New Roman" w:hAnsi="Times New Roman" w:eastAsia="仿宋_GB2312" w:cs="Times New Roman"/>
          <w:b w:val="0"/>
          <w:bCs w:val="0"/>
          <w:sz w:val="32"/>
          <w:lang w:val="en-US" w:eastAsia="zh-CN"/>
        </w:rPr>
        <w:t>1432.74</w:t>
      </w:r>
      <w:r>
        <w:rPr>
          <w:rFonts w:hint="default" w:ascii="Times New Roman" w:hAnsi="Times New Roman" w:eastAsia="仿宋_GB2312" w:cs="Times New Roman"/>
          <w:b w:val="0"/>
          <w:bCs w:val="0"/>
          <w:sz w:val="32"/>
          <w:lang w:val="en-US" w:eastAsia="zh-CN"/>
        </w:rPr>
        <w:t>万元；实施“雨露计划”，发放资助资金16.35万元，受资助学生107名</w:t>
      </w:r>
      <w:r>
        <w:rPr>
          <w:rFonts w:hint="eastAsia" w:ascii="Times New Roman" w:hAnsi="Times New Roman" w:eastAsia="仿宋_GB2312" w:cs="Times New Roman"/>
          <w:b w:val="0"/>
          <w:bCs w:val="0"/>
          <w:sz w:val="32"/>
          <w:lang w:val="en-US" w:eastAsia="zh-CN"/>
        </w:rPr>
        <w:t>，</w:t>
      </w:r>
      <w:r>
        <w:rPr>
          <w:rFonts w:hint="default" w:ascii="Times New Roman" w:hAnsi="Times New Roman" w:eastAsia="仿宋_GB2312" w:cs="Times New Roman"/>
          <w:b w:val="0"/>
          <w:bCs w:val="0"/>
          <w:sz w:val="32"/>
          <w:lang w:val="en-US" w:eastAsia="zh-CN"/>
        </w:rPr>
        <w:t>对32名本科生贫困人口发放补助资金16万元；通过合伙发展模式，258户贫困户贷款516万元参与爱康湖羊养殖项目。同时开发村级公益岗位，稳定脱贫人员增收渠道。全镇1108户3080人建档立卡贫困户已全部脱贫</w:t>
      </w:r>
      <w:r>
        <w:rPr>
          <w:rFonts w:hint="eastAsia" w:ascii="Times New Roman" w:hAnsi="Times New Roman" w:eastAsia="仿宋_GB2312" w:cs="Times New Roman"/>
          <w:b w:val="0"/>
          <w:bCs w:val="0"/>
          <w:sz w:val="32"/>
          <w:lang w:val="en-US" w:eastAsia="zh-CN"/>
        </w:rPr>
        <w:t>，</w:t>
      </w:r>
      <w:r>
        <w:rPr>
          <w:rFonts w:hint="default" w:ascii="Times New Roman" w:hAnsi="Times New Roman" w:eastAsia="仿宋_GB2312" w:cs="Times New Roman"/>
          <w:b w:val="0"/>
          <w:bCs w:val="0"/>
          <w:sz w:val="32"/>
          <w:lang w:val="en-US" w:eastAsia="zh-CN"/>
        </w:rPr>
        <w:t>均实现了“两不愁三保障”及饮水安全。脱贫攻坚顺利通过省级第三方评估验收。</w:t>
      </w:r>
    </w:p>
    <w:p w14:paraId="26288E66">
      <w:pPr>
        <w:bidi w:val="0"/>
        <w:spacing w:line="560" w:lineRule="exact"/>
        <w:ind w:firstLine="643"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sz w:val="32"/>
          <w:lang w:val="en-US" w:eastAsia="zh-CN"/>
        </w:rPr>
        <w:t>乡村振兴有序推进。</w:t>
      </w:r>
      <w:r>
        <w:rPr>
          <w:rFonts w:hint="default" w:ascii="Times New Roman" w:hAnsi="Times New Roman" w:eastAsia="仿宋_GB2312" w:cs="Times New Roman"/>
          <w:sz w:val="32"/>
          <w:lang w:val="en-US" w:eastAsia="zh-CN"/>
        </w:rPr>
        <w:t>五年来，全镇以产业兴旺为乡村振兴的主要抓手</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全面提升现代农业发展水平。</w:t>
      </w:r>
      <w:r>
        <w:rPr>
          <w:rFonts w:hint="eastAsia" w:ascii="Times New Roman" w:hAnsi="Times New Roman" w:eastAsia="仿宋_GB2312" w:cs="Times New Roman"/>
          <w:sz w:val="32"/>
          <w:lang w:val="en-US" w:eastAsia="zh-CN"/>
        </w:rPr>
        <w:t>累计</w:t>
      </w:r>
      <w:r>
        <w:rPr>
          <w:rFonts w:hint="default" w:ascii="Times New Roman" w:hAnsi="Times New Roman" w:eastAsia="仿宋_GB2312" w:cs="Times New Roman"/>
          <w:sz w:val="32"/>
          <w:lang w:val="en-US" w:eastAsia="zh-CN"/>
        </w:rPr>
        <w:t>投资5466.2万元完善农业基础设施，实施高标准农田8.6万亩，整治大沟309.34千米，修建桥涵662座。大力实施土地增减挂项目建设，推动土地节约集约利用，新增耕地1300亩。大力推广顾庄、九湾稻蟹混养、谷堆湖大棚磨菇、王李名优西瓜和董庙“金香丝”、张蔡“薯香园”粉丝，本地产品品牌蓬勃发展。全镇现有农业合作社167个、家庭农场112个，其中薯香园生态种植专业合作社被评为省级示范合作社，二姐家庭农场被评为省级示范农场。</w:t>
      </w:r>
    </w:p>
    <w:p w14:paraId="7E4E65A2">
      <w:pPr>
        <w:bidi w:val="0"/>
        <w:spacing w:line="560" w:lineRule="exact"/>
        <w:ind w:firstLine="643" w:firstLineChars="200"/>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bCs/>
          <w:sz w:val="32"/>
          <w:lang w:val="en-US" w:eastAsia="zh-CN"/>
        </w:rPr>
        <w:t>基础设施逐步完善。</w:t>
      </w:r>
      <w:r>
        <w:rPr>
          <w:rFonts w:hint="default" w:ascii="Times New Roman" w:hAnsi="Times New Roman" w:eastAsia="仿宋_GB2312" w:cs="Times New Roman"/>
          <w:sz w:val="32"/>
          <w:lang w:val="en-US" w:eastAsia="zh-CN"/>
        </w:rPr>
        <w:t>五年来，全镇</w:t>
      </w:r>
      <w:r>
        <w:rPr>
          <w:rFonts w:hint="eastAsia" w:ascii="Times New Roman" w:hAnsi="Times New Roman" w:eastAsia="仿宋_GB2312" w:cs="Times New Roman"/>
          <w:sz w:val="32"/>
          <w:lang w:val="en-US" w:eastAsia="zh-CN"/>
        </w:rPr>
        <w:t>不断推进基础设施补短板、强弱项建设，力促镇区建设上台阶。</w:t>
      </w:r>
      <w:r>
        <w:rPr>
          <w:rFonts w:hint="default" w:ascii="Times New Roman" w:hAnsi="Times New Roman" w:eastAsia="仿宋_GB2312" w:cs="Times New Roman"/>
          <w:b w:val="0"/>
          <w:bCs w:val="0"/>
          <w:sz w:val="32"/>
          <w:lang w:val="en-US" w:eastAsia="zh-CN"/>
        </w:rPr>
        <w:t>结合农村道路交通“扩面延伸”工程、“一事一议”财政奖补等项目，投入资金19.2亿元，修建道路213公里、安装路灯1200余盏，新增卫生厕所5802座，进一步补齐农村基础设施短板。完成董庙小学扩建、顾庄小学操场硬化、东楼小学校园扩建硬化工程。撤并杨圩、南邹等8所小学，优化教育资源配置</w:t>
      </w:r>
      <w:r>
        <w:rPr>
          <w:rFonts w:hint="eastAsia" w:ascii="Times New Roman" w:hAnsi="Times New Roman" w:eastAsia="仿宋_GB2312" w:cs="Times New Roman"/>
          <w:b w:val="0"/>
          <w:bCs w:val="0"/>
          <w:sz w:val="32"/>
          <w:lang w:val="en-US" w:eastAsia="zh-CN"/>
        </w:rPr>
        <w:t>，</w:t>
      </w:r>
      <w:r>
        <w:rPr>
          <w:rFonts w:hint="default" w:ascii="Times New Roman" w:hAnsi="Times New Roman" w:eastAsia="仿宋_GB2312" w:cs="Times New Roman"/>
          <w:b w:val="0"/>
          <w:bCs w:val="0"/>
          <w:sz w:val="32"/>
          <w:lang w:val="en-US" w:eastAsia="zh-CN"/>
        </w:rPr>
        <w:t>提高教学质量。投资1.2亿元完成镇政府所在地和10个美丽中心村的建设任务，镇区新修沥青道路3.3万平方米，“两横三纵”道路的弱电管线集中入地，新建一座6100㎡的标准化停车场。规划改造了镇区和董庙农贸市场，建成汉韵中心公园，有效完善了镇区基础设施。</w:t>
      </w:r>
    </w:p>
    <w:p w14:paraId="7998C6D0">
      <w:pPr>
        <w:bidi w:val="0"/>
        <w:spacing w:line="560" w:lineRule="exact"/>
        <w:ind w:firstLine="643" w:firstLineChars="200"/>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bCs/>
          <w:sz w:val="32"/>
          <w:lang w:val="en-US" w:eastAsia="zh-CN"/>
        </w:rPr>
        <w:t>生态环境日益改善。</w:t>
      </w:r>
      <w:r>
        <w:rPr>
          <w:rFonts w:hint="default" w:ascii="Times New Roman" w:hAnsi="Times New Roman" w:eastAsia="仿宋_GB2312" w:cs="Times New Roman"/>
          <w:b w:val="0"/>
          <w:bCs w:val="0"/>
          <w:sz w:val="32"/>
          <w:lang w:val="en-US" w:eastAsia="zh-CN"/>
        </w:rPr>
        <w:t>五年来，全镇始终聚焦生态建设，城镇呈现更美更宜居的面貌。推进美丽乡村建设，完成省级美丽乡村刘圩、邵桥村和县级美丽乡村夹河的打造任务。扎实开展了人居环境整治、村庄清洁工作，新建标准化秸秆收储中心14个，有效促进秸秆综合利用，连续5年“零火点”。排查散乱污企业7个，取缔关停3家，整治提升4家。整治养殖圈舍粪污直排突出问题，关闭畜禽养殖场（户）49家，治理养殖场（户）116家。对中央环保督察反馈的张家湖水污染问题以及省市县督察发现反馈的各类问题全部整改到位</w:t>
      </w:r>
      <w:r>
        <w:rPr>
          <w:rFonts w:hint="eastAsia" w:ascii="Times New Roman" w:hAnsi="Times New Roman" w:eastAsia="仿宋_GB2312" w:cs="Times New Roman"/>
          <w:b w:val="0"/>
          <w:bCs w:val="0"/>
          <w:sz w:val="32"/>
          <w:lang w:val="en-US" w:eastAsia="zh-CN"/>
        </w:rPr>
        <w:t>，</w:t>
      </w:r>
      <w:r>
        <w:rPr>
          <w:rFonts w:hint="default" w:ascii="Times New Roman" w:hAnsi="Times New Roman" w:eastAsia="仿宋_GB2312" w:cs="Times New Roman"/>
          <w:b w:val="0"/>
          <w:bCs w:val="0"/>
          <w:sz w:val="32"/>
          <w:lang w:val="en-US" w:eastAsia="zh-CN"/>
        </w:rPr>
        <w:t>不定期进行“回头看”，坚决杜绝反弹，影响生态环境问题得到有效治理。</w:t>
      </w:r>
    </w:p>
    <w:p w14:paraId="641B2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8" w:lineRule="exact"/>
        <w:ind w:right="0" w:firstLine="643" w:firstLineChars="200"/>
        <w:jc w:val="both"/>
        <w:textAlignment w:val="auto"/>
        <w:rPr>
          <w:rFonts w:hint="eastAsia" w:ascii="Times New Roman" w:hAnsi="Times New Roman" w:eastAsia="仿宋_GB2312" w:cs="Times New Roman"/>
          <w:b w:val="0"/>
          <w:bCs w:val="0"/>
          <w:kern w:val="2"/>
          <w:sz w:val="32"/>
          <w:szCs w:val="24"/>
          <w:lang w:val="en-US" w:eastAsia="zh-CN" w:bidi="ar-SA"/>
        </w:rPr>
      </w:pPr>
      <w:r>
        <w:rPr>
          <w:rFonts w:hint="eastAsia" w:ascii="Times New Roman" w:hAnsi="Times New Roman" w:eastAsia="仿宋_GB2312" w:cs="Times New Roman"/>
          <w:b/>
          <w:bCs/>
          <w:kern w:val="2"/>
          <w:sz w:val="32"/>
          <w:szCs w:val="24"/>
          <w:lang w:val="en-US" w:eastAsia="zh-CN" w:bidi="ar-SA"/>
        </w:rPr>
        <w:t>民生事业不断进步。</w:t>
      </w:r>
      <w:r>
        <w:rPr>
          <w:rFonts w:hint="eastAsia" w:ascii="Times New Roman" w:hAnsi="Times New Roman" w:eastAsia="仿宋_GB2312" w:cs="Times New Roman"/>
          <w:b w:val="0"/>
          <w:bCs w:val="0"/>
          <w:kern w:val="2"/>
          <w:sz w:val="32"/>
          <w:szCs w:val="24"/>
          <w:lang w:val="en-US" w:eastAsia="zh-CN" w:bidi="ar-SA"/>
        </w:rPr>
        <w:t>五年来，全镇持续提升社会保障水平，社会事业全面进步。城乡低保、特困人员基本生活补贴标准逐年提高，累计发放农村低保资金5035.7万元、五保资金1295.86万、救灾款233万元、临时救助金</w:t>
      </w:r>
      <w:r>
        <w:rPr>
          <w:rFonts w:hint="default" w:ascii="Times New Roman" w:hAnsi="Times New Roman" w:eastAsia="仿宋_GB2312" w:cs="Times New Roman"/>
          <w:b w:val="0"/>
          <w:bCs w:val="0"/>
          <w:kern w:val="2"/>
          <w:sz w:val="32"/>
          <w:szCs w:val="24"/>
          <w:lang w:val="en-US" w:eastAsia="zh-CN" w:bidi="ar-SA"/>
        </w:rPr>
        <w:t>1</w:t>
      </w:r>
      <w:r>
        <w:rPr>
          <w:rFonts w:hint="eastAsia" w:ascii="Times New Roman" w:hAnsi="Times New Roman" w:eastAsia="仿宋_GB2312" w:cs="Times New Roman"/>
          <w:b w:val="0"/>
          <w:bCs w:val="0"/>
          <w:kern w:val="2"/>
          <w:sz w:val="32"/>
          <w:szCs w:val="24"/>
          <w:lang w:val="en-US" w:eastAsia="zh-CN" w:bidi="ar-SA"/>
        </w:rPr>
        <w:t>3.61万元。持续保障残疾人权益，发放困难残疾人补贴195.53万元，重度残疾人护理补贴204.75万元。推进城乡居民养老保险，参保缴费人数25523人，位居全县先进位次。城乡居民医疗保险参保率98%，银龄安康保险参保人数达7000人，参保比例位居全县前列。开展“两癌”筛查、“健康体检”等免费医疗项目，1428名群众直接受益。</w:t>
      </w:r>
    </w:p>
    <w:p w14:paraId="4BE19C66">
      <w:pPr>
        <w:bidi w:val="0"/>
        <w:spacing w:line="560" w:lineRule="exact"/>
        <w:ind w:firstLine="643" w:firstLineChars="200"/>
        <w:rPr>
          <w:rFonts w:hint="default" w:ascii="Times New Roman" w:hAnsi="Times New Roman" w:eastAsia="仿宋_GB2312" w:cs="Times New Roman"/>
          <w:b w:val="0"/>
          <w:bCs w:val="0"/>
          <w:kern w:val="2"/>
          <w:sz w:val="32"/>
          <w:szCs w:val="24"/>
          <w:lang w:val="en-US" w:eastAsia="zh-CN" w:bidi="ar-SA"/>
        </w:rPr>
      </w:pPr>
      <w:r>
        <w:rPr>
          <w:rFonts w:hint="eastAsia" w:ascii="Times New Roman" w:hAnsi="Times New Roman" w:eastAsia="仿宋_GB2312" w:cs="Times New Roman"/>
          <w:b/>
          <w:bCs/>
          <w:kern w:val="2"/>
          <w:sz w:val="32"/>
          <w:szCs w:val="24"/>
          <w:lang w:val="en-US" w:eastAsia="zh-CN" w:bidi="ar-SA"/>
        </w:rPr>
        <w:t>社会治理更加有效。</w:t>
      </w:r>
      <w:r>
        <w:rPr>
          <w:rFonts w:hint="default" w:ascii="Times New Roman" w:hAnsi="Times New Roman" w:eastAsia="仿宋_GB2312" w:cs="Times New Roman"/>
          <w:b w:val="0"/>
          <w:bCs w:val="0"/>
          <w:sz w:val="32"/>
          <w:lang w:val="en-US" w:eastAsia="zh-CN"/>
        </w:rPr>
        <w:t>五年来，全镇着重打好防范化解重大风险攻坚战，加强社会治理，提升百姓幸福指数。</w:t>
      </w:r>
      <w:r>
        <w:rPr>
          <w:rFonts w:hint="eastAsia" w:ascii="Times New Roman" w:hAnsi="Times New Roman" w:eastAsia="仿宋_GB2312" w:cs="Times New Roman"/>
          <w:b w:val="0"/>
          <w:bCs w:val="0"/>
          <w:kern w:val="2"/>
          <w:sz w:val="32"/>
          <w:szCs w:val="24"/>
          <w:lang w:val="en-US" w:eastAsia="zh-CN" w:bidi="ar-SA"/>
        </w:rPr>
        <w:t>以市域社会治理现代化试点工作为抓手，对标对表平安创建任务要求，推深做实“平安乡镇、平安单位、平安村居、平安家庭”创建，平安家庭达标率98.3%，“六无”村居达标率83%。24个村居标准化综治中心、九湾居法治广场、刘集镇法治公园建成并投入使用，司法所综治中心业务楼开工建设，“七五”普法顺利验收，“八五”普法开局良好。扎实开展</w:t>
      </w:r>
      <w:bookmarkStart w:id="40" w:name="_GoBack"/>
      <w:bookmarkEnd w:id="40"/>
      <w:r>
        <w:rPr>
          <w:rFonts w:hint="eastAsia" w:ascii="Times New Roman" w:hAnsi="Times New Roman" w:eastAsia="仿宋_GB2312" w:cs="Times New Roman"/>
          <w:b w:val="0"/>
          <w:bCs w:val="0"/>
          <w:kern w:val="2"/>
          <w:sz w:val="32"/>
          <w:szCs w:val="24"/>
          <w:lang w:val="en-US" w:eastAsia="zh-CN" w:bidi="ar-SA"/>
        </w:rPr>
        <w:t>扫黑除恶专项斗争，保持高压态势，五年共办结各类涉黑问题线索19起。五年来累计处理治安案件432起，破获各类刑事案件45起，处理违法行为人471人，有力地震慑了违法犯罪活动，有效维护全镇清朗和谐的社会环境。</w:t>
      </w:r>
    </w:p>
    <w:p w14:paraId="294C3E57">
      <w:pPr>
        <w:keepNext/>
        <w:keepLines/>
        <w:widowControl w:val="0"/>
        <w:bidi w:val="0"/>
        <w:spacing w:beforeLines="0" w:beforeAutospacing="0" w:afterLines="0" w:afterAutospacing="0" w:line="560" w:lineRule="exact"/>
        <w:ind w:firstLine="643" w:firstLineChars="200"/>
        <w:jc w:val="both"/>
        <w:outlineLvl w:val="1"/>
        <w:rPr>
          <w:rFonts w:hint="default" w:ascii="Arial" w:hAnsi="Arial" w:eastAsia="楷体" w:cs="Times New Roman"/>
          <w:b/>
          <w:kern w:val="2"/>
          <w:sz w:val="32"/>
          <w:szCs w:val="24"/>
          <w:lang w:val="en-US" w:eastAsia="zh-CN" w:bidi="ar-SA"/>
        </w:rPr>
      </w:pPr>
      <w:bookmarkStart w:id="3" w:name="_Toc22128"/>
      <w:r>
        <w:rPr>
          <w:rFonts w:hint="default" w:ascii="Arial" w:hAnsi="Arial" w:eastAsia="楷体" w:cs="Times New Roman"/>
          <w:b/>
          <w:kern w:val="2"/>
          <w:sz w:val="32"/>
          <w:szCs w:val="24"/>
          <w:lang w:val="en-US" w:eastAsia="zh-CN" w:bidi="ar-SA"/>
        </w:rPr>
        <w:t>第二节 发展环境</w:t>
      </w:r>
      <w:bookmarkEnd w:id="3"/>
    </w:p>
    <w:p w14:paraId="5E3562AF">
      <w:pPr>
        <w:bidi w:val="0"/>
        <w:spacing w:line="560" w:lineRule="exact"/>
        <w:ind w:firstLine="643"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sz w:val="32"/>
          <w:lang w:val="en-US" w:eastAsia="zh-CN"/>
        </w:rPr>
        <w:t>工业发展面临新机遇。</w:t>
      </w:r>
      <w:r>
        <w:rPr>
          <w:rFonts w:hint="default" w:ascii="Times New Roman" w:hAnsi="Times New Roman" w:eastAsia="仿宋_GB2312" w:cs="Times New Roman"/>
          <w:sz w:val="32"/>
          <w:lang w:val="en-US" w:eastAsia="zh-CN"/>
        </w:rPr>
        <w:t>刘集镇是远近闻名的板材加工小镇，板材加工、农副产品加工等工业企业已初具规模。中国制造2025国家战略的提出，对刘集工业发展带来了新契机。刘集应紧抓时代的命脉，加大科研技术、机械自动化等方面的投入，发展上下游产业链，依托地方板材资源和农产品资源，打造现代特色板材和农产品加工基地。</w:t>
      </w:r>
    </w:p>
    <w:p w14:paraId="24BE08E4">
      <w:pPr>
        <w:bidi w:val="0"/>
        <w:spacing w:line="560" w:lineRule="exact"/>
        <w:ind w:firstLine="643"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sz w:val="32"/>
          <w:lang w:val="en-US" w:eastAsia="zh-CN"/>
        </w:rPr>
        <w:t>蚌埠地区统筹发展。</w:t>
      </w:r>
      <w:r>
        <w:rPr>
          <w:rFonts w:hint="default" w:ascii="Times New Roman" w:hAnsi="Times New Roman" w:eastAsia="仿宋_GB2312" w:cs="Times New Roman"/>
          <w:sz w:val="32"/>
          <w:lang w:val="en-US" w:eastAsia="zh-CN"/>
        </w:rPr>
        <w:t>刘集镇地处蚌埠北部，位于固镇县城东20公里，东与五河县东刘集镇接壤，南临怀洪新河、包浍河，与王庄镇、新马桥镇隔河相望，西、北两面同石湖乡交界。近年来，固镇县积极承接蚌埠市工业产业园产业转移，将有力带动周边乡镇第二、三产业的发展，为刘集镇产业发展提供了重要机遇。</w:t>
      </w:r>
    </w:p>
    <w:p w14:paraId="570A1544">
      <w:pPr>
        <w:bidi w:val="0"/>
        <w:spacing w:line="560" w:lineRule="exact"/>
        <w:ind w:firstLine="643"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sz w:val="32"/>
          <w:lang w:val="en-US" w:eastAsia="zh-CN"/>
        </w:rPr>
        <w:t>交通优势逐渐显现。</w:t>
      </w:r>
      <w:r>
        <w:rPr>
          <w:rFonts w:hint="default" w:ascii="Times New Roman" w:hAnsi="Times New Roman" w:eastAsia="仿宋_GB2312" w:cs="Times New Roman"/>
          <w:sz w:val="32"/>
          <w:lang w:val="en-US" w:eastAsia="zh-CN"/>
        </w:rPr>
        <w:t>原省道304 提升为国道344，蚌固高速、蚌埠北部高速公路、省道 418 以及县道的规划，为刘集镇交通带来了方便，为第二产业和第三产业发展提供交通优势，同时为刘集镇配套旅游的发展带来市场空间。</w:t>
      </w:r>
    </w:p>
    <w:p w14:paraId="6A968F5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Calibri" w:hAnsi="Calibri" w:eastAsia="仿宋_GB2312" w:cs="Times New Roman"/>
          <w:sz w:val="32"/>
          <w:lang w:val="en-US" w:eastAsia="zh-CN"/>
        </w:rPr>
      </w:pPr>
      <w:r>
        <w:rPr>
          <w:rFonts w:ascii="Calibri" w:hAnsi="Calibri" w:eastAsia="仿宋_GB2312" w:cs="Times New Roman"/>
          <w:sz w:val="32"/>
        </w:rPr>
        <w:drawing>
          <wp:inline distT="0" distB="0" distL="114300" distR="114300">
            <wp:extent cx="5273040" cy="3968750"/>
            <wp:effectExtent l="0" t="0" r="381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3040" cy="3968750"/>
                    </a:xfrm>
                    <a:prstGeom prst="rect">
                      <a:avLst/>
                    </a:prstGeom>
                    <a:noFill/>
                    <a:ln>
                      <a:noFill/>
                    </a:ln>
                  </pic:spPr>
                </pic:pic>
              </a:graphicData>
            </a:graphic>
          </wp:inline>
        </w:drawing>
      </w:r>
    </w:p>
    <w:p w14:paraId="76278E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bCs/>
          <w:sz w:val="28"/>
          <w:szCs w:val="22"/>
          <w:lang w:val="en-US" w:eastAsia="zh-CN"/>
        </w:rPr>
      </w:pPr>
      <w:r>
        <w:rPr>
          <w:rFonts w:hint="default" w:ascii="Times New Roman" w:hAnsi="Times New Roman" w:eastAsia="仿宋_GB2312" w:cs="Times New Roman"/>
          <w:b/>
          <w:bCs/>
          <w:sz w:val="28"/>
          <w:szCs w:val="22"/>
          <w:lang w:val="en-US" w:eastAsia="zh-CN"/>
        </w:rPr>
        <w:t>图1 刘集镇在蚌埠市的交通区域关系</w:t>
      </w:r>
    </w:p>
    <w:p w14:paraId="4BF28710">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highlight w:val="none"/>
          <w:lang w:val="en-US" w:eastAsia="zh-CN"/>
        </w:rPr>
        <w:t>同时，刘集必须把握自身发展阶段，特别是要看到我镇经济社会发展仍然存在一些问题和不足，</w:t>
      </w:r>
      <w:r>
        <w:rPr>
          <w:rFonts w:hint="default" w:ascii="Times New Roman" w:hAnsi="Times New Roman" w:eastAsia="仿宋_GB2312" w:cs="Times New Roman"/>
          <w:sz w:val="32"/>
          <w:lang w:val="en-US" w:eastAsia="zh-CN"/>
        </w:rPr>
        <w:t>一是营商环境还待优化，招商引资力度还要加强；二是村容村貌、人居环境与群众期盼还有一定差距，长效巩固任重道远；三是可用财力单薄，村集体经济发展、基础设施建设还要发力。但总体来看，</w:t>
      </w:r>
      <w:r>
        <w:rPr>
          <w:rFonts w:hint="default" w:ascii="Times New Roman" w:hAnsi="Times New Roman" w:eastAsia="仿宋_GB2312" w:cs="Times New Roman"/>
          <w:sz w:val="32"/>
          <w:highlight w:val="none"/>
          <w:lang w:val="en-US" w:eastAsia="zh-CN"/>
        </w:rPr>
        <w:t>刘集</w:t>
      </w:r>
      <w:r>
        <w:rPr>
          <w:rFonts w:hint="default" w:ascii="Times New Roman" w:hAnsi="Times New Roman" w:eastAsia="仿宋_GB2312" w:cs="Times New Roman"/>
          <w:sz w:val="32"/>
          <w:lang w:val="en-US" w:eastAsia="zh-CN"/>
        </w:rPr>
        <w:t>仍然处于重要战略机遇期，必须胸怀两个大局，深刻认识新发展阶段带来的新方位新机遇，深刻认识社会主要矛盾变化带来的新特征新要求。未来五年将是刘集以高质量发展求跨越的重要战略机遇期，必须坚定发展信心，抢抓发展机遇，真抓实干，苦干实干，全力推进刘集镇高质量发展。</w:t>
      </w:r>
    </w:p>
    <w:p w14:paraId="75A3E37D">
      <w:pPr>
        <w:keepNext/>
        <w:keepLines/>
        <w:widowControl w:val="0"/>
        <w:bidi w:val="0"/>
        <w:spacing w:beforeLines="0" w:beforeAutospacing="0" w:afterLines="0" w:afterAutospacing="0" w:line="560" w:lineRule="exact"/>
        <w:ind w:firstLine="640" w:firstLineChars="200"/>
        <w:jc w:val="both"/>
        <w:outlineLvl w:val="0"/>
        <w:rPr>
          <w:rFonts w:hint="default" w:ascii="Calibri" w:hAnsi="Calibri" w:eastAsia="黑体" w:cs="Times New Roman"/>
          <w:kern w:val="44"/>
          <w:sz w:val="32"/>
          <w:szCs w:val="24"/>
          <w:lang w:val="en-US" w:eastAsia="zh-CN" w:bidi="ar-SA"/>
        </w:rPr>
      </w:pPr>
      <w:bookmarkStart w:id="4" w:name="_Toc29826"/>
      <w:r>
        <w:rPr>
          <w:rFonts w:hint="default" w:ascii="Calibri" w:hAnsi="Calibri" w:eastAsia="黑体" w:cs="Times New Roman"/>
          <w:kern w:val="44"/>
          <w:sz w:val="32"/>
          <w:szCs w:val="24"/>
          <w:lang w:val="en-US" w:eastAsia="zh-CN" w:bidi="ar-SA"/>
        </w:rPr>
        <w:t>第二章  总体要求</w:t>
      </w:r>
      <w:bookmarkEnd w:id="4"/>
    </w:p>
    <w:p w14:paraId="25796273">
      <w:pPr>
        <w:keepNext/>
        <w:keepLines/>
        <w:widowControl w:val="0"/>
        <w:bidi w:val="0"/>
        <w:spacing w:beforeLines="0" w:beforeAutospacing="0" w:afterLines="0" w:afterAutospacing="0" w:line="560" w:lineRule="exact"/>
        <w:ind w:firstLine="643" w:firstLineChars="200"/>
        <w:jc w:val="both"/>
        <w:outlineLvl w:val="1"/>
        <w:rPr>
          <w:rFonts w:hint="default" w:ascii="Arial" w:hAnsi="Arial" w:eastAsia="楷体" w:cs="Times New Roman"/>
          <w:b/>
          <w:kern w:val="2"/>
          <w:sz w:val="32"/>
          <w:szCs w:val="24"/>
          <w:lang w:val="en-US" w:eastAsia="zh-CN" w:bidi="ar-SA"/>
        </w:rPr>
      </w:pPr>
      <w:bookmarkStart w:id="5" w:name="_Toc23324"/>
      <w:r>
        <w:rPr>
          <w:rFonts w:hint="default" w:ascii="Arial" w:hAnsi="Arial" w:eastAsia="楷体" w:cs="Times New Roman"/>
          <w:b/>
          <w:kern w:val="2"/>
          <w:sz w:val="32"/>
          <w:szCs w:val="24"/>
          <w:lang w:val="en-US" w:eastAsia="zh-CN" w:bidi="ar-SA"/>
        </w:rPr>
        <w:t>第一节 指导思想</w:t>
      </w:r>
      <w:bookmarkEnd w:id="5"/>
    </w:p>
    <w:p w14:paraId="2C294213">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高举中国特色社会主义伟大旗帜，以习近平新时代中国特色社会主义思想为指导，全面贯彻落实党的十九大精神和习近平总书记视察安徽重要讲话精神，牢固树立新发展理念，坚持稳中求进工作总基调，对标市、县总体部署和工作要求，立足发展实际，科学分析形势，重点从板材加工、农副产品加工、新材料等产业进行布局，建设现代化经济体系，推进社会治理体系与治理能力现代化，推进经济和社会向更高水平、更高质量发展，力争建设“经济繁荣、生态优美、社会文明、人民幸福”的新刘集，确保全面建设社会主义现代化开好局、起好步。</w:t>
      </w:r>
    </w:p>
    <w:p w14:paraId="3C3A1BEC">
      <w:pPr>
        <w:keepNext/>
        <w:keepLines/>
        <w:widowControl w:val="0"/>
        <w:bidi w:val="0"/>
        <w:spacing w:beforeLines="0" w:beforeAutospacing="0" w:afterLines="0" w:afterAutospacing="0" w:line="560" w:lineRule="exact"/>
        <w:ind w:firstLine="643" w:firstLineChars="200"/>
        <w:jc w:val="both"/>
        <w:outlineLvl w:val="1"/>
        <w:rPr>
          <w:rFonts w:hint="default" w:ascii="Arial" w:hAnsi="Arial" w:eastAsia="楷体" w:cs="Times New Roman"/>
          <w:b/>
          <w:kern w:val="2"/>
          <w:sz w:val="32"/>
          <w:szCs w:val="24"/>
          <w:lang w:val="en-US" w:eastAsia="zh-CN" w:bidi="ar-SA"/>
        </w:rPr>
      </w:pPr>
      <w:bookmarkStart w:id="6" w:name="_Toc2763"/>
      <w:r>
        <w:rPr>
          <w:rFonts w:hint="default" w:ascii="Arial" w:hAnsi="Arial" w:eastAsia="楷体" w:cs="Times New Roman"/>
          <w:b/>
          <w:kern w:val="2"/>
          <w:sz w:val="32"/>
          <w:szCs w:val="24"/>
          <w:lang w:val="en-US" w:eastAsia="zh-CN" w:bidi="ar-SA"/>
        </w:rPr>
        <w:t>第二节 基本原则</w:t>
      </w:r>
      <w:bookmarkEnd w:id="6"/>
    </w:p>
    <w:p w14:paraId="7E847588">
      <w:pPr>
        <w:bidi w:val="0"/>
        <w:spacing w:line="560" w:lineRule="exact"/>
        <w:ind w:firstLine="643"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sz w:val="32"/>
          <w:lang w:val="en-US" w:eastAsia="zh-CN"/>
        </w:rPr>
        <w:t>坚定不移推动工业强镇。</w:t>
      </w:r>
      <w:r>
        <w:rPr>
          <w:rFonts w:hint="default" w:ascii="Times New Roman" w:hAnsi="Times New Roman" w:eastAsia="仿宋_GB2312" w:cs="Times New Roman"/>
          <w:sz w:val="32"/>
          <w:lang w:val="en-US" w:eastAsia="zh-CN"/>
        </w:rPr>
        <w:t>立足全市看刘集，敢同大的比、与强的争。坚定不移加快产业转型升级，做大做强板材加工、农副产品深加工、新材料等工业经济，全力做好招商引资和项目建设工作，实现跨越发展，力争综合实力跨入蚌埠市乡镇发展第一方阵。</w:t>
      </w:r>
    </w:p>
    <w:p w14:paraId="453454A2">
      <w:pPr>
        <w:bidi w:val="0"/>
        <w:spacing w:line="560" w:lineRule="exact"/>
        <w:ind w:firstLine="643" w:firstLineChars="200"/>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bCs/>
          <w:sz w:val="32"/>
          <w:lang w:val="en-US" w:eastAsia="zh-CN"/>
        </w:rPr>
        <w:t>坚定不移推动创新活镇。</w:t>
      </w:r>
      <w:r>
        <w:rPr>
          <w:rFonts w:hint="default" w:ascii="Times New Roman" w:hAnsi="Times New Roman" w:eastAsia="仿宋_GB2312" w:cs="Times New Roman"/>
          <w:b w:val="0"/>
          <w:bCs w:val="0"/>
          <w:sz w:val="32"/>
          <w:lang w:val="en-US" w:eastAsia="zh-CN"/>
        </w:rPr>
        <w:t>以改革破难题，以创新添动力。倡导敢为人先、勇于冒尖的创新精神，推动理念、制度、科技、文化等领域全面创新，大力推动大众创业、万众创新，大力实施人才兴镇战略，营造良好的人才发展环境，多渠道汇聚刘集智慧，激发镇域高质量发展动力活力。</w:t>
      </w:r>
    </w:p>
    <w:p w14:paraId="39EA4097">
      <w:pPr>
        <w:bidi w:val="0"/>
        <w:spacing w:line="560" w:lineRule="exact"/>
        <w:ind w:firstLine="643" w:firstLineChars="200"/>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bCs/>
          <w:sz w:val="32"/>
          <w:lang w:val="en-US" w:eastAsia="zh-CN"/>
        </w:rPr>
        <w:t>坚定不移实施乡村振兴。</w:t>
      </w:r>
      <w:r>
        <w:rPr>
          <w:rFonts w:hint="default" w:ascii="Times New Roman" w:hAnsi="Times New Roman" w:eastAsia="仿宋_GB2312" w:cs="Times New Roman"/>
          <w:b w:val="0"/>
          <w:bCs w:val="0"/>
          <w:sz w:val="32"/>
          <w:lang w:val="en-US" w:eastAsia="zh-CN"/>
        </w:rPr>
        <w:t>以美丽乡村建设为契机，以提升农村人居环境为重点，同时大力发展特色农业，不断提升农民收入水平及改善农村生活环境，补充农村生活设施短板，增强农民幸福感，实现美丽乡村建设再升级，全面推进乡村产业振兴、人才振兴、生态振兴、文化振兴、组织振兴。</w:t>
      </w:r>
    </w:p>
    <w:p w14:paraId="44E54F20">
      <w:pPr>
        <w:bidi w:val="0"/>
        <w:spacing w:line="560" w:lineRule="exact"/>
        <w:ind w:firstLine="643"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sz w:val="32"/>
          <w:lang w:val="en-US" w:eastAsia="zh-CN"/>
        </w:rPr>
        <w:t>坚定不移提升民生福祉。</w:t>
      </w:r>
      <w:r>
        <w:rPr>
          <w:rFonts w:hint="default" w:ascii="Times New Roman" w:hAnsi="Times New Roman" w:eastAsia="仿宋_GB2312" w:cs="Times New Roman"/>
          <w:sz w:val="32"/>
          <w:lang w:val="en-US" w:eastAsia="zh-CN"/>
        </w:rPr>
        <w:t>牢固树立发展为了人民、发展依靠人民、发展成果由人民共享理念，着力解决人民群众最关心最直接最现实的利益问题，全面推进民生事业发展，不断提升人民群众的安全感、获得感、幸福感。</w:t>
      </w:r>
    </w:p>
    <w:p w14:paraId="2F5DF036">
      <w:pPr>
        <w:keepNext/>
        <w:keepLines/>
        <w:widowControl w:val="0"/>
        <w:bidi w:val="0"/>
        <w:spacing w:beforeLines="0" w:beforeAutospacing="0" w:afterLines="0" w:afterAutospacing="0" w:line="560" w:lineRule="exact"/>
        <w:ind w:firstLine="643" w:firstLineChars="200"/>
        <w:jc w:val="both"/>
        <w:outlineLvl w:val="1"/>
        <w:rPr>
          <w:rFonts w:hint="default" w:ascii="Arial" w:hAnsi="Arial" w:eastAsia="楷体" w:cs="Times New Roman"/>
          <w:b/>
          <w:kern w:val="2"/>
          <w:sz w:val="32"/>
          <w:szCs w:val="24"/>
          <w:lang w:val="en-US" w:eastAsia="zh-CN" w:bidi="ar-SA"/>
        </w:rPr>
      </w:pPr>
      <w:bookmarkStart w:id="7" w:name="_Toc8053"/>
      <w:r>
        <w:rPr>
          <w:rFonts w:hint="default" w:ascii="Arial" w:hAnsi="Arial" w:eastAsia="楷体" w:cs="Times New Roman"/>
          <w:b/>
          <w:kern w:val="2"/>
          <w:sz w:val="32"/>
          <w:szCs w:val="24"/>
          <w:lang w:val="en-US" w:eastAsia="zh-CN" w:bidi="ar-SA"/>
        </w:rPr>
        <w:t>第三节 发展目标</w:t>
      </w:r>
      <w:bookmarkEnd w:id="7"/>
    </w:p>
    <w:p w14:paraId="0C2EE58A">
      <w:pPr>
        <w:bidi w:val="0"/>
        <w:spacing w:line="560" w:lineRule="exact"/>
        <w:ind w:left="0" w:leftChars="0" w:firstLine="640" w:firstLineChars="200"/>
        <w:rPr>
          <w:rFonts w:hint="default" w:ascii="Times New Roman" w:hAnsi="Times New Roman" w:eastAsia="仿宋_GB2312" w:cs="Times New Roman"/>
          <w:color w:val="0000FF"/>
          <w:sz w:val="32"/>
          <w:lang w:val="en-US" w:eastAsia="zh-CN"/>
        </w:rPr>
      </w:pPr>
      <w:r>
        <w:rPr>
          <w:rFonts w:hint="default" w:ascii="Times New Roman" w:hAnsi="Times New Roman" w:eastAsia="仿宋_GB2312" w:cs="Times New Roman"/>
          <w:sz w:val="32"/>
          <w:lang w:val="en-US" w:eastAsia="zh-CN"/>
        </w:rPr>
        <w:t>“十四五”时期，刘集镇要积极主动作为，当头领跑、赶超跨越，为全县打造“高特美强”新固镇作出新贡献。结合县十四五的目标要求以及刘集镇发展实际，提出总的目标要求：到2025年，全镇经济社会发展质量和效益明显提高，产业集群发展、农村人居环境、基础设施水平、城乡居民收入显著提升，产业发展、城镇建设、公共服务、生态环境、社会治理取得全面突破。规模以上工业总产值、增加值年均增长10%；固定资产投资年均增长10%；农业总产值、增加值保持平稳；居民人均可支配收入年均增长达到全县平均水平。</w:t>
      </w:r>
    </w:p>
    <w:p w14:paraId="210C0B4D">
      <w:pPr>
        <w:keepNext/>
        <w:keepLines/>
        <w:widowControl w:val="0"/>
        <w:bidi w:val="0"/>
        <w:spacing w:beforeLines="0" w:beforeAutospacing="0" w:afterLines="0" w:afterAutospacing="0" w:line="560" w:lineRule="exact"/>
        <w:ind w:firstLine="640" w:firstLineChars="200"/>
        <w:jc w:val="both"/>
        <w:outlineLvl w:val="0"/>
        <w:rPr>
          <w:rFonts w:hint="default" w:ascii="Calibri" w:hAnsi="Calibri" w:eastAsia="黑体" w:cs="Times New Roman"/>
          <w:kern w:val="44"/>
          <w:sz w:val="32"/>
          <w:szCs w:val="24"/>
          <w:lang w:val="en-US" w:eastAsia="zh-CN" w:bidi="ar-SA"/>
        </w:rPr>
      </w:pPr>
      <w:bookmarkStart w:id="8" w:name="_Toc19396"/>
      <w:r>
        <w:rPr>
          <w:rFonts w:hint="default" w:ascii="Calibri" w:hAnsi="Calibri" w:eastAsia="黑体" w:cs="Times New Roman"/>
          <w:kern w:val="44"/>
          <w:sz w:val="32"/>
          <w:szCs w:val="24"/>
          <w:lang w:val="en-US" w:eastAsia="zh-CN" w:bidi="ar-SA"/>
        </w:rPr>
        <w:t xml:space="preserve">第三章  </w:t>
      </w:r>
      <w:bookmarkEnd w:id="8"/>
      <w:r>
        <w:rPr>
          <w:rFonts w:hint="eastAsia" w:ascii="Calibri" w:hAnsi="Calibri" w:eastAsia="黑体" w:cs="Times New Roman"/>
          <w:kern w:val="44"/>
          <w:sz w:val="32"/>
          <w:szCs w:val="24"/>
          <w:lang w:val="en-US" w:eastAsia="zh-CN" w:bidi="ar-SA"/>
        </w:rPr>
        <w:t>加快产业体系优化升级</w:t>
      </w:r>
    </w:p>
    <w:p w14:paraId="6B7F4884">
      <w:pPr>
        <w:bidi w:val="0"/>
        <w:spacing w:line="560" w:lineRule="exact"/>
        <w:ind w:firstLine="640" w:firstLineChars="200"/>
        <w:rPr>
          <w:rFonts w:hint="default" w:ascii="Times New Roman" w:hAnsi="Times New Roman" w:eastAsia="仿宋_GB2312" w:cs="Times New Roman"/>
          <w:b w:val="0"/>
          <w:bCs w:val="0"/>
          <w:sz w:val="32"/>
          <w:lang w:val="en-US" w:eastAsia="zh-CN"/>
        </w:rPr>
      </w:pPr>
      <w:bookmarkStart w:id="9" w:name="_Toc18340"/>
      <w:r>
        <w:rPr>
          <w:rFonts w:hint="default" w:ascii="Times New Roman" w:hAnsi="Times New Roman" w:eastAsia="仿宋_GB2312" w:cs="Times New Roman"/>
          <w:b w:val="0"/>
          <w:bCs w:val="0"/>
          <w:sz w:val="32"/>
          <w:lang w:val="en-US" w:eastAsia="zh-CN"/>
        </w:rPr>
        <w:t>依托城镇资源禀赋产业基础条件，顺应产业变革态势，以培育壮大板材加工、农副产品加工、新材料等产业为重点，加强与镇区相关企业沟通对接，研究产业相关政策，引进相关联和配套企业，延伸产业链条，着力构建产业高质量发展的创新氛围和环境。</w:t>
      </w:r>
    </w:p>
    <w:p w14:paraId="21044099">
      <w:pPr>
        <w:keepNext/>
        <w:keepLines/>
        <w:widowControl w:val="0"/>
        <w:bidi w:val="0"/>
        <w:spacing w:beforeLines="0" w:beforeAutospacing="0" w:afterLines="0" w:afterAutospacing="0" w:line="560" w:lineRule="exact"/>
        <w:ind w:firstLine="643" w:firstLineChars="200"/>
        <w:jc w:val="both"/>
        <w:outlineLvl w:val="1"/>
        <w:rPr>
          <w:rFonts w:hint="default" w:ascii="Arial" w:hAnsi="Arial" w:eastAsia="楷体" w:cs="Times New Roman"/>
          <w:b/>
          <w:kern w:val="2"/>
          <w:sz w:val="32"/>
          <w:szCs w:val="24"/>
          <w:lang w:val="en-US" w:eastAsia="zh-CN" w:bidi="ar-SA"/>
        </w:rPr>
      </w:pPr>
      <w:r>
        <w:rPr>
          <w:rFonts w:hint="default" w:ascii="Arial" w:hAnsi="Arial" w:eastAsia="楷体" w:cs="Times New Roman"/>
          <w:b/>
          <w:kern w:val="2"/>
          <w:sz w:val="32"/>
          <w:szCs w:val="24"/>
          <w:lang w:val="en-US" w:eastAsia="zh-CN" w:bidi="ar-SA"/>
        </w:rPr>
        <w:t>第一节 推进工业经济高质量发展</w:t>
      </w:r>
      <w:bookmarkEnd w:id="9"/>
    </w:p>
    <w:p w14:paraId="238176FC">
      <w:pPr>
        <w:bidi w:val="0"/>
        <w:spacing w:line="560" w:lineRule="exact"/>
        <w:ind w:firstLine="643" w:firstLineChars="200"/>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bCs/>
          <w:sz w:val="32"/>
          <w:lang w:val="en-US" w:eastAsia="zh-CN"/>
        </w:rPr>
        <w:t>——板材加工产业。</w:t>
      </w:r>
      <w:r>
        <w:rPr>
          <w:rFonts w:hint="default" w:ascii="Times New Roman" w:hAnsi="Times New Roman" w:eastAsia="仿宋_GB2312" w:cs="Times New Roman"/>
          <w:b w:val="0"/>
          <w:bCs w:val="0"/>
          <w:sz w:val="32"/>
          <w:lang w:val="en-US" w:eastAsia="zh-CN"/>
        </w:rPr>
        <w:t xml:space="preserve">围绕提升产品档次，积极引导现有板材企业由初级产品向终端产品、由低档产品向高档产品发展，鼓励企业发展高档地板、高档家具、高档门窗橱柜等中高端产品，拉长产业链条。同时，培育壮大档次高、规模大、带动力强的龙头企业，引进相关上下游链条企业，支撑带动板材产业稳步发展。 </w:t>
      </w:r>
    </w:p>
    <w:p w14:paraId="1C076E26">
      <w:pPr>
        <w:bidi w:val="0"/>
        <w:spacing w:line="560" w:lineRule="exact"/>
        <w:ind w:firstLine="643" w:firstLineChars="200"/>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bCs/>
          <w:sz w:val="32"/>
          <w:lang w:val="en-US" w:eastAsia="zh-CN"/>
        </w:rPr>
        <w:t>——农副产品加工产业。</w:t>
      </w:r>
      <w:r>
        <w:rPr>
          <w:rFonts w:hint="default" w:ascii="Times New Roman" w:hAnsi="Times New Roman" w:eastAsia="仿宋_GB2312" w:cs="Times New Roman"/>
          <w:b w:val="0"/>
          <w:bCs w:val="0"/>
          <w:sz w:val="32"/>
          <w:lang w:val="en-US" w:eastAsia="zh-CN"/>
        </w:rPr>
        <w:t>以绿色、优质、特色、品牌为引领，加快发展农副产品加工业。谋划绿色食品产业园，促进加工与种养、流通和销售等环节的衔接，培育发展方便休闲食品、营养保健食品、绿色有机食品、功能特色食品等现代食品，推进农副产品加工向精深加工转变。</w:t>
      </w:r>
    </w:p>
    <w:p w14:paraId="50E9D044">
      <w:pPr>
        <w:bidi w:val="0"/>
        <w:spacing w:line="560" w:lineRule="exact"/>
        <w:ind w:firstLine="643"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sz w:val="32"/>
          <w:lang w:val="en-US" w:eastAsia="zh-CN"/>
        </w:rPr>
        <w:t>——新材料产业。</w:t>
      </w:r>
      <w:r>
        <w:rPr>
          <w:rFonts w:hint="default" w:ascii="Times New Roman" w:hAnsi="Times New Roman" w:eastAsia="仿宋_GB2312" w:cs="Times New Roman"/>
          <w:sz w:val="32"/>
          <w:lang w:val="en-US" w:eastAsia="zh-CN"/>
        </w:rPr>
        <w:t>积极培育新动能，以玻璃制品材料为主攻方向，布局发展新材料战略性新兴产业。围绕片区内华冠光学材料等现有镜片加工企业需求，发展玻璃新材料，同时向配套材料、关键装备和中下游应用产品等方向延伸，积极发展精深加工和高附加值产品。以产业链延伸和集群化发展为目标制定招商策划方案，开展产业链招商，探索新材料产业细分领域，突出细分产品特色和优势。</w:t>
      </w:r>
    </w:p>
    <w:p w14:paraId="643F5305">
      <w:pPr>
        <w:keepNext/>
        <w:keepLines/>
        <w:widowControl w:val="0"/>
        <w:bidi w:val="0"/>
        <w:spacing w:beforeLines="0" w:beforeAutospacing="0" w:afterLines="0" w:afterAutospacing="0" w:line="560" w:lineRule="exact"/>
        <w:ind w:firstLine="643" w:firstLineChars="200"/>
        <w:jc w:val="both"/>
        <w:outlineLvl w:val="1"/>
        <w:rPr>
          <w:rFonts w:hint="default" w:ascii="Arial" w:hAnsi="Arial" w:eastAsia="楷体" w:cs="Times New Roman"/>
          <w:b/>
          <w:kern w:val="2"/>
          <w:sz w:val="32"/>
          <w:szCs w:val="24"/>
          <w:lang w:val="en-US" w:eastAsia="zh-CN" w:bidi="ar-SA"/>
        </w:rPr>
      </w:pPr>
      <w:bookmarkStart w:id="10" w:name="_Toc21136"/>
      <w:r>
        <w:rPr>
          <w:rFonts w:hint="default" w:ascii="Arial" w:hAnsi="Arial" w:eastAsia="楷体" w:cs="Times New Roman"/>
          <w:b/>
          <w:kern w:val="2"/>
          <w:sz w:val="32"/>
          <w:szCs w:val="24"/>
          <w:lang w:val="en-US" w:eastAsia="zh-CN" w:bidi="ar-SA"/>
        </w:rPr>
        <w:t>第二节 全力优化产业发展环境</w:t>
      </w:r>
      <w:bookmarkEnd w:id="10"/>
    </w:p>
    <w:p w14:paraId="7C692207">
      <w:pPr>
        <w:bidi w:val="0"/>
        <w:spacing w:line="560" w:lineRule="exact"/>
        <w:ind w:firstLine="643"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sz w:val="32"/>
          <w:lang w:val="en-US" w:eastAsia="zh-CN"/>
        </w:rPr>
        <w:t>完善工业聚集区配套设施建设。</w:t>
      </w:r>
      <w:r>
        <w:rPr>
          <w:rFonts w:hint="default" w:ascii="Times New Roman" w:hAnsi="Times New Roman" w:eastAsia="仿宋_GB2312" w:cs="Times New Roman"/>
          <w:sz w:val="32"/>
          <w:lang w:val="en-US" w:eastAsia="zh-CN"/>
        </w:rPr>
        <w:t>拓宽工业园区道路，加快园区绿化工程建设，实现园区供水、道路、供电、通信、绿化、亮化等基础设施配套到位。以加工、制造企业为主，做大做强工业聚集区，最大限度争取土地、政策支持，锁定板材加工、农副产品加工等主打产业，将聚集区规划用地划分功能区，建设标准化厂房，实施“筑巢引凤工程”，提高招商引资力度，规范入园企业投资量，推动聚集区产业全面升级。</w:t>
      </w:r>
    </w:p>
    <w:p w14:paraId="407F05A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Calibri" w:hAnsi="Calibri" w:eastAsia="仿宋_GB2312" w:cs="Times New Roman"/>
          <w:sz w:val="32"/>
          <w:lang w:val="en-US" w:eastAsia="zh-CN"/>
        </w:rPr>
      </w:pPr>
      <w:r>
        <w:rPr>
          <w:rFonts w:ascii="Calibri" w:hAnsi="Calibri" w:eastAsia="仿宋_GB2312" w:cs="Times New Roman"/>
          <w:sz w:val="32"/>
        </w:rPr>
        <w:drawing>
          <wp:inline distT="0" distB="0" distL="114300" distR="114300">
            <wp:extent cx="5271135" cy="3386455"/>
            <wp:effectExtent l="0" t="0" r="571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1135" cy="3386455"/>
                    </a:xfrm>
                    <a:prstGeom prst="rect">
                      <a:avLst/>
                    </a:prstGeom>
                    <a:noFill/>
                    <a:ln>
                      <a:noFill/>
                    </a:ln>
                  </pic:spPr>
                </pic:pic>
              </a:graphicData>
            </a:graphic>
          </wp:inline>
        </w:drawing>
      </w:r>
    </w:p>
    <w:p w14:paraId="7DDA44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bCs/>
          <w:sz w:val="28"/>
          <w:szCs w:val="22"/>
          <w:lang w:val="en-US" w:eastAsia="zh-CN"/>
        </w:rPr>
      </w:pPr>
      <w:r>
        <w:rPr>
          <w:rFonts w:hint="default" w:ascii="Times New Roman" w:hAnsi="Times New Roman" w:eastAsia="仿宋_GB2312" w:cs="Times New Roman"/>
          <w:b/>
          <w:bCs/>
          <w:sz w:val="28"/>
          <w:szCs w:val="22"/>
          <w:lang w:val="en-US" w:eastAsia="zh-CN"/>
        </w:rPr>
        <w:t>图</w:t>
      </w:r>
      <w:r>
        <w:rPr>
          <w:rFonts w:hint="eastAsia" w:ascii="Times New Roman" w:hAnsi="Times New Roman" w:eastAsia="仿宋_GB2312" w:cs="Times New Roman"/>
          <w:b/>
          <w:bCs/>
          <w:sz w:val="28"/>
          <w:szCs w:val="22"/>
          <w:lang w:val="en-US" w:eastAsia="zh-CN"/>
        </w:rPr>
        <w:t>2</w:t>
      </w:r>
      <w:r>
        <w:rPr>
          <w:rFonts w:hint="default" w:ascii="Times New Roman" w:hAnsi="Times New Roman" w:eastAsia="仿宋_GB2312" w:cs="Times New Roman"/>
          <w:b/>
          <w:bCs/>
          <w:sz w:val="28"/>
          <w:szCs w:val="22"/>
          <w:lang w:val="en-US" w:eastAsia="zh-CN"/>
        </w:rPr>
        <w:t xml:space="preserve"> 刘集镇</w:t>
      </w:r>
      <w:r>
        <w:rPr>
          <w:rFonts w:hint="eastAsia" w:ascii="Times New Roman" w:hAnsi="Times New Roman" w:eastAsia="仿宋_GB2312" w:cs="Times New Roman"/>
          <w:b/>
          <w:bCs/>
          <w:sz w:val="28"/>
          <w:szCs w:val="22"/>
          <w:lang w:val="en-US" w:eastAsia="zh-CN"/>
        </w:rPr>
        <w:t>产业集聚区</w:t>
      </w:r>
      <w:r>
        <w:rPr>
          <w:rFonts w:hint="default" w:ascii="Times New Roman" w:hAnsi="Times New Roman" w:eastAsia="仿宋_GB2312" w:cs="Times New Roman"/>
          <w:b/>
          <w:bCs/>
          <w:sz w:val="28"/>
          <w:szCs w:val="22"/>
          <w:lang w:val="en-US" w:eastAsia="zh-CN"/>
        </w:rPr>
        <w:t>在</w:t>
      </w:r>
      <w:r>
        <w:rPr>
          <w:rFonts w:hint="eastAsia" w:ascii="Times New Roman" w:hAnsi="Times New Roman" w:eastAsia="仿宋_GB2312" w:cs="Times New Roman"/>
          <w:b/>
          <w:bCs/>
          <w:sz w:val="28"/>
          <w:szCs w:val="22"/>
          <w:lang w:val="en-US" w:eastAsia="zh-CN"/>
        </w:rPr>
        <w:t>刘集镇的位置</w:t>
      </w:r>
    </w:p>
    <w:p w14:paraId="2499908E">
      <w:pPr>
        <w:bidi w:val="0"/>
        <w:spacing w:line="560" w:lineRule="exact"/>
        <w:ind w:firstLine="643"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sz w:val="32"/>
          <w:lang w:val="en-US" w:eastAsia="zh-CN"/>
        </w:rPr>
        <w:t>进一步强化企业服务意识</w:t>
      </w:r>
      <w:r>
        <w:rPr>
          <w:rFonts w:hint="default" w:ascii="Times New Roman" w:hAnsi="Times New Roman" w:eastAsia="仿宋_GB2312" w:cs="Times New Roman"/>
          <w:sz w:val="32"/>
          <w:lang w:val="en-US" w:eastAsia="zh-CN"/>
        </w:rPr>
        <w:t>。为企业提供全方位优质服务。树立“人人都是投资环境、事事关系招商引资“的观念，帮助协调解决好投产者遇到的各种问题，切实保护好投产者的切身利益，以优惠的政策、良好的环境、优质高效的服务吸引客商投资创业。着力改善投资环境，完善全镇的服务功能；以优良的投资环境，增强我镇对资金、人才、技术等生产要素的吸引和凝聚力，以大开放促大发展，不断提高我镇的对外开放水平。</w:t>
      </w:r>
    </w:p>
    <w:bookmarkEnd w:id="1"/>
    <w:p w14:paraId="5D055FC9">
      <w:pPr>
        <w:keepNext/>
        <w:keepLines/>
        <w:widowControl w:val="0"/>
        <w:bidi w:val="0"/>
        <w:spacing w:beforeLines="0" w:beforeAutospacing="0" w:afterLines="0" w:afterAutospacing="0" w:line="560" w:lineRule="exact"/>
        <w:ind w:firstLine="640" w:firstLineChars="200"/>
        <w:jc w:val="both"/>
        <w:outlineLvl w:val="0"/>
        <w:rPr>
          <w:rFonts w:hint="default" w:ascii="Times New Roman" w:hAnsi="Times New Roman" w:eastAsia="黑体" w:cs="Times New Roman"/>
          <w:kern w:val="44"/>
          <w:sz w:val="32"/>
          <w:szCs w:val="24"/>
          <w:highlight w:val="none"/>
          <w:lang w:val="en-US" w:eastAsia="zh-CN" w:bidi="ar-SA"/>
        </w:rPr>
      </w:pPr>
      <w:bookmarkStart w:id="11" w:name="_Toc29522"/>
      <w:r>
        <w:rPr>
          <w:rFonts w:hint="default" w:ascii="Times New Roman" w:hAnsi="Times New Roman" w:eastAsia="黑体" w:cs="Times New Roman"/>
          <w:kern w:val="44"/>
          <w:sz w:val="32"/>
          <w:szCs w:val="24"/>
          <w:highlight w:val="none"/>
          <w:lang w:val="en-US" w:eastAsia="zh-CN" w:bidi="ar-SA"/>
        </w:rPr>
        <w:t>第四章  持续改善基础设施条件</w:t>
      </w:r>
      <w:bookmarkEnd w:id="11"/>
    </w:p>
    <w:p w14:paraId="46DD588C">
      <w:pPr>
        <w:bidi w:val="0"/>
        <w:spacing w:line="560" w:lineRule="exact"/>
        <w:ind w:firstLine="640" w:firstLineChars="200"/>
        <w:rPr>
          <w:rFonts w:hint="default" w:ascii="Times New Roman" w:hAnsi="Times New Roman" w:eastAsia="仿宋_GB2312" w:cs="Times New Roman"/>
          <w:sz w:val="32"/>
          <w:rtl w:val="0"/>
          <w:lang w:val="en-US" w:eastAsia="zh-CN"/>
        </w:rPr>
      </w:pPr>
      <w:r>
        <w:rPr>
          <w:rFonts w:hint="default" w:ascii="Times New Roman" w:hAnsi="Times New Roman" w:eastAsia="仿宋_GB2312" w:cs="Times New Roman"/>
          <w:sz w:val="32"/>
          <w:rtl w:val="0"/>
          <w:lang w:val="en-US" w:eastAsia="zh-CN"/>
        </w:rPr>
        <w:t>实施城乡基础设施提升工程，加大交通、水利、能源、公用设施、信息等基础设施建设，加快建设一批重大项目，以投资拉动消费。</w:t>
      </w:r>
    </w:p>
    <w:p w14:paraId="07EC16BF">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12" w:name="_Toc21735"/>
      <w:r>
        <w:rPr>
          <w:rFonts w:hint="default" w:ascii="Times New Roman" w:hAnsi="Times New Roman" w:eastAsia="楷体" w:cs="Times New Roman"/>
          <w:b/>
          <w:kern w:val="2"/>
          <w:sz w:val="32"/>
          <w:szCs w:val="24"/>
          <w:rtl w:val="0"/>
          <w:lang w:val="en-US" w:eastAsia="zh-CN" w:bidi="ar-SA"/>
        </w:rPr>
        <w:t>第一节 统筹推进现代交通设施建设</w:t>
      </w:r>
      <w:bookmarkEnd w:id="12"/>
    </w:p>
    <w:p w14:paraId="55F9A8C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kern w:val="2"/>
          <w:sz w:val="32"/>
          <w:szCs w:val="28"/>
          <w:rtl w:val="0"/>
          <w:lang w:val="en-US" w:eastAsia="zh-CN" w:bidi="ar-SA"/>
        </w:rPr>
      </w:pPr>
      <w:r>
        <w:rPr>
          <w:rFonts w:hint="default" w:ascii="Times New Roman" w:hAnsi="Times New Roman" w:eastAsia="仿宋_GB2312" w:cs="Times New Roman"/>
          <w:b w:val="0"/>
          <w:color w:val="auto"/>
          <w:kern w:val="2"/>
          <w:sz w:val="32"/>
          <w:szCs w:val="32"/>
          <w:lang w:val="en-US" w:eastAsia="zh-CN" w:bidi="ar-SA"/>
        </w:rPr>
        <w:t>提</w:t>
      </w:r>
      <w:r>
        <w:rPr>
          <w:rFonts w:hint="default" w:ascii="Times New Roman" w:hAnsi="Times New Roman" w:eastAsia="仿宋_GB2312" w:cs="Times New Roman"/>
          <w:color w:val="auto"/>
          <w:kern w:val="2"/>
          <w:sz w:val="32"/>
          <w:szCs w:val="28"/>
          <w:lang w:val="en-US" w:eastAsia="zh-CN" w:bidi="ar-SA"/>
        </w:rPr>
        <w:t>升道路整体状况</w:t>
      </w:r>
      <w:r>
        <w:rPr>
          <w:rFonts w:hint="default" w:ascii="Times New Roman" w:hAnsi="Times New Roman" w:eastAsia="仿宋_GB2312" w:cs="Times New Roman"/>
          <w:color w:val="auto"/>
          <w:kern w:val="2"/>
          <w:sz w:val="32"/>
          <w:szCs w:val="32"/>
          <w:lang w:val="en-US" w:eastAsia="zh-CN" w:bidi="ar-SA"/>
        </w:rPr>
        <w:t>，继续加大交通基础设施建设支持力度，有序实施村民小组通硬化路工程和农村公路窄路面加宽改造工程，</w:t>
      </w:r>
      <w:r>
        <w:rPr>
          <w:rFonts w:hint="default" w:ascii="Times New Roman" w:hAnsi="Times New Roman" w:eastAsia="仿宋_GB2312" w:cs="Times New Roman"/>
          <w:b w:val="0"/>
          <w:bCs/>
          <w:color w:val="auto"/>
          <w:kern w:val="2"/>
          <w:sz w:val="32"/>
          <w:szCs w:val="32"/>
          <w:highlight w:val="none"/>
          <w:rtl w:val="0"/>
          <w:lang w:val="en-US" w:eastAsia="zh-CN" w:bidi="ar-SA"/>
        </w:rPr>
        <w:t>全面推进“四好农村路”和“村组通”建设。加强通村公路和村内主干道连接，强力推进产业道路、林耕道路配套建设，更好支撑乡村产业发展。一体化衔接推进综合客运和货运枢纽建设，重点打通乡镇节点，提升联程联运和多式联运水平。加快完善县乡村三级物流体系，基本建成普惠城乡、高效衔接的寄递基础网络。统筹推进路长制，制定落实农村公路管理各项制度，根据辖区内道路里程和分布等实际情况，建立安全隐患排查评估机制，坚持监测跟踪和定期分析，及时发现存在的重大隐患。</w:t>
      </w:r>
    </w:p>
    <w:p w14:paraId="7E67DE59">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13" w:name="_Toc2889"/>
      <w:r>
        <w:rPr>
          <w:rFonts w:hint="default" w:ascii="Times New Roman" w:hAnsi="Times New Roman" w:eastAsia="楷体" w:cs="Times New Roman"/>
          <w:b/>
          <w:kern w:val="2"/>
          <w:sz w:val="32"/>
          <w:szCs w:val="24"/>
          <w:rtl w:val="0"/>
          <w:lang w:val="en-US" w:eastAsia="zh-CN" w:bidi="ar-SA"/>
        </w:rPr>
        <w:t>第二节 构建现代化水利体系</w:t>
      </w:r>
      <w:bookmarkEnd w:id="13"/>
    </w:p>
    <w:p w14:paraId="05F169FF">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推进水利基础设施建设，解决防洪、除涝、农业灌溉、供水、生态环境等问题，大力发展民生水利，形成较为完善的农村全域灌溉体系，积极探索供水、排水、节水等智能化管理体系，初步建成完善的水利工程管理和公共服务综合体系。实施农村饮水安全提质增效工程。不断完善以城乡一体化和区域规模化为主体的农村供水工程体系，建立健全农村饮水安全工程长效管理机制。加强饮用水水源地保护，开展饮用水水源规范化建设，在水源地设置防护措施、警示牌和标识牌。全面推行河长制建设，开展固体废物排查整治等专项行动，规范河湖管理保护。深入实施农村饮水安全工程，加强水质监测，定期对农村饮水进行水质监测，统筹推进乡镇小型水利工程改造提升，解决农村居民饮水安全问题。加强气象灾害监测预警和服务能力建设，提升防灾减灾水平。</w:t>
      </w:r>
    </w:p>
    <w:p w14:paraId="6BA0932D">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14" w:name="_Toc8878"/>
      <w:r>
        <w:rPr>
          <w:rFonts w:hint="default" w:ascii="Times New Roman" w:hAnsi="Times New Roman" w:eastAsia="楷体" w:cs="Times New Roman"/>
          <w:b/>
          <w:kern w:val="2"/>
          <w:sz w:val="32"/>
          <w:szCs w:val="24"/>
          <w:lang w:val="en-US" w:eastAsia="zh-CN" w:bidi="ar-SA"/>
        </w:rPr>
        <w:t xml:space="preserve">第三节 </w:t>
      </w:r>
      <w:r>
        <w:rPr>
          <w:rFonts w:hint="default" w:ascii="Times New Roman" w:hAnsi="Times New Roman" w:eastAsia="楷体" w:cs="Times New Roman"/>
          <w:b/>
          <w:kern w:val="2"/>
          <w:sz w:val="32"/>
          <w:szCs w:val="24"/>
          <w:rtl w:val="0"/>
          <w:lang w:val="en-US" w:eastAsia="zh-CN" w:bidi="ar-SA"/>
        </w:rPr>
        <w:t>加强能源保障能力建设</w:t>
      </w:r>
      <w:bookmarkEnd w:id="14"/>
    </w:p>
    <w:p w14:paraId="0356CF0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28"/>
          <w:lang w:val="en-US" w:eastAsia="zh-CN" w:bidi="ar-SA"/>
        </w:rPr>
      </w:pPr>
      <w:r>
        <w:rPr>
          <w:rFonts w:hint="default" w:ascii="Times New Roman" w:hAnsi="Times New Roman" w:eastAsia="仿宋_GB2312" w:cs="Times New Roman"/>
          <w:b w:val="0"/>
          <w:bCs/>
          <w:color w:val="auto"/>
          <w:sz w:val="32"/>
          <w:szCs w:val="32"/>
          <w:highlight w:val="none"/>
          <w:rtl w:val="0"/>
          <w:lang w:val="en-US" w:eastAsia="zh-CN"/>
        </w:rPr>
        <w:t>持续推进乡村电网巩固提升工程，重点实施电网升级、行政村电网补强和供电服务管理提升等工程，不断提升乡村供电保障和服务能力。</w:t>
      </w:r>
      <w:r>
        <w:rPr>
          <w:rFonts w:hint="default" w:ascii="Times New Roman" w:hAnsi="Times New Roman" w:eastAsia="仿宋_GB2312" w:cs="Times New Roman"/>
          <w:color w:val="auto"/>
          <w:sz w:val="32"/>
        </w:rPr>
        <w:t>加强重点电力项目建设</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szCs w:val="32"/>
          <w:lang w:val="en-US" w:eastAsia="zh-CN"/>
        </w:rPr>
        <w:t>加强智能电网工程建设，</w:t>
      </w:r>
      <w:r>
        <w:rPr>
          <w:rFonts w:hint="default" w:ascii="Times New Roman" w:hAnsi="Times New Roman" w:eastAsia="仿宋_GB2312" w:cs="Times New Roman"/>
          <w:color w:val="auto"/>
          <w:sz w:val="32"/>
          <w:szCs w:val="32"/>
        </w:rPr>
        <w:t>推广应用新技术、新设备和新材料，</w:t>
      </w:r>
      <w:r>
        <w:rPr>
          <w:rFonts w:hint="default" w:ascii="Times New Roman" w:hAnsi="Times New Roman" w:eastAsia="仿宋_GB2312" w:cs="Times New Roman"/>
          <w:color w:val="auto"/>
          <w:sz w:val="32"/>
          <w:szCs w:val="32"/>
          <w:lang w:val="en-US" w:eastAsia="zh-CN"/>
        </w:rPr>
        <w:t>加快推广直升机、无人机巡线和变电站机器人巡检作业。</w:t>
      </w:r>
      <w:r>
        <w:rPr>
          <w:rFonts w:hint="default" w:ascii="Times New Roman" w:hAnsi="Times New Roman" w:eastAsia="仿宋_GB2312" w:cs="Times New Roman"/>
          <w:bCs/>
          <w:color w:val="auto"/>
          <w:sz w:val="32"/>
          <w:szCs w:val="32"/>
          <w:highlight w:val="none"/>
          <w:rtl w:val="0"/>
          <w:lang w:val="en-US" w:eastAsia="zh-CN"/>
        </w:rPr>
        <w:t>因地制宜选择供气模式，</w:t>
      </w:r>
      <w:r>
        <w:rPr>
          <w:rFonts w:hint="default" w:ascii="Times New Roman" w:hAnsi="Times New Roman" w:eastAsia="仿宋_GB2312" w:cs="Times New Roman"/>
          <w:b w:val="0"/>
          <w:bCs/>
          <w:color w:val="auto"/>
          <w:kern w:val="2"/>
          <w:sz w:val="32"/>
          <w:szCs w:val="32"/>
          <w:highlight w:val="none"/>
          <w:rtl w:val="0"/>
          <w:lang w:val="en-US" w:eastAsia="zh-CN" w:bidi="ar-SA"/>
        </w:rPr>
        <w:t>持续推进天然气畅通工程，</w:t>
      </w:r>
      <w:r>
        <w:rPr>
          <w:rFonts w:hint="default" w:ascii="Times New Roman" w:hAnsi="Times New Roman" w:eastAsia="仿宋_GB2312" w:cs="Times New Roman"/>
          <w:bCs/>
          <w:color w:val="auto"/>
          <w:sz w:val="32"/>
          <w:szCs w:val="32"/>
          <w:highlight w:val="none"/>
          <w:rtl w:val="0"/>
          <w:lang w:val="en-US" w:eastAsia="zh-CN"/>
        </w:rPr>
        <w:t>支持建设安全可靠的乡村储气罐站和微管网供气系统，在村落附近建设小型储罐，通过社区低压管网将燃气送至每家每户，储罐的气源定期由带泵槽车配送至农村。</w:t>
      </w:r>
      <w:r>
        <w:rPr>
          <w:rFonts w:hint="default" w:ascii="Times New Roman" w:hAnsi="Times New Roman" w:eastAsia="仿宋_GB2312" w:cs="Times New Roman"/>
          <w:color w:val="auto"/>
          <w:sz w:val="32"/>
        </w:rPr>
        <w:t>加快生物质能开发利用，发展以畜禽养殖废弃物、秸轩等为原料发酵制取沼气以及提纯形成生物天然气，用于生物质发电</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szCs w:val="32"/>
        </w:rPr>
        <w:t>拓展太阳能多元化利用，鼓励引导单位和个人安装使用太阳能热水系统，光伏发电系统等，提高太阳能利用率</w:t>
      </w:r>
      <w:r>
        <w:rPr>
          <w:rFonts w:hint="default" w:ascii="Times New Roman" w:hAnsi="Times New Roman" w:eastAsia="仿宋_GB2312" w:cs="Times New Roman"/>
          <w:color w:val="auto"/>
          <w:sz w:val="32"/>
        </w:rPr>
        <w:t>。</w:t>
      </w:r>
    </w:p>
    <w:p w14:paraId="4CDEC720">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15" w:name="_Toc2324"/>
      <w:r>
        <w:rPr>
          <w:rFonts w:hint="default" w:ascii="Times New Roman" w:hAnsi="Times New Roman" w:eastAsia="楷体" w:cs="Times New Roman"/>
          <w:b/>
          <w:kern w:val="2"/>
          <w:sz w:val="32"/>
          <w:szCs w:val="24"/>
          <w:lang w:val="en-US" w:eastAsia="zh-CN" w:bidi="ar-SA"/>
        </w:rPr>
        <w:t>第四节 推进数字乡村建设</w:t>
      </w:r>
      <w:bookmarkEnd w:id="15"/>
    </w:p>
    <w:p w14:paraId="7416D2FB">
      <w:pPr>
        <w:bidi w:val="0"/>
        <w:spacing w:line="560" w:lineRule="exact"/>
        <w:ind w:firstLine="640" w:firstLineChars="200"/>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推进“互联网+”农业农村发展，强化数据采集、整合、传输、共享，构建农业农村数据资源库。推进农村地区宽带网络升级改造，启动5G移动通信网络建设全覆盖。加快数字电视网络全覆盖，完善农村广播电视网络公共服务覆盖体系。全面实现信息进村入户工程，结合美丽集镇建设，打造农业物联网示范基地、物联网小镇。实施智慧农业工程，推动建设天空地数字农业管理与服务系统，扩大农业物联网试验示范范围。推进农村基层政务信息化应用，实现网上办事单点登录、一次认证、多点互联、全网通办。健全新型农村综合信息服务体系，集聚各类信息服务资源，全面推进信息产品和服务进村入户，弥合城乡数字鸿沟。</w:t>
      </w:r>
    </w:p>
    <w:p w14:paraId="1409FBE8">
      <w:pPr>
        <w:keepNext/>
        <w:keepLines/>
        <w:widowControl w:val="0"/>
        <w:bidi w:val="0"/>
        <w:spacing w:beforeLines="0" w:beforeAutospacing="0" w:afterLines="0" w:afterAutospacing="0" w:line="560" w:lineRule="exact"/>
        <w:ind w:firstLine="640" w:firstLineChars="200"/>
        <w:jc w:val="both"/>
        <w:outlineLvl w:val="0"/>
        <w:rPr>
          <w:rFonts w:hint="default" w:ascii="Times New Roman" w:hAnsi="Times New Roman" w:eastAsia="黑体" w:cs="Times New Roman"/>
          <w:kern w:val="44"/>
          <w:sz w:val="32"/>
          <w:szCs w:val="24"/>
          <w:highlight w:val="none"/>
          <w:lang w:val="en-US" w:eastAsia="zh-CN" w:bidi="ar-SA"/>
        </w:rPr>
      </w:pPr>
      <w:bookmarkStart w:id="16" w:name="_Toc31636"/>
      <w:r>
        <w:rPr>
          <w:rFonts w:hint="default" w:ascii="Times New Roman" w:hAnsi="Times New Roman" w:eastAsia="黑体" w:cs="Times New Roman"/>
          <w:kern w:val="44"/>
          <w:sz w:val="32"/>
          <w:szCs w:val="24"/>
          <w:highlight w:val="none"/>
          <w:lang w:val="en-US" w:eastAsia="zh-CN" w:bidi="ar-SA"/>
        </w:rPr>
        <w:t>第五章  全面实施乡村振兴战略</w:t>
      </w:r>
      <w:bookmarkEnd w:id="16"/>
    </w:p>
    <w:p w14:paraId="1599D60E">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color w:val="auto"/>
          <w:sz w:val="32"/>
          <w:lang w:val="en-US" w:eastAsia="zh-CN"/>
        </w:rPr>
        <w:t>在巩固拓展脱贫攻坚成果的基础上，做好乡村振兴大文章，从解决建档立卡贫困人口“两不愁三保障”为重点专项实现乡村产业兴旺、生态宜居、乡风文明、治理有效、生活富裕，举全镇之力全面推进乡村振兴，促进农业高质高效、农村宜居宜业、农民富裕富足，向共同富裕目标迈进。</w:t>
      </w:r>
    </w:p>
    <w:p w14:paraId="081C04D6">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17" w:name="_Toc28842"/>
      <w:r>
        <w:rPr>
          <w:rFonts w:hint="default" w:ascii="Times New Roman" w:hAnsi="Times New Roman" w:eastAsia="楷体" w:cs="Times New Roman"/>
          <w:b/>
          <w:kern w:val="2"/>
          <w:sz w:val="32"/>
          <w:szCs w:val="24"/>
          <w:lang w:val="en-US" w:eastAsia="zh-CN" w:bidi="ar-SA"/>
        </w:rPr>
        <w:t>第一节 做好脱贫攻坚与乡村振兴有效衔接</w:t>
      </w:r>
      <w:bookmarkEnd w:id="17"/>
    </w:p>
    <w:p w14:paraId="32283756">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入贯彻落实习近平总书记关于扶贫工作的重要论述，巩固拓展脱贫攻坚成果。严格落实“四个不摘”要求，保持现有帮扶政策、资金支持、帮扶力量总体稳定。健全防止返贫监测帮扶机制，继续对已出列村、已脱贫人口开展监测，持续跟踪收入变化和“两不愁三保障”巩固情况，定期核查，及时发现，及时帮扶，动态清零。依托产业扶贫、就业扶贫等政策帮助脱贫人员鼓足致富干劲、习得致富真经、迈向致富之路。产业振兴是乡村振兴的基础和关键，围绕主导产业，扩大规模、提升品质，提升农产品加工能力，延伸链条，提升农产品附加值。实现“一村一品”，形成刘集特色，打造长三角绿色农产品生产加工供应基地。发掘打造一批“土专家”“田秀才”“乡创客”，建造一支懂农业、爱农村、爱农民的干部队伍。持续开展“请老乡、回故乡、建家乡”活动，实现“回乡一人、致富一方”，每村每年至少有一名在外务工人员回乡创业，投资兴业，繁荣产业。持续做好脱贫人口稳岗就业，加大对脱贫人口职业技能培训力度。加强项目资金资产管理，建立健全资产管理制度，持续发挥效益。兜住民生底线，规范管理公益岗位，以现有社会保障体系为依托，促进弱劳力、半劳力等家庭就近就地解决就业，保障群众基本生活。</w:t>
      </w:r>
    </w:p>
    <w:p w14:paraId="5A9DB644">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18" w:name="_Toc12954"/>
      <w:r>
        <w:rPr>
          <w:rFonts w:hint="default" w:ascii="Times New Roman" w:hAnsi="Times New Roman" w:eastAsia="楷体" w:cs="Times New Roman"/>
          <w:b/>
          <w:kern w:val="2"/>
          <w:sz w:val="32"/>
          <w:szCs w:val="24"/>
          <w:lang w:val="en-US" w:eastAsia="zh-CN" w:bidi="ar-SA"/>
        </w:rPr>
        <w:t>第二节 大力发展现代农业</w:t>
      </w:r>
      <w:bookmarkEnd w:id="18"/>
    </w:p>
    <w:p w14:paraId="1BC8606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lang w:val="en-US" w:eastAsia="zh-CN"/>
        </w:rPr>
      </w:pPr>
      <w:r>
        <w:rPr>
          <w:rFonts w:hint="default" w:ascii="Times New Roman" w:hAnsi="Times New Roman" w:eastAsia="仿宋_GB2312" w:cs="Times New Roman"/>
          <w:b w:val="0"/>
          <w:bCs w:val="0"/>
          <w:color w:val="auto"/>
          <w:sz w:val="32"/>
          <w:lang w:val="en-US" w:eastAsia="zh-CN"/>
        </w:rPr>
        <w:t>支持各乡村围绕重点扶持发展的水生蔬菜、稻虾种养、水产养殖、苗木花卉、蔬菜瓜果、畜禽养殖等特色产业，结合实际选择适宜的主导产业，建设标准化生产种植基地，完善园区内加工、仓储保鲜、冷链物流、烘干晾晒、分级包装等产业配套设施设备，推进农业特色产业园区建设。大力实施“四带一自”特色种养业提升行动，因户施策指导实施发展前景好、市场需求大、增收较稳定的优质高效自种自养项目。发挥现代农业产业技术体系、产业发展专家组、产业发展指导员、基层农技人员作用，通过入户帮扶、新型职业农民培训等，加大技术帮扶和指导培训力度。依托村集体、新型农业经营主体，加强帮扶带动，推动自种自养户做优做大产业，提升产品质量，增加产业收益，实现持续稳定脱贫致富。</w:t>
      </w:r>
    </w:p>
    <w:p w14:paraId="0FC03DA3">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19" w:name="_Toc13414"/>
      <w:r>
        <w:rPr>
          <w:rFonts w:hint="default" w:ascii="Times New Roman" w:hAnsi="Times New Roman" w:eastAsia="楷体" w:cs="Times New Roman"/>
          <w:b/>
          <w:kern w:val="2"/>
          <w:sz w:val="32"/>
          <w:szCs w:val="24"/>
          <w:lang w:val="en-US" w:eastAsia="zh-CN" w:bidi="ar-SA"/>
        </w:rPr>
        <w:t>第三节 推动一二三产融合发展</w:t>
      </w:r>
      <w:bookmarkEnd w:id="19"/>
    </w:p>
    <w:p w14:paraId="7620C501">
      <w:pPr>
        <w:bidi w:val="0"/>
        <w:spacing w:line="560" w:lineRule="exact"/>
        <w:ind w:firstLine="643"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sz w:val="32"/>
          <w:lang w:val="en-US" w:eastAsia="zh-CN"/>
        </w:rPr>
        <w:t>突出发展农副产品加工业。</w:t>
      </w:r>
      <w:r>
        <w:rPr>
          <w:rFonts w:hint="default" w:ascii="Times New Roman" w:hAnsi="Times New Roman" w:eastAsia="仿宋_GB2312" w:cs="Times New Roman"/>
          <w:sz w:val="32"/>
          <w:lang w:val="en-US" w:eastAsia="zh-CN"/>
        </w:rPr>
        <w:t>抓好农产品加工业“五个一批”工程、长三角绿色农产品生产加工供应基地等载体建设，充分发挥刘集农业资源优势，以骨干农副产品加工企业为重点，加大“双招双引”力度，发展大米加工、果蔬加工、肉食品加工等农副产品深加工产业，推进“一镇一业（特）”全产业链创建。深入挖掘特色果蔬资源，引进果蔬汁饮料、乳品饮料、植物蛋白饮料、功能性饮料、高端瓶装饮用水等生产企业，配套发展玻璃制瓶、包装材料、彩印包装、工业设计等行业，补全延伸产业链条。</w:t>
      </w:r>
    </w:p>
    <w:p w14:paraId="200B13E5">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大力发展农村商贸流通业</w:t>
      </w:r>
      <w:r>
        <w:rPr>
          <w:rFonts w:hint="default" w:ascii="Times New Roman" w:hAnsi="Times New Roman" w:eastAsia="仿宋_GB2312" w:cs="Times New Roman"/>
          <w:b/>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积极</w:t>
      </w:r>
      <w:r>
        <w:rPr>
          <w:rFonts w:hint="default" w:ascii="Times New Roman" w:hAnsi="Times New Roman" w:eastAsia="仿宋_GB2312" w:cs="Times New Roman"/>
          <w:color w:val="auto"/>
          <w:sz w:val="32"/>
          <w:szCs w:val="32"/>
          <w:highlight w:val="none"/>
        </w:rPr>
        <w:t>运用大数据、人工智能等先进技术手段，升级改造农产品生产、流通与销售过程，深度融合线上服务、线下体验以及现代物流，以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线上农业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带动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线下农业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提质增效。</w:t>
      </w:r>
      <w:r>
        <w:rPr>
          <w:rFonts w:hint="default" w:ascii="Times New Roman" w:hAnsi="Times New Roman" w:eastAsia="仿宋_GB2312" w:cs="Times New Roman"/>
          <w:color w:val="auto"/>
          <w:sz w:val="32"/>
          <w:szCs w:val="32"/>
          <w:highlight w:val="none"/>
          <w:lang w:val="en-US" w:eastAsia="zh-CN"/>
        </w:rPr>
        <w:t>加快</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产业集中区</w:t>
      </w:r>
      <w:r>
        <w:rPr>
          <w:rFonts w:hint="default" w:ascii="Times New Roman" w:hAnsi="Times New Roman" w:eastAsia="仿宋_GB2312" w:cs="Times New Roman"/>
          <w:color w:val="auto"/>
          <w:sz w:val="32"/>
          <w:szCs w:val="32"/>
          <w:highlight w:val="none"/>
        </w:rPr>
        <w:t>建立蔬菜冷链物流配送中心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配套冷链保鲜、冷链运输设备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检测实验室</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清洗分拣净菜净果车间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重点打通</w:t>
      </w:r>
      <w:r>
        <w:rPr>
          <w:rFonts w:hint="default" w:ascii="Times New Roman" w:hAnsi="Times New Roman" w:eastAsia="仿宋_GB2312" w:cs="Times New Roman"/>
          <w:color w:val="auto"/>
          <w:sz w:val="32"/>
          <w:szCs w:val="32"/>
          <w:highlight w:val="none"/>
        </w:rPr>
        <w:t>长三角市场。</w:t>
      </w:r>
      <w:r>
        <w:rPr>
          <w:rFonts w:hint="default" w:ascii="Times New Roman" w:hAnsi="Times New Roman" w:eastAsia="仿宋_GB2312" w:cs="Times New Roman"/>
          <w:color w:val="auto"/>
          <w:sz w:val="32"/>
          <w:szCs w:val="32"/>
          <w:highlight w:val="none"/>
          <w:lang w:val="en-US" w:eastAsia="zh-CN"/>
        </w:rPr>
        <w:t>大力</w:t>
      </w:r>
      <w:r>
        <w:rPr>
          <w:rFonts w:hint="default" w:ascii="Times New Roman" w:hAnsi="Times New Roman" w:eastAsia="仿宋_GB2312" w:cs="Times New Roman"/>
          <w:color w:val="auto"/>
          <w:sz w:val="32"/>
          <w:szCs w:val="32"/>
          <w:highlight w:val="none"/>
        </w:rPr>
        <w:t>支持新型农业经营主体在粮食、果蔬集中区域建设高效节能环保农产品冷藏库、烘干线等初加工与储藏设施。</w:t>
      </w:r>
      <w:r>
        <w:rPr>
          <w:rFonts w:hint="default" w:ascii="Times New Roman" w:hAnsi="Times New Roman" w:eastAsia="仿宋_GB2312" w:cs="Times New Roman"/>
          <w:color w:val="auto"/>
          <w:sz w:val="32"/>
          <w:szCs w:val="32"/>
          <w:highlight w:val="none"/>
          <w:lang w:val="en-US" w:eastAsia="zh-CN"/>
        </w:rPr>
        <w:t>积极</w:t>
      </w:r>
      <w:r>
        <w:rPr>
          <w:rFonts w:hint="default" w:ascii="Times New Roman" w:hAnsi="Times New Roman" w:eastAsia="仿宋_GB2312" w:cs="Times New Roman"/>
          <w:color w:val="auto"/>
          <w:sz w:val="32"/>
          <w:szCs w:val="32"/>
          <w:highlight w:val="none"/>
        </w:rPr>
        <w:t>培育</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家具有区域竞争力的大中型物流企业，健全物流网络，建立货物配载中心和物流信息平台，提高物流业标准化、信息化和专业化水平。</w:t>
      </w:r>
    </w:p>
    <w:p w14:paraId="39E620B5">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发展壮大农村电商。</w:t>
      </w:r>
      <w:r>
        <w:rPr>
          <w:rFonts w:hint="default" w:ascii="Times New Roman" w:hAnsi="Times New Roman" w:eastAsia="仿宋_GB2312" w:cs="Times New Roman"/>
          <w:color w:val="auto"/>
          <w:sz w:val="32"/>
          <w:szCs w:val="32"/>
          <w:highlight w:val="none"/>
        </w:rPr>
        <w:t>围绕本地稻蟹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磨菇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西瓜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粉丝等特色产业，积极培育农村电商重点企业和知名品牌，加强网销产品商标注册指导，推进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三品一标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认证和质量追溯体系建设。重点培育</w:t>
      </w:r>
      <w:r>
        <w:rPr>
          <w:rFonts w:hint="default" w:ascii="Times New Roman" w:hAnsi="Times New Roman" w:eastAsia="仿宋_GB2312" w:cs="Times New Roman"/>
          <w:i w:val="0"/>
          <w:color w:val="000000"/>
          <w:spacing w:val="0"/>
          <w:sz w:val="32"/>
          <w:szCs w:val="32"/>
          <w:vertAlign w:val="baseline"/>
          <w:lang w:val="en-US" w:eastAsia="zh-CN"/>
        </w:rPr>
        <w:t>大力推广顾庄、九湾混养稻蟹、谷堆湖大棚磨菇、王李名优西瓜和董庙“金香丝”、张蔡“薯香园”粉丝</w:t>
      </w:r>
      <w:r>
        <w:rPr>
          <w:rFonts w:hint="default" w:ascii="Times New Roman" w:hAnsi="Times New Roman" w:eastAsia="仿宋_GB2312" w:cs="Times New Roman"/>
          <w:color w:val="auto"/>
          <w:sz w:val="32"/>
          <w:szCs w:val="32"/>
          <w:highlight w:val="none"/>
        </w:rPr>
        <w:t>等本地特色农产品网货品牌，提高该区农产品知名度及美誉度。梳理本地龙头电商企业，组织本地电商企业与益农信息社站点对接，着力构建可持续运营机制。加强农产品产销对接，打造以农产品供应链运营中心为核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以农业企业、农民专业合作社、农村服务站点、个人创业者为主体</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以农产品网络销售渠道设为主要手段的农产品上行模式。借助抖音、淘宝、京东、天猫等电商平台，推动农产品上行工作，突出在品牌培育、政策保障、资源整合、农产品上行上下功夫，培育一批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电商企业+基地+专业合作社+农户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典型模式。</w:t>
      </w:r>
    </w:p>
    <w:p w14:paraId="3BEC2A8A">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b/>
          <w:bCs/>
          <w:color w:val="auto"/>
          <w:sz w:val="32"/>
          <w:lang w:val="en-US" w:eastAsia="zh-CN"/>
        </w:rPr>
        <w:t>培育乡村新经济新业态。</w:t>
      </w:r>
      <w:r>
        <w:rPr>
          <w:rFonts w:hint="default" w:ascii="Times New Roman" w:hAnsi="Times New Roman" w:eastAsia="仿宋_GB2312" w:cs="Times New Roman"/>
          <w:color w:val="auto"/>
          <w:sz w:val="32"/>
          <w:lang w:val="en-US" w:eastAsia="zh-CN"/>
        </w:rPr>
        <w:t>围绕农业产前、产中、产后各环节作业，发展现代农业社会化服务。开展农机服务、农技服务、土地托管、动植物疫病统防统治。搭建共享农机具线上调度平台，推动小农户对接空闲农机、农机手，发展农机共享经济。推进农副食品仓储物流设施、设备、技术、人才等共享共建，建设一批现代化共享仓储。充分利用乡村闲置农房、田园、湖泊、林地资源等，建设一批集产品认养、托管代种、自行耕种、农舍租赁等多种功能为一体的小规模、精致化、综合性现代化共享农场。</w:t>
      </w:r>
    </w:p>
    <w:p w14:paraId="1AAE7D55">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20" w:name="_Toc5786"/>
      <w:r>
        <w:rPr>
          <w:rFonts w:hint="default" w:ascii="Times New Roman" w:hAnsi="Times New Roman" w:eastAsia="楷体" w:cs="Times New Roman"/>
          <w:b/>
          <w:kern w:val="2"/>
          <w:sz w:val="32"/>
          <w:szCs w:val="24"/>
          <w:lang w:val="en-US" w:eastAsia="zh-CN" w:bidi="ar-SA"/>
        </w:rPr>
        <w:t>第四节 构建现代农业经营体系</w:t>
      </w:r>
      <w:bookmarkEnd w:id="20"/>
    </w:p>
    <w:p w14:paraId="53F95E1C">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lang w:val="en-US" w:eastAsia="zh-CN"/>
        </w:rPr>
      </w:pPr>
      <w:r>
        <w:rPr>
          <w:rFonts w:hint="default" w:ascii="Times New Roman" w:hAnsi="Times New Roman" w:eastAsia="仿宋_GB2312" w:cs="Times New Roman"/>
          <w:b/>
          <w:bCs/>
          <w:color w:val="auto"/>
          <w:sz w:val="32"/>
        </w:rPr>
        <w:t>壮大农村集体经济</w:t>
      </w:r>
      <w:r>
        <w:rPr>
          <w:rFonts w:hint="default" w:ascii="Times New Roman" w:hAnsi="Times New Roman" w:eastAsia="仿宋_GB2312" w:cs="Times New Roman"/>
          <w:b/>
          <w:bCs/>
          <w:color w:val="auto"/>
          <w:sz w:val="32"/>
          <w:lang w:eastAsia="zh-CN"/>
        </w:rPr>
        <w:t>。</w:t>
      </w:r>
      <w:r>
        <w:rPr>
          <w:rFonts w:hint="default" w:ascii="Times New Roman" w:hAnsi="Times New Roman" w:eastAsia="仿宋_GB2312" w:cs="Times New Roman"/>
          <w:b w:val="0"/>
          <w:bCs w:val="0"/>
          <w:color w:val="auto"/>
          <w:sz w:val="32"/>
          <w:lang w:eastAsia="zh-CN"/>
        </w:rPr>
        <w:t>积极开展农村“三变”改革试点，鼓励拓宽开发资源、盘活资产、综合服务等农村集体经济发展新渠道。</w:t>
      </w:r>
      <w:r>
        <w:rPr>
          <w:rFonts w:hint="default" w:ascii="Times New Roman" w:hAnsi="Times New Roman" w:eastAsia="仿宋_GB2312" w:cs="Times New Roman"/>
          <w:color w:val="auto"/>
          <w:sz w:val="32"/>
        </w:rPr>
        <w:t>支持村级集体经济组织以土地经营权、集体资产、财政扶持资金和农业基础设施等，按照保底分红、按股分红等方式参股经营稳定、发展前景较好的农业主体和工商企业。推广</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公司+集体经济+家庭农场</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先进模式，以村级集体经济组织为主导有序组织农户发展生态高效农业，打造一批家庭农场集聚区和示范区，实现村级集体经济振兴。探索强村带弱村联动模式，推动合并村集体经济统筹，形成发展合力。</w:t>
      </w:r>
      <w:r>
        <w:rPr>
          <w:rFonts w:hint="default" w:ascii="Times New Roman" w:hAnsi="Times New Roman" w:eastAsia="仿宋_GB2312" w:cs="Times New Roman"/>
          <w:b w:val="0"/>
          <w:bCs w:val="0"/>
          <w:color w:val="auto"/>
          <w:sz w:val="32"/>
          <w:lang w:val="en-US" w:eastAsia="zh-CN"/>
        </w:rPr>
        <w:t>落实“土地到村”经营模式，壮大村级集体经济，100万元以上村达10个，不断提高脱贫成色、擦亮幸福底色。</w:t>
      </w:r>
    </w:p>
    <w:p w14:paraId="5F49312B">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lang w:val="en-US" w:eastAsia="zh-CN"/>
        </w:rPr>
      </w:pPr>
      <w:r>
        <w:rPr>
          <w:rFonts w:hint="default" w:ascii="Times New Roman" w:hAnsi="Times New Roman" w:eastAsia="仿宋_GB2312" w:cs="Times New Roman"/>
          <w:b/>
          <w:bCs/>
          <w:color w:val="auto"/>
          <w:sz w:val="32"/>
        </w:rPr>
        <w:t>培育新型农业经营主体。</w:t>
      </w:r>
      <w:r>
        <w:rPr>
          <w:rFonts w:hint="default" w:ascii="Times New Roman" w:hAnsi="Times New Roman" w:eastAsia="仿宋_GB2312" w:cs="Times New Roman"/>
          <w:color w:val="auto"/>
          <w:sz w:val="32"/>
        </w:rPr>
        <w:t>重点培育家庭农场、农民专业合作社、农业龙头企业、农创客等新型农业经营主体。</w:t>
      </w:r>
      <w:r>
        <w:rPr>
          <w:rFonts w:hint="default" w:ascii="Times New Roman" w:hAnsi="Times New Roman" w:eastAsia="仿宋_GB2312" w:cs="Times New Roman"/>
          <w:b w:val="0"/>
          <w:bCs w:val="0"/>
          <w:color w:val="auto"/>
          <w:sz w:val="32"/>
          <w:lang w:val="en-US" w:eastAsia="zh-CN"/>
        </w:rPr>
        <w:t>鼓励支持脱贫地区返乡入乡创业人才和乡土人才依托技术、销售渠道等资源，创办新型农业经营主体。推广农业生产“大托管”模式，培育省级家庭农场、农业合作社不少于10家，鼓励土地集中连片流转，每村流转面积不少于耕地面积的80%。</w:t>
      </w:r>
    </w:p>
    <w:p w14:paraId="0DA7A5C5">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b/>
          <w:bCs/>
          <w:color w:val="auto"/>
          <w:sz w:val="32"/>
        </w:rPr>
        <w:t>促进小农户和现代农业发展有机衔接。</w:t>
      </w:r>
      <w:r>
        <w:rPr>
          <w:rFonts w:hint="default" w:ascii="Times New Roman" w:hAnsi="Times New Roman" w:eastAsia="仿宋_GB2312" w:cs="Times New Roman"/>
          <w:color w:val="auto"/>
          <w:sz w:val="32"/>
        </w:rPr>
        <w:t>以产业为基础，发展多种形式社会化服务，健全面向小农户的社会化服务体系</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依托土地股份合作、土地托管、代耕代种等有效形式，实行统种统收、统防统治以及统销统结，以服务规模化弥补小农户经营细碎化不足</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支持供销合作社、农垦企业组织实施农业社会化服务惠农工程，鼓励供销合作社等牵头组建新型农业服务主体联合会或协会，通过多种方式服务小农户，提升小农户市场竞争能力。引导小农户开展合作与联合</w:t>
      </w:r>
      <w:r>
        <w:rPr>
          <w:rFonts w:hint="default" w:ascii="Times New Roman" w:hAnsi="Times New Roman" w:eastAsia="仿宋_GB2312" w:cs="Times New Roman"/>
          <w:color w:val="auto"/>
          <w:sz w:val="32"/>
          <w:lang w:eastAsia="zh-CN"/>
        </w:rPr>
        <w:t>，引导同一区域同一产业的新型农业经营主体依法组建产业协会、联合会，</w:t>
      </w:r>
      <w:r>
        <w:rPr>
          <w:rFonts w:hint="default" w:ascii="Times New Roman" w:hAnsi="Times New Roman" w:eastAsia="仿宋_GB2312" w:cs="Times New Roman"/>
          <w:color w:val="auto"/>
          <w:sz w:val="32"/>
        </w:rPr>
        <w:t>推动农业区域化布局、专业化经营、标准化生产，带领小农户分享产业发展红利。</w:t>
      </w:r>
    </w:p>
    <w:p w14:paraId="199BEB48">
      <w:pPr>
        <w:keepNext/>
        <w:keepLines/>
        <w:widowControl w:val="0"/>
        <w:bidi w:val="0"/>
        <w:spacing w:beforeLines="0" w:beforeAutospacing="0" w:afterLines="0" w:afterAutospacing="0" w:line="560" w:lineRule="exact"/>
        <w:ind w:firstLine="640" w:firstLineChars="200"/>
        <w:jc w:val="both"/>
        <w:outlineLvl w:val="0"/>
        <w:rPr>
          <w:rFonts w:hint="default" w:ascii="Times New Roman" w:hAnsi="Times New Roman" w:eastAsia="黑体" w:cs="Times New Roman"/>
          <w:kern w:val="44"/>
          <w:sz w:val="32"/>
          <w:szCs w:val="24"/>
          <w:highlight w:val="none"/>
          <w:lang w:val="en-US" w:eastAsia="zh-CN" w:bidi="ar-SA"/>
        </w:rPr>
      </w:pPr>
      <w:bookmarkStart w:id="21" w:name="_Toc15841"/>
      <w:r>
        <w:rPr>
          <w:rFonts w:hint="default" w:ascii="Times New Roman" w:hAnsi="Times New Roman" w:eastAsia="黑体" w:cs="Times New Roman"/>
          <w:kern w:val="44"/>
          <w:sz w:val="32"/>
          <w:szCs w:val="24"/>
          <w:highlight w:val="none"/>
          <w:lang w:val="en-US" w:eastAsia="zh-CN" w:bidi="ar-SA"/>
        </w:rPr>
        <w:t>第六章  大力发展社会民生事业</w:t>
      </w:r>
      <w:bookmarkEnd w:id="21"/>
    </w:p>
    <w:p w14:paraId="6CC19B97">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繁荣社会民生事业，促进居民收入公平化、物质与精神生活多元化、基本公共服务均等化，促进经济发展与社会建设相互协调，不断满足人民日益增长的美好生活需要，不断增强人民群众获得感、幸福感、安全感，促进人的全面发展和社会全面进步。</w:t>
      </w:r>
    </w:p>
    <w:p w14:paraId="5A23E0D7">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22" w:name="_Toc4178"/>
      <w:r>
        <w:rPr>
          <w:rFonts w:hint="default" w:ascii="Times New Roman" w:hAnsi="Times New Roman" w:eastAsia="楷体" w:cs="Times New Roman"/>
          <w:b/>
          <w:kern w:val="2"/>
          <w:sz w:val="32"/>
          <w:szCs w:val="24"/>
          <w:lang w:val="en-US" w:eastAsia="zh-CN" w:bidi="ar-SA"/>
        </w:rPr>
        <w:t>第一节 推动教育事业优质发展</w:t>
      </w:r>
      <w:bookmarkEnd w:id="22"/>
    </w:p>
    <w:p w14:paraId="280035E6">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rtl w:val="0"/>
          <w:lang w:val="en-US" w:eastAsia="zh-CN"/>
        </w:rPr>
      </w:pPr>
      <w:r>
        <w:rPr>
          <w:rFonts w:hint="default" w:ascii="Times New Roman" w:hAnsi="Times New Roman" w:eastAsia="仿宋_GB2312" w:cs="Times New Roman"/>
          <w:b/>
          <w:bCs/>
          <w:color w:val="auto"/>
          <w:sz w:val="32"/>
          <w:rtl w:val="0"/>
          <w:lang w:val="en-US" w:eastAsia="zh-CN"/>
        </w:rPr>
        <w:t>大力发展学前教育。</w:t>
      </w:r>
      <w:r>
        <w:rPr>
          <w:rFonts w:hint="default" w:ascii="Times New Roman" w:hAnsi="Times New Roman" w:eastAsia="仿宋_GB2312" w:cs="Times New Roman"/>
          <w:color w:val="auto"/>
          <w:sz w:val="32"/>
        </w:rPr>
        <w:t>加大</w:t>
      </w:r>
      <w:r>
        <w:rPr>
          <w:rFonts w:hint="default" w:ascii="Times New Roman" w:hAnsi="Times New Roman" w:eastAsia="仿宋_GB2312" w:cs="Times New Roman"/>
          <w:color w:val="auto"/>
          <w:sz w:val="32"/>
          <w:lang w:eastAsia="zh-CN"/>
        </w:rPr>
        <w:t>农村</w:t>
      </w:r>
      <w:r>
        <w:rPr>
          <w:rFonts w:hint="default" w:ascii="Times New Roman" w:hAnsi="Times New Roman" w:eastAsia="仿宋_GB2312" w:cs="Times New Roman"/>
          <w:color w:val="auto"/>
          <w:sz w:val="32"/>
        </w:rPr>
        <w:t>幼儿园建设，</w:t>
      </w:r>
      <w:r>
        <w:rPr>
          <w:rFonts w:hint="default" w:ascii="Times New Roman" w:hAnsi="Times New Roman" w:eastAsia="仿宋_GB2312" w:cs="Times New Roman"/>
          <w:color w:val="auto"/>
          <w:sz w:val="32"/>
          <w:rtl w:val="0"/>
          <w:lang w:val="en-US" w:eastAsia="zh-CN"/>
        </w:rPr>
        <w:t>采取多种形式扩大农村学前教育资源，改扩建、新建幼儿园，充分利用中小学布局调整富余的校舍举办幼儿园。</w:t>
      </w:r>
      <w:r>
        <w:rPr>
          <w:rFonts w:hint="default" w:ascii="Times New Roman" w:hAnsi="Times New Roman" w:eastAsia="仿宋_GB2312" w:cs="Times New Roman"/>
          <w:color w:val="auto"/>
          <w:sz w:val="32"/>
          <w:lang w:eastAsia="zh-CN"/>
        </w:rPr>
        <w:t>加大政府投入，</w:t>
      </w:r>
      <w:r>
        <w:rPr>
          <w:rFonts w:hint="default" w:ascii="Times New Roman" w:hAnsi="Times New Roman" w:eastAsia="仿宋_GB2312" w:cs="Times New Roman"/>
          <w:color w:val="auto"/>
          <w:sz w:val="32"/>
        </w:rPr>
        <w:t>提高经费保障</w:t>
      </w:r>
      <w:r>
        <w:rPr>
          <w:rFonts w:hint="default" w:ascii="Times New Roman" w:hAnsi="Times New Roman" w:eastAsia="仿宋_GB2312" w:cs="Times New Roman"/>
          <w:color w:val="auto"/>
          <w:sz w:val="32"/>
          <w:lang w:eastAsia="zh-CN"/>
        </w:rPr>
        <w:t>，完善成本合理分担机制，对家庭经济困难幼儿入园给予补助。</w:t>
      </w:r>
      <w:r>
        <w:rPr>
          <w:rFonts w:hint="default" w:ascii="Times New Roman" w:hAnsi="Times New Roman" w:eastAsia="仿宋_GB2312" w:cs="Times New Roman"/>
          <w:color w:val="auto"/>
          <w:sz w:val="32"/>
        </w:rPr>
        <w:t>突出公益普惠，着力破解</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入园难</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问题</w:t>
      </w:r>
      <w:r>
        <w:rPr>
          <w:rFonts w:hint="default" w:ascii="Times New Roman" w:hAnsi="Times New Roman" w:eastAsia="仿宋_GB2312" w:cs="Times New Roman"/>
          <w:color w:val="auto"/>
          <w:sz w:val="32"/>
          <w:lang w:eastAsia="zh-CN"/>
        </w:rPr>
        <w:t>，通过购买服务、综合奖补等方式，支持并规范普惠性民办园发展。</w:t>
      </w:r>
    </w:p>
    <w:p w14:paraId="6B02CC58">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rtl w:val="0"/>
          <w:lang w:val="en-US" w:eastAsia="zh-CN"/>
        </w:rPr>
      </w:pPr>
      <w:r>
        <w:rPr>
          <w:rFonts w:hint="default" w:ascii="Times New Roman" w:hAnsi="Times New Roman" w:eastAsia="仿宋_GB2312" w:cs="Times New Roman"/>
          <w:b/>
          <w:bCs/>
          <w:color w:val="auto"/>
          <w:sz w:val="32"/>
          <w:rtl w:val="0"/>
          <w:lang w:val="en-US" w:eastAsia="zh-CN"/>
        </w:rPr>
        <w:t>积极发展义务教育。</w:t>
      </w:r>
      <w:r>
        <w:rPr>
          <w:rFonts w:hint="default" w:ascii="Times New Roman" w:hAnsi="Times New Roman" w:eastAsia="仿宋_GB2312" w:cs="Times New Roman"/>
          <w:color w:val="auto"/>
          <w:sz w:val="32"/>
        </w:rPr>
        <w:t>大力发展义务教育，进一步深化课堂教学改革，充分发挥样板学校、典型教师及各级教学能手的引领作用，全面提升课堂教学改革实施水平</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根据农村学位需求发展，合理扩建、改造维修农村中小学校舍和运动场，改造提升校园道路、广场、绿化等附属设施</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切实抓好</w:t>
      </w:r>
      <w:r>
        <w:rPr>
          <w:rFonts w:hint="default" w:ascii="Times New Roman" w:hAnsi="Times New Roman" w:eastAsia="仿宋_GB2312" w:cs="Times New Roman"/>
          <w:color w:val="auto"/>
          <w:sz w:val="32"/>
          <w:lang w:eastAsia="zh-CN"/>
        </w:rPr>
        <w:t>农村</w:t>
      </w:r>
      <w:r>
        <w:rPr>
          <w:rFonts w:hint="default" w:ascii="Times New Roman" w:hAnsi="Times New Roman" w:eastAsia="仿宋_GB2312" w:cs="Times New Roman"/>
          <w:color w:val="auto"/>
          <w:sz w:val="32"/>
        </w:rPr>
        <w:t>学校教学楼、宿舍、仪器设备等硬件建设</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全面</w:t>
      </w:r>
      <w:r>
        <w:rPr>
          <w:rFonts w:hint="default" w:ascii="Times New Roman" w:hAnsi="Times New Roman" w:eastAsia="仿宋_GB2312" w:cs="Times New Roman"/>
          <w:color w:val="auto"/>
          <w:sz w:val="32"/>
          <w:lang w:eastAsia="zh-CN"/>
        </w:rPr>
        <w:t>提升</w:t>
      </w:r>
      <w:r>
        <w:rPr>
          <w:rFonts w:hint="default" w:ascii="Times New Roman" w:hAnsi="Times New Roman" w:eastAsia="仿宋_GB2312" w:cs="Times New Roman"/>
          <w:color w:val="auto"/>
          <w:sz w:val="32"/>
        </w:rPr>
        <w:t>信息化教学等</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软件</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建设。</w:t>
      </w:r>
    </w:p>
    <w:p w14:paraId="408FFE1A">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23" w:name="_Toc27234"/>
      <w:r>
        <w:rPr>
          <w:rFonts w:hint="default" w:ascii="Times New Roman" w:hAnsi="Times New Roman" w:eastAsia="楷体" w:cs="Times New Roman"/>
          <w:b/>
          <w:kern w:val="2"/>
          <w:sz w:val="32"/>
          <w:szCs w:val="24"/>
          <w:lang w:val="en-US" w:eastAsia="zh-CN" w:bidi="ar-SA"/>
        </w:rPr>
        <w:t>第二节 全面推进健康乡村建设</w:t>
      </w:r>
      <w:bookmarkEnd w:id="23"/>
    </w:p>
    <w:p w14:paraId="7B555DD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rtl w:val="0"/>
          <w:lang w:val="en-US" w:eastAsia="zh-CN"/>
        </w:rPr>
      </w:pPr>
      <w:r>
        <w:rPr>
          <w:rFonts w:hint="eastAsia" w:ascii="仿宋_GB2312" w:hAnsi="Calibri" w:eastAsia="仿宋_GB2312" w:cs="仿宋_GB2312"/>
          <w:i w:val="0"/>
          <w:color w:val="000000"/>
          <w:spacing w:val="0"/>
          <w:sz w:val="32"/>
          <w:szCs w:val="32"/>
          <w:vertAlign w:val="baseline"/>
          <w:lang w:val="en-US" w:eastAsia="zh-CN"/>
        </w:rPr>
        <w:t>扎实推进镇刘集卫生院扩建项目，</w:t>
      </w:r>
      <w:r>
        <w:rPr>
          <w:rFonts w:hint="default" w:ascii="Times New Roman" w:hAnsi="Times New Roman" w:eastAsia="仿宋_GB2312" w:cs="Times New Roman"/>
          <w:color w:val="auto"/>
          <w:sz w:val="32"/>
          <w:rtl w:val="0"/>
          <w:lang w:val="en-US" w:eastAsia="zh-CN"/>
        </w:rPr>
        <w:t>重点修缮基础设施、更新补充医疗设备，建设包含诊室、治疗室、观察室、药房、值班室、公共卫生室（资料室）等科室，同时配备医疗设备、信息化设备及其它办公设施，达到功能分区合理、设备配置与基本医疗卫生服务相适应。</w:t>
      </w:r>
      <w:r>
        <w:rPr>
          <w:rFonts w:hint="default" w:ascii="Times New Roman" w:hAnsi="Times New Roman" w:eastAsia="仿宋_GB2312" w:cs="Times New Roman"/>
          <w:color w:val="auto"/>
          <w:sz w:val="32"/>
        </w:rPr>
        <w:t>实施</w:t>
      </w:r>
      <w:r>
        <w:rPr>
          <w:rFonts w:hint="default" w:ascii="Times New Roman" w:hAnsi="Times New Roman" w:eastAsia="仿宋_GB2312" w:cs="Times New Roman"/>
          <w:color w:val="auto"/>
          <w:sz w:val="32"/>
          <w:lang w:eastAsia="zh-CN"/>
        </w:rPr>
        <w:t>村医</w:t>
      </w:r>
      <w:r>
        <w:rPr>
          <w:rFonts w:hint="default" w:ascii="Times New Roman" w:hAnsi="Times New Roman" w:eastAsia="仿宋_GB2312" w:cs="Times New Roman"/>
          <w:color w:val="auto"/>
          <w:sz w:val="32"/>
        </w:rPr>
        <w:t>培养工程，稳定扩大村医队伍，做好农村定向培养</w:t>
      </w:r>
      <w:r>
        <w:rPr>
          <w:rFonts w:hint="default" w:ascii="Times New Roman" w:hAnsi="Times New Roman" w:eastAsia="仿宋_GB2312" w:cs="Times New Roman"/>
          <w:color w:val="auto"/>
          <w:sz w:val="32"/>
          <w:lang w:eastAsia="zh-CN"/>
        </w:rPr>
        <w:t>医生专项</w:t>
      </w:r>
      <w:r>
        <w:rPr>
          <w:rFonts w:hint="default" w:ascii="Times New Roman" w:hAnsi="Times New Roman" w:eastAsia="仿宋_GB2312" w:cs="Times New Roman"/>
          <w:color w:val="auto"/>
          <w:sz w:val="32"/>
        </w:rPr>
        <w:t>工作</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创新乡村医生管理模式，推进乡村医生集中办公，提高乡村医生公共卫生工作质量</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zh-CN" w:eastAsia="zh-CN"/>
        </w:rPr>
        <w:t>推进实施“智慧医疗”工程，构建医疗卫生云数据中心和区域卫生平台，实现县、乡医疗卫生机构信息互联互通和资源共享。</w:t>
      </w:r>
    </w:p>
    <w:p w14:paraId="5D8BC7E0">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24" w:name="_Toc10620"/>
      <w:r>
        <w:rPr>
          <w:rFonts w:hint="default" w:ascii="Times New Roman" w:hAnsi="Times New Roman" w:eastAsia="楷体" w:cs="Times New Roman"/>
          <w:b/>
          <w:kern w:val="2"/>
          <w:sz w:val="32"/>
          <w:szCs w:val="24"/>
          <w:lang w:val="en-US" w:eastAsia="zh-CN" w:bidi="ar-SA"/>
        </w:rPr>
        <w:t>第三节 健全多层次社会保障体系</w:t>
      </w:r>
      <w:bookmarkEnd w:id="24"/>
    </w:p>
    <w:p w14:paraId="13AAFF4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rtl w:val="0"/>
          <w:lang w:val="en-US" w:eastAsia="zh-CN"/>
        </w:rPr>
      </w:pPr>
      <w:r>
        <w:rPr>
          <w:rFonts w:hint="default" w:ascii="Times New Roman" w:hAnsi="Times New Roman" w:eastAsia="仿宋_GB2312" w:cs="Times New Roman"/>
          <w:color w:val="auto"/>
          <w:sz w:val="32"/>
          <w:lang w:eastAsia="zh-CN"/>
        </w:rPr>
        <w:t>认真</w:t>
      </w:r>
      <w:r>
        <w:rPr>
          <w:rFonts w:hint="default" w:ascii="Times New Roman" w:hAnsi="Times New Roman" w:eastAsia="仿宋_GB2312" w:cs="Times New Roman"/>
          <w:color w:val="auto"/>
          <w:sz w:val="32"/>
          <w:lang w:val="en-US" w:eastAsia="zh-CN"/>
        </w:rPr>
        <w:t>扎实</w:t>
      </w:r>
      <w:r>
        <w:rPr>
          <w:rFonts w:hint="default" w:ascii="Times New Roman" w:hAnsi="Times New Roman" w:eastAsia="仿宋_GB2312" w:cs="Times New Roman"/>
          <w:color w:val="auto"/>
          <w:sz w:val="32"/>
          <w:lang w:eastAsia="zh-CN"/>
        </w:rPr>
        <w:t>做好农村</w:t>
      </w:r>
      <w:r>
        <w:rPr>
          <w:rFonts w:hint="default" w:ascii="Times New Roman" w:hAnsi="Times New Roman" w:eastAsia="仿宋_GB2312" w:cs="Times New Roman"/>
          <w:color w:val="auto"/>
          <w:sz w:val="32"/>
        </w:rPr>
        <w:t>基本</w:t>
      </w:r>
      <w:r>
        <w:rPr>
          <w:rFonts w:hint="default" w:ascii="Times New Roman" w:hAnsi="Times New Roman" w:eastAsia="仿宋_GB2312" w:cs="Times New Roman"/>
          <w:color w:val="auto"/>
          <w:sz w:val="32"/>
          <w:lang w:eastAsia="zh-CN"/>
        </w:rPr>
        <w:t>养老保险工作，</w:t>
      </w:r>
      <w:r>
        <w:rPr>
          <w:rFonts w:hint="default" w:ascii="Times New Roman" w:hAnsi="Times New Roman" w:eastAsia="仿宋_GB2312" w:cs="Times New Roman"/>
          <w:color w:val="auto"/>
          <w:sz w:val="32"/>
        </w:rPr>
        <w:t>引导激励符合条件的城乡居民早参保、多缴费</w:t>
      </w:r>
      <w:r>
        <w:rPr>
          <w:rFonts w:hint="default" w:ascii="Times New Roman" w:hAnsi="Times New Roman" w:eastAsia="仿宋_GB2312" w:cs="Times New Roman"/>
          <w:color w:val="auto"/>
          <w:sz w:val="32"/>
          <w:lang w:eastAsia="zh-CN"/>
        </w:rPr>
        <w:t>，以多种方式建立困难农民参保补贴制度。</w:t>
      </w:r>
      <w:r>
        <w:rPr>
          <w:rFonts w:hint="default" w:ascii="Times New Roman" w:hAnsi="Times New Roman" w:eastAsia="仿宋_GB2312" w:cs="Times New Roman"/>
          <w:color w:val="auto"/>
          <w:sz w:val="32"/>
        </w:rPr>
        <w:t>推进保障形式和补偿保障模式的创新，将农村养老保险与其他社会保障相结合，提高保障能力和效果</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tl w:val="0"/>
          <w:lang w:val="en-US" w:eastAsia="zh-CN"/>
        </w:rPr>
        <w:t>建立完善低收入群体数据库和主动发现机制，强化流浪乞讨人员救助管理，积极推进“物质+服务”的社会救助方式，完善临时救助措施，强化急难社会救助功能。推动社会救助和就业援助有效衔接，对身有残疾、享受最低生活保障、连续失业一年以上等就业困难人员实行优先扶持和重点帮助，着力做好就业重点群体的职业培训工作，大力开展低收入群体特别培训计划、残疾人职业技能提升计划等，组织开展有针对性的职业培训并落实培训补贴政策，提高残疾人等各类群体转岗就业能力。</w:t>
      </w:r>
    </w:p>
    <w:p w14:paraId="51A886E5">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25" w:name="_Toc32766"/>
      <w:r>
        <w:rPr>
          <w:rFonts w:hint="default" w:ascii="Times New Roman" w:hAnsi="Times New Roman" w:eastAsia="楷体" w:cs="Times New Roman"/>
          <w:b/>
          <w:kern w:val="2"/>
          <w:sz w:val="32"/>
          <w:szCs w:val="24"/>
          <w:lang w:val="en-US" w:eastAsia="zh-CN" w:bidi="ar-SA"/>
        </w:rPr>
        <w:t xml:space="preserve">第四节 </w:t>
      </w:r>
      <w:r>
        <w:rPr>
          <w:rFonts w:hint="default" w:ascii="Times New Roman" w:hAnsi="Times New Roman" w:eastAsia="楷体" w:cs="Times New Roman"/>
          <w:b/>
          <w:kern w:val="2"/>
          <w:sz w:val="32"/>
          <w:szCs w:val="24"/>
          <w:lang w:val="en-US" w:eastAsia="zh-CN" w:bidi="ar-SA"/>
        </w:rPr>
        <w:fldChar w:fldCharType="begin"/>
      </w:r>
      <w:r>
        <w:rPr>
          <w:rFonts w:hint="default" w:ascii="Times New Roman" w:hAnsi="Times New Roman" w:eastAsia="楷体" w:cs="Times New Roman"/>
          <w:b/>
          <w:kern w:val="2"/>
          <w:sz w:val="32"/>
          <w:szCs w:val="24"/>
          <w:lang w:val="en-US" w:eastAsia="zh-CN" w:bidi="ar-SA"/>
        </w:rPr>
        <w:instrText xml:space="preserve"> HYPERLINK \l _Toc16219_WPSOffice_Level1 </w:instrText>
      </w:r>
      <w:r>
        <w:rPr>
          <w:rFonts w:hint="default" w:ascii="Times New Roman" w:hAnsi="Times New Roman" w:eastAsia="楷体" w:cs="Times New Roman"/>
          <w:b/>
          <w:kern w:val="2"/>
          <w:sz w:val="32"/>
          <w:szCs w:val="24"/>
          <w:lang w:val="en-US" w:eastAsia="zh-CN" w:bidi="ar-SA"/>
        </w:rPr>
        <w:fldChar w:fldCharType="separate"/>
      </w:r>
      <w:r>
        <w:rPr>
          <w:rFonts w:hint="default" w:ascii="Times New Roman" w:hAnsi="Times New Roman" w:eastAsia="楷体" w:cs="Times New Roman"/>
          <w:b/>
          <w:kern w:val="2"/>
          <w:sz w:val="32"/>
          <w:szCs w:val="24"/>
          <w:lang w:val="en-US" w:eastAsia="zh-CN" w:bidi="ar-SA"/>
        </w:rPr>
        <w:t>繁荣兴盛乡村文化</w:t>
      </w:r>
      <w:r>
        <w:rPr>
          <w:rFonts w:hint="default" w:ascii="Times New Roman" w:hAnsi="Times New Roman" w:eastAsia="楷体" w:cs="Times New Roman"/>
          <w:b/>
          <w:kern w:val="2"/>
          <w:sz w:val="32"/>
          <w:szCs w:val="24"/>
          <w:lang w:val="en-US" w:eastAsia="zh-CN" w:bidi="ar-SA"/>
        </w:rPr>
        <w:fldChar w:fldCharType="end"/>
      </w:r>
      <w:bookmarkEnd w:id="25"/>
    </w:p>
    <w:p w14:paraId="6DB7DA6C">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color w:val="auto"/>
          <w:sz w:val="32"/>
          <w:rtl w:val="0"/>
          <w:lang w:val="en-US" w:eastAsia="zh-CN"/>
        </w:rPr>
        <w:t>深入开展习近平新时代中国特色社会主义思想学习教育，推动社会主义核心价值观传播普及。倡导诚信道德规范，扎实推进诚信建设，开展诚信宣传和教育，大力培育和弘扬诚信文化。深挖乡贤文化，整理家规家训，组织评选道德模范、爱心人士等新乡贤，用乡贤文化凝聚道德力量。大力倡导移风易俗，教育村民反对大操大办婚丧酒席、搞封建迷信活动等陈规陋习。</w:t>
      </w:r>
      <w:r>
        <w:rPr>
          <w:rFonts w:hint="default" w:ascii="Times New Roman" w:hAnsi="Times New Roman" w:eastAsia="仿宋_GB2312" w:cs="Times New Roman"/>
          <w:color w:val="auto"/>
          <w:sz w:val="32"/>
        </w:rPr>
        <w:t>完善乡、村公共文化基础设施。</w:t>
      </w:r>
      <w:r>
        <w:rPr>
          <w:rFonts w:hint="eastAsia" w:ascii="仿宋_GB2312" w:hAnsi="Calibri" w:eastAsia="仿宋_GB2312" w:cs="仿宋_GB2312"/>
          <w:i w:val="0"/>
          <w:color w:val="000000"/>
          <w:spacing w:val="0"/>
          <w:sz w:val="32"/>
          <w:szCs w:val="32"/>
          <w:vertAlign w:val="baseline"/>
          <w:lang w:val="en-US" w:eastAsia="zh-CN"/>
        </w:rPr>
        <w:t>推进刘集体育公园建设，</w:t>
      </w:r>
      <w:r>
        <w:rPr>
          <w:rFonts w:hint="default" w:ascii="Times New Roman" w:hAnsi="Times New Roman" w:eastAsia="仿宋_GB2312" w:cs="Times New Roman"/>
          <w:color w:val="auto"/>
          <w:sz w:val="32"/>
        </w:rPr>
        <w:t>推进乡镇综合文化站、村级综合文化服务中心</w:t>
      </w:r>
      <w:r>
        <w:rPr>
          <w:rFonts w:hint="default" w:ascii="Times New Roman" w:hAnsi="Times New Roman" w:eastAsia="仿宋_GB2312" w:cs="Times New Roman"/>
          <w:color w:val="auto"/>
          <w:sz w:val="32"/>
          <w:lang w:eastAsia="zh-CN"/>
        </w:rPr>
        <w:t>等</w:t>
      </w:r>
      <w:r>
        <w:rPr>
          <w:rFonts w:hint="default" w:ascii="Times New Roman" w:hAnsi="Times New Roman" w:eastAsia="仿宋_GB2312" w:cs="Times New Roman"/>
          <w:color w:val="auto"/>
          <w:sz w:val="32"/>
        </w:rPr>
        <w:t>基层文化服务体系</w:t>
      </w:r>
      <w:r>
        <w:rPr>
          <w:rFonts w:hint="default" w:ascii="Times New Roman" w:hAnsi="Times New Roman" w:eastAsia="仿宋_GB2312" w:cs="Times New Roman"/>
          <w:color w:val="auto"/>
          <w:sz w:val="32"/>
          <w:lang w:eastAsia="zh-CN"/>
        </w:rPr>
        <w:t>建设。突出资源整合和闲置场地设施利用，建设农民文化广场，</w:t>
      </w:r>
      <w:r>
        <w:rPr>
          <w:rFonts w:hint="default" w:ascii="Times New Roman" w:hAnsi="Times New Roman" w:eastAsia="仿宋_GB2312" w:cs="Times New Roman"/>
          <w:color w:val="auto"/>
          <w:sz w:val="32"/>
        </w:rPr>
        <w:t>集中组织开展农民书画展、</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优秀画廊</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评选活动、文艺演出等群众性文化活动，</w:t>
      </w:r>
      <w:r>
        <w:rPr>
          <w:rFonts w:hint="default" w:ascii="Times New Roman" w:hAnsi="Times New Roman" w:eastAsia="仿宋_GB2312" w:cs="Times New Roman"/>
          <w:color w:val="auto"/>
          <w:sz w:val="32"/>
          <w:lang w:eastAsia="zh-CN"/>
        </w:rPr>
        <w:t>丰富农村文化生活。加强百馆千村文化结对活动管理，鼓励采用文艺轻骑兵、乡村春晚等形式，开展送演出、送讲座、送展览、送培训等活动。深化“送戏进万村工程”。</w:t>
      </w:r>
    </w:p>
    <w:p w14:paraId="5CA41676">
      <w:pPr>
        <w:keepNext/>
        <w:keepLines/>
        <w:widowControl w:val="0"/>
        <w:bidi w:val="0"/>
        <w:spacing w:beforeLines="0" w:beforeAutospacing="0" w:afterLines="0" w:afterAutospacing="0" w:line="560" w:lineRule="exact"/>
        <w:ind w:firstLine="640" w:firstLineChars="200"/>
        <w:jc w:val="both"/>
        <w:outlineLvl w:val="0"/>
        <w:rPr>
          <w:rFonts w:hint="default" w:ascii="Times New Roman" w:hAnsi="Times New Roman" w:eastAsia="黑体" w:cs="Times New Roman"/>
          <w:kern w:val="44"/>
          <w:sz w:val="32"/>
          <w:szCs w:val="24"/>
          <w:highlight w:val="none"/>
          <w:lang w:val="en-US" w:eastAsia="zh-CN" w:bidi="ar-SA"/>
        </w:rPr>
      </w:pPr>
      <w:bookmarkStart w:id="26" w:name="_Toc3579"/>
      <w:r>
        <w:rPr>
          <w:rFonts w:hint="default" w:ascii="Times New Roman" w:hAnsi="Times New Roman" w:eastAsia="黑体" w:cs="Times New Roman"/>
          <w:kern w:val="44"/>
          <w:sz w:val="32"/>
          <w:szCs w:val="24"/>
          <w:highlight w:val="none"/>
          <w:lang w:val="en-US" w:eastAsia="zh-CN" w:bidi="ar-SA"/>
        </w:rPr>
        <w:t>第七章  加强农村生态环境保护</w:t>
      </w:r>
      <w:bookmarkEnd w:id="26"/>
    </w:p>
    <w:p w14:paraId="28AED575">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深入贯彻落实“绿水青山就是金山银山”理念，</w:t>
      </w:r>
      <w:r>
        <w:rPr>
          <w:rFonts w:hint="default" w:ascii="Times New Roman" w:hAnsi="Times New Roman" w:eastAsia="仿宋_GB2312" w:cs="Times New Roman"/>
          <w:sz w:val="32"/>
          <w:lang w:eastAsia="zh-CN"/>
        </w:rPr>
        <w:t>坚持生态优先、绿色发展，打好蓝天碧水净土保卫战，持续改善生态环境质量，全面提高资源利用效率，推进绿色生态集约发展，</w:t>
      </w:r>
      <w:r>
        <w:rPr>
          <w:rFonts w:hint="default" w:ascii="Times New Roman" w:hAnsi="Times New Roman" w:eastAsia="仿宋_GB2312" w:cs="Times New Roman"/>
          <w:sz w:val="32"/>
          <w:lang w:val="en-US" w:eastAsia="zh-CN"/>
        </w:rPr>
        <w:t>不断美化靓化镇区环境，擦亮生态刘集名片。</w:t>
      </w:r>
    </w:p>
    <w:p w14:paraId="374A2648">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27" w:name="_Toc2215"/>
      <w:r>
        <w:rPr>
          <w:rFonts w:hint="default" w:ascii="Times New Roman" w:hAnsi="Times New Roman" w:eastAsia="楷体" w:cs="Times New Roman"/>
          <w:b/>
          <w:kern w:val="2"/>
          <w:sz w:val="32"/>
          <w:szCs w:val="24"/>
          <w:lang w:val="en-US" w:eastAsia="zh-CN" w:bidi="ar-SA"/>
        </w:rPr>
        <w:t>第一节 扎实推进环境问题治理</w:t>
      </w:r>
      <w:bookmarkEnd w:id="27"/>
    </w:p>
    <w:p w14:paraId="39825711">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i w:val="0"/>
          <w:color w:val="000000"/>
          <w:spacing w:val="0"/>
          <w:sz w:val="32"/>
          <w:szCs w:val="32"/>
          <w:vertAlign w:val="baseline"/>
          <w:lang w:val="en-US" w:eastAsia="zh-CN"/>
        </w:rPr>
        <w:t>坚决抓好中央生态环境保护督察问题整改，实行清单管理、分类推进，确保所有措施落实到位、所有问题整改到位。加大环境保护力度，坚决打好蓝天、碧水、净土保卫战。</w:t>
      </w:r>
      <w:r>
        <w:rPr>
          <w:rFonts w:hint="default" w:ascii="Times New Roman" w:hAnsi="Times New Roman" w:eastAsia="仿宋_GB2312" w:cs="Times New Roman"/>
          <w:sz w:val="32"/>
          <w:lang w:val="en-US" w:eastAsia="zh-CN"/>
        </w:rPr>
        <w:t>建设大气环境监测网络，落实大气污染防治责任制，提高优良天气占比。加强机动车尾气，建筑工地、道路、混凝土搅拌站扬尘治理，</w:t>
      </w:r>
      <w:r>
        <w:rPr>
          <w:rFonts w:hint="default" w:ascii="Times New Roman" w:hAnsi="Times New Roman" w:eastAsia="仿宋_GB2312" w:cs="Times New Roman"/>
          <w:i w:val="0"/>
          <w:color w:val="000000"/>
          <w:spacing w:val="0"/>
          <w:sz w:val="32"/>
          <w:szCs w:val="32"/>
          <w:vertAlign w:val="baseline"/>
          <w:lang w:val="en-US" w:eastAsia="zh-CN"/>
        </w:rPr>
        <w:t>严格落实秸秆禁烧工作目标要求。</w:t>
      </w:r>
      <w:r>
        <w:rPr>
          <w:rFonts w:hint="default" w:ascii="Times New Roman" w:hAnsi="Times New Roman" w:eastAsia="仿宋_GB2312" w:cs="Times New Roman"/>
          <w:sz w:val="32"/>
          <w:lang w:val="en-US" w:eastAsia="zh-CN"/>
        </w:rPr>
        <w:t>建立水源安全保障、水污染控制、治水管理一体化的保护与防控体系。推进污水处理设施建设与改造提升，落实入河污染物限排总量控制制度。落实河长制、湖长制为载体的河湖管护责任，</w:t>
      </w:r>
      <w:r>
        <w:rPr>
          <w:rFonts w:hint="default" w:ascii="Times New Roman" w:hAnsi="Times New Roman" w:eastAsia="仿宋_GB2312" w:cs="Times New Roman"/>
          <w:b w:val="0"/>
          <w:bCs w:val="0"/>
          <w:sz w:val="32"/>
          <w:szCs w:val="32"/>
          <w:lang w:val="en-US" w:eastAsia="zh-CN"/>
        </w:rPr>
        <w:t>实现河（湖）长制全覆盖，常态化开展巡查，构建责任明确、分级管理、监管严格、保护有力的河湖管理保护机制。继续推进畜禽粪污资源化利用项目，开展加强畜禽养殖环境治理工作。</w:t>
      </w:r>
      <w:r>
        <w:rPr>
          <w:rFonts w:hint="default" w:ascii="Times New Roman" w:hAnsi="Times New Roman" w:eastAsia="仿宋_GB2312" w:cs="Times New Roman"/>
          <w:sz w:val="32"/>
          <w:lang w:val="en-US" w:eastAsia="zh-CN"/>
        </w:rPr>
        <w:t>实施农用地和建设用地土壤环境分级和分类管理，加强基本农田保护力度。减少农药、化肥、农膜使用量，严控新增土壤污染。</w:t>
      </w:r>
    </w:p>
    <w:p w14:paraId="310608C2">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28" w:name="_Toc24363"/>
      <w:r>
        <w:rPr>
          <w:rFonts w:hint="default" w:ascii="Times New Roman" w:hAnsi="Times New Roman" w:eastAsia="楷体" w:cs="Times New Roman"/>
          <w:b/>
          <w:kern w:val="2"/>
          <w:sz w:val="32"/>
          <w:szCs w:val="24"/>
          <w:lang w:val="en-US" w:eastAsia="zh-CN" w:bidi="ar-SA"/>
        </w:rPr>
        <w:t>第二节 全面推动农业绿色发展</w:t>
      </w:r>
      <w:bookmarkEnd w:id="28"/>
    </w:p>
    <w:p w14:paraId="4C37F70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深入实施土壤污染防治行动计划，积极推进土壤污染状况详查，开展保护性耕作和污染耕地修复，大力推广稻田秸秆覆盖连续免耕技术，增施有机肥，提高土壤肥力。发展农业节水技术，大田采用“喷灌+雨养旱作”节水模式，菜田采用滴灌、微喷等节水模式。引导农户使用粮菜节水品种，减少农业灌溉用水。教育引导农民群众采用节肥、节药、节水、节膜、节能和综合防治的绿色生产模式，减少化肥农药用量。大力推广高效、低毒、低残留农药和先进施药机械。推广农作物病虫害绿色防控、病虫害专业化统防统治、提高综合防治水平。建立废农药包装废弃物多种回收利用机制，制定农药包装废弃物回收方案，减少农药使用量和田间残留。深入开展养殖粪污等源头综合治理，实行养殖粪污的减量化排放、无害化处理和资源化利用，积极构建畜禽粪便收集、存储、运输、处理和综合利用产业链。</w:t>
      </w:r>
    </w:p>
    <w:p w14:paraId="1560B4D9">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29" w:name="_Toc10933"/>
      <w:r>
        <w:rPr>
          <w:rFonts w:hint="default" w:ascii="Times New Roman" w:hAnsi="Times New Roman" w:eastAsia="楷体" w:cs="Times New Roman"/>
          <w:b/>
          <w:kern w:val="2"/>
          <w:sz w:val="32"/>
          <w:szCs w:val="24"/>
          <w:lang w:val="en-US" w:eastAsia="zh-CN" w:bidi="ar-SA"/>
        </w:rPr>
        <w:t>第三节 提升人居环境治理水平</w:t>
      </w:r>
      <w:bookmarkEnd w:id="29"/>
    </w:p>
    <w:p w14:paraId="0E3C4F72">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大力推行农村中心村建设，加大乡村水、电、路、气、通信、广播电视、物流等基础设施投入建设力度，加大政府对农村建设的担保能力。高质量推进“四好农村路”建设，加速农村公路联网成环，建设一批特色产业道路，推进乡村路网数字化管理和应用。坚持乡村建设规划引领，编制多规合一的实用性村庄规划，保护传统村落和乡村风貌。持续推进农村环境“三大革命”“三大行动”，用“绣花”功夫，建设美丽乡村，持续推进“美丽庭院”创建工作，形成“一村一韵”，激发村民环境整治主体地位，不断美化靓化镇区环境，擦亮生态刘集名片。采用市场化运营模式，成立旱厕改造服务中心，全方位服务全镇厕所的维修和清掏工作，解决改厕农户后顾之忧。支持村级组织和农村“工匠”、致富带头人等承接村内环境整治、村内道路、村庄绿化、沟塘清淤等小型涉农工程项目；农村道路维修维护常态化推进，监测各类沟塘的疏通和疏浚；加强对农民的教育引导和管理，切实转变村风和民风，把当地村民培养成为村内公益性基础设施运行维护的重要力量。</w:t>
      </w:r>
    </w:p>
    <w:p w14:paraId="2575186B">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30" w:name="_Toc13000"/>
      <w:r>
        <w:rPr>
          <w:rFonts w:hint="default" w:ascii="Times New Roman" w:hAnsi="Times New Roman" w:eastAsia="楷体" w:cs="Times New Roman"/>
          <w:b/>
          <w:kern w:val="2"/>
          <w:sz w:val="32"/>
          <w:szCs w:val="24"/>
          <w:lang w:val="en-US" w:eastAsia="zh-CN" w:bidi="ar-SA"/>
        </w:rPr>
        <w:t>第四节 加强资源节约集约利用</w:t>
      </w:r>
      <w:bookmarkEnd w:id="30"/>
    </w:p>
    <w:p w14:paraId="1BF67D98">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i w:val="0"/>
          <w:color w:val="000000"/>
          <w:spacing w:val="0"/>
          <w:sz w:val="32"/>
          <w:szCs w:val="32"/>
          <w:vertAlign w:val="baseline"/>
          <w:lang w:val="en-US" w:eastAsia="zh-CN"/>
        </w:rPr>
        <w:t>推进资源利用节约化、产业链接循环化与废物处理资源化，构建循环型绿色产业体系，着力打造绿色工业集中区。积极推进工业集聚区污水处理厂可研论证、排污口审批，高质量编制集聚区的规划环评。严格把关项目建设，以高质量发展统揽全局，守好发展和生态两条底线，在生态文明建设上出新绩。</w:t>
      </w:r>
      <w:r>
        <w:rPr>
          <w:rFonts w:hint="default" w:ascii="Times New Roman" w:hAnsi="Times New Roman" w:eastAsia="仿宋_GB2312" w:cs="Times New Roman"/>
          <w:sz w:val="32"/>
          <w:lang w:val="en-US" w:eastAsia="zh-CN"/>
        </w:rPr>
        <w:t>倡导推动全社会节约用水，推广节水技术应用。开展结构节能、技术节能、管理节能和全民节能，推动形成绿色能源结构，重点抓好工业、农业、建筑、交通运输和公共机构等领域的节能，减少能源消费排放。推进重点用能企业技术升级改造，提高能源利用效率。鼓励采用地块用途兼容和业态融合等灵活供地方式，通过盘活存量土地、推行标准化厂房建设等措施提高土地利用效率。</w:t>
      </w:r>
    </w:p>
    <w:p w14:paraId="2EE6B102">
      <w:pPr>
        <w:keepNext/>
        <w:keepLines/>
        <w:widowControl w:val="0"/>
        <w:bidi w:val="0"/>
        <w:spacing w:beforeLines="0" w:beforeAutospacing="0" w:afterLines="0" w:afterAutospacing="0" w:line="560" w:lineRule="exact"/>
        <w:ind w:firstLine="640" w:firstLineChars="200"/>
        <w:jc w:val="both"/>
        <w:outlineLvl w:val="0"/>
        <w:rPr>
          <w:rFonts w:hint="default" w:ascii="Times New Roman" w:hAnsi="Times New Roman" w:eastAsia="黑体" w:cs="Times New Roman"/>
          <w:kern w:val="44"/>
          <w:sz w:val="32"/>
          <w:szCs w:val="24"/>
          <w:highlight w:val="none"/>
          <w:lang w:val="en-US" w:eastAsia="zh-CN" w:bidi="ar-SA"/>
        </w:rPr>
      </w:pPr>
      <w:bookmarkStart w:id="31" w:name="_Toc4780"/>
      <w:r>
        <w:rPr>
          <w:rFonts w:hint="default" w:ascii="Times New Roman" w:hAnsi="Times New Roman" w:eastAsia="黑体" w:cs="Times New Roman"/>
          <w:kern w:val="44"/>
          <w:sz w:val="32"/>
          <w:szCs w:val="24"/>
          <w:highlight w:val="none"/>
          <w:lang w:val="en-US" w:eastAsia="zh-CN" w:bidi="ar-SA"/>
        </w:rPr>
        <w:t>第八章  完善乡村治理体系</w:t>
      </w:r>
      <w:bookmarkEnd w:id="31"/>
    </w:p>
    <w:p w14:paraId="12B75D29">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遵循“整体智治、高效协同、基层善治”理念，聚焦法治政府建设、基层社会治理、公共安全防控，健全社会主义民主法治，进一步彰显社会公平正义。以改革赋能基层治理，治理效能实现新的更大提升，开创基层治理新局面，高效能推动基层治理体系和治理能力现代化。</w:t>
      </w:r>
    </w:p>
    <w:p w14:paraId="02F3E352">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32" w:name="_Toc8724"/>
      <w:r>
        <w:rPr>
          <w:rFonts w:hint="default" w:ascii="Times New Roman" w:hAnsi="Times New Roman" w:eastAsia="楷体" w:cs="Times New Roman"/>
          <w:b/>
          <w:kern w:val="2"/>
          <w:sz w:val="32"/>
          <w:szCs w:val="24"/>
          <w:lang w:val="en-US" w:eastAsia="zh-CN" w:bidi="ar-SA"/>
        </w:rPr>
        <w:t>第一节 深化法治政府建设</w:t>
      </w:r>
      <w:bookmarkEnd w:id="32"/>
    </w:p>
    <w:p w14:paraId="3145C10B">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决维护宪法和法律权威，自觉运用法治思维和法治方式推动工作，严格按照法定权限和程序履行政府职责。深入推进政务公开，自觉接受人大法律监督、纪委监委监督和社会舆论监督。推进村务政务公开，严格落实“三重一大”制度，坚持重大事项、重大支出集体决策，增强决策透明度，让权力在阳光下运行。发扬“勇于争先、敢于担当、干在实处、走在前列”的新时代固镇精神，以上率下，时刻把责任扛在肩上。坚持把学习当作一种生活态度、工作责任、精神追求，不断提高思维能力、干事能力、创新能力，敢闯深水区，敢啃硬骨头，敢破敢立敢担当，鼓励广大干部担当尽责、干事创业。不断提升廉洁从政能力，严格落实中央八项规定实施细则精神和实施办法，认真落实党风廉政建设主体责任和“一岗双责”责任，持之以恒反“四风”，腾出时间抓落实。严格控制“三公”经费，把有限的财力更多地用于改善民生。加大对项目建设、大额支出、涉农资金的全程跟踪监管，用制度管住权力，为人民用好权力，强化政府权力运行监督。坚决同一切消极腐败现象作斗争，全力整治群众身边的腐败和作风问题，营造风清气正的干事创业环境。</w:t>
      </w:r>
    </w:p>
    <w:p w14:paraId="5D35F17C">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33" w:name="_Toc24659"/>
      <w:r>
        <w:rPr>
          <w:rFonts w:hint="default" w:ascii="Times New Roman" w:hAnsi="Times New Roman" w:eastAsia="楷体" w:cs="Times New Roman"/>
          <w:b/>
          <w:kern w:val="2"/>
          <w:sz w:val="32"/>
          <w:szCs w:val="24"/>
          <w:lang w:val="en-US" w:eastAsia="zh-CN" w:bidi="ar-SA"/>
        </w:rPr>
        <w:t>第二节 创新基层社会治理</w:t>
      </w:r>
      <w:bookmarkEnd w:id="33"/>
    </w:p>
    <w:p w14:paraId="1B5E6806">
      <w:pPr>
        <w:bidi w:val="0"/>
        <w:spacing w:line="560" w:lineRule="exact"/>
        <w:ind w:firstLine="643"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rPr>
        <w:t>强化基层党组织政治功能。</w:t>
      </w:r>
      <w:r>
        <w:rPr>
          <w:rFonts w:hint="default" w:ascii="Times New Roman" w:hAnsi="Times New Roman" w:eastAsia="仿宋_GB2312" w:cs="Times New Roman"/>
          <w:color w:val="auto"/>
          <w:sz w:val="32"/>
        </w:rPr>
        <w:t>统筹推进企业、农村、机关、学校等领域党的建设，打造一批可复制、可推广的党建示范点，不断推动基层党组织全面进步、全面过硬。加强党委对重大工作的领导，充分发挥党委议事协调机构职能作用。加强基层服务型党组织建设，扩大基层党组织的组织覆盖面和工作覆盖面，构建由党组织领导的共建共治共享城乡基层治理格局，实现民心在基层聚集、资源在基层整合、问题在基层解决、服务在基层拓展。</w:t>
      </w:r>
    </w:p>
    <w:p w14:paraId="6844B398">
      <w:pPr>
        <w:bidi w:val="0"/>
        <w:spacing w:line="560" w:lineRule="exact"/>
        <w:ind w:firstLine="643" w:firstLineChars="200"/>
        <w:rPr>
          <w:rFonts w:hint="default" w:ascii="Times New Roman" w:hAnsi="Times New Roman" w:eastAsia="仿宋_GB2312" w:cs="Times New Roman"/>
          <w:b w:val="0"/>
          <w:bCs w:val="0"/>
          <w:color w:val="auto"/>
          <w:sz w:val="32"/>
        </w:rPr>
      </w:pPr>
      <w:r>
        <w:rPr>
          <w:rFonts w:hint="default" w:ascii="Times New Roman" w:hAnsi="Times New Roman" w:eastAsia="仿宋_GB2312" w:cs="Times New Roman"/>
          <w:b/>
          <w:bCs/>
          <w:color w:val="auto"/>
          <w:sz w:val="32"/>
        </w:rPr>
        <w:t>完善基层社会治理体系。</w:t>
      </w:r>
      <w:r>
        <w:rPr>
          <w:rFonts w:hint="default" w:ascii="Times New Roman" w:hAnsi="Times New Roman" w:eastAsia="仿宋_GB2312" w:cs="Times New Roman"/>
          <w:b w:val="0"/>
          <w:bCs w:val="0"/>
          <w:color w:val="auto"/>
          <w:sz w:val="32"/>
        </w:rPr>
        <w:t>健全党组织领导的自治、法治、德治相结合的城乡基层治理体系，畅通和规范社会组织、社会工作者等各方力量参与社会治理的途径，形成党建引领、多元参与、协同联动的治理格局。</w:t>
      </w:r>
      <w:r>
        <w:rPr>
          <w:rFonts w:hint="default" w:ascii="Times New Roman" w:hAnsi="Times New Roman" w:eastAsia="仿宋_GB2312" w:cs="Times New Roman"/>
          <w:sz w:val="32"/>
          <w:lang w:val="en-US" w:eastAsia="zh-CN"/>
        </w:rPr>
        <w:t>建立村（居）民会议、村（居）民代表会议、村（居）民议事会、理事会等议事协商载体，开展群众说事、民情恳谈、百姓议事等协商活动。</w:t>
      </w:r>
    </w:p>
    <w:p w14:paraId="3DBF43C8">
      <w:pPr>
        <w:bidi w:val="0"/>
        <w:spacing w:line="560" w:lineRule="exact"/>
        <w:ind w:firstLine="643" w:firstLineChars="200"/>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b/>
          <w:bCs/>
          <w:color w:val="auto"/>
          <w:sz w:val="32"/>
        </w:rPr>
        <w:t>防范化解城市社会矛盾。</w:t>
      </w:r>
      <w:r>
        <w:rPr>
          <w:rFonts w:hint="default" w:ascii="Times New Roman" w:hAnsi="Times New Roman" w:eastAsia="仿宋_GB2312" w:cs="Times New Roman"/>
          <w:color w:val="auto"/>
          <w:sz w:val="32"/>
        </w:rPr>
        <w:t>推广新时代</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枫桥经验</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w:t>
      </w:r>
      <w:r>
        <w:rPr>
          <w:rFonts w:hint="default" w:ascii="Times New Roman" w:hAnsi="Times New Roman" w:eastAsia="仿宋_GB2312" w:cs="Times New Roman"/>
          <w:sz w:val="32"/>
          <w:lang w:val="en-US" w:eastAsia="zh-CN"/>
        </w:rPr>
        <w:t>健全社会矛盾纠纷多元预防调处化解综合机制，加强社会心理服务体系建设，将矛盾纠纷化解在村组，将和谐稳定创建在基层。</w:t>
      </w:r>
      <w:r>
        <w:rPr>
          <w:rFonts w:hint="default" w:ascii="Times New Roman" w:hAnsi="Times New Roman" w:eastAsia="仿宋_GB2312" w:cs="Times New Roman"/>
          <w:color w:val="auto"/>
          <w:sz w:val="32"/>
        </w:rPr>
        <w:t>加强信息沟通、危机管理和舆论引导，畅通和规范群众诉求表达、利益协调、权益保障通道。深入推进基层平安创建活动，广泛开展矛盾纠纷大排查。健全人民调解、行政调解和司法调解联动机制，加快推进智慧调解，建立健全矛盾纠纷调处化解</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最多跑一地</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模式。完善便捷高效信访渠道。</w:t>
      </w:r>
    </w:p>
    <w:p w14:paraId="2A09B526">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34" w:name="_Toc13087"/>
      <w:r>
        <w:rPr>
          <w:rFonts w:hint="default" w:ascii="Times New Roman" w:hAnsi="Times New Roman" w:eastAsia="楷体" w:cs="Times New Roman"/>
          <w:b/>
          <w:kern w:val="2"/>
          <w:sz w:val="32"/>
          <w:szCs w:val="24"/>
          <w:lang w:val="en-US" w:eastAsia="zh-CN" w:bidi="ar-SA"/>
        </w:rPr>
        <w:t>第三节 防范化解重大风险</w:t>
      </w:r>
      <w:bookmarkEnd w:id="34"/>
    </w:p>
    <w:p w14:paraId="3CB4DA30">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常态化开展法治宣传教育</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扎实做好宪法、民法典、反家暴法、国家安全和反电诈等系列普法宣传活动</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提升安全生产能力，严格落实安全生产责任制，持续抓好防汛抗旱、食品安全等工作，确保全镇社会发展持续稳定。持续推进“铸安”行动常态化实效化，坚持“雪亮工程”提质扩面增效，加强视频监控盲点补位工作，发展智慧警务。加强气象预警等自然灾害防御设施建设和维护。加强应急救援队伍建设，推进应急物资储备和应急预案备案管理，强化应急救援演练。完善防灾减灾救灾体系，提升基础设施抗灾能力，建立健全全灾种处置指挥体系，全面提升综合防灾减灾救灾能力。</w:t>
      </w:r>
    </w:p>
    <w:p w14:paraId="58F858A8">
      <w:pPr>
        <w:keepNext/>
        <w:keepLines/>
        <w:widowControl w:val="0"/>
        <w:bidi w:val="0"/>
        <w:spacing w:beforeLines="0" w:beforeAutospacing="0" w:afterLines="0" w:afterAutospacing="0" w:line="560" w:lineRule="exact"/>
        <w:ind w:firstLine="640" w:firstLineChars="200"/>
        <w:jc w:val="both"/>
        <w:outlineLvl w:val="0"/>
        <w:rPr>
          <w:rFonts w:hint="default" w:ascii="Times New Roman" w:hAnsi="Times New Roman" w:eastAsia="黑体" w:cs="Times New Roman"/>
          <w:kern w:val="44"/>
          <w:sz w:val="32"/>
          <w:szCs w:val="24"/>
          <w:lang w:val="en-US" w:eastAsia="zh-CN" w:bidi="ar-SA"/>
        </w:rPr>
      </w:pPr>
      <w:bookmarkStart w:id="35" w:name="_Toc22868"/>
      <w:r>
        <w:rPr>
          <w:rFonts w:hint="default" w:ascii="Times New Roman" w:hAnsi="Times New Roman" w:eastAsia="黑体" w:cs="Times New Roman"/>
          <w:kern w:val="44"/>
          <w:sz w:val="32"/>
          <w:szCs w:val="24"/>
          <w:lang w:val="en-US" w:eastAsia="zh-CN" w:bidi="ar-SA"/>
        </w:rPr>
        <w:t>第九章  规划实施保障措施</w:t>
      </w:r>
      <w:bookmarkEnd w:id="35"/>
    </w:p>
    <w:p w14:paraId="5F5D758B">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36" w:name="_Toc30045"/>
      <w:r>
        <w:rPr>
          <w:rFonts w:hint="default" w:ascii="Times New Roman" w:hAnsi="Times New Roman" w:eastAsia="楷体" w:cs="Times New Roman"/>
          <w:b/>
          <w:kern w:val="2"/>
          <w:sz w:val="32"/>
          <w:szCs w:val="24"/>
          <w:lang w:val="en-US" w:eastAsia="zh-CN" w:bidi="ar-SA"/>
        </w:rPr>
        <w:t>第一节 加强组织领导</w:t>
      </w:r>
      <w:bookmarkEnd w:id="36"/>
    </w:p>
    <w:p w14:paraId="162A87E4">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党委研究经济社会发展战略、定期分析经济形势、研究重大方针政策的工作机制，推动党领导经济社会发展制度化、规范化、程序化。坚持经济社会发展规划、重大方针政策、工作总体部署以及涉及国计民生等重要问题的集体决策机制、执行机制和监督机制，切实提高镇领导干部推动经济社会发展的能力，把思想和行动统一到党中央对经济社会发展形势的科学判断和决策部署上来。坚持系统观念，加强前瞻性思考、全局性谋划、战略性布局、整体性推进，使经济发展和社会发展各环节有效对接、紧密协同、相互促进。充分发扬民主，加强科学论证，规范实施过程，提高综合运用经济手段、行政手段、法治手段推动经济社会发展的能力。</w:t>
      </w:r>
    </w:p>
    <w:p w14:paraId="5002E62B">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37" w:name="_Toc30198"/>
      <w:r>
        <w:rPr>
          <w:rFonts w:hint="default" w:ascii="Times New Roman" w:hAnsi="Times New Roman" w:eastAsia="楷体" w:cs="Times New Roman"/>
          <w:b/>
          <w:kern w:val="2"/>
          <w:sz w:val="32"/>
          <w:szCs w:val="24"/>
          <w:lang w:val="en-US" w:eastAsia="zh-CN" w:bidi="ar-SA"/>
        </w:rPr>
        <w:t>第二节 强化项目支撑</w:t>
      </w:r>
      <w:bookmarkEnd w:id="37"/>
    </w:p>
    <w:p w14:paraId="689AA6AA">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以项目建设为中心，进一步增强工业的发展后劲。项目是人才、资金、技术、管理等要素的有效载体，是支撑工业经济持续快速发展的关键所在。形成借助外力求发展的共识，大力发展开放型经济，努力提高招商引资的质量和水平，把新的经济增长点落实到市场前景广阔、科技含量高、附加值高的工业产业项目上来，既要突出发展资本技术密集型产业项目，也要注重发展劳动密集型产业项目。注重已签约项目的落实，提高项目的履约率、资金到位率和开工投产率。</w:t>
      </w:r>
    </w:p>
    <w:p w14:paraId="7544BC9B">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38" w:name="_Toc13303"/>
      <w:r>
        <w:rPr>
          <w:rFonts w:hint="default" w:ascii="Times New Roman" w:hAnsi="Times New Roman" w:eastAsia="楷体" w:cs="Times New Roman"/>
          <w:b/>
          <w:kern w:val="2"/>
          <w:sz w:val="32"/>
          <w:szCs w:val="24"/>
          <w:lang w:val="en-US" w:eastAsia="zh-CN" w:bidi="ar-SA"/>
        </w:rPr>
        <w:t>第三节 加强要素保障</w:t>
      </w:r>
      <w:bookmarkEnd w:id="38"/>
    </w:p>
    <w:p w14:paraId="63BC7ECA">
      <w:pPr>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强化土地、资金、人才、技术、数据等要素保障，破解要素瓶颈制约，落实“项目跟着要素走”，助推经济高质量平稳健康发展。做好征地报批工作，加大僵尸企业收储力度，清理盘活低效闲置土地，满足新项目用地需求。加快园区标准化厂房建设，健全长期租赁、先租后让等创新性土地供应机制。破解企业资金瓶颈制约，灵活运用好现有产业基金，撬动更多社会资本参与项目建设。扩大担保放大倍数，发挥续贷过桥资金优势，助力企业转贷续贷，降低企业财务成本。继续推行和完善公开招考、招聘上岗等措施办法。创造更开放更灵活的人才发展环境，大力引进和培养一批经济社会发展领域亟需的高端领军人才、紧缺专门人才、创新型人才。</w:t>
      </w:r>
    </w:p>
    <w:p w14:paraId="3435ED3C">
      <w:pPr>
        <w:keepNext/>
        <w:keepLines/>
        <w:widowControl w:val="0"/>
        <w:bidi w:val="0"/>
        <w:spacing w:beforeLines="0" w:beforeAutospacing="0" w:afterLines="0" w:afterAutospacing="0" w:line="560" w:lineRule="exact"/>
        <w:ind w:firstLine="643" w:firstLineChars="200"/>
        <w:jc w:val="both"/>
        <w:outlineLvl w:val="1"/>
        <w:rPr>
          <w:rFonts w:hint="default" w:ascii="Times New Roman" w:hAnsi="Times New Roman" w:eastAsia="楷体" w:cs="Times New Roman"/>
          <w:b/>
          <w:kern w:val="2"/>
          <w:sz w:val="32"/>
          <w:szCs w:val="24"/>
          <w:lang w:val="en-US" w:eastAsia="zh-CN" w:bidi="ar-SA"/>
        </w:rPr>
      </w:pPr>
      <w:bookmarkStart w:id="39" w:name="_Toc16578"/>
      <w:r>
        <w:rPr>
          <w:rFonts w:hint="default" w:ascii="Times New Roman" w:hAnsi="Times New Roman" w:eastAsia="楷体" w:cs="Times New Roman"/>
          <w:b/>
          <w:kern w:val="2"/>
          <w:sz w:val="32"/>
          <w:szCs w:val="24"/>
          <w:lang w:val="en-US" w:eastAsia="zh-CN" w:bidi="ar-SA"/>
        </w:rPr>
        <w:t>第四节 实施监督评估</w:t>
      </w:r>
      <w:bookmarkEnd w:id="39"/>
    </w:p>
    <w:p w14:paraId="65E61C88">
      <w:pPr>
        <w:pStyle w:val="2"/>
        <w:ind w:left="0" w:leftChars="0" w:firstLine="0" w:firstLineChars="0"/>
        <w:rPr>
          <w:rFonts w:hint="default" w:eastAsia="宋体"/>
          <w:lang w:val="en-US"/>
        </w:rPr>
      </w:pPr>
      <w:r>
        <w:rPr>
          <w:rFonts w:hint="default" w:ascii="Times New Roman" w:hAnsi="Times New Roman" w:eastAsia="仿宋_GB2312" w:cs="Times New Roman"/>
          <w:sz w:val="32"/>
          <w:lang w:val="en-US" w:eastAsia="zh-CN"/>
        </w:rPr>
        <w:t>强化对规划实施情况的跟踪分析，各部门要加强对规划实施的分析、预警、协调，特别要加强对重要目标任务的跟踪监测，及时研究年度实施情况，重大问题及时向镇政府报告，积极解决好实施中发现的问题。完善“年度监测分析—中期评估—总结评估”的规划评估体系，创新评估方式，引入第三方评估。规划实施过程中，结合国家、省、市、县的最新决策精神以及镇内外形势的变化，对实际运行中严重偏离规划目标等情况，及时调整规划实施。面向社会、面向公众，综合利用网络、电视、广播、报刊等信息技术平台，加大规划宣传力度，深度解读主要目标任务和政策措施，增强公众对规划的认识和了解，提高公众的规划意识，吸收公众参与规划的实施和监督，动员各方面力量、灵活采取各种方式落实好规划任务，及时调整执行偏差。</w:t>
      </w:r>
    </w:p>
    <w:p w14:paraId="265D68AF"/>
    <w:sectPr>
      <w:head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29413">
    <w:pPr>
      <w:pStyle w:val="3"/>
      <w:rPr>
        <w:rFonts w:ascii="Times New Roman" w:hAnsi="Times New Roman" w:eastAsia="宋体" w:cs="Times New Roman"/>
      </w:rPr>
    </w:pPr>
    <w:r>
      <w:rPr>
        <w:rFonts w:ascii="Times New Roman" w:hAnsi="Times New Roman"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F58146">
                          <w:pPr>
                            <w:pStyle w:val="3"/>
                            <w:rPr>
                              <w:rFonts w:ascii="Times New Roman" w:hAnsi="Times New Roman" w:eastAsia="宋体" w:cs="Times New Roma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BF58146">
                    <w:pPr>
                      <w:pStyle w:val="3"/>
                      <w:rPr>
                        <w:rFonts w:ascii="Times New Roman" w:hAnsi="Times New Roman" w:eastAsia="宋体" w:cs="Times New Roma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524C6">
    <w:pPr>
      <w:pStyle w:val="4"/>
      <w:pBdr>
        <w:bottom w:val="none" w:color="auto" w:sz="0" w:space="0"/>
      </w:pBd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C6274"/>
    <w:rsid w:val="135647A7"/>
    <w:rsid w:val="52A95523"/>
    <w:rsid w:val="563034C0"/>
    <w:rsid w:val="5F176B0F"/>
    <w:rsid w:val="6AD81ADA"/>
    <w:rsid w:val="6C99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next w:val="1"/>
    <w:qFormat/>
    <w:uiPriority w:val="0"/>
    <w:pPr>
      <w:widowControl w:val="0"/>
      <w:spacing w:before="100" w:beforeAutospacing="1" w:after="120" w:line="480" w:lineRule="auto"/>
      <w:ind w:left="420" w:leftChars="200"/>
      <w:jc w:val="both"/>
    </w:pPr>
    <w:rPr>
      <w:rFonts w:ascii="Calibri" w:hAnsi="Calibri" w:eastAsia="宋体" w:cs="宋体"/>
      <w:kern w:val="2"/>
      <w:sz w:val="21"/>
      <w:szCs w:val="21"/>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10949</Words>
  <Characters>11197</Characters>
  <Lines>0</Lines>
  <Paragraphs>0</Paragraphs>
  <TotalTime>0</TotalTime>
  <ScaleCrop>false</ScaleCrop>
  <LinksUpToDate>false</LinksUpToDate>
  <CharactersWithSpaces>11404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来自世界的恶意</cp:lastModifiedBy>
  <dcterms:modified xsi:type="dcterms:W3CDTF">2025-08-19T03:18:44Z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C7A5529E1BE445A285E8E496BE21FA30_12</vt:lpwstr>
  </property>
  <property fmtid="{D5CDD505-2E9C-101B-9397-08002B2CF9AE}" pid="4" name="KSOTemplateDocerSaveRecord">
    <vt:lpwstr>eyJoZGlkIjoiODVkZjU5YmM5ZmVmNGNiZTM3MzFiMjdjODVjNDY5YWQiLCJ1c2VySWQiOiIxMTU1NDQ1OTIyIn0=</vt:lpwstr>
  </property>
</Properties>
</file>