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45360">
      <w:pPr>
        <w:rPr>
          <w:rFonts w:hint="eastAsia" w:ascii="黑体" w:hAnsi="黑体" w:eastAsia="黑体" w:cs="仿宋_GB2312"/>
          <w:szCs w:val="32"/>
          <w:lang w:val="en-US" w:eastAsia="zh"/>
        </w:rPr>
      </w:pPr>
      <w:r>
        <w:rPr>
          <w:rFonts w:hint="eastAsia" w:ascii="黑体" w:hAnsi="黑体" w:eastAsia="黑体" w:cs="仿宋_GB2312"/>
          <w:szCs w:val="32"/>
        </w:rPr>
        <w:t>附件</w:t>
      </w:r>
      <w:r>
        <w:rPr>
          <w:rFonts w:hint="eastAsia" w:ascii="黑体" w:hAnsi="黑体" w:eastAsia="黑体" w:cs="仿宋_GB2312"/>
          <w:szCs w:val="32"/>
          <w:lang w:val="en-US" w:eastAsia="zh"/>
        </w:rPr>
        <w:t>5</w:t>
      </w:r>
    </w:p>
    <w:p w14:paraId="293A27F2">
      <w:pPr>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县发改委项目谋划及争取项目经费</w:t>
      </w:r>
    </w:p>
    <w:p w14:paraId="6D466C0F">
      <w:pPr>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项目绩效评价报告</w:t>
      </w:r>
    </w:p>
    <w:p w14:paraId="1BE9FF18">
      <w:pPr>
        <w:spacing w:line="540" w:lineRule="exact"/>
        <w:ind w:firstLine="600"/>
        <w:rPr>
          <w:rFonts w:hint="eastAsia" w:ascii="黑体" w:hAnsi="黑体" w:eastAsia="黑体" w:cs="黑体"/>
          <w:szCs w:val="32"/>
        </w:rPr>
      </w:pPr>
    </w:p>
    <w:p w14:paraId="678B2F16">
      <w:pPr>
        <w:spacing w:line="540" w:lineRule="exact"/>
        <w:ind w:firstLine="600"/>
        <w:rPr>
          <w:rFonts w:ascii="黑体" w:hAnsi="黑体" w:eastAsia="黑体" w:cs="黑体"/>
          <w:szCs w:val="32"/>
        </w:rPr>
      </w:pPr>
      <w:r>
        <w:rPr>
          <w:rFonts w:hint="eastAsia" w:ascii="黑体" w:hAnsi="黑体" w:eastAsia="黑体" w:cs="黑体"/>
          <w:szCs w:val="32"/>
        </w:rPr>
        <w:t>一、项目基本情况</w:t>
      </w:r>
    </w:p>
    <w:p w14:paraId="40611054">
      <w:pPr>
        <w:spacing w:line="540" w:lineRule="exact"/>
        <w:ind w:firstLine="600"/>
        <w:outlineLvl w:val="0"/>
        <w:rPr>
          <w:rFonts w:hint="eastAsia" w:ascii="仿宋_GB2312" w:hAnsi="仿宋_GB2312" w:cs="仿宋_GB2312"/>
          <w:szCs w:val="32"/>
        </w:rPr>
      </w:pPr>
      <w:r>
        <w:rPr>
          <w:rFonts w:hint="eastAsia" w:ascii="仿宋_GB2312" w:hAnsi="仿宋_GB2312" w:cs="仿宋_GB2312"/>
          <w:szCs w:val="32"/>
        </w:rPr>
        <w:t>（一）项目概况。</w:t>
      </w:r>
    </w:p>
    <w:p w14:paraId="383108BD">
      <w:pPr>
        <w:spacing w:line="540" w:lineRule="exact"/>
        <w:ind w:firstLine="600"/>
        <w:outlineLvl w:val="0"/>
        <w:rPr>
          <w:rFonts w:hint="eastAsia" w:ascii="仿宋_GB2312" w:cs="仿宋_GB2312"/>
          <w:sz w:val="32"/>
          <w:szCs w:val="32"/>
          <w:lang w:eastAsia="zh-CN"/>
        </w:rPr>
      </w:pPr>
      <w:r>
        <w:rPr>
          <w:rFonts w:hint="eastAsia" w:ascii="仿宋_GB2312" w:hAnsi="仿宋_GB2312" w:cs="仿宋_GB2312"/>
          <w:szCs w:val="32"/>
          <w:lang w:val="en-US" w:eastAsia="zh-CN"/>
        </w:rPr>
        <w:t>1.</w:t>
      </w:r>
      <w:r>
        <w:rPr>
          <w:rFonts w:hint="eastAsia" w:ascii="仿宋_GB2312" w:hAnsi="仿宋_GB2312" w:cs="仿宋_GB2312"/>
          <w:szCs w:val="32"/>
        </w:rPr>
        <w:t>项目背景</w:t>
      </w:r>
      <w:r>
        <w:rPr>
          <w:rFonts w:hint="eastAsia" w:ascii="仿宋_GB2312" w:hAnsi="仿宋_GB2312" w:cs="仿宋_GB2312"/>
          <w:szCs w:val="32"/>
          <w:lang w:eastAsia="zh-CN"/>
        </w:rPr>
        <w:t>：</w:t>
      </w:r>
      <w:r>
        <w:rPr>
          <w:rFonts w:hint="eastAsia" w:ascii="仿宋_GB2312" w:eastAsia="仿宋_GB2312" w:cs="仿宋_GB2312"/>
          <w:sz w:val="32"/>
          <w:szCs w:val="32"/>
          <w:lang w:eastAsia="zh-CN"/>
        </w:rPr>
        <w:t>为了加快推进项目前期工作，提高谋划项目科学性、成熟度，聚力打造“三地一区”两中心的目标</w:t>
      </w:r>
      <w:r>
        <w:rPr>
          <w:rFonts w:hint="eastAsia" w:ascii="仿宋_GB2312" w:cs="仿宋_GB2312"/>
          <w:sz w:val="32"/>
          <w:szCs w:val="32"/>
          <w:lang w:eastAsia="zh-CN"/>
        </w:rPr>
        <w:t>。</w:t>
      </w:r>
    </w:p>
    <w:p w14:paraId="597B30A9">
      <w:pPr>
        <w:spacing w:line="540" w:lineRule="exact"/>
        <w:ind w:firstLine="600"/>
        <w:outlineLvl w:val="0"/>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2.</w:t>
      </w:r>
      <w:r>
        <w:rPr>
          <w:rFonts w:hint="eastAsia" w:ascii="仿宋_GB2312" w:hAnsi="仿宋_GB2312" w:cs="仿宋_GB2312"/>
          <w:szCs w:val="32"/>
        </w:rPr>
        <w:t>主要内容</w:t>
      </w:r>
      <w:r>
        <w:rPr>
          <w:rFonts w:hint="eastAsia" w:ascii="仿宋_GB2312" w:hAnsi="仿宋_GB2312" w:cs="仿宋_GB2312"/>
          <w:szCs w:val="32"/>
          <w:lang w:eastAsia="zh-CN"/>
        </w:rPr>
        <w:t>：</w:t>
      </w:r>
      <w:r>
        <w:rPr>
          <w:rFonts w:hint="eastAsia" w:ascii="仿宋_GB2312" w:hAnsi="仿宋_GB2312" w:cs="仿宋_GB2312"/>
          <w:szCs w:val="32"/>
          <w:lang w:val="en-US" w:eastAsia="zh-CN"/>
        </w:rPr>
        <w:t>项目谋划入库</w:t>
      </w:r>
      <w:r>
        <w:rPr>
          <w:rFonts w:hint="eastAsia" w:ascii="仿宋_GB2312" w:hAnsi="仿宋_GB2312" w:cs="仿宋_GB2312"/>
          <w:szCs w:val="32"/>
          <w:highlight w:val="none"/>
          <w:lang w:val="en-US" w:eastAsia="zh-CN"/>
        </w:rPr>
        <w:t>数</w:t>
      </w:r>
      <w:r>
        <w:rPr>
          <w:rFonts w:hint="eastAsia" w:ascii="仿宋_GB2312" w:hAnsi="仿宋_GB2312" w:eastAsia="仿宋_GB2312" w:cs="仿宋_GB2312"/>
          <w:szCs w:val="32"/>
          <w:highlight w:val="none"/>
          <w:lang w:val="en-US" w:eastAsia="zh-CN"/>
        </w:rPr>
        <w:t>不低于</w:t>
      </w:r>
      <w:r>
        <w:rPr>
          <w:rFonts w:hint="eastAsia" w:ascii="仿宋_GB2312" w:hAnsi="仿宋_GB2312" w:cs="仿宋_GB2312"/>
          <w:szCs w:val="32"/>
          <w:highlight w:val="none"/>
          <w:lang w:val="en-US" w:eastAsia="zh-CN"/>
        </w:rPr>
        <w:t>400个</w:t>
      </w:r>
      <w:r>
        <w:rPr>
          <w:rFonts w:hint="eastAsia" w:ascii="仿宋_GB2312" w:hAnsi="仿宋_GB2312" w:eastAsia="仿宋_GB2312" w:cs="仿宋_GB2312"/>
          <w:szCs w:val="32"/>
          <w:highlight w:val="none"/>
          <w:lang w:val="en-US" w:eastAsia="zh-CN"/>
        </w:rPr>
        <w:t>，近期可开展实质性前期工作的项目不低于谋划项目任务的30％</w:t>
      </w:r>
      <w:r>
        <w:rPr>
          <w:rFonts w:hint="eastAsia" w:ascii="仿宋_GB2312" w:hAnsi="仿宋_GB2312" w:eastAsia="仿宋_GB2312" w:cs="仿宋_GB2312"/>
          <w:szCs w:val="32"/>
          <w:lang w:val="en-US" w:eastAsia="zh-CN"/>
        </w:rPr>
        <w:t>，将项目谋划工作作为年度项目重点工作和项目建设考核依据，纳入年度目标考核。对没有完成年度谋划推进任务的单位进行通报批评，项目谋划工作开展较好的单位对其前期工作费用采取以奖代补的形式给予支持。</w:t>
      </w:r>
    </w:p>
    <w:p w14:paraId="1EF3B0DF">
      <w:pPr>
        <w:spacing w:line="540" w:lineRule="exact"/>
        <w:ind w:firstLine="600"/>
        <w:outlineLvl w:val="0"/>
        <w:rPr>
          <w:rFonts w:hint="eastAsia" w:ascii="仿宋_GB2312" w:hAnsi="仿宋_GB2312" w:cs="仿宋_GB2312"/>
          <w:szCs w:val="32"/>
          <w:lang w:val="en-US" w:eastAsia="zh-CN"/>
        </w:rPr>
      </w:pPr>
      <w:r>
        <w:rPr>
          <w:rFonts w:hint="eastAsia" w:ascii="仿宋_GB2312" w:hAnsi="仿宋_GB2312" w:cs="仿宋_GB2312"/>
          <w:szCs w:val="32"/>
          <w:lang w:val="en-US" w:eastAsia="zh-CN"/>
        </w:rPr>
        <w:t>3.</w:t>
      </w:r>
      <w:r>
        <w:rPr>
          <w:rFonts w:hint="eastAsia" w:ascii="仿宋_GB2312" w:hAnsi="仿宋_GB2312" w:cs="仿宋_GB2312"/>
          <w:szCs w:val="32"/>
        </w:rPr>
        <w:t>实施情况</w:t>
      </w:r>
      <w:r>
        <w:rPr>
          <w:rFonts w:hint="eastAsia" w:ascii="仿宋_GB2312" w:hAnsi="仿宋_GB2312" w:cs="仿宋_GB2312"/>
          <w:szCs w:val="32"/>
          <w:lang w:eastAsia="zh-CN"/>
        </w:rPr>
        <w:t>：</w:t>
      </w:r>
      <w:r>
        <w:rPr>
          <w:rFonts w:hint="eastAsia" w:ascii="仿宋_GB2312" w:hAnsi="仿宋_GB2312" w:cs="仿宋_GB2312"/>
          <w:szCs w:val="32"/>
          <w:lang w:val="en-US" w:eastAsia="zh-CN"/>
        </w:rPr>
        <w:t>完成年初预期目标</w:t>
      </w:r>
    </w:p>
    <w:p w14:paraId="74637EED">
      <w:pPr>
        <w:spacing w:line="540" w:lineRule="exact"/>
        <w:ind w:firstLine="600"/>
        <w:outlineLvl w:val="0"/>
        <w:rPr>
          <w:rFonts w:hint="eastAsia" w:ascii="仿宋_GB2312" w:hAnsi="仿宋_GB2312" w:cs="仿宋_GB2312"/>
          <w:szCs w:val="32"/>
          <w:highlight w:val="none"/>
          <w:lang w:val="en-US" w:eastAsia="zh-CN"/>
        </w:rPr>
      </w:pPr>
      <w:r>
        <w:rPr>
          <w:rFonts w:hint="eastAsia" w:ascii="仿宋_GB2312" w:hAnsi="仿宋_GB2312" w:cs="仿宋_GB2312"/>
          <w:szCs w:val="32"/>
          <w:lang w:val="en-US" w:eastAsia="zh-CN"/>
        </w:rPr>
        <w:t>4.</w:t>
      </w:r>
      <w:r>
        <w:rPr>
          <w:rFonts w:hint="eastAsia" w:ascii="仿宋_GB2312" w:hAnsi="仿宋_GB2312" w:cs="仿宋_GB2312"/>
          <w:szCs w:val="32"/>
        </w:rPr>
        <w:t>资金投入</w:t>
      </w:r>
      <w:r>
        <w:rPr>
          <w:rFonts w:hint="eastAsia" w:ascii="仿宋_GB2312" w:hAnsi="仿宋_GB2312" w:cs="仿宋_GB2312"/>
          <w:szCs w:val="32"/>
          <w:lang w:val="en-US" w:eastAsia="zh-CN"/>
        </w:rPr>
        <w:t>和</w:t>
      </w:r>
      <w:r>
        <w:rPr>
          <w:rFonts w:hint="eastAsia" w:ascii="仿宋_GB2312" w:hAnsi="仿宋_GB2312" w:cs="仿宋_GB2312"/>
          <w:szCs w:val="32"/>
        </w:rPr>
        <w:t>使用情况</w:t>
      </w:r>
      <w:r>
        <w:rPr>
          <w:rFonts w:hint="eastAsia" w:ascii="仿宋_GB2312" w:hAnsi="仿宋_GB2312" w:cs="仿宋_GB2312"/>
          <w:szCs w:val="32"/>
          <w:lang w:eastAsia="zh-CN"/>
        </w:rPr>
        <w:t>：</w:t>
      </w:r>
      <w:r>
        <w:rPr>
          <w:rFonts w:hint="eastAsia" w:ascii="仿宋_GB2312" w:hAnsi="仿宋_GB2312" w:cs="仿宋_GB2312"/>
          <w:szCs w:val="32"/>
          <w:lang w:val="en-US" w:eastAsia="zh-CN"/>
        </w:rPr>
        <w:t>2024年项目预算</w:t>
      </w:r>
      <w:r>
        <w:rPr>
          <w:rFonts w:hint="eastAsia" w:ascii="仿宋_GB2312" w:hAnsi="仿宋_GB2312" w:cs="仿宋_GB2312"/>
          <w:szCs w:val="32"/>
          <w:highlight w:val="none"/>
          <w:lang w:val="en-US" w:eastAsia="zh-CN"/>
        </w:rPr>
        <w:t>为250万元，</w:t>
      </w:r>
      <w:r>
        <w:rPr>
          <w:rFonts w:hint="eastAsia" w:ascii="仿宋_GB2312" w:hAnsi="仿宋_GB2312" w:cs="仿宋_GB2312"/>
          <w:szCs w:val="32"/>
          <w:lang w:val="en-US" w:eastAsia="zh-CN"/>
        </w:rPr>
        <w:t>实际支</w:t>
      </w:r>
      <w:r>
        <w:rPr>
          <w:rFonts w:hint="eastAsia" w:ascii="仿宋_GB2312" w:hAnsi="仿宋_GB2312" w:cs="仿宋_GB2312"/>
          <w:szCs w:val="32"/>
          <w:highlight w:val="none"/>
          <w:lang w:val="en-US" w:eastAsia="zh-CN"/>
        </w:rPr>
        <w:t>付69.77万元</w:t>
      </w:r>
      <w:r>
        <w:rPr>
          <w:rFonts w:hint="eastAsia" w:ascii="仿宋_GB2312" w:hAnsi="仿宋_GB2312" w:cs="仿宋_GB2312"/>
          <w:szCs w:val="32"/>
          <w:lang w:val="en-US" w:eastAsia="zh-CN"/>
        </w:rPr>
        <w:t>，完成</w:t>
      </w:r>
      <w:r>
        <w:rPr>
          <w:rFonts w:hint="eastAsia" w:ascii="仿宋_GB2312" w:hAnsi="仿宋_GB2312" w:cs="仿宋_GB2312"/>
          <w:szCs w:val="32"/>
          <w:highlight w:val="none"/>
          <w:lang w:val="en-US" w:eastAsia="zh-CN"/>
        </w:rPr>
        <w:t>预算的27.91%。</w:t>
      </w:r>
    </w:p>
    <w:p w14:paraId="1BACB6CB">
      <w:pPr>
        <w:spacing w:line="540" w:lineRule="exact"/>
        <w:ind w:firstLine="600"/>
        <w:rPr>
          <w:rFonts w:ascii="仿宋_GB2312" w:hAnsi="仿宋_GB2312" w:cs="仿宋_GB2312"/>
          <w:szCs w:val="32"/>
        </w:rPr>
      </w:pPr>
      <w:r>
        <w:rPr>
          <w:rFonts w:hint="eastAsia" w:ascii="仿宋_GB2312" w:hAnsi="仿宋_GB2312" w:cs="仿宋_GB2312"/>
          <w:szCs w:val="32"/>
        </w:rPr>
        <w:t>（二）项目绩效目标。</w:t>
      </w:r>
      <w:r>
        <w:rPr>
          <w:rFonts w:hint="eastAsia" w:ascii="仿宋_GB2312" w:hAnsi="仿宋_GB2312" w:cs="仿宋_GB2312"/>
          <w:szCs w:val="32"/>
          <w:lang w:val="en-US" w:eastAsia="zh-CN"/>
        </w:rPr>
        <w:t>在利益导向项目的实施过程中，严格执行相关文件的规定，予以科学、规范、有序实行。所有拨付资金在使用上严格按财务管理制度和有关专项资金管理办法的规定不截留，不挪用，不挤占，按政策和工作要求及时将资金拨付到位</w:t>
      </w:r>
      <w:r>
        <w:rPr>
          <w:rFonts w:hint="eastAsia" w:ascii="仿宋_GB2312" w:hAnsi="仿宋_GB2312" w:cs="仿宋_GB2312"/>
          <w:szCs w:val="32"/>
        </w:rPr>
        <w:t>。</w:t>
      </w:r>
    </w:p>
    <w:p w14:paraId="507BA61B">
      <w:pPr>
        <w:spacing w:line="540" w:lineRule="exact"/>
        <w:ind w:firstLine="600"/>
        <w:rPr>
          <w:rFonts w:ascii="黑体" w:hAnsi="黑体" w:eastAsia="黑体" w:cs="黑体"/>
          <w:szCs w:val="32"/>
        </w:rPr>
      </w:pPr>
      <w:r>
        <w:rPr>
          <w:rFonts w:hint="eastAsia" w:ascii="黑体" w:hAnsi="黑体" w:eastAsia="黑体" w:cs="黑体"/>
          <w:szCs w:val="32"/>
        </w:rPr>
        <w:t>二、绩效评价工作开展情况</w:t>
      </w:r>
    </w:p>
    <w:p w14:paraId="6A7CC092">
      <w:pPr>
        <w:spacing w:line="540" w:lineRule="exact"/>
        <w:ind w:firstLine="600"/>
        <w:rPr>
          <w:rFonts w:hint="eastAsia" w:ascii="仿宋_GB2312" w:hAnsi="仿宋_GB2312" w:cs="仿宋_GB2312"/>
          <w:szCs w:val="32"/>
        </w:rPr>
      </w:pPr>
      <w:r>
        <w:rPr>
          <w:rFonts w:hint="eastAsia" w:ascii="仿宋_GB2312" w:hAnsi="仿宋_GB2312" w:cs="仿宋_GB2312"/>
          <w:szCs w:val="32"/>
        </w:rPr>
        <w:t>（一）绩效评价目的、对象和范围</w:t>
      </w:r>
    </w:p>
    <w:p w14:paraId="52F7A276">
      <w:pPr>
        <w:spacing w:line="540" w:lineRule="exact"/>
        <w:ind w:firstLine="600"/>
        <w:rPr>
          <w:rFonts w:hint="eastAsia" w:ascii="仿宋_GB2312" w:hAnsi="仿宋_GB2312" w:cs="仿宋_GB2312"/>
          <w:szCs w:val="32"/>
        </w:rPr>
      </w:pPr>
      <w:r>
        <w:rPr>
          <w:rFonts w:hint="eastAsia" w:ascii="仿宋_GB2312" w:hAnsi="仿宋_GB2312" w:cs="仿宋_GB2312"/>
          <w:szCs w:val="32"/>
        </w:rPr>
        <w:t>评价目的是作为年度项目重点工作和项目建设考核依据，纳入年度目标考核。本次绩效评价对象</w:t>
      </w:r>
      <w:r>
        <w:rPr>
          <w:rFonts w:hint="eastAsia" w:ascii="仿宋_GB2312" w:hAnsi="仿宋_GB2312" w:cs="仿宋_GB2312"/>
          <w:szCs w:val="32"/>
          <w:lang w:val="en-US" w:eastAsia="zh-CN"/>
        </w:rPr>
        <w:t>为</w:t>
      </w:r>
      <w:r>
        <w:rPr>
          <w:rFonts w:hint="eastAsia" w:ascii="仿宋_GB2312" w:hAnsi="仿宋_GB2312" w:cs="仿宋_GB2312"/>
          <w:szCs w:val="32"/>
        </w:rPr>
        <w:t>202</w:t>
      </w:r>
      <w:r>
        <w:rPr>
          <w:rFonts w:hint="eastAsia" w:ascii="仿宋_GB2312" w:hAnsi="仿宋_GB2312" w:cs="仿宋_GB2312"/>
          <w:szCs w:val="32"/>
          <w:lang w:val="en-US" w:eastAsia="zh-CN"/>
        </w:rPr>
        <w:t>4</w:t>
      </w:r>
      <w:r>
        <w:rPr>
          <w:rFonts w:hint="eastAsia" w:ascii="仿宋_GB2312" w:hAnsi="仿宋_GB2312" w:cs="仿宋_GB2312"/>
          <w:szCs w:val="32"/>
        </w:rPr>
        <w:t>年项目谋划和争取项目，评价范围是对没有完成年度谋划推进任务的单位进行通报批评，项目谋划工作开展较好的单位对其前期工作费用采取以奖代补的形式给予支持。</w:t>
      </w:r>
    </w:p>
    <w:p w14:paraId="7DFE23A8">
      <w:pPr>
        <w:spacing w:line="540" w:lineRule="exact"/>
        <w:ind w:firstLine="600"/>
        <w:rPr>
          <w:rFonts w:hint="eastAsia" w:ascii="仿宋_GB2312" w:hAnsi="仿宋_GB2312" w:cs="仿宋_GB2312"/>
          <w:szCs w:val="32"/>
        </w:rPr>
      </w:pPr>
      <w:r>
        <w:rPr>
          <w:rFonts w:hint="eastAsia" w:ascii="仿宋_GB2312" w:hAnsi="仿宋_GB2312" w:cs="仿宋_GB2312"/>
          <w:szCs w:val="32"/>
        </w:rPr>
        <w:t>（二）绩效评价原则、评价指标体系（附表说明）、评价方法、评价标准等</w:t>
      </w:r>
    </w:p>
    <w:p w14:paraId="2085DCE7">
      <w:pPr>
        <w:spacing w:line="540" w:lineRule="exact"/>
        <w:ind w:firstLine="600"/>
        <w:rPr>
          <w:rFonts w:hint="eastAsia" w:ascii="仿宋_GB2312" w:hAnsi="仿宋_GB2312" w:cs="仿宋_GB2312"/>
          <w:szCs w:val="32"/>
        </w:rPr>
      </w:pPr>
      <w:r>
        <w:rPr>
          <w:rFonts w:hint="eastAsia" w:ascii="仿宋_GB2312" w:hAnsi="仿宋_GB2312" w:cs="仿宋_GB2312"/>
          <w:szCs w:val="32"/>
        </w:rPr>
        <w:t>此次评价原则是，一是坚持真实、科学、公正的原则；二是坚持综合绩效评价的原则;三是坚持定量分析与定性分析的原则;四是坚持绩效评价与项目支出管理相结合的原则; 五是坚持绩效评价贯穿于事前、事中、事后的原则。</w:t>
      </w:r>
    </w:p>
    <w:p w14:paraId="237F87A8">
      <w:pPr>
        <w:spacing w:line="540" w:lineRule="exact"/>
        <w:ind w:firstLine="600"/>
        <w:rPr>
          <w:rFonts w:ascii="仿宋_GB2312" w:hAnsi="仿宋_GB2312" w:cs="仿宋_GB2312"/>
          <w:szCs w:val="32"/>
          <w:highlight w:val="none"/>
        </w:rPr>
      </w:pPr>
      <w:r>
        <w:rPr>
          <w:rFonts w:hint="eastAsia" w:ascii="仿宋_GB2312" w:hAnsi="仿宋_GB2312" w:cs="仿宋_GB2312"/>
          <w:szCs w:val="32"/>
          <w:highlight w:val="none"/>
        </w:rPr>
        <w:t>评价指标体系包括项目决策、项目过程、项目产出和项目效益3个一级指标，7个二级指标和</w:t>
      </w:r>
      <w:r>
        <w:rPr>
          <w:rFonts w:hint="eastAsia" w:ascii="仿宋_GB2312" w:hAnsi="仿宋_GB2312" w:cs="仿宋_GB2312"/>
          <w:szCs w:val="32"/>
          <w:highlight w:val="none"/>
          <w:lang w:val="en-US" w:eastAsia="zh-CN"/>
        </w:rPr>
        <w:t>7</w:t>
      </w:r>
      <w:r>
        <w:rPr>
          <w:rFonts w:hint="eastAsia" w:ascii="仿宋_GB2312" w:hAnsi="仿宋_GB2312" w:cs="仿宋_GB2312"/>
          <w:szCs w:val="32"/>
          <w:highlight w:val="none"/>
        </w:rPr>
        <w:t>个三级指标，满分为100分。一是产出（50 分），主要评价产出数量、产出质量、产出时效和产出成本完成情况。二是绩效指标（30 分），三是服务对象指标（10分）主要评价项目实施效益和满意度完成情况。评价方法及标准，本次评价本着问题导向、系统评价、科学客观、讲求绩效的原则，运用调查法、专家咨询法等方法，采用全面评价和重点评价相结合、现场评价和非现场评价相结合的方式，对项目决策、项目过程、项目产出和项目效益四个方面进行综合评价，形成总体评价结论。</w:t>
      </w:r>
    </w:p>
    <w:p w14:paraId="118B229A">
      <w:pPr>
        <w:spacing w:line="540" w:lineRule="exact"/>
        <w:ind w:firstLine="600"/>
        <w:rPr>
          <w:rFonts w:hint="eastAsia" w:ascii="仿宋_GB2312" w:hAnsi="仿宋_GB2312" w:cs="仿宋_GB2312"/>
          <w:szCs w:val="32"/>
        </w:rPr>
      </w:pPr>
      <w:r>
        <w:rPr>
          <w:rFonts w:hint="eastAsia" w:ascii="仿宋_GB2312" w:hAnsi="仿宋_GB2312" w:cs="仿宋_GB2312"/>
          <w:szCs w:val="32"/>
        </w:rPr>
        <w:t>（三）绩效评价工作过程</w:t>
      </w:r>
    </w:p>
    <w:p w14:paraId="69B32E07">
      <w:pPr>
        <w:spacing w:line="540" w:lineRule="exact"/>
        <w:ind w:firstLine="600"/>
        <w:rPr>
          <w:rFonts w:ascii="仿宋_GB2312" w:hAnsi="仿宋_GB2312" w:cs="仿宋_GB2312"/>
          <w:szCs w:val="32"/>
        </w:rPr>
      </w:pPr>
      <w:r>
        <w:rPr>
          <w:rFonts w:hint="eastAsia" w:ascii="仿宋_GB2312" w:hAnsi="仿宋_GB2312" w:cs="仿宋_GB2312"/>
          <w:szCs w:val="32"/>
        </w:rPr>
        <w:t>项目业务管理制度和财务管理制度健全，课题经费实行我委统一集中申报和各处按职能工作分别使用相结合的管理方式，建立了课题经费记账制度。</w:t>
      </w:r>
    </w:p>
    <w:p w14:paraId="0BFF3D8B">
      <w:pPr>
        <w:numPr>
          <w:ilvl w:val="0"/>
          <w:numId w:val="0"/>
        </w:numPr>
        <w:spacing w:line="540" w:lineRule="exact"/>
        <w:ind w:firstLine="600" w:firstLineChars="0"/>
        <w:rPr>
          <w:rFonts w:hint="eastAsia" w:ascii="仿宋_GB2312" w:hAnsi="仿宋_GB2312" w:cs="仿宋_GB2312"/>
          <w:szCs w:val="32"/>
        </w:rPr>
      </w:pPr>
      <w:r>
        <w:rPr>
          <w:rFonts w:hint="eastAsia" w:ascii="仿宋_GB2312" w:hAnsi="仿宋_GB2312" w:eastAsia="仿宋_GB2312" w:cs="仿宋_GB2312"/>
          <w:kern w:val="2"/>
          <w:sz w:val="32"/>
          <w:szCs w:val="32"/>
          <w:lang w:val="en-US" w:eastAsia="zh-CN" w:bidi="ar-SA"/>
        </w:rPr>
        <w:t>三、</w:t>
      </w:r>
      <w:r>
        <w:rPr>
          <w:rFonts w:hint="eastAsia" w:ascii="黑体" w:hAnsi="黑体" w:eastAsia="黑体" w:cs="黑体"/>
          <w:szCs w:val="32"/>
        </w:rPr>
        <w:t>综合评价情况及评价结论</w:t>
      </w:r>
      <w:r>
        <w:rPr>
          <w:rFonts w:hint="eastAsia" w:ascii="仿宋_GB2312" w:hAnsi="仿宋_GB2312" w:cs="仿宋_GB2312"/>
          <w:szCs w:val="32"/>
        </w:rPr>
        <w:t>（附相关评分表）</w:t>
      </w:r>
    </w:p>
    <w:p w14:paraId="44659D60">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2024</w:t>
      </w:r>
      <w:r>
        <w:rPr>
          <w:rFonts w:hint="eastAsia" w:ascii="仿宋_GB2312" w:hAnsi="仿宋_GB2312" w:eastAsia="仿宋_GB2312" w:cs="仿宋_GB2312"/>
          <w:color w:val="000000"/>
          <w:sz w:val="32"/>
          <w:szCs w:val="32"/>
          <w:lang w:val="en-US" w:eastAsia="zh-CN"/>
        </w:rPr>
        <w:t>年度项目谋划及争取项目经费项目主要绩效目标完成情况如下:</w:t>
      </w:r>
    </w:p>
    <w:tbl>
      <w:tblPr>
        <w:tblStyle w:val="5"/>
        <w:tblW w:w="0" w:type="auto"/>
        <w:tblInd w:w="93" w:type="dxa"/>
        <w:tblLayout w:type="fixed"/>
        <w:tblCellMar>
          <w:top w:w="0" w:type="dxa"/>
          <w:left w:w="108" w:type="dxa"/>
          <w:bottom w:w="0" w:type="dxa"/>
          <w:right w:w="108" w:type="dxa"/>
        </w:tblCellMar>
      </w:tblPr>
      <w:tblGrid>
        <w:gridCol w:w="1035"/>
        <w:gridCol w:w="3800"/>
        <w:gridCol w:w="1417"/>
        <w:gridCol w:w="1276"/>
        <w:gridCol w:w="671"/>
      </w:tblGrid>
      <w:tr w14:paraId="03ADB1E7">
        <w:tblPrEx>
          <w:tblCellMar>
            <w:top w:w="0" w:type="dxa"/>
            <w:left w:w="108" w:type="dxa"/>
            <w:bottom w:w="0" w:type="dxa"/>
            <w:right w:w="108" w:type="dxa"/>
          </w:tblCellMar>
        </w:tblPrEx>
        <w:trPr>
          <w:trHeight w:val="522"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2977B2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指标名称</w:t>
            </w:r>
          </w:p>
        </w:tc>
        <w:tc>
          <w:tcPr>
            <w:tcW w:w="3800" w:type="dxa"/>
            <w:tcBorders>
              <w:top w:val="single" w:color="000000" w:sz="4" w:space="0"/>
              <w:left w:val="single" w:color="000000" w:sz="4" w:space="0"/>
              <w:bottom w:val="single" w:color="000000" w:sz="4" w:space="0"/>
              <w:right w:val="single" w:color="000000" w:sz="4" w:space="0"/>
            </w:tcBorders>
            <w:noWrap w:val="0"/>
            <w:vAlign w:val="center"/>
          </w:tcPr>
          <w:p w14:paraId="56D8FC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三级指标</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78877D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年度指标值</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2BC2B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实际完成值</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416BB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是否完成</w:t>
            </w:r>
          </w:p>
        </w:tc>
      </w:tr>
      <w:tr w14:paraId="53333267">
        <w:tblPrEx>
          <w:tblCellMar>
            <w:top w:w="0" w:type="dxa"/>
            <w:left w:w="108" w:type="dxa"/>
            <w:bottom w:w="0" w:type="dxa"/>
            <w:right w:w="108" w:type="dxa"/>
          </w:tblCellMar>
        </w:tblPrEx>
        <w:trPr>
          <w:trHeight w:val="779"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199D4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数量指标</w:t>
            </w:r>
          </w:p>
        </w:tc>
        <w:tc>
          <w:tcPr>
            <w:tcW w:w="3800" w:type="dxa"/>
            <w:tcBorders>
              <w:top w:val="single" w:color="000000" w:sz="4" w:space="0"/>
              <w:left w:val="single" w:color="000000" w:sz="4" w:space="0"/>
              <w:bottom w:val="single" w:color="000000" w:sz="4" w:space="0"/>
              <w:right w:val="single" w:color="000000" w:sz="4" w:space="0"/>
            </w:tcBorders>
            <w:noWrap w:val="0"/>
            <w:vAlign w:val="center"/>
          </w:tcPr>
          <w:p w14:paraId="708EFF6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项目谋划入库数</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7C196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≥400个</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5F1F67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415个</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3F4602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是</w:t>
            </w:r>
          </w:p>
        </w:tc>
      </w:tr>
      <w:tr w14:paraId="4087A80A">
        <w:tblPrEx>
          <w:tblCellMar>
            <w:top w:w="0" w:type="dxa"/>
            <w:left w:w="108" w:type="dxa"/>
            <w:bottom w:w="0" w:type="dxa"/>
            <w:right w:w="108" w:type="dxa"/>
          </w:tblCellMar>
        </w:tblPrEx>
        <w:trPr>
          <w:trHeight w:val="56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22E89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质量指标</w:t>
            </w:r>
          </w:p>
        </w:tc>
        <w:tc>
          <w:tcPr>
            <w:tcW w:w="3800" w:type="dxa"/>
            <w:tcBorders>
              <w:top w:val="single" w:color="000000" w:sz="4" w:space="0"/>
              <w:left w:val="single" w:color="000000" w:sz="4" w:space="0"/>
              <w:bottom w:val="single" w:color="000000" w:sz="4" w:space="0"/>
              <w:right w:val="single" w:color="000000" w:sz="4" w:space="0"/>
            </w:tcBorders>
            <w:noWrap w:val="0"/>
            <w:vAlign w:val="center"/>
          </w:tcPr>
          <w:p w14:paraId="71B3165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专款专用率</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69844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99F6E6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w:t>
            </w:r>
          </w:p>
        </w:tc>
        <w:tc>
          <w:tcPr>
            <w:tcW w:w="671" w:type="dxa"/>
            <w:tcBorders>
              <w:top w:val="single" w:color="000000" w:sz="4" w:space="0"/>
              <w:left w:val="single" w:color="000000" w:sz="4" w:space="0"/>
              <w:bottom w:val="single" w:color="000000" w:sz="4" w:space="0"/>
              <w:right w:val="single" w:color="000000" w:sz="4" w:space="0"/>
            </w:tcBorders>
            <w:noWrap w:val="0"/>
            <w:vAlign w:val="top"/>
          </w:tcPr>
          <w:p w14:paraId="2A901CB9">
            <w:pPr>
              <w:keepNext w:val="0"/>
              <w:keepLines w:val="0"/>
              <w:widowControl w:val="0"/>
              <w:suppressLineNumbers w:val="0"/>
              <w:spacing w:before="0" w:beforeAutospacing="0" w:after="0" w:afterAutospacing="0"/>
              <w:ind w:left="0" w:right="0"/>
              <w:jc w:val="center"/>
              <w:rPr>
                <w:lang w:val="en-US"/>
              </w:rPr>
            </w:pPr>
            <w:r>
              <w:rPr>
                <w:rFonts w:hint="eastAsia" w:ascii="宋体" w:hAnsi="宋体" w:eastAsia="宋体" w:cs="宋体"/>
                <w:color w:val="000000"/>
                <w:kern w:val="0"/>
                <w:sz w:val="20"/>
                <w:szCs w:val="20"/>
                <w:lang w:val="en-US" w:eastAsia="zh-CN" w:bidi="ar"/>
              </w:rPr>
              <w:t>是</w:t>
            </w:r>
          </w:p>
        </w:tc>
      </w:tr>
      <w:tr w14:paraId="21CAAC5F">
        <w:tblPrEx>
          <w:tblCellMar>
            <w:top w:w="0" w:type="dxa"/>
            <w:left w:w="108" w:type="dxa"/>
            <w:bottom w:w="0" w:type="dxa"/>
            <w:right w:w="108" w:type="dxa"/>
          </w:tblCellMar>
        </w:tblPrEx>
        <w:trPr>
          <w:trHeight w:val="554"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83DB9D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时效指标</w:t>
            </w:r>
          </w:p>
        </w:tc>
        <w:tc>
          <w:tcPr>
            <w:tcW w:w="3800" w:type="dxa"/>
            <w:tcBorders>
              <w:top w:val="single" w:color="000000" w:sz="4" w:space="0"/>
              <w:left w:val="single" w:color="000000" w:sz="4" w:space="0"/>
              <w:bottom w:val="single" w:color="000000" w:sz="4" w:space="0"/>
              <w:right w:val="single" w:color="000000" w:sz="4" w:space="0"/>
            </w:tcBorders>
            <w:noWrap w:val="0"/>
            <w:vAlign w:val="center"/>
          </w:tcPr>
          <w:p w14:paraId="72AF2E9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经费支出时效性</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51E1C1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及时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7B601E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达成预期指标</w:t>
            </w:r>
          </w:p>
        </w:tc>
        <w:tc>
          <w:tcPr>
            <w:tcW w:w="671" w:type="dxa"/>
            <w:tcBorders>
              <w:top w:val="single" w:color="000000" w:sz="4" w:space="0"/>
              <w:left w:val="single" w:color="000000" w:sz="4" w:space="0"/>
              <w:bottom w:val="single" w:color="000000" w:sz="4" w:space="0"/>
              <w:right w:val="single" w:color="000000" w:sz="4" w:space="0"/>
            </w:tcBorders>
            <w:noWrap w:val="0"/>
            <w:vAlign w:val="top"/>
          </w:tcPr>
          <w:p w14:paraId="59ACC3B7">
            <w:pPr>
              <w:keepNext w:val="0"/>
              <w:keepLines w:val="0"/>
              <w:widowControl w:val="0"/>
              <w:suppressLineNumbers w:val="0"/>
              <w:spacing w:before="0" w:beforeAutospacing="0" w:after="0" w:afterAutospacing="0"/>
              <w:ind w:left="0" w:right="0"/>
              <w:jc w:val="center"/>
              <w:rPr>
                <w:lang w:val="en-US"/>
              </w:rPr>
            </w:pPr>
            <w:r>
              <w:rPr>
                <w:rFonts w:hint="eastAsia" w:ascii="宋体" w:hAnsi="宋体" w:eastAsia="宋体" w:cs="宋体"/>
                <w:color w:val="000000"/>
                <w:kern w:val="0"/>
                <w:sz w:val="20"/>
                <w:szCs w:val="20"/>
                <w:lang w:val="en-US" w:eastAsia="zh-CN" w:bidi="ar"/>
              </w:rPr>
              <w:t>是</w:t>
            </w:r>
          </w:p>
        </w:tc>
      </w:tr>
      <w:tr w14:paraId="4B57F2D4">
        <w:tblPrEx>
          <w:tblCellMar>
            <w:top w:w="0" w:type="dxa"/>
            <w:left w:w="108" w:type="dxa"/>
            <w:bottom w:w="0" w:type="dxa"/>
            <w:right w:w="108" w:type="dxa"/>
          </w:tblCellMar>
        </w:tblPrEx>
        <w:trPr>
          <w:trHeight w:val="832"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192CC7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成本指标</w:t>
            </w:r>
          </w:p>
        </w:tc>
        <w:tc>
          <w:tcPr>
            <w:tcW w:w="3800" w:type="dxa"/>
            <w:tcBorders>
              <w:top w:val="single" w:color="000000" w:sz="4" w:space="0"/>
              <w:left w:val="single" w:color="000000" w:sz="4" w:space="0"/>
              <w:bottom w:val="single" w:color="000000" w:sz="4" w:space="0"/>
              <w:right w:val="single" w:color="000000" w:sz="4" w:space="0"/>
            </w:tcBorders>
            <w:noWrap w:val="0"/>
            <w:vAlign w:val="center"/>
          </w:tcPr>
          <w:p w14:paraId="5775C04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项目总成本</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DDF824E">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≤300万元</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F90A819">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69.77万元</w:t>
            </w:r>
          </w:p>
        </w:tc>
        <w:tc>
          <w:tcPr>
            <w:tcW w:w="671" w:type="dxa"/>
            <w:tcBorders>
              <w:top w:val="single" w:color="000000" w:sz="4" w:space="0"/>
              <w:left w:val="single" w:color="000000" w:sz="4" w:space="0"/>
              <w:bottom w:val="single" w:color="000000" w:sz="4" w:space="0"/>
              <w:right w:val="single" w:color="000000" w:sz="4" w:space="0"/>
            </w:tcBorders>
            <w:noWrap w:val="0"/>
            <w:vAlign w:val="top"/>
          </w:tcPr>
          <w:p w14:paraId="7F4008F5">
            <w:pPr>
              <w:keepNext w:val="0"/>
              <w:keepLines w:val="0"/>
              <w:widowControl w:val="0"/>
              <w:suppressLineNumbers w:val="0"/>
              <w:spacing w:before="0" w:beforeAutospacing="0" w:after="0" w:afterAutospacing="0"/>
              <w:ind w:left="0" w:right="0"/>
              <w:jc w:val="center"/>
              <w:rPr>
                <w:lang w:val="en-US"/>
              </w:rPr>
            </w:pPr>
            <w:r>
              <w:rPr>
                <w:rFonts w:hint="eastAsia" w:ascii="宋体" w:hAnsi="宋体" w:eastAsia="宋体" w:cs="宋体"/>
                <w:color w:val="000000"/>
                <w:kern w:val="0"/>
                <w:sz w:val="20"/>
                <w:szCs w:val="20"/>
                <w:lang w:val="en-US" w:eastAsia="zh-CN" w:bidi="ar"/>
              </w:rPr>
              <w:t>是</w:t>
            </w:r>
          </w:p>
        </w:tc>
      </w:tr>
      <w:tr w14:paraId="393157BA">
        <w:tblPrEx>
          <w:tblCellMar>
            <w:top w:w="0" w:type="dxa"/>
            <w:left w:w="108" w:type="dxa"/>
            <w:bottom w:w="0" w:type="dxa"/>
            <w:right w:w="108" w:type="dxa"/>
          </w:tblCellMar>
        </w:tblPrEx>
        <w:trPr>
          <w:trHeight w:val="64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2F5F80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经济效益</w:t>
            </w:r>
          </w:p>
        </w:tc>
        <w:tc>
          <w:tcPr>
            <w:tcW w:w="3800" w:type="dxa"/>
            <w:tcBorders>
              <w:top w:val="single" w:color="000000" w:sz="4" w:space="0"/>
              <w:left w:val="single" w:color="000000" w:sz="4" w:space="0"/>
              <w:bottom w:val="single" w:color="000000" w:sz="4" w:space="0"/>
              <w:right w:val="single" w:color="000000" w:sz="4" w:space="0"/>
            </w:tcBorders>
            <w:noWrap w:val="0"/>
            <w:vAlign w:val="center"/>
          </w:tcPr>
          <w:p w14:paraId="339660D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对县城经济发展影响程度</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EEF72F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明显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A8AF4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达成预期指标</w:t>
            </w:r>
          </w:p>
        </w:tc>
        <w:tc>
          <w:tcPr>
            <w:tcW w:w="671" w:type="dxa"/>
            <w:tcBorders>
              <w:top w:val="single" w:color="000000" w:sz="4" w:space="0"/>
              <w:left w:val="single" w:color="000000" w:sz="4" w:space="0"/>
              <w:bottom w:val="single" w:color="000000" w:sz="4" w:space="0"/>
              <w:right w:val="single" w:color="000000" w:sz="4" w:space="0"/>
            </w:tcBorders>
            <w:noWrap w:val="0"/>
            <w:vAlign w:val="top"/>
          </w:tcPr>
          <w:p w14:paraId="6CA059C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是</w:t>
            </w:r>
          </w:p>
        </w:tc>
      </w:tr>
      <w:tr w14:paraId="02A2E1D0">
        <w:tblPrEx>
          <w:tblCellMar>
            <w:top w:w="0" w:type="dxa"/>
            <w:left w:w="108" w:type="dxa"/>
            <w:bottom w:w="0" w:type="dxa"/>
            <w:right w:w="108" w:type="dxa"/>
          </w:tblCellMar>
        </w:tblPrEx>
        <w:trPr>
          <w:trHeight w:val="64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4818EC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社会效益</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指标</w:t>
            </w:r>
          </w:p>
        </w:tc>
        <w:tc>
          <w:tcPr>
            <w:tcW w:w="3800" w:type="dxa"/>
            <w:tcBorders>
              <w:top w:val="single" w:color="000000" w:sz="4" w:space="0"/>
              <w:left w:val="single" w:color="000000" w:sz="4" w:space="0"/>
              <w:bottom w:val="single" w:color="000000" w:sz="4" w:space="0"/>
              <w:right w:val="single" w:color="000000" w:sz="4" w:space="0"/>
            </w:tcBorders>
            <w:noWrap w:val="0"/>
            <w:vAlign w:val="center"/>
          </w:tcPr>
          <w:p w14:paraId="36D2A12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对县城建设的影响程度</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2EB6C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明显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7CB15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达成预期指标</w:t>
            </w:r>
          </w:p>
        </w:tc>
        <w:tc>
          <w:tcPr>
            <w:tcW w:w="671" w:type="dxa"/>
            <w:tcBorders>
              <w:top w:val="single" w:color="000000" w:sz="4" w:space="0"/>
              <w:left w:val="single" w:color="000000" w:sz="4" w:space="0"/>
              <w:bottom w:val="single" w:color="000000" w:sz="4" w:space="0"/>
              <w:right w:val="single" w:color="000000" w:sz="4" w:space="0"/>
            </w:tcBorders>
            <w:noWrap w:val="0"/>
            <w:vAlign w:val="top"/>
          </w:tcPr>
          <w:p w14:paraId="62482146">
            <w:pPr>
              <w:keepNext w:val="0"/>
              <w:keepLines w:val="0"/>
              <w:widowControl w:val="0"/>
              <w:suppressLineNumbers w:val="0"/>
              <w:spacing w:before="0" w:beforeAutospacing="0" w:after="0" w:afterAutospacing="0"/>
              <w:ind w:left="0" w:right="0"/>
              <w:jc w:val="center"/>
              <w:rPr>
                <w:lang w:val="en-US"/>
              </w:rPr>
            </w:pPr>
            <w:r>
              <w:rPr>
                <w:rFonts w:hint="eastAsia" w:ascii="宋体" w:hAnsi="宋体" w:eastAsia="宋体" w:cs="宋体"/>
                <w:color w:val="000000"/>
                <w:kern w:val="0"/>
                <w:sz w:val="20"/>
                <w:szCs w:val="20"/>
                <w:lang w:val="en-US" w:eastAsia="zh-CN" w:bidi="ar"/>
              </w:rPr>
              <w:t>是</w:t>
            </w:r>
          </w:p>
        </w:tc>
      </w:tr>
      <w:tr w14:paraId="28DDF441">
        <w:tblPrEx>
          <w:tblCellMar>
            <w:top w:w="0" w:type="dxa"/>
            <w:left w:w="108" w:type="dxa"/>
            <w:bottom w:w="0" w:type="dxa"/>
            <w:right w:w="108" w:type="dxa"/>
          </w:tblCellMar>
        </w:tblPrEx>
        <w:trPr>
          <w:trHeight w:val="64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81812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生态效益</w:t>
            </w:r>
          </w:p>
        </w:tc>
        <w:tc>
          <w:tcPr>
            <w:tcW w:w="3800" w:type="dxa"/>
            <w:tcBorders>
              <w:top w:val="single" w:color="000000" w:sz="4" w:space="0"/>
              <w:left w:val="single" w:color="000000" w:sz="4" w:space="0"/>
              <w:bottom w:val="single" w:color="000000" w:sz="4" w:space="0"/>
              <w:right w:val="single" w:color="000000" w:sz="4" w:space="0"/>
            </w:tcBorders>
            <w:noWrap w:val="0"/>
            <w:vAlign w:val="center"/>
          </w:tcPr>
          <w:p w14:paraId="2543403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对生态环境保护影响程度</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7A918E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明显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07B391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达成预期指标</w:t>
            </w:r>
          </w:p>
        </w:tc>
        <w:tc>
          <w:tcPr>
            <w:tcW w:w="671" w:type="dxa"/>
            <w:tcBorders>
              <w:top w:val="single" w:color="000000" w:sz="4" w:space="0"/>
              <w:left w:val="single" w:color="000000" w:sz="4" w:space="0"/>
              <w:bottom w:val="single" w:color="000000" w:sz="4" w:space="0"/>
              <w:right w:val="single" w:color="000000" w:sz="4" w:space="0"/>
            </w:tcBorders>
            <w:noWrap w:val="0"/>
            <w:vAlign w:val="top"/>
          </w:tcPr>
          <w:p w14:paraId="6925F22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是</w:t>
            </w:r>
          </w:p>
        </w:tc>
      </w:tr>
      <w:tr w14:paraId="280DCEC7">
        <w:tblPrEx>
          <w:tblCellMar>
            <w:top w:w="0" w:type="dxa"/>
            <w:left w:w="108" w:type="dxa"/>
            <w:bottom w:w="0" w:type="dxa"/>
            <w:right w:w="108" w:type="dxa"/>
          </w:tblCellMar>
        </w:tblPrEx>
        <w:trPr>
          <w:trHeight w:val="66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D347C9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可持续影响指标</w:t>
            </w:r>
          </w:p>
        </w:tc>
        <w:tc>
          <w:tcPr>
            <w:tcW w:w="3800" w:type="dxa"/>
            <w:tcBorders>
              <w:top w:val="single" w:color="000000" w:sz="4" w:space="0"/>
              <w:left w:val="single" w:color="000000" w:sz="4" w:space="0"/>
              <w:bottom w:val="single" w:color="000000" w:sz="4" w:space="0"/>
              <w:right w:val="single" w:color="000000" w:sz="4" w:space="0"/>
            </w:tcBorders>
            <w:noWrap w:val="0"/>
            <w:vAlign w:val="center"/>
          </w:tcPr>
          <w:p w14:paraId="213E2CC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对建设发展示范效应的可持续性影响程度</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0CEED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明显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6B0532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达成预期指标</w:t>
            </w:r>
          </w:p>
        </w:tc>
        <w:tc>
          <w:tcPr>
            <w:tcW w:w="671" w:type="dxa"/>
            <w:tcBorders>
              <w:top w:val="single" w:color="000000" w:sz="4" w:space="0"/>
              <w:left w:val="single" w:color="000000" w:sz="4" w:space="0"/>
              <w:bottom w:val="single" w:color="000000" w:sz="4" w:space="0"/>
              <w:right w:val="single" w:color="000000" w:sz="4" w:space="0"/>
            </w:tcBorders>
            <w:noWrap w:val="0"/>
            <w:vAlign w:val="top"/>
          </w:tcPr>
          <w:p w14:paraId="40E20253">
            <w:pPr>
              <w:keepNext w:val="0"/>
              <w:keepLines w:val="0"/>
              <w:widowControl w:val="0"/>
              <w:suppressLineNumbers w:val="0"/>
              <w:spacing w:before="0" w:beforeAutospacing="0" w:after="0" w:afterAutospacing="0"/>
              <w:ind w:left="0" w:right="0"/>
              <w:jc w:val="center"/>
              <w:rPr>
                <w:lang w:val="en-US"/>
              </w:rPr>
            </w:pPr>
            <w:r>
              <w:rPr>
                <w:rFonts w:hint="eastAsia" w:ascii="宋体" w:hAnsi="宋体" w:eastAsia="宋体" w:cs="宋体"/>
                <w:color w:val="000000"/>
                <w:kern w:val="0"/>
                <w:sz w:val="20"/>
                <w:szCs w:val="20"/>
                <w:lang w:val="en-US" w:eastAsia="zh-CN" w:bidi="ar"/>
              </w:rPr>
              <w:t>是</w:t>
            </w:r>
          </w:p>
        </w:tc>
      </w:tr>
      <w:tr w14:paraId="787A8A3F">
        <w:tblPrEx>
          <w:tblCellMar>
            <w:top w:w="0" w:type="dxa"/>
            <w:left w:w="108" w:type="dxa"/>
            <w:bottom w:w="0" w:type="dxa"/>
            <w:right w:w="108" w:type="dxa"/>
          </w:tblCellMar>
        </w:tblPrEx>
        <w:trPr>
          <w:trHeight w:val="70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36BF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满意度指标</w:t>
            </w:r>
          </w:p>
        </w:tc>
        <w:tc>
          <w:tcPr>
            <w:tcW w:w="3800" w:type="dxa"/>
            <w:tcBorders>
              <w:top w:val="single" w:color="000000" w:sz="4" w:space="0"/>
              <w:left w:val="single" w:color="000000" w:sz="4" w:space="0"/>
              <w:bottom w:val="single" w:color="000000" w:sz="4" w:space="0"/>
              <w:right w:val="single" w:color="000000" w:sz="4" w:space="0"/>
            </w:tcBorders>
            <w:noWrap w:val="0"/>
            <w:vAlign w:val="center"/>
          </w:tcPr>
          <w:p w14:paraId="2EB6B61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服务对象满意度</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09C161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E437AA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w:t>
            </w:r>
          </w:p>
        </w:tc>
        <w:tc>
          <w:tcPr>
            <w:tcW w:w="671" w:type="dxa"/>
            <w:tcBorders>
              <w:top w:val="single" w:color="000000" w:sz="4" w:space="0"/>
              <w:left w:val="single" w:color="000000" w:sz="4" w:space="0"/>
              <w:bottom w:val="single" w:color="000000" w:sz="4" w:space="0"/>
              <w:right w:val="single" w:color="000000" w:sz="4" w:space="0"/>
            </w:tcBorders>
            <w:noWrap w:val="0"/>
            <w:vAlign w:val="top"/>
          </w:tcPr>
          <w:p w14:paraId="491CC238">
            <w:pPr>
              <w:keepNext w:val="0"/>
              <w:keepLines w:val="0"/>
              <w:widowControl w:val="0"/>
              <w:suppressLineNumbers w:val="0"/>
              <w:spacing w:before="0" w:beforeAutospacing="0" w:after="0" w:afterAutospacing="0"/>
              <w:ind w:left="0" w:right="0"/>
              <w:jc w:val="center"/>
              <w:rPr>
                <w:lang w:val="en-US"/>
              </w:rPr>
            </w:pPr>
            <w:r>
              <w:rPr>
                <w:rFonts w:hint="eastAsia" w:ascii="宋体" w:hAnsi="宋体" w:eastAsia="宋体" w:cs="宋体"/>
                <w:color w:val="000000"/>
                <w:kern w:val="0"/>
                <w:sz w:val="20"/>
                <w:szCs w:val="20"/>
                <w:lang w:val="en-US" w:eastAsia="zh-CN" w:bidi="ar"/>
              </w:rPr>
              <w:t>是</w:t>
            </w:r>
          </w:p>
        </w:tc>
      </w:tr>
    </w:tbl>
    <w:p w14:paraId="0510FB8E">
      <w:pPr>
        <w:spacing w:line="540" w:lineRule="exact"/>
        <w:ind w:firstLine="6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通过评价，202</w:t>
      </w:r>
      <w:r>
        <w:rPr>
          <w:rFonts w:hint="eastAsia" w:ascii="仿宋_GB2312" w:hAnsi="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年度项目谋划和项目争取项目绩效评价综合得分</w:t>
      </w:r>
      <w:r>
        <w:rPr>
          <w:rFonts w:hint="eastAsia" w:ascii="仿宋_GB2312" w:hAnsi="仿宋_GB2312" w:cs="仿宋_GB2312"/>
          <w:kern w:val="2"/>
          <w:sz w:val="32"/>
          <w:szCs w:val="32"/>
          <w:lang w:val="en-US" w:eastAsia="zh-CN" w:bidi="ar-SA"/>
        </w:rPr>
        <w:t>92.79</w:t>
      </w:r>
      <w:r>
        <w:rPr>
          <w:rFonts w:hint="eastAsia" w:ascii="仿宋_GB2312" w:hAnsi="仿宋_GB2312" w:eastAsia="仿宋_GB2312" w:cs="仿宋_GB2312"/>
          <w:kern w:val="2"/>
          <w:sz w:val="32"/>
          <w:szCs w:val="32"/>
          <w:lang w:val="en-US" w:eastAsia="zh-CN" w:bidi="ar-SA"/>
        </w:rPr>
        <w:t>分，绩效评定结论为“</w:t>
      </w:r>
      <w:r>
        <w:rPr>
          <w:rFonts w:hint="eastAsia" w:ascii="仿宋_GB2312" w:hAnsi="仿宋_GB2312" w:cs="仿宋_GB2312"/>
          <w:kern w:val="2"/>
          <w:sz w:val="32"/>
          <w:szCs w:val="32"/>
          <w:lang w:val="en-US" w:eastAsia="zh-CN" w:bidi="ar-SA"/>
        </w:rPr>
        <w:t>优</w:t>
      </w:r>
      <w:r>
        <w:rPr>
          <w:rFonts w:hint="eastAsia" w:ascii="仿宋_GB2312" w:hAnsi="仿宋_GB2312" w:eastAsia="仿宋_GB2312" w:cs="仿宋_GB2312"/>
          <w:kern w:val="2"/>
          <w:sz w:val="32"/>
          <w:szCs w:val="32"/>
          <w:lang w:val="en-US" w:eastAsia="zh-CN" w:bidi="ar-SA"/>
        </w:rPr>
        <w:t>”。评价认为，项目谋划是一个长期的过程。项目自2011</w:t>
      </w:r>
      <w:bookmarkStart w:id="0" w:name="_GoBack"/>
      <w:bookmarkEnd w:id="0"/>
      <w:r>
        <w:rPr>
          <w:rFonts w:hint="eastAsia" w:ascii="仿宋_GB2312" w:hAnsi="仿宋_GB2312" w:eastAsia="仿宋_GB2312" w:cs="仿宋_GB2312"/>
          <w:kern w:val="2"/>
          <w:sz w:val="32"/>
          <w:szCs w:val="32"/>
          <w:lang w:val="en-US" w:eastAsia="zh-CN" w:bidi="ar-SA"/>
        </w:rPr>
        <w:t>年正式立项以来，始终聚焦于研究我县发展问题，提出了一系列的改革措施与政策建议。相关措施和建议得到了县领导高度认可，推进了就业、收入与分配、社会保障、消费等改革政策的出台，在完善就业政策、优化收入分配结构、完善社会保障体系等方面起到了重要的政策储备、智库咨询作用。同时，本次评价也发现，项目在总体设计及资金分配、过程管理及资金支付、效益资料收集及服务对象满意度调查方面还需进一步完善。</w:t>
      </w:r>
    </w:p>
    <w:p w14:paraId="54D70916">
      <w:pPr>
        <w:spacing w:line="540" w:lineRule="exact"/>
        <w:ind w:firstLine="600"/>
        <w:rPr>
          <w:rFonts w:ascii="黑体" w:hAnsi="黑体" w:eastAsia="黑体" w:cs="黑体"/>
          <w:szCs w:val="32"/>
        </w:rPr>
      </w:pPr>
      <w:r>
        <w:rPr>
          <w:rFonts w:hint="eastAsia" w:ascii="黑体" w:hAnsi="黑体" w:eastAsia="黑体" w:cs="黑体"/>
          <w:szCs w:val="32"/>
        </w:rPr>
        <w:t>四、绩效评价指标分析</w:t>
      </w:r>
    </w:p>
    <w:p w14:paraId="40487A58">
      <w:pPr>
        <w:spacing w:line="540" w:lineRule="exact"/>
        <w:ind w:firstLine="600"/>
        <w:outlineLvl w:val="0"/>
        <w:rPr>
          <w:rFonts w:hint="eastAsia" w:ascii="仿宋_GB2312" w:hAnsi="仿宋_GB2312" w:cs="仿宋_GB2312"/>
          <w:szCs w:val="32"/>
        </w:rPr>
      </w:pPr>
      <w:r>
        <w:rPr>
          <w:rFonts w:hint="eastAsia" w:ascii="仿宋_GB2312" w:hAnsi="仿宋_GB2312" w:cs="仿宋_GB2312"/>
          <w:szCs w:val="32"/>
        </w:rPr>
        <w:t>（一）项目决策情况。项目决策指标分值20分，评价得分20分。202</w:t>
      </w:r>
      <w:r>
        <w:rPr>
          <w:rFonts w:hint="eastAsia" w:ascii="仿宋_GB2312" w:hAnsi="仿宋_GB2312" w:cs="仿宋_GB2312"/>
          <w:szCs w:val="32"/>
          <w:lang w:val="en-US" w:eastAsia="zh-CN"/>
        </w:rPr>
        <w:t>4</w:t>
      </w:r>
      <w:r>
        <w:rPr>
          <w:rFonts w:hint="eastAsia" w:ascii="仿宋_GB2312" w:hAnsi="仿宋_GB2312" w:cs="仿宋_GB2312"/>
          <w:szCs w:val="32"/>
        </w:rPr>
        <w:t>年度项目立项紧扣民生问题，与县领导决策部署一致，项目总体立项依据充分。研究任务及课题经过委内部集体讨论和研究后编制预算编报说明及项目申报文本等材料，报委领导批示、专家预算评审后，经“二上二下”申报、批复程序后确定立项，项目申请、设立程序规范性较好。</w:t>
      </w:r>
    </w:p>
    <w:p w14:paraId="034BAF88">
      <w:pPr>
        <w:spacing w:line="540" w:lineRule="exact"/>
        <w:ind w:firstLine="600"/>
        <w:outlineLvl w:val="0"/>
        <w:rPr>
          <w:rFonts w:ascii="仿宋_GB2312" w:hAnsi="仿宋_GB2312" w:cs="仿宋_GB2312"/>
          <w:szCs w:val="32"/>
        </w:rPr>
      </w:pPr>
      <w:r>
        <w:rPr>
          <w:rFonts w:hint="eastAsia" w:ascii="仿宋_GB2312" w:hAnsi="仿宋_GB2312" w:cs="仿宋_GB2312"/>
          <w:szCs w:val="32"/>
        </w:rPr>
        <w:t>（二）项目过程情况。过程指标分值20分，得分为2</w:t>
      </w:r>
      <w:r>
        <w:rPr>
          <w:rFonts w:hint="eastAsia" w:ascii="仿宋_GB2312" w:hAnsi="仿宋_GB2312" w:cs="仿宋_GB2312"/>
          <w:szCs w:val="32"/>
          <w:lang w:val="en-US" w:eastAsia="zh-CN"/>
        </w:rPr>
        <w:t>0</w:t>
      </w:r>
      <w:r>
        <w:rPr>
          <w:rFonts w:hint="eastAsia" w:ascii="仿宋_GB2312" w:hAnsi="仿宋_GB2312" w:cs="仿宋_GB2312"/>
          <w:szCs w:val="32"/>
        </w:rPr>
        <w:t>分。项目资金及时、足额到位。项目课题遴选、承担单位遴选程序较为明确，遴选过程较为规范；强化了中期交叉评审流程，加强对课题质量的管控并明确了总体验收要点。项目资金进行了单独核算、专款专用。</w:t>
      </w:r>
    </w:p>
    <w:p w14:paraId="7E6D77DF">
      <w:pPr>
        <w:spacing w:line="540" w:lineRule="exact"/>
        <w:ind w:firstLine="600"/>
        <w:outlineLvl w:val="0"/>
        <w:rPr>
          <w:rFonts w:ascii="仿宋_GB2312" w:hAnsi="仿宋_GB2312" w:cs="仿宋_GB2312"/>
          <w:szCs w:val="32"/>
        </w:rPr>
      </w:pPr>
      <w:r>
        <w:rPr>
          <w:rFonts w:hint="eastAsia" w:ascii="仿宋_GB2312" w:hAnsi="仿宋_GB2312" w:cs="仿宋_GB2312"/>
          <w:szCs w:val="32"/>
        </w:rPr>
        <w:t>（三）项目产出情况。产出指标分值30分，绩效评价得分为</w:t>
      </w:r>
      <w:r>
        <w:rPr>
          <w:rFonts w:hint="eastAsia" w:ascii="仿宋_GB2312" w:hAnsi="仿宋_GB2312" w:cs="仿宋_GB2312"/>
          <w:szCs w:val="32"/>
          <w:lang w:val="en-US" w:eastAsia="zh-CN"/>
        </w:rPr>
        <w:t>22.79</w:t>
      </w:r>
      <w:r>
        <w:rPr>
          <w:rFonts w:hint="eastAsia" w:ascii="仿宋_GB2312" w:hAnsi="仿宋_GB2312" w:cs="仿宋_GB2312"/>
          <w:szCs w:val="32"/>
        </w:rPr>
        <w:t>分。截至202</w:t>
      </w:r>
      <w:r>
        <w:rPr>
          <w:rFonts w:hint="eastAsia" w:ascii="仿宋_GB2312" w:hAnsi="仿宋_GB2312" w:cs="仿宋_GB2312"/>
          <w:szCs w:val="32"/>
          <w:lang w:val="en-US" w:eastAsia="zh-CN"/>
        </w:rPr>
        <w:t>4</w:t>
      </w:r>
      <w:r>
        <w:rPr>
          <w:rFonts w:hint="eastAsia" w:ascii="仿宋_GB2312" w:hAnsi="仿宋_GB2312" w:cs="仿宋_GB2312"/>
          <w:szCs w:val="32"/>
        </w:rPr>
        <w:t>年底，除个别指标执行进度滞后外，项目基本上按计划完成了预期绩效目标。15个项目课题均进行了内部结项审核，课题组内部审核合格率为100%。项目整体资金支出控制在预算范围内，根据业务开展需要，经费额度进行了内部调剂，项目成本控制和节约力度还需加强。</w:t>
      </w:r>
    </w:p>
    <w:p w14:paraId="2A611E7E">
      <w:pPr>
        <w:spacing w:line="540" w:lineRule="exact"/>
        <w:ind w:firstLine="600"/>
        <w:outlineLvl w:val="0"/>
        <w:rPr>
          <w:rFonts w:ascii="仿宋_GB2312" w:hAnsi="仿宋_GB2312" w:cs="仿宋_GB2312"/>
          <w:szCs w:val="32"/>
        </w:rPr>
      </w:pPr>
      <w:r>
        <w:rPr>
          <w:rFonts w:hint="eastAsia" w:ascii="仿宋_GB2312" w:hAnsi="仿宋_GB2312" w:cs="仿宋_GB2312"/>
          <w:szCs w:val="32"/>
        </w:rPr>
        <w:t>（四）项目效益情况。效益指标分值30分，得分为30分。项目整体效益显著，相关研究成果在分析我国当前就业、收入与分配、消费、社会保障形势的基础上，提出了一些具有针对性、可操作性的政策建议，理清了改革过程中的重点、难点任务，促进了相关政策的完善。同时，就业、收入分配、消费、社会保障领域的研究涉及方方面面，后续项目还需适度加大对深度参与的研究机构、监测点进行满意度评价，以进一步充实和完善项目实施内容和方案。</w:t>
      </w:r>
    </w:p>
    <w:p w14:paraId="569EDD26">
      <w:pPr>
        <w:spacing w:line="540" w:lineRule="exact"/>
        <w:ind w:firstLine="600"/>
        <w:rPr>
          <w:rFonts w:hint="eastAsia" w:ascii="黑体" w:hAnsi="黑体" w:eastAsia="黑体" w:cs="黑体"/>
          <w:szCs w:val="32"/>
        </w:rPr>
      </w:pPr>
      <w:r>
        <w:rPr>
          <w:rFonts w:hint="eastAsia" w:ascii="黑体" w:hAnsi="黑体" w:eastAsia="黑体" w:cs="黑体"/>
          <w:szCs w:val="32"/>
        </w:rPr>
        <w:t>五、主要经验及做法</w:t>
      </w:r>
    </w:p>
    <w:p w14:paraId="137C4854">
      <w:pPr>
        <w:tabs>
          <w:tab w:val="left" w:pos="500"/>
        </w:tabs>
        <w:spacing w:line="560" w:lineRule="exact"/>
        <w:ind w:firstLine="645"/>
      </w:pPr>
      <w:r>
        <w:rPr>
          <w:rFonts w:hint="eastAsia" w:ascii="仿宋_GB2312" w:hAnsi="仿宋"/>
          <w:color w:val="000000"/>
          <w:sz w:val="32"/>
          <w:szCs w:val="32"/>
        </w:rPr>
        <w:t>在项目设计中，根据资金使用情况，我</w:t>
      </w:r>
      <w:r>
        <w:rPr>
          <w:rFonts w:hint="eastAsia" w:ascii="仿宋_GB2312" w:hAnsi="仿宋"/>
          <w:color w:val="000000"/>
          <w:sz w:val="32"/>
          <w:szCs w:val="32"/>
          <w:lang w:val="en-US" w:eastAsia="zh-CN"/>
        </w:rPr>
        <w:t>委</w:t>
      </w:r>
      <w:r>
        <w:rPr>
          <w:rFonts w:hint="eastAsia" w:ascii="仿宋_GB2312" w:hAnsi="仿宋"/>
          <w:color w:val="000000"/>
          <w:sz w:val="32"/>
          <w:szCs w:val="32"/>
        </w:rPr>
        <w:t>每年年初先做好项目计划，通过委内部集体讨论后编制预算编报说明及项目申报文本等材料，该项目资金是根据计划而编制的预算，在资金的使用过程中，县</w:t>
      </w:r>
      <w:r>
        <w:rPr>
          <w:rFonts w:hint="eastAsia" w:ascii="仿宋_GB2312" w:hAnsi="仿宋"/>
          <w:color w:val="000000"/>
          <w:sz w:val="32"/>
          <w:szCs w:val="32"/>
          <w:lang w:val="en-US" w:eastAsia="zh-CN"/>
        </w:rPr>
        <w:t>发改委</w:t>
      </w:r>
      <w:r>
        <w:rPr>
          <w:rFonts w:hint="eastAsia" w:ascii="仿宋_GB2312" w:hAnsi="仿宋"/>
          <w:color w:val="000000"/>
          <w:sz w:val="32"/>
          <w:szCs w:val="32"/>
        </w:rPr>
        <w:t>严格按照《会计法》、《行政事业单位会计制度》的相关规定等法规来执行，使该资金能充分地利用，促进</w:t>
      </w:r>
      <w:r>
        <w:rPr>
          <w:rFonts w:hint="eastAsia" w:ascii="仿宋_GB2312" w:hAnsi="仿宋"/>
          <w:color w:val="000000"/>
          <w:sz w:val="32"/>
          <w:szCs w:val="32"/>
          <w:lang w:val="en-US" w:eastAsia="zh-CN"/>
        </w:rPr>
        <w:t>项目谋划与争取项目经费事业</w:t>
      </w:r>
      <w:r>
        <w:rPr>
          <w:rFonts w:hint="eastAsia" w:ascii="仿宋_GB2312" w:hAnsi="仿宋"/>
          <w:color w:val="000000"/>
          <w:sz w:val="32"/>
          <w:szCs w:val="32"/>
        </w:rPr>
        <w:t>的发展。</w:t>
      </w:r>
    </w:p>
    <w:p w14:paraId="6DFE98C7">
      <w:pPr>
        <w:numPr>
          <w:ilvl w:val="0"/>
          <w:numId w:val="1"/>
        </w:numPr>
        <w:spacing w:line="540" w:lineRule="exact"/>
        <w:ind w:firstLine="600"/>
        <w:rPr>
          <w:rFonts w:hint="eastAsia" w:ascii="黑体" w:hAnsi="黑体" w:eastAsia="黑体" w:cs="黑体"/>
          <w:szCs w:val="32"/>
        </w:rPr>
      </w:pPr>
      <w:r>
        <w:rPr>
          <w:rFonts w:hint="eastAsia" w:ascii="黑体" w:hAnsi="黑体" w:eastAsia="黑体" w:cs="黑体"/>
          <w:szCs w:val="32"/>
        </w:rPr>
        <w:t>存在问题及原因分析</w:t>
      </w:r>
    </w:p>
    <w:p w14:paraId="03BC5A16">
      <w:pPr>
        <w:ind w:firstLine="640" w:firstLineChars="200"/>
        <w:rPr>
          <w:rFonts w:hint="eastAsia" w:ascii="仿宋_GB2312" w:hAnsi="仿宋" w:cs="Times New Roman"/>
          <w:color w:val="000000"/>
          <w:sz w:val="32"/>
          <w:szCs w:val="32"/>
        </w:rPr>
      </w:pPr>
      <w:r>
        <w:rPr>
          <w:rFonts w:hint="eastAsia" w:ascii="仿宋_GB2312" w:hAnsi="仿宋" w:cs="Times New Roman"/>
          <w:color w:val="000000"/>
          <w:sz w:val="32"/>
          <w:szCs w:val="32"/>
          <w:lang w:val="en-US" w:eastAsia="zh-CN"/>
        </w:rPr>
        <w:t>（一）项目分级不够明确，资金分配方案有待优化。</w:t>
      </w:r>
      <w:r>
        <w:rPr>
          <w:rFonts w:hint="eastAsia" w:ascii="仿宋_GB2312" w:hAnsi="仿宋" w:cs="Times New Roman"/>
          <w:color w:val="000000"/>
          <w:sz w:val="32"/>
          <w:szCs w:val="32"/>
        </w:rPr>
        <w:t>项目分级分类管理有待完善，资金投入重点倾向不够明确，资金切块划分问题仍较突出。资金分配较为分散，资金使用方案未突出对重点、一般性资金支持的差异，较难充分发挥出资金集聚的使用效益。项目管理方式、资金分配的合理性有待提高。</w:t>
      </w:r>
    </w:p>
    <w:p w14:paraId="2AFBDA93">
      <w:pPr>
        <w:ind w:firstLine="640" w:firstLineChars="200"/>
        <w:rPr>
          <w:rFonts w:hint="eastAsia" w:ascii="仿宋_GB2312" w:hAnsi="仿宋" w:cs="Times New Roman"/>
          <w:color w:val="000000"/>
          <w:sz w:val="32"/>
          <w:szCs w:val="32"/>
        </w:rPr>
      </w:pPr>
      <w:r>
        <w:rPr>
          <w:rFonts w:hint="eastAsia" w:ascii="仿宋_GB2312" w:hAnsi="仿宋" w:cs="Times New Roman"/>
          <w:color w:val="000000"/>
          <w:sz w:val="32"/>
          <w:szCs w:val="32"/>
          <w:lang w:val="en-US" w:eastAsia="zh-CN"/>
        </w:rPr>
        <w:t>（二）绩效目标科学性、精确性不足，对于实施成效预判不够准确。项目总体目标、年度绩效目标设置偏向于宏观，项目中长期发展规划</w:t>
      </w:r>
      <w:r>
        <w:rPr>
          <w:rFonts w:hint="eastAsia" w:ascii="仿宋_GB2312" w:hAnsi="仿宋" w:cs="Times New Roman"/>
          <w:color w:val="000000"/>
          <w:sz w:val="32"/>
          <w:szCs w:val="32"/>
        </w:rPr>
        <w:t>、阶段性分解计划及目标不明确。同时，项目核心产出数量、质量、实效指标值设置较低，指标设计对项目实施成效预判不够准确，与项目核心任务安排、预算规模的匹配性不够充分。绩效指标设置的科学性、准确性、完整性仍需进一步完善。</w:t>
      </w:r>
    </w:p>
    <w:p w14:paraId="66550B6C">
      <w:pPr>
        <w:ind w:firstLine="640" w:firstLineChars="200"/>
      </w:pPr>
      <w:r>
        <w:rPr>
          <w:rFonts w:hint="eastAsia" w:ascii="仿宋_GB2312" w:hAnsi="仿宋" w:cs="Times New Roman"/>
          <w:color w:val="000000"/>
          <w:sz w:val="32"/>
          <w:szCs w:val="32"/>
          <w:lang w:val="en-US" w:eastAsia="zh-CN"/>
        </w:rPr>
        <w:t>（三）项目合同及资金支出管理不够规范，委托业务验收管理标准需进一步完善。对外委</w:t>
      </w:r>
      <w:r>
        <w:rPr>
          <w:rFonts w:hint="eastAsia" w:ascii="仿宋_GB2312" w:hAnsi="仿宋" w:cs="Times New Roman"/>
          <w:color w:val="000000"/>
          <w:sz w:val="32"/>
          <w:szCs w:val="32"/>
        </w:rPr>
        <w:t>托合同签订后，合同款支付存在一次性付清或首付比例过高，资金支付进度未与项目进度及成果挂钩，存在一定的支付风险。同时在验收方面，目前仅明确了验收的总体要求，项目尚未制定质量验收考核体系。</w:t>
      </w:r>
    </w:p>
    <w:p w14:paraId="4B39D49D">
      <w:pPr>
        <w:spacing w:line="540" w:lineRule="exact"/>
        <w:ind w:firstLine="601"/>
        <w:rPr>
          <w:rFonts w:ascii="黑体" w:hAnsi="黑体" w:eastAsia="黑体" w:cs="黑体"/>
          <w:szCs w:val="32"/>
        </w:rPr>
      </w:pPr>
      <w:r>
        <w:rPr>
          <w:rFonts w:hint="eastAsia" w:ascii="黑体" w:hAnsi="黑体" w:eastAsia="黑体" w:cs="黑体"/>
          <w:szCs w:val="32"/>
        </w:rPr>
        <w:t>七、有关建议</w:t>
      </w:r>
    </w:p>
    <w:p w14:paraId="787370CD">
      <w:pPr>
        <w:tabs>
          <w:tab w:val="left" w:pos="500"/>
        </w:tabs>
        <w:spacing w:line="560" w:lineRule="exact"/>
        <w:ind w:firstLine="645"/>
        <w:rPr>
          <w:rFonts w:hint="eastAsia" w:ascii="仿宋_GB2312" w:hAnsi="仿宋"/>
          <w:color w:val="000000"/>
          <w:sz w:val="32"/>
          <w:szCs w:val="32"/>
        </w:rPr>
      </w:pPr>
      <w:r>
        <w:rPr>
          <w:rFonts w:hint="eastAsia" w:ascii="仿宋_GB2312" w:hAnsi="仿宋"/>
          <w:color w:val="000000"/>
          <w:sz w:val="32"/>
          <w:szCs w:val="32"/>
        </w:rPr>
        <w:t>（一）进一步提高预算绩效管理意识。按照“预算编制有目标、预算执行有监控、预算完成有评价、评价结果有反馈、反馈结果有应用”的工作要求，进一步强化绩效意识，完善预算全过程管理工作机制，严格按照有关文件要求，合理设置绩效目标，深入做好专项资金项目绩效评价工作。</w:t>
      </w:r>
    </w:p>
    <w:p w14:paraId="731B8240">
      <w:pPr>
        <w:tabs>
          <w:tab w:val="left" w:pos="500"/>
        </w:tabs>
        <w:spacing w:line="560" w:lineRule="exact"/>
        <w:ind w:firstLine="645"/>
        <w:rPr>
          <w:rFonts w:hint="eastAsia" w:ascii="仿宋_GB2312" w:hAnsi="仿宋"/>
          <w:color w:val="000000"/>
          <w:sz w:val="32"/>
          <w:szCs w:val="32"/>
        </w:rPr>
      </w:pPr>
      <w:r>
        <w:rPr>
          <w:rFonts w:hint="eastAsia" w:ascii="仿宋_GB2312" w:hAnsi="仿宋"/>
          <w:color w:val="000000"/>
          <w:sz w:val="32"/>
          <w:szCs w:val="32"/>
        </w:rPr>
        <w:t>（二）进一步加强项目全过程监控。对专项资金进行绩效运行监控，加大对预算编制与执行的监督管理力度，加强对项目实施进度的实时监控，及时发现项目进度异常、实施范围调整等情况，及时纠偏，严格执行政府采购流程选择协商单位。</w:t>
      </w:r>
    </w:p>
    <w:p w14:paraId="51286713">
      <w:pPr>
        <w:spacing w:line="540" w:lineRule="exact"/>
        <w:ind w:firstLine="601"/>
        <w:rPr>
          <w:rFonts w:hint="eastAsia" w:ascii="仿宋_GB2312" w:hAnsi="仿宋"/>
          <w:color w:val="000000"/>
          <w:sz w:val="32"/>
          <w:szCs w:val="32"/>
        </w:rPr>
      </w:pPr>
      <w:r>
        <w:rPr>
          <w:rFonts w:hint="eastAsia" w:ascii="仿宋_GB2312" w:hAnsi="仿宋"/>
          <w:color w:val="000000"/>
          <w:sz w:val="32"/>
          <w:szCs w:val="32"/>
        </w:rPr>
        <w:t xml:space="preserve">（三）进一步规范预算绩效基础性工作。积极发挥本单位在预算绩效管理中的主体作用，强化预算编制和执行主体责任，从绩效目标编制、预算执行到项目归档各个环节，实行精细化管理，切实做好相关基础性工作。 </w:t>
      </w:r>
    </w:p>
    <w:p w14:paraId="7737FB3F">
      <w:pPr>
        <w:spacing w:line="540" w:lineRule="exact"/>
        <w:ind w:firstLine="601"/>
        <w:rPr>
          <w:rFonts w:hint="eastAsia" w:ascii="黑体" w:hAnsi="黑体" w:eastAsia="仿宋_GB2312"/>
          <w:color w:val="000000" w:themeColor="text1"/>
          <w:sz w:val="28"/>
          <w:szCs w:val="28"/>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_GB2312" w:hAnsi="黑体" w:cs="黑体"/>
          <w:szCs w:val="32"/>
        </w:rPr>
        <w:t>附件</w:t>
      </w:r>
      <w:r>
        <w:rPr>
          <w:rFonts w:hint="eastAsia" w:ascii="仿宋_GB2312" w:hAnsi="黑体" w:cs="黑体"/>
          <w:szCs w:val="32"/>
          <w:lang w:eastAsia="zh-CN"/>
        </w:rPr>
        <w:t>：</w:t>
      </w:r>
      <w:r>
        <w:rPr>
          <w:rFonts w:hint="eastAsia" w:ascii="仿宋_GB2312" w:hAnsi="黑体" w:cs="黑体"/>
          <w:szCs w:val="32"/>
        </w:rPr>
        <w:t>项目支出绩效评价</w:t>
      </w:r>
      <w:r>
        <w:rPr>
          <w:rFonts w:hint="eastAsia" w:ascii="仿宋_GB2312" w:hAnsi="黑体" w:cs="黑体"/>
          <w:szCs w:val="32"/>
          <w:lang w:eastAsia="zh-CN"/>
        </w:rPr>
        <w:t>指标体系框架</w:t>
      </w:r>
    </w:p>
    <w:p w14:paraId="2A25BA49">
      <w:pPr>
        <w:rPr>
          <w:rFonts w:hint="default" w:ascii="黑体" w:hAnsi="黑体" w:eastAsia="黑体"/>
          <w:color w:val="000000" w:themeColor="text1"/>
          <w:sz w:val="28"/>
          <w:szCs w:val="28"/>
          <w:lang w:val="en-US" w:eastAsia="zh-CN"/>
          <w14:textFill>
            <w14:solidFill>
              <w14:schemeClr w14:val="tx1"/>
            </w14:solidFill>
          </w14:textFill>
        </w:rPr>
      </w:pPr>
      <w:r>
        <w:rPr>
          <w:rFonts w:hint="eastAsia" w:ascii="黑体" w:hAnsi="黑体" w:eastAsia="黑体"/>
          <w:color w:val="000000" w:themeColor="text1"/>
          <w:sz w:val="28"/>
          <w:szCs w:val="28"/>
          <w:lang w:eastAsia="zh-CN"/>
          <w14:textFill>
            <w14:solidFill>
              <w14:schemeClr w14:val="tx1"/>
            </w14:solidFill>
          </w14:textFill>
        </w:rPr>
        <w:t>附件</w:t>
      </w:r>
    </w:p>
    <w:p w14:paraId="3ED7346F">
      <w:pPr>
        <w:pStyle w:val="3"/>
        <w:spacing w:before="0" w:after="0" w:line="240" w:lineRule="auto"/>
        <w:jc w:val="center"/>
        <w:rPr>
          <w:rFonts w:ascii="方正小标宋简体" w:hAnsi="宋体" w:eastAsia="方正小标宋简体" w:cs="宋体"/>
          <w:b w:val="0"/>
          <w:bCs/>
          <w:color w:val="000000" w:themeColor="text1"/>
          <w:sz w:val="44"/>
          <w:szCs w:val="44"/>
          <w14:textFill>
            <w14:solidFill>
              <w14:schemeClr w14:val="tx1"/>
            </w14:solidFill>
          </w14:textFill>
        </w:rPr>
      </w:pPr>
      <w:r>
        <w:rPr>
          <w:rFonts w:hint="eastAsia" w:ascii="方正小标宋简体" w:hAnsi="宋体" w:eastAsia="方正小标宋简体" w:cs="宋体"/>
          <w:b w:val="0"/>
          <w:bCs/>
          <w:color w:val="000000" w:themeColor="text1"/>
          <w:sz w:val="44"/>
          <w:szCs w:val="44"/>
          <w14:textFill>
            <w14:solidFill>
              <w14:schemeClr w14:val="tx1"/>
            </w14:solidFill>
          </w14:textFill>
        </w:rPr>
        <w:t>项目支出绩效评价指标体系框架</w:t>
      </w:r>
    </w:p>
    <w:p w14:paraId="4872F038">
      <w:pPr>
        <w:pStyle w:val="3"/>
        <w:spacing w:before="0" w:after="0" w:line="240" w:lineRule="auto"/>
        <w:jc w:val="center"/>
        <w:rPr>
          <w:bCs/>
          <w:color w:val="000000" w:themeColor="text1"/>
          <w14:textFill>
            <w14:solidFill>
              <w14:schemeClr w14:val="tx1"/>
            </w14:solidFill>
          </w14:textFill>
        </w:rPr>
      </w:pPr>
    </w:p>
    <w:tbl>
      <w:tblPr>
        <w:tblStyle w:val="5"/>
        <w:tblW w:w="1360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1199"/>
        <w:gridCol w:w="1411"/>
        <w:gridCol w:w="2789"/>
        <w:gridCol w:w="7341"/>
      </w:tblGrid>
      <w:tr w14:paraId="3C622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8931E9">
            <w:pPr>
              <w:widowControl/>
              <w:spacing w:line="0" w:lineRule="atLeast"/>
              <w:jc w:val="center"/>
              <w:rPr>
                <w:rFonts w:ascii="宋体" w:hAnsi="宋体" w:eastAsia="宋体" w:cs="宋体"/>
                <w:b/>
                <w:bCs/>
                <w:color w:val="000000" w:themeColor="text1"/>
                <w:kern w:val="0"/>
                <w:sz w:val="22"/>
                <w:szCs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一级指标</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4CF13A">
            <w:pPr>
              <w:widowControl/>
              <w:spacing w:line="0" w:lineRule="atLeast"/>
              <w:jc w:val="center"/>
              <w:rPr>
                <w:rFonts w:ascii="宋体" w:hAnsi="宋体" w:eastAsia="宋体" w:cs="宋体"/>
                <w:b/>
                <w:bCs/>
                <w:color w:val="000000" w:themeColor="text1"/>
                <w:kern w:val="0"/>
                <w:sz w:val="22"/>
                <w:szCs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二级指标</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605B36">
            <w:pPr>
              <w:widowControl/>
              <w:spacing w:line="0" w:lineRule="atLeast"/>
              <w:jc w:val="center"/>
              <w:rPr>
                <w:rFonts w:ascii="宋体" w:hAnsi="宋体" w:eastAsia="宋体" w:cs="宋体"/>
                <w:b/>
                <w:bCs/>
                <w:color w:val="000000" w:themeColor="text1"/>
                <w:kern w:val="0"/>
                <w:sz w:val="22"/>
                <w:szCs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三级指标</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3F1D51">
            <w:pPr>
              <w:widowControl/>
              <w:spacing w:line="0" w:lineRule="atLeast"/>
              <w:jc w:val="center"/>
              <w:rPr>
                <w:rFonts w:ascii="宋体" w:hAnsi="宋体" w:eastAsia="宋体" w:cs="宋体"/>
                <w:b/>
                <w:bCs/>
                <w:color w:val="000000" w:themeColor="text1"/>
                <w:kern w:val="0"/>
                <w:sz w:val="22"/>
                <w:szCs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指标解释</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FA93A2">
            <w:pPr>
              <w:widowControl/>
              <w:spacing w:line="0" w:lineRule="atLeast"/>
              <w:jc w:val="center"/>
              <w:rPr>
                <w:rFonts w:ascii="宋体" w:hAnsi="宋体" w:eastAsia="宋体" w:cs="宋体"/>
                <w:b/>
                <w:bCs/>
                <w:color w:val="000000" w:themeColor="text1"/>
                <w:kern w:val="0"/>
                <w:sz w:val="22"/>
                <w:szCs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指标说明</w:t>
            </w:r>
          </w:p>
        </w:tc>
      </w:tr>
      <w:tr w14:paraId="0BACD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4336443">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决策　</w:t>
            </w:r>
          </w:p>
          <w:p w14:paraId="5C072DF3">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w:t>
            </w:r>
          </w:p>
          <w:p w14:paraId="320DC8F9">
            <w:pPr>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w:t>
            </w: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B894D04">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项目立项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73C06E">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立项依据</w:t>
            </w:r>
          </w:p>
          <w:p w14:paraId="2FF5079A">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充分性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50FDFC">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项目立项（主体</w:t>
            </w:r>
            <w:r>
              <w:rPr>
                <w:rFonts w:ascii="宋体" w:hAnsi="宋体" w:eastAsia="宋体" w:cs="宋体"/>
                <w:color w:val="000000" w:themeColor="text1"/>
                <w:kern w:val="0"/>
                <w:sz w:val="22"/>
                <w:szCs w:val="22"/>
                <w14:textFill>
                  <w14:solidFill>
                    <w14:schemeClr w14:val="tx1"/>
                  </w14:solidFill>
                </w14:textFill>
              </w:rPr>
              <w:t>是</w:t>
            </w:r>
            <w:r>
              <w:rPr>
                <w:rFonts w:hint="eastAsia" w:ascii="宋体" w:hAnsi="宋体" w:eastAsia="宋体" w:cs="宋体"/>
                <w:color w:val="000000" w:themeColor="text1"/>
                <w:kern w:val="0"/>
                <w:sz w:val="22"/>
                <w:szCs w:val="22"/>
                <w14:textFill>
                  <w14:solidFill>
                    <w14:schemeClr w14:val="tx1"/>
                  </w14:solidFill>
                </w14:textFill>
              </w:rPr>
              <w:t>指</w:t>
            </w:r>
            <w:r>
              <w:rPr>
                <w:rFonts w:ascii="宋体" w:hAnsi="宋体" w:eastAsia="宋体" w:cs="宋体"/>
                <w:color w:val="000000" w:themeColor="text1"/>
                <w:kern w:val="0"/>
                <w:sz w:val="22"/>
                <w:szCs w:val="22"/>
                <w14:textFill>
                  <w14:solidFill>
                    <w14:schemeClr w14:val="tx1"/>
                  </w14:solidFill>
                </w14:textFill>
              </w:rPr>
              <w:t>项目主管部门</w:t>
            </w:r>
            <w:r>
              <w:rPr>
                <w:rFonts w:hint="eastAsia" w:ascii="宋体" w:hAnsi="宋体" w:eastAsia="宋体" w:cs="宋体"/>
                <w:color w:val="000000" w:themeColor="text1"/>
                <w:kern w:val="0"/>
                <w:sz w:val="22"/>
                <w:szCs w:val="22"/>
                <w14:textFill>
                  <w14:solidFill>
                    <w14:schemeClr w14:val="tx1"/>
                  </w14:solidFill>
                </w14:textFill>
              </w:rPr>
              <w:t>，</w:t>
            </w:r>
            <w:r>
              <w:rPr>
                <w:rFonts w:ascii="宋体" w:hAnsi="宋体" w:eastAsia="宋体" w:cs="宋体"/>
                <w:color w:val="000000" w:themeColor="text1"/>
                <w:kern w:val="0"/>
                <w:sz w:val="22"/>
                <w:szCs w:val="22"/>
                <w14:textFill>
                  <w14:solidFill>
                    <w14:schemeClr w14:val="tx1"/>
                  </w14:solidFill>
                </w14:textFill>
              </w:rPr>
              <w:t>下同</w:t>
            </w:r>
            <w:r>
              <w:rPr>
                <w:rFonts w:hint="eastAsia" w:ascii="宋体" w:hAnsi="宋体" w:eastAsia="宋体" w:cs="宋体"/>
                <w:color w:val="000000" w:themeColor="text1"/>
                <w:kern w:val="0"/>
                <w:sz w:val="22"/>
                <w:szCs w:val="22"/>
                <w14:textFill>
                  <w14:solidFill>
                    <w14:schemeClr w14:val="tx1"/>
                  </w14:solidFill>
                </w14:textFill>
              </w:rPr>
              <w:t>）是否符合法律法规、相关政策、发展规划以及部门职责，用以反映和考核项目立项依据情况。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D2689D">
            <w:pPr>
              <w:widowControl/>
              <w:spacing w:line="0" w:lineRule="atLeast"/>
              <w:jc w:val="lef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评价要点：</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①项目立项是否符合国家法律法规、国民经济发展规划和相关政策；</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②项目立项是否符合行业发展规划和政策要求；</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③项目立项是否与部门职责范围相符，属于部门履职所需；</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④项目是否属于公共财政支持范围，是否符合市</w:t>
            </w:r>
            <w:r>
              <w:rPr>
                <w:rFonts w:ascii="宋体" w:hAnsi="宋体" w:eastAsia="宋体" w:cs="宋体"/>
                <w:color w:val="000000" w:themeColor="text1"/>
                <w:kern w:val="0"/>
                <w:sz w:val="22"/>
                <w:szCs w:val="22"/>
                <w14:textFill>
                  <w14:solidFill>
                    <w14:schemeClr w14:val="tx1"/>
                  </w14:solidFill>
                </w14:textFill>
              </w:rPr>
              <w:t>与</w:t>
            </w:r>
            <w:r>
              <w:rPr>
                <w:rFonts w:hint="eastAsia" w:ascii="宋体" w:hAnsi="宋体" w:eastAsia="宋体" w:cs="宋体"/>
                <w:color w:val="000000" w:themeColor="text1"/>
                <w:kern w:val="0"/>
                <w:sz w:val="22"/>
                <w:szCs w:val="22"/>
                <w14:textFill>
                  <w14:solidFill>
                    <w14:schemeClr w14:val="tx1"/>
                  </w14:solidFill>
                </w14:textFill>
              </w:rPr>
              <w:t>县区财政事权与支出责任相适应原则；</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⑤项目是否与相关部门同类项目或部门内部相关项目重复。</w:t>
            </w:r>
          </w:p>
        </w:tc>
      </w:tr>
      <w:tr w14:paraId="7ABD9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14:paraId="0C1E1294">
            <w:pPr>
              <w:widowControl/>
              <w:jc w:val="left"/>
              <w:rPr>
                <w:rFonts w:ascii="宋体" w:hAnsi="宋体" w:eastAsia="宋体" w:cs="宋体"/>
                <w:color w:val="000000" w:themeColor="text1"/>
                <w:kern w:val="0"/>
                <w:sz w:val="22"/>
                <w:szCs w:val="22"/>
                <w14:textFill>
                  <w14:solidFill>
                    <w14:schemeClr w14:val="tx1"/>
                  </w14:solidFill>
                </w14:textFill>
              </w:rPr>
            </w:pPr>
          </w:p>
        </w:tc>
        <w:tc>
          <w:tcPr>
            <w:tcW w:w="1199" w:type="dxa"/>
            <w:vMerge w:val="continue"/>
            <w:tcBorders>
              <w:top w:val="single" w:color="000000" w:sz="8" w:space="0"/>
              <w:left w:val="single" w:color="000000" w:sz="8" w:space="0"/>
              <w:bottom w:val="single" w:color="000000" w:sz="8" w:space="0"/>
              <w:right w:val="single" w:color="000000" w:sz="8" w:space="0"/>
            </w:tcBorders>
            <w:vAlign w:val="center"/>
          </w:tcPr>
          <w:p w14:paraId="0A7AED66">
            <w:pPr>
              <w:widowControl/>
              <w:jc w:val="left"/>
              <w:rPr>
                <w:rFonts w:ascii="宋体" w:hAnsi="宋体" w:eastAsia="宋体" w:cs="宋体"/>
                <w:color w:val="000000" w:themeColor="text1"/>
                <w:kern w:val="0"/>
                <w:sz w:val="22"/>
                <w:szCs w:val="22"/>
                <w14:textFill>
                  <w14:solidFill>
                    <w14:schemeClr w14:val="tx1"/>
                  </w14:solidFill>
                </w14:textFill>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1B0027">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立项程序</w:t>
            </w:r>
          </w:p>
          <w:p w14:paraId="04152768">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规范性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7D4289">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项目申请、设立过程是否符合相关要求，用以反映和考核项目立项的规范情况。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0C4292">
            <w:pPr>
              <w:widowControl/>
              <w:spacing w:line="0" w:lineRule="atLeast"/>
              <w:jc w:val="lef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评价要点：</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①项目是否按照规定的程序申请设立；</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②审批文件、材料是否符合相关要求；</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③事前是否已经过必要的可行性研究、专家论证、风险评估、绩效评估、集体决策。</w:t>
            </w:r>
          </w:p>
        </w:tc>
      </w:tr>
      <w:tr w14:paraId="16DB6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14:paraId="06CAC050">
            <w:pPr>
              <w:widowControl/>
              <w:jc w:val="left"/>
              <w:rPr>
                <w:rFonts w:ascii="宋体" w:hAnsi="宋体" w:eastAsia="宋体" w:cs="宋体"/>
                <w:color w:val="000000" w:themeColor="text1"/>
                <w:kern w:val="0"/>
                <w:sz w:val="22"/>
                <w:szCs w:val="22"/>
                <w14:textFill>
                  <w14:solidFill>
                    <w14:schemeClr w14:val="tx1"/>
                  </w14:solidFill>
                </w14:textFill>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2E6DB5">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绩效目标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9D87E4">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绩效目标</w:t>
            </w:r>
          </w:p>
          <w:p w14:paraId="4CDBA30B">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合理性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28382B">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项目所设定的绩效目标是否依据充分，是否符合客观实际，用以反映和考核项目绩效目标与项目实施的相符情况。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FAA0AB">
            <w:pPr>
              <w:widowControl/>
              <w:spacing w:line="0" w:lineRule="atLeast"/>
              <w:jc w:val="lef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评价要点：</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（如未设定预算绩效目标，也可考核其他工作任务目标）</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①项目是否有绩效目标；</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②项目绩效目标与实际工作内容是否具有相关性；</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③项目预期产出效益和效果是否符合正常的业绩水平；</w:t>
            </w:r>
          </w:p>
          <w:p w14:paraId="14F098F1">
            <w:pPr>
              <w:widowControl/>
              <w:spacing w:line="0" w:lineRule="atLeast"/>
              <w:jc w:val="lef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④是否与预算确定的项目投资额或资金量相匹配。</w:t>
            </w:r>
          </w:p>
        </w:tc>
      </w:tr>
      <w:tr w14:paraId="2B26A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93AB0A5">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决策　</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D0A196">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绩效目标</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55B756">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绩效指标</w:t>
            </w:r>
          </w:p>
          <w:p w14:paraId="2E389317">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明确性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33290B">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依据绩效目标设定的绩效指标是否清晰、细化、可衡量等，用以反映和考核项目绩效目标的明细化情况。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A1CAB5">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评价要点：</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①是否将项目绩效目标细化分解为具体的绩效指标；</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②是否通过清晰、可衡量的指标值予以体现；</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③是否与项目目标任务数或计划数相对应。</w:t>
            </w:r>
            <w:r>
              <w:rPr>
                <w:rFonts w:hint="eastAsia" w:ascii="宋体" w:hAnsi="宋体" w:eastAsia="宋体" w:cs="宋体"/>
                <w:color w:val="000000" w:themeColor="text1"/>
                <w:kern w:val="0"/>
                <w:sz w:val="22"/>
                <w:szCs w:val="22"/>
                <w14:textFill>
                  <w14:solidFill>
                    <w14:schemeClr w14:val="tx1"/>
                  </w14:solidFill>
                </w14:textFill>
              </w:rPr>
              <w:br w:type="textWrapping"/>
            </w:r>
          </w:p>
        </w:tc>
      </w:tr>
      <w:tr w14:paraId="31C38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14:paraId="2EB3A307">
            <w:pPr>
              <w:widowControl/>
              <w:jc w:val="left"/>
              <w:rPr>
                <w:rFonts w:ascii="宋体" w:hAnsi="宋体" w:eastAsia="宋体" w:cs="宋体"/>
                <w:color w:val="000000" w:themeColor="text1"/>
                <w:kern w:val="0"/>
                <w:sz w:val="22"/>
                <w:szCs w:val="22"/>
                <w14:textFill>
                  <w14:solidFill>
                    <w14:schemeClr w14:val="tx1"/>
                  </w14:solidFill>
                </w14:textFill>
              </w:rPr>
            </w:pP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FD5D243">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资金投入</w:t>
            </w:r>
          </w:p>
          <w:p w14:paraId="655249C0">
            <w:pPr>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2E2F0A">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预算编制</w:t>
            </w:r>
          </w:p>
          <w:p w14:paraId="7908C402">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科学性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29F6AC">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项目预算编制（主体</w:t>
            </w:r>
            <w:r>
              <w:rPr>
                <w:rFonts w:ascii="宋体" w:hAnsi="宋体" w:eastAsia="宋体" w:cs="宋体"/>
                <w:color w:val="000000" w:themeColor="text1"/>
                <w:kern w:val="0"/>
                <w:sz w:val="22"/>
                <w:szCs w:val="22"/>
                <w14:textFill>
                  <w14:solidFill>
                    <w14:schemeClr w14:val="tx1"/>
                  </w14:solidFill>
                </w14:textFill>
              </w:rPr>
              <w:t>是</w:t>
            </w:r>
            <w:r>
              <w:rPr>
                <w:rFonts w:hint="eastAsia" w:ascii="宋体" w:hAnsi="宋体" w:eastAsia="宋体" w:cs="宋体"/>
                <w:color w:val="000000" w:themeColor="text1"/>
                <w:kern w:val="0"/>
                <w:sz w:val="22"/>
                <w:szCs w:val="22"/>
                <w14:textFill>
                  <w14:solidFill>
                    <w14:schemeClr w14:val="tx1"/>
                  </w14:solidFill>
                </w14:textFill>
              </w:rPr>
              <w:t>指</w:t>
            </w:r>
            <w:r>
              <w:rPr>
                <w:rFonts w:ascii="宋体" w:hAnsi="宋体" w:eastAsia="宋体" w:cs="宋体"/>
                <w:color w:val="000000" w:themeColor="text1"/>
                <w:kern w:val="0"/>
                <w:sz w:val="22"/>
                <w:szCs w:val="22"/>
                <w14:textFill>
                  <w14:solidFill>
                    <w14:schemeClr w14:val="tx1"/>
                  </w14:solidFill>
                </w14:textFill>
              </w:rPr>
              <w:t>项目资金管理使用单位，下同</w:t>
            </w:r>
            <w:r>
              <w:rPr>
                <w:rFonts w:hint="eastAsia" w:ascii="宋体" w:hAnsi="宋体" w:eastAsia="宋体" w:cs="宋体"/>
                <w:color w:val="000000" w:themeColor="text1"/>
                <w:kern w:val="0"/>
                <w:sz w:val="22"/>
                <w:szCs w:val="22"/>
                <w14:textFill>
                  <w14:solidFill>
                    <w14:schemeClr w14:val="tx1"/>
                  </w14:solidFill>
                </w14:textFill>
              </w:rPr>
              <w:t>）是否经过科学论证、有明确标准，资金额度与年度目标是否相适应，用以反映和考核项目预算编制的科学性、合理性情况。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093CE1">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评价要点：</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①预算编制是否经过科学论证；</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②预算内容与项目内容是否匹配；</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③预算额度测算依据是否充分，是否按照标准编制；</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④预算确定的项目投资额或资金量是否与工作任务相匹配。</w:t>
            </w:r>
          </w:p>
        </w:tc>
      </w:tr>
      <w:tr w14:paraId="7304F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14:paraId="4AF6C764">
            <w:pPr>
              <w:widowControl/>
              <w:jc w:val="left"/>
              <w:rPr>
                <w:rFonts w:ascii="宋体" w:hAnsi="宋体" w:eastAsia="宋体" w:cs="宋体"/>
                <w:color w:val="000000" w:themeColor="text1"/>
                <w:kern w:val="0"/>
                <w:sz w:val="22"/>
                <w:szCs w:val="22"/>
                <w14:textFill>
                  <w14:solidFill>
                    <w14:schemeClr w14:val="tx1"/>
                  </w14:solidFill>
                </w14:textFill>
              </w:rPr>
            </w:pPr>
          </w:p>
        </w:tc>
        <w:tc>
          <w:tcPr>
            <w:tcW w:w="1199" w:type="dxa"/>
            <w:vMerge w:val="continue"/>
            <w:tcBorders>
              <w:top w:val="single" w:color="000000" w:sz="8" w:space="0"/>
              <w:left w:val="single" w:color="000000" w:sz="8" w:space="0"/>
              <w:bottom w:val="single" w:color="000000" w:sz="8" w:space="0"/>
              <w:right w:val="single" w:color="000000" w:sz="8" w:space="0"/>
            </w:tcBorders>
            <w:vAlign w:val="center"/>
          </w:tcPr>
          <w:p w14:paraId="39484087">
            <w:pPr>
              <w:widowControl/>
              <w:jc w:val="left"/>
              <w:rPr>
                <w:rFonts w:ascii="宋体" w:hAnsi="宋体" w:eastAsia="宋体" w:cs="宋体"/>
                <w:color w:val="000000" w:themeColor="text1"/>
                <w:kern w:val="0"/>
                <w:sz w:val="22"/>
                <w:szCs w:val="22"/>
                <w14:textFill>
                  <w14:solidFill>
                    <w14:schemeClr w14:val="tx1"/>
                  </w14:solidFill>
                </w14:textFill>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A49422">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资金分配</w:t>
            </w:r>
          </w:p>
          <w:p w14:paraId="7FAC480D">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合理性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46E4C9">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项目预算资金分配是否有测算依据，与补助单位或地方实际是否相适应，用以反映和考核项目预算资金分配的科学性、合理性情况。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A94F3D">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评价要点：</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①预算资金分配依据是否充分；</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②预算资金分配额度是否合理，与项目单位或地方实际是否相适应。</w:t>
            </w:r>
          </w:p>
        </w:tc>
      </w:tr>
      <w:tr w14:paraId="0BFA3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tcBorders>
              <w:top w:val="single" w:color="000000" w:sz="8" w:space="0"/>
              <w:left w:val="single" w:color="000000" w:sz="8" w:space="0"/>
              <w:right w:val="single" w:color="000000" w:sz="8" w:space="0"/>
            </w:tcBorders>
            <w:shd w:val="clear" w:color="auto" w:fill="FFFFFF"/>
            <w:vAlign w:val="center"/>
          </w:tcPr>
          <w:p w14:paraId="5A06AC67">
            <w:pPr>
              <w:spacing w:line="0"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过程</w:t>
            </w:r>
          </w:p>
          <w:p w14:paraId="5ACFFF50">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p>
          <w:p w14:paraId="35E97E80">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w:t>
            </w:r>
          </w:p>
          <w:p w14:paraId="741AD5DD">
            <w:pPr>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w:t>
            </w: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C8EC73C">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资金管理</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CE1EB7">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资金到位率</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CFF1DB">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实际到位资金与预算资金的比率，用以反映和考核资金落实情况对项目实施的总体保障程度。</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1C78F9">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资金到位率=（实际到位资金/预算资金）×100%。</w:t>
            </w:r>
          </w:p>
          <w:p w14:paraId="0A317264">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实际到位资金：一定时期（本年度或项目期）内落实到具体项目的资金。</w:t>
            </w:r>
          </w:p>
          <w:p w14:paraId="2F6342CA">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预算资金：一定时期（本年度或项目期）内预算安排到具体项目的资金。</w:t>
            </w:r>
          </w:p>
        </w:tc>
      </w:tr>
      <w:tr w14:paraId="286C6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tcBorders>
              <w:left w:val="single" w:color="000000" w:sz="8" w:space="0"/>
              <w:right w:val="single" w:color="000000" w:sz="8" w:space="0"/>
            </w:tcBorders>
            <w:vAlign w:val="center"/>
          </w:tcPr>
          <w:p w14:paraId="76AEE92E">
            <w:pPr>
              <w:widowControl/>
              <w:jc w:val="left"/>
              <w:rPr>
                <w:rFonts w:ascii="宋体" w:hAnsi="宋体" w:eastAsia="宋体" w:cs="宋体"/>
                <w:color w:val="000000" w:themeColor="text1"/>
                <w:kern w:val="0"/>
                <w:sz w:val="22"/>
                <w:szCs w:val="22"/>
                <w14:textFill>
                  <w14:solidFill>
                    <w14:schemeClr w14:val="tx1"/>
                  </w14:solidFill>
                </w14:textFill>
              </w:rPr>
            </w:pPr>
          </w:p>
        </w:tc>
        <w:tc>
          <w:tcPr>
            <w:tcW w:w="1199" w:type="dxa"/>
            <w:vMerge w:val="continue"/>
            <w:tcBorders>
              <w:top w:val="single" w:color="000000" w:sz="8" w:space="0"/>
              <w:left w:val="single" w:color="000000" w:sz="8" w:space="0"/>
              <w:bottom w:val="single" w:color="000000" w:sz="8" w:space="0"/>
              <w:right w:val="single" w:color="000000" w:sz="8" w:space="0"/>
            </w:tcBorders>
            <w:vAlign w:val="center"/>
          </w:tcPr>
          <w:p w14:paraId="44AFFC65">
            <w:pPr>
              <w:widowControl/>
              <w:jc w:val="left"/>
              <w:rPr>
                <w:rFonts w:ascii="宋体" w:hAnsi="宋体" w:eastAsia="宋体" w:cs="宋体"/>
                <w:color w:val="000000" w:themeColor="text1"/>
                <w:kern w:val="0"/>
                <w:sz w:val="22"/>
                <w:szCs w:val="22"/>
                <w14:textFill>
                  <w14:solidFill>
                    <w14:schemeClr w14:val="tx1"/>
                  </w14:solidFill>
                </w14:textFill>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F685B0">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资金</w:t>
            </w:r>
            <w:r>
              <w:rPr>
                <w:rFonts w:ascii="宋体" w:hAnsi="宋体" w:eastAsia="宋体" w:cs="宋体"/>
                <w:color w:val="000000" w:themeColor="text1"/>
                <w:kern w:val="0"/>
                <w:sz w:val="22"/>
                <w:szCs w:val="22"/>
                <w14:textFill>
                  <w14:solidFill>
                    <w14:schemeClr w14:val="tx1"/>
                  </w14:solidFill>
                </w14:textFill>
              </w:rPr>
              <w:t>拨付及时性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807120">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项目资金是否按照依法依规及时拨付，用以反映和考核项目资金</w:t>
            </w:r>
            <w:r>
              <w:rPr>
                <w:rFonts w:ascii="宋体" w:hAnsi="宋体" w:eastAsia="宋体" w:cs="宋体"/>
                <w:color w:val="000000" w:themeColor="text1"/>
                <w:kern w:val="0"/>
                <w:sz w:val="22"/>
                <w:szCs w:val="22"/>
                <w14:textFill>
                  <w14:solidFill>
                    <w14:schemeClr w14:val="tx1"/>
                  </w14:solidFill>
                </w14:textFill>
              </w:rPr>
              <w:t>拨付</w:t>
            </w:r>
            <w:r>
              <w:rPr>
                <w:rFonts w:hint="eastAsia" w:ascii="宋体" w:hAnsi="宋体" w:eastAsia="宋体" w:cs="宋体"/>
                <w:color w:val="000000" w:themeColor="text1"/>
                <w:kern w:val="0"/>
                <w:sz w:val="22"/>
                <w:szCs w:val="22"/>
                <w14:textFill>
                  <w14:solidFill>
                    <w14:schemeClr w14:val="tx1"/>
                  </w14:solidFill>
                </w14:textFill>
              </w:rPr>
              <w:t>时效情况。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6874D6">
            <w:pPr>
              <w:widowControl/>
              <w:spacing w:line="0" w:lineRule="atLeast"/>
              <w:jc w:val="lef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项目资金是否按照《</w:t>
            </w:r>
            <w:r>
              <w:rPr>
                <w:rFonts w:ascii="宋体" w:hAnsi="宋体" w:eastAsia="宋体" w:cs="宋体"/>
                <w:color w:val="000000" w:themeColor="text1"/>
                <w:kern w:val="0"/>
                <w:sz w:val="22"/>
                <w:szCs w:val="22"/>
                <w14:textFill>
                  <w14:solidFill>
                    <w14:schemeClr w14:val="tx1"/>
                  </w14:solidFill>
                </w14:textFill>
              </w:rPr>
              <w:t>预算法</w:t>
            </w:r>
            <w:r>
              <w:rPr>
                <w:rFonts w:hint="eastAsia" w:ascii="宋体" w:hAnsi="宋体" w:eastAsia="宋体" w:cs="宋体"/>
                <w:color w:val="000000" w:themeColor="text1"/>
                <w:kern w:val="0"/>
                <w:sz w:val="22"/>
                <w:szCs w:val="22"/>
                <w14:textFill>
                  <w14:solidFill>
                    <w14:schemeClr w14:val="tx1"/>
                  </w14:solidFill>
                </w14:textFill>
              </w:rPr>
              <w:t>》等</w:t>
            </w:r>
            <w:r>
              <w:rPr>
                <w:rFonts w:ascii="宋体" w:hAnsi="宋体" w:eastAsia="宋体" w:cs="宋体"/>
                <w:color w:val="000000" w:themeColor="text1"/>
                <w:kern w:val="0"/>
                <w:sz w:val="22"/>
                <w:szCs w:val="22"/>
                <w14:textFill>
                  <w14:solidFill>
                    <w14:schemeClr w14:val="tx1"/>
                  </w14:solidFill>
                </w14:textFill>
              </w:rPr>
              <w:t>法律法规</w:t>
            </w:r>
            <w:r>
              <w:rPr>
                <w:rFonts w:hint="eastAsia" w:ascii="宋体" w:hAnsi="宋体" w:eastAsia="宋体" w:cs="宋体"/>
                <w:color w:val="000000" w:themeColor="text1"/>
                <w:kern w:val="0"/>
                <w:sz w:val="22"/>
                <w:szCs w:val="22"/>
                <w14:textFill>
                  <w14:solidFill>
                    <w14:schemeClr w14:val="tx1"/>
                  </w14:solidFill>
                </w14:textFill>
              </w:rPr>
              <w:t>规定的期限内</w:t>
            </w:r>
            <w:r>
              <w:rPr>
                <w:rFonts w:ascii="宋体" w:hAnsi="宋体" w:eastAsia="宋体" w:cs="宋体"/>
                <w:color w:val="000000" w:themeColor="text1"/>
                <w:kern w:val="0"/>
                <w:sz w:val="22"/>
                <w:szCs w:val="22"/>
                <w14:textFill>
                  <w14:solidFill>
                    <w14:schemeClr w14:val="tx1"/>
                  </w14:solidFill>
                </w14:textFill>
              </w:rPr>
              <w:t>分配下达，</w:t>
            </w:r>
            <w:r>
              <w:rPr>
                <w:rFonts w:hint="eastAsia" w:ascii="宋体" w:hAnsi="宋体" w:eastAsia="宋体" w:cs="宋体"/>
                <w:color w:val="000000" w:themeColor="text1"/>
                <w:kern w:val="0"/>
                <w:sz w:val="22"/>
                <w:szCs w:val="22"/>
                <w14:textFill>
                  <w14:solidFill>
                    <w14:schemeClr w14:val="tx1"/>
                  </w14:solidFill>
                </w14:textFill>
              </w:rPr>
              <w:t>是否符合</w:t>
            </w:r>
            <w:r>
              <w:rPr>
                <w:rFonts w:ascii="宋体" w:hAnsi="宋体" w:eastAsia="宋体" w:cs="宋体"/>
                <w:color w:val="000000" w:themeColor="text1"/>
                <w:kern w:val="0"/>
                <w:sz w:val="22"/>
                <w:szCs w:val="22"/>
                <w14:textFill>
                  <w14:solidFill>
                    <w14:schemeClr w14:val="tx1"/>
                  </w14:solidFill>
                </w14:textFill>
              </w:rPr>
              <w:t>项目</w:t>
            </w:r>
            <w:r>
              <w:rPr>
                <w:rFonts w:hint="eastAsia" w:ascii="宋体" w:hAnsi="宋体" w:eastAsia="宋体" w:cs="宋体"/>
                <w:color w:val="000000" w:themeColor="text1"/>
                <w:kern w:val="0"/>
                <w:sz w:val="22"/>
                <w:szCs w:val="22"/>
                <w14:textFill>
                  <w14:solidFill>
                    <w14:schemeClr w14:val="tx1"/>
                  </w14:solidFill>
                </w14:textFill>
              </w:rPr>
              <w:t>资金</w:t>
            </w:r>
            <w:r>
              <w:rPr>
                <w:rFonts w:ascii="宋体" w:hAnsi="宋体" w:eastAsia="宋体" w:cs="宋体"/>
                <w:color w:val="000000" w:themeColor="text1"/>
                <w:kern w:val="0"/>
                <w:sz w:val="22"/>
                <w:szCs w:val="22"/>
                <w14:textFill>
                  <w14:solidFill>
                    <w14:schemeClr w14:val="tx1"/>
                  </w14:solidFill>
                </w14:textFill>
              </w:rPr>
              <w:t>管理办法</w:t>
            </w:r>
            <w:r>
              <w:rPr>
                <w:rFonts w:hint="eastAsia" w:ascii="宋体" w:hAnsi="宋体" w:eastAsia="宋体" w:cs="宋体"/>
                <w:color w:val="000000" w:themeColor="text1"/>
                <w:kern w:val="0"/>
                <w:sz w:val="22"/>
                <w:szCs w:val="22"/>
                <w14:textFill>
                  <w14:solidFill>
                    <w14:schemeClr w14:val="tx1"/>
                  </w14:solidFill>
                </w14:textFill>
              </w:rPr>
              <w:t>、</w:t>
            </w:r>
            <w:r>
              <w:rPr>
                <w:rFonts w:ascii="宋体" w:hAnsi="宋体" w:eastAsia="宋体" w:cs="宋体"/>
                <w:color w:val="000000" w:themeColor="text1"/>
                <w:kern w:val="0"/>
                <w:sz w:val="22"/>
                <w:szCs w:val="22"/>
                <w14:textFill>
                  <w14:solidFill>
                    <w14:schemeClr w14:val="tx1"/>
                  </w14:solidFill>
                </w14:textFill>
              </w:rPr>
              <w:t>工作实施方案等明确的时限要求</w:t>
            </w:r>
            <w:r>
              <w:rPr>
                <w:rFonts w:hint="eastAsia" w:ascii="宋体" w:hAnsi="宋体" w:eastAsia="宋体" w:cs="宋体"/>
                <w:color w:val="000000" w:themeColor="text1"/>
                <w:kern w:val="0"/>
                <w:sz w:val="22"/>
                <w:szCs w:val="22"/>
                <w14:textFill>
                  <w14:solidFill>
                    <w14:schemeClr w14:val="tx1"/>
                  </w14:solidFill>
                </w14:textFill>
              </w:rPr>
              <w:t>及时拨付。</w:t>
            </w:r>
          </w:p>
        </w:tc>
      </w:tr>
      <w:tr w14:paraId="5BC6B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2" w:hRule="atLeast"/>
          <w:jc w:val="center"/>
        </w:trPr>
        <w:tc>
          <w:tcPr>
            <w:tcW w:w="861" w:type="dxa"/>
            <w:vMerge w:val="continue"/>
            <w:tcBorders>
              <w:left w:val="single" w:color="000000" w:sz="8" w:space="0"/>
              <w:right w:val="single" w:color="000000" w:sz="8" w:space="0"/>
            </w:tcBorders>
            <w:shd w:val="clear" w:color="auto" w:fill="FFFFFF"/>
            <w:vAlign w:val="center"/>
          </w:tcPr>
          <w:p w14:paraId="521E52F2">
            <w:pPr>
              <w:spacing w:line="0" w:lineRule="atLeast"/>
              <w:jc w:val="center"/>
              <w:rPr>
                <w:rFonts w:ascii="宋体" w:hAnsi="宋体" w:eastAsia="宋体" w:cs="宋体"/>
                <w:color w:val="000000" w:themeColor="text1"/>
                <w:kern w:val="0"/>
                <w:sz w:val="22"/>
                <w:szCs w:val="22"/>
                <w14:textFill>
                  <w14:solidFill>
                    <w14:schemeClr w14:val="tx1"/>
                  </w14:solidFill>
                </w14:textFill>
              </w:rPr>
            </w:pPr>
          </w:p>
        </w:tc>
        <w:tc>
          <w:tcPr>
            <w:tcW w:w="1199" w:type="dxa"/>
            <w:vMerge w:val="restart"/>
            <w:tcBorders>
              <w:top w:val="single" w:color="000000" w:sz="8" w:space="0"/>
              <w:left w:val="single" w:color="000000" w:sz="8" w:space="0"/>
              <w:right w:val="single" w:color="000000" w:sz="8" w:space="0"/>
            </w:tcBorders>
            <w:shd w:val="clear" w:color="auto" w:fill="FFFFFF"/>
            <w:vAlign w:val="center"/>
          </w:tcPr>
          <w:p w14:paraId="235ECBCB">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资金</w:t>
            </w:r>
            <w:r>
              <w:rPr>
                <w:rFonts w:ascii="宋体" w:hAnsi="宋体" w:eastAsia="宋体" w:cs="宋体"/>
                <w:color w:val="000000" w:themeColor="text1"/>
                <w:kern w:val="0"/>
                <w:sz w:val="22"/>
                <w:szCs w:val="22"/>
                <w14:textFill>
                  <w14:solidFill>
                    <w14:schemeClr w14:val="tx1"/>
                  </w14:solidFill>
                </w14:textFill>
              </w:rPr>
              <w:t>管理</w:t>
            </w:r>
          </w:p>
          <w:p w14:paraId="122CDAAB">
            <w:pPr>
              <w:spacing w:line="0" w:lineRule="atLeast"/>
              <w:jc w:val="center"/>
              <w:rPr>
                <w:rFonts w:ascii="宋体" w:hAnsi="宋体" w:eastAsia="宋体" w:cs="宋体"/>
                <w:color w:val="000000" w:themeColor="text1"/>
                <w:kern w:val="0"/>
                <w:sz w:val="22"/>
                <w:szCs w:val="22"/>
                <w14:textFill>
                  <w14:solidFill>
                    <w14:schemeClr w14:val="tx1"/>
                  </w14:solidFill>
                </w14:textFill>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57E316">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预算执行率</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68F482">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项目预算资金是否按照计划执行，用以反映或考核项目预算执行情况。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6F0D24">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预算执行率=（实际支出资金/实际到位资金）×100%。</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实际支出资金：一定时期（本年度或项目期）内项目实际拨付的资金。</w:t>
            </w:r>
          </w:p>
        </w:tc>
      </w:tr>
      <w:tr w14:paraId="63CB7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25" w:hRule="atLeast"/>
          <w:jc w:val="center"/>
        </w:trPr>
        <w:tc>
          <w:tcPr>
            <w:tcW w:w="861" w:type="dxa"/>
            <w:vMerge w:val="continue"/>
            <w:tcBorders>
              <w:left w:val="single" w:color="000000" w:sz="8" w:space="0"/>
              <w:right w:val="single" w:color="000000" w:sz="8" w:space="0"/>
            </w:tcBorders>
            <w:shd w:val="clear" w:color="auto" w:fill="FFFFFF"/>
            <w:vAlign w:val="center"/>
          </w:tcPr>
          <w:p w14:paraId="0CD6CA46">
            <w:pPr>
              <w:spacing w:line="0" w:lineRule="atLeast"/>
              <w:jc w:val="center"/>
              <w:rPr>
                <w:rFonts w:ascii="宋体" w:hAnsi="宋体" w:eastAsia="宋体" w:cs="宋体"/>
                <w:color w:val="000000" w:themeColor="text1"/>
                <w:kern w:val="0"/>
                <w:sz w:val="22"/>
                <w:szCs w:val="22"/>
                <w14:textFill>
                  <w14:solidFill>
                    <w14:schemeClr w14:val="tx1"/>
                  </w14:solidFill>
                </w14:textFill>
              </w:rPr>
            </w:pPr>
          </w:p>
        </w:tc>
        <w:tc>
          <w:tcPr>
            <w:tcW w:w="1199" w:type="dxa"/>
            <w:vMerge w:val="continue"/>
            <w:tcBorders>
              <w:left w:val="single" w:color="000000" w:sz="8" w:space="0"/>
              <w:bottom w:val="single" w:color="000000" w:sz="8" w:space="0"/>
              <w:right w:val="single" w:color="000000" w:sz="8" w:space="0"/>
            </w:tcBorders>
            <w:shd w:val="clear" w:color="auto" w:fill="FFFFFF"/>
            <w:vAlign w:val="center"/>
          </w:tcPr>
          <w:p w14:paraId="4008B89D">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1C49CB">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资金使用</w:t>
            </w:r>
          </w:p>
          <w:p w14:paraId="649EF048">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合规性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8A34AB">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项目资金使用是否符合相关的财务管理制度规定，用以反映和考核项目资金的规范运行情况。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780315">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评价要点：</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①是否符合国家财经法规和财务管理制度以及有关专项资金管理办法的规定；</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②资金的拨付是否有完整的审批程序和手续；</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③是否符合项目预算批复或合同规定的用途；</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④是否存在截留、挤占、挪用、虚列支出等情况。</w:t>
            </w:r>
          </w:p>
        </w:tc>
      </w:tr>
      <w:tr w14:paraId="7A696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10" w:hRule="atLeast"/>
          <w:jc w:val="center"/>
        </w:trPr>
        <w:tc>
          <w:tcPr>
            <w:tcW w:w="861" w:type="dxa"/>
            <w:vMerge w:val="continue"/>
            <w:tcBorders>
              <w:left w:val="single" w:color="000000" w:sz="8" w:space="0"/>
              <w:right w:val="single" w:color="000000" w:sz="8" w:space="0"/>
            </w:tcBorders>
            <w:vAlign w:val="center"/>
          </w:tcPr>
          <w:p w14:paraId="03FF2692">
            <w:pPr>
              <w:widowControl/>
              <w:jc w:val="left"/>
              <w:rPr>
                <w:rFonts w:ascii="宋体" w:hAnsi="宋体" w:eastAsia="宋体" w:cs="宋体"/>
                <w:color w:val="000000" w:themeColor="text1"/>
                <w:kern w:val="0"/>
                <w:sz w:val="22"/>
                <w:szCs w:val="22"/>
                <w14:textFill>
                  <w14:solidFill>
                    <w14:schemeClr w14:val="tx1"/>
                  </w14:solidFill>
                </w14:textFill>
              </w:rPr>
            </w:pP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C07AF53">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组织实施</w:t>
            </w:r>
          </w:p>
          <w:p w14:paraId="55335AD3">
            <w:pPr>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09015B">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管理制度</w:t>
            </w:r>
          </w:p>
          <w:p w14:paraId="144054BA">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健全性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D1786B">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项目实施单位的财务和业务管理制度是否健全，用以反映和考核财务和业务管理制度对项目顺利实施的保障情况。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5D7915">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评价要点：</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①是否已制定或具有相应的财务和业务管理制度；</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②财务和业务管理制度是否合法、合规、完整。</w:t>
            </w:r>
          </w:p>
        </w:tc>
      </w:tr>
      <w:tr w14:paraId="140E9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32" w:hRule="atLeast"/>
          <w:jc w:val="center"/>
        </w:trPr>
        <w:tc>
          <w:tcPr>
            <w:tcW w:w="861" w:type="dxa"/>
            <w:vMerge w:val="continue"/>
            <w:tcBorders>
              <w:left w:val="single" w:color="000000" w:sz="8" w:space="0"/>
              <w:bottom w:val="single" w:color="000000" w:sz="8" w:space="0"/>
              <w:right w:val="single" w:color="000000" w:sz="8" w:space="0"/>
            </w:tcBorders>
            <w:vAlign w:val="center"/>
          </w:tcPr>
          <w:p w14:paraId="50FF189B">
            <w:pPr>
              <w:widowControl/>
              <w:jc w:val="left"/>
              <w:rPr>
                <w:rFonts w:ascii="宋体" w:hAnsi="宋体" w:eastAsia="宋体" w:cs="宋体"/>
                <w:color w:val="000000" w:themeColor="text1"/>
                <w:kern w:val="0"/>
                <w:sz w:val="22"/>
                <w:szCs w:val="22"/>
                <w14:textFill>
                  <w14:solidFill>
                    <w14:schemeClr w14:val="tx1"/>
                  </w14:solidFill>
                </w14:textFill>
              </w:rPr>
            </w:pPr>
          </w:p>
        </w:tc>
        <w:tc>
          <w:tcPr>
            <w:tcW w:w="1199" w:type="dxa"/>
            <w:vMerge w:val="continue"/>
            <w:tcBorders>
              <w:top w:val="single" w:color="000000" w:sz="8" w:space="0"/>
              <w:left w:val="single" w:color="000000" w:sz="8" w:space="0"/>
              <w:bottom w:val="single" w:color="000000" w:sz="8" w:space="0"/>
              <w:right w:val="single" w:color="000000" w:sz="8" w:space="0"/>
            </w:tcBorders>
            <w:vAlign w:val="center"/>
          </w:tcPr>
          <w:p w14:paraId="43C85094">
            <w:pPr>
              <w:widowControl/>
              <w:jc w:val="left"/>
              <w:rPr>
                <w:rFonts w:ascii="宋体" w:hAnsi="宋体" w:eastAsia="宋体" w:cs="宋体"/>
                <w:color w:val="000000" w:themeColor="text1"/>
                <w:kern w:val="0"/>
                <w:sz w:val="22"/>
                <w:szCs w:val="22"/>
                <w14:textFill>
                  <w14:solidFill>
                    <w14:schemeClr w14:val="tx1"/>
                  </w14:solidFill>
                </w14:textFill>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92142C">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制度执行</w:t>
            </w:r>
          </w:p>
          <w:p w14:paraId="48798B3C">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有效性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D5CF84">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项目实施是否符合相关管理规定，用以反映和考核相关管理制度的有效执行情况。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53FFFD">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评价要点：</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①是否遵守相关法律法规和相关管理规定；</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②项目调整及支出调整手续是否完备；</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③项目合同书、验收报告、技术鉴定等资料是否齐全并及时归档；</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④项目实施的人员条件、场地设备、信息支撑等是否落实到位。</w:t>
            </w:r>
          </w:p>
        </w:tc>
      </w:tr>
      <w:tr w14:paraId="1CD49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vMerge w:val="restart"/>
            <w:tcBorders>
              <w:top w:val="single" w:color="000000" w:sz="8" w:space="0"/>
              <w:left w:val="single" w:color="000000" w:sz="8" w:space="0"/>
              <w:right w:val="single" w:color="000000" w:sz="8" w:space="0"/>
            </w:tcBorders>
            <w:shd w:val="clear" w:color="auto" w:fill="FFFFFF"/>
            <w:vAlign w:val="center"/>
          </w:tcPr>
          <w:p w14:paraId="2031D818">
            <w:pPr>
              <w:widowControl/>
              <w:spacing w:line="0"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产出</w:t>
            </w:r>
          </w:p>
          <w:p w14:paraId="173646E4">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E1F9CA">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产出数量</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D05E42">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实际完成率</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02AF05">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项目实施的实际产出数与计划产出数的比率，用以反映和考核项目产出数量目标的实现程度。</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E4C484">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实际完成率=（实际产出数/计划产出数）×100%。</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实际产出数：一定时期（本年度或项目期）内项目实际产出的产品或提供的服务数量。</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计划产出数：项目绩效目标确定的在一定时期（本年度或项目期）内计划产出的产品或提供的服务数量。</w:t>
            </w:r>
          </w:p>
        </w:tc>
      </w:tr>
      <w:tr w14:paraId="45024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continue"/>
            <w:tcBorders>
              <w:left w:val="single" w:color="000000" w:sz="8" w:space="0"/>
              <w:right w:val="single" w:color="000000" w:sz="8" w:space="0"/>
            </w:tcBorders>
            <w:shd w:val="clear" w:color="auto" w:fill="FFFFFF"/>
            <w:vAlign w:val="center"/>
          </w:tcPr>
          <w:p w14:paraId="6A6C27F7">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77BD45">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产出质量</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69217A">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质量达标率</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C88FD0">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项目完成的质量达标产出数与实际产出数的比率，用以反映和考核项目产出质量目标的实现程度。</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198C8A">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质量达标率=（质量达标产出数/实际产出数）×100%。</w:t>
            </w:r>
          </w:p>
          <w:p w14:paraId="20BCA178">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1ABCB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tcBorders>
              <w:left w:val="single" w:color="000000" w:sz="8" w:space="0"/>
              <w:right w:val="single" w:color="000000" w:sz="8" w:space="0"/>
            </w:tcBorders>
            <w:vAlign w:val="center"/>
          </w:tcPr>
          <w:p w14:paraId="54AA31B9">
            <w:pPr>
              <w:widowControl/>
              <w:jc w:val="left"/>
              <w:rPr>
                <w:rFonts w:ascii="宋体" w:hAnsi="宋体" w:eastAsia="宋体" w:cs="宋体"/>
                <w:color w:val="000000" w:themeColor="text1"/>
                <w:kern w:val="0"/>
                <w:sz w:val="22"/>
                <w:szCs w:val="22"/>
                <w14:textFill>
                  <w14:solidFill>
                    <w14:schemeClr w14:val="tx1"/>
                  </w14:solidFill>
                </w14:textFill>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629C52">
            <w:pPr>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产出时效</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536489">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完成及时性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75CC6E">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项目实际完成时间与计划完成时间的比较，用以反映和考核项目产出时效目标的实现程度。</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15671D">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实际完成时间：项目实施单位完成该项目实际所耗用的时间。</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计划完成时间：按照项目实施计划或相关规定完成该项目所需的时间。</w:t>
            </w:r>
          </w:p>
        </w:tc>
      </w:tr>
      <w:tr w14:paraId="6D1AF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tcBorders>
              <w:left w:val="single" w:color="000000" w:sz="8" w:space="0"/>
              <w:bottom w:val="single" w:color="000000" w:sz="8" w:space="0"/>
              <w:right w:val="single" w:color="000000" w:sz="8" w:space="0"/>
            </w:tcBorders>
            <w:vAlign w:val="center"/>
          </w:tcPr>
          <w:p w14:paraId="6A15D30F">
            <w:pPr>
              <w:widowControl/>
              <w:jc w:val="left"/>
              <w:rPr>
                <w:rFonts w:ascii="宋体" w:hAnsi="宋体" w:eastAsia="宋体" w:cs="宋体"/>
                <w:color w:val="000000" w:themeColor="text1"/>
                <w:kern w:val="0"/>
                <w:sz w:val="22"/>
                <w:szCs w:val="22"/>
                <w14:textFill>
                  <w14:solidFill>
                    <w14:schemeClr w14:val="tx1"/>
                  </w14:solidFill>
                </w14:textFill>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AFDDAD">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产出成本</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27718C">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成本节约率</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EBEE78">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完成项目计划工作目标的实际节约成本与计划成本的比率，用以反映和考核项目的成本节约程度。</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7A253E">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成本节约率=[（计划成本-实际成本）/计划成本]×100%。</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实际成本：项目实施单位如期、保质、保量完成既定工作目标实际所耗费的支出。</w:t>
            </w:r>
            <w:r>
              <w:rPr>
                <w:rFonts w:hint="eastAsia" w:ascii="宋体" w:hAnsi="宋体" w:eastAsia="宋体" w:cs="宋体"/>
                <w:color w:val="000000" w:themeColor="text1"/>
                <w:kern w:val="0"/>
                <w:sz w:val="22"/>
                <w:szCs w:val="22"/>
                <w14:textFill>
                  <w14:solidFill>
                    <w14:schemeClr w14:val="tx1"/>
                  </w14:solidFill>
                </w14:textFill>
              </w:rPr>
              <w:br w:type="textWrapping"/>
            </w:r>
            <w:r>
              <w:rPr>
                <w:rFonts w:hint="eastAsia" w:ascii="宋体" w:hAnsi="宋体" w:eastAsia="宋体" w:cs="宋体"/>
                <w:color w:val="000000" w:themeColor="text1"/>
                <w:kern w:val="0"/>
                <w:sz w:val="22"/>
                <w:szCs w:val="22"/>
                <w14:textFill>
                  <w14:solidFill>
                    <w14:schemeClr w14:val="tx1"/>
                  </w14:solidFill>
                </w14:textFill>
              </w:rPr>
              <w:t>计划成本：项目实施单位为完成工作目标计划安排的支出，一般以项目预算为参考。</w:t>
            </w:r>
          </w:p>
        </w:tc>
      </w:tr>
      <w:tr w14:paraId="052FF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8D4A16B">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效益　</w:t>
            </w: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9291F08">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项目效益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E8ECC6">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实施效益</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7C072C">
            <w:pPr>
              <w:widowControl/>
              <w:spacing w:line="0" w:lineRule="atLeast"/>
              <w:jc w:val="lef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项目实施所产生的效益。</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D39F4F">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项目实施所产生的社会效益、经济效益、生态效益、可持续影响等。可根据项目实际情况有选择地设置和细化。</w:t>
            </w:r>
          </w:p>
        </w:tc>
      </w:tr>
      <w:tr w14:paraId="429FC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14:paraId="53CAD2FC">
            <w:pPr>
              <w:widowControl/>
              <w:jc w:val="left"/>
              <w:rPr>
                <w:rFonts w:ascii="宋体" w:hAnsi="宋体" w:eastAsia="宋体" w:cs="宋体"/>
                <w:color w:val="000000" w:themeColor="text1"/>
                <w:kern w:val="0"/>
                <w:sz w:val="22"/>
                <w:szCs w:val="22"/>
                <w14:textFill>
                  <w14:solidFill>
                    <w14:schemeClr w14:val="tx1"/>
                  </w14:solidFill>
                </w14:textFill>
              </w:rPr>
            </w:pPr>
          </w:p>
        </w:tc>
        <w:tc>
          <w:tcPr>
            <w:tcW w:w="1199" w:type="dxa"/>
            <w:vMerge w:val="continue"/>
            <w:tcBorders>
              <w:top w:val="single" w:color="000000" w:sz="8" w:space="0"/>
              <w:left w:val="single" w:color="000000" w:sz="8" w:space="0"/>
              <w:bottom w:val="single" w:color="000000" w:sz="8" w:space="0"/>
              <w:right w:val="single" w:color="000000" w:sz="8" w:space="0"/>
            </w:tcBorders>
            <w:vAlign w:val="center"/>
          </w:tcPr>
          <w:p w14:paraId="05033C64">
            <w:pPr>
              <w:widowControl/>
              <w:jc w:val="left"/>
              <w:rPr>
                <w:rFonts w:ascii="宋体" w:hAnsi="宋体" w:eastAsia="宋体" w:cs="宋体"/>
                <w:color w:val="000000" w:themeColor="text1"/>
                <w:kern w:val="0"/>
                <w:sz w:val="22"/>
                <w:szCs w:val="22"/>
                <w14:textFill>
                  <w14:solidFill>
                    <w14:schemeClr w14:val="tx1"/>
                  </w14:solidFill>
                </w14:textFill>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A8469E">
            <w:pPr>
              <w:widowControl/>
              <w:spacing w:line="0" w:lineRule="atLeast"/>
              <w:jc w:val="center"/>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满意度</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87D828">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社会公众或服务对象对项目实施效果的满意程度。</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D76B78">
            <w:pPr>
              <w:widowControl/>
              <w:spacing w:line="0" w:lineRule="atLeast"/>
              <w:rPr>
                <w:rFonts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社会公众或服务对象是指因该项目实施而受到影响的部门（单位）、群体或个人。一般采取社会调查的方式。</w:t>
            </w:r>
          </w:p>
        </w:tc>
      </w:tr>
    </w:tbl>
    <w:p w14:paraId="675DAD49"/>
    <w:p w14:paraId="106DB99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8A248"/>
    <w:multiLevelType w:val="singleLevel"/>
    <w:tmpl w:val="C528A24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7AECF"/>
    <w:rsid w:val="00A3161A"/>
    <w:rsid w:val="01C31C9D"/>
    <w:rsid w:val="057A17B3"/>
    <w:rsid w:val="17163A31"/>
    <w:rsid w:val="28FC5518"/>
    <w:rsid w:val="2DC23B73"/>
    <w:rsid w:val="3EA30B03"/>
    <w:rsid w:val="3F1F75C9"/>
    <w:rsid w:val="40273D0A"/>
    <w:rsid w:val="44B17A90"/>
    <w:rsid w:val="462211FB"/>
    <w:rsid w:val="49066BB2"/>
    <w:rsid w:val="5E9465B6"/>
    <w:rsid w:val="5F6B7317"/>
    <w:rsid w:val="6773145F"/>
    <w:rsid w:val="68BB638A"/>
    <w:rsid w:val="6B6932A5"/>
    <w:rsid w:val="6EBDBD0C"/>
    <w:rsid w:val="6EC802E2"/>
    <w:rsid w:val="72872628"/>
    <w:rsid w:val="755792D5"/>
    <w:rsid w:val="7677AECF"/>
    <w:rsid w:val="769D02A6"/>
    <w:rsid w:val="79507E21"/>
    <w:rsid w:val="79766B8D"/>
    <w:rsid w:val="B9FABF39"/>
    <w:rsid w:val="C7DB6D84"/>
    <w:rsid w:val="FD5F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2"/>
    <w:basedOn w:val="1"/>
    <w:next w:val="1"/>
    <w:unhideWhenUsed/>
    <w:qFormat/>
    <w:uiPriority w:val="0"/>
    <w:pPr>
      <w:keepNext/>
      <w:keepLines/>
      <w:spacing w:before="260" w:after="260" w:line="412"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4">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lang w:val="en-US" w:eastAsia="zh-CN" w:bidi="ar-SA"/>
    </w:rPr>
  </w:style>
  <w:style w:type="character" w:styleId="7">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5523</Words>
  <Characters>5623</Characters>
  <Lines>0</Lines>
  <Paragraphs>0</Paragraphs>
  <TotalTime>12</TotalTime>
  <ScaleCrop>false</ScaleCrop>
  <LinksUpToDate>false</LinksUpToDate>
  <CharactersWithSpaces>5641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2023-03-03T07:53:00Z</dcterms:created>
  <dc:creator>bbcz</dc:creator>
  <cp:lastModifiedBy>a little story</cp:lastModifiedBy>
  <cp:lastPrinted>2023-03-08T00:15:00Z</cp:lastPrinted>
  <dcterms:modified xsi:type="dcterms:W3CDTF">2025-08-25T07:02:08Z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eyJoZGlkIjoiMGI5OGY1MzIxOWY0NGVjMzE5YWY2N2Y1MjU3MmJhZmYiLCJ1c2VySWQiOiIzMTczNTU2NDEifQ==</vt:lpwstr>
  </property>
  <property fmtid="{D5CDD505-2E9C-101B-9397-08002B2CF9AE}" pid="4" name="ICV">
    <vt:lpwstr>F078C35F352A4EC3BEDFD1CFA09197FF_12</vt:lpwstr>
  </property>
</Properties>
</file>