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firstLine="420"/>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360" w:lineRule="auto"/>
        <w:ind w:left="1921" w:leftChars="150" w:hanging="1606" w:hangingChars="500"/>
        <w:rPr>
          <w:b/>
          <w:bCs/>
          <w:color w:val="auto"/>
          <w:kern w:val="0"/>
          <w:sz w:val="32"/>
          <w:szCs w:val="32"/>
          <w:u w:val="single"/>
        </w:rPr>
      </w:pPr>
      <w:bookmarkStart w:id="0" w:name="_Hlk57884087"/>
      <w:r>
        <w:rPr>
          <w:b/>
          <w:bCs/>
          <w:color w:val="auto"/>
          <w:kern w:val="0"/>
          <w:sz w:val="32"/>
          <w:szCs w:val="32"/>
        </w:rPr>
        <w:t>项目名称：</w:t>
      </w:r>
      <w:r>
        <w:rPr>
          <w:rFonts w:hint="eastAsia"/>
          <w:b/>
          <w:bCs/>
          <w:color w:val="auto"/>
          <w:kern w:val="0"/>
          <w:sz w:val="32"/>
          <w:szCs w:val="32"/>
          <w:u w:val="single"/>
        </w:rPr>
        <w:t xml:space="preserve">            </w:t>
      </w:r>
      <w:r>
        <w:rPr>
          <w:rFonts w:hint="eastAsia"/>
          <w:b/>
          <w:bCs/>
          <w:snapToGrid w:val="0"/>
          <w:color w:val="auto"/>
          <w:kern w:val="0"/>
          <w:sz w:val="32"/>
          <w:szCs w:val="32"/>
          <w:u w:val="single"/>
        </w:rPr>
        <w:t>智能显温器材生产项目</w:t>
      </w:r>
      <w:r>
        <w:rPr>
          <w:rFonts w:hint="eastAsia"/>
          <w:b/>
          <w:bCs/>
          <w:color w:val="auto"/>
          <w:kern w:val="0"/>
          <w:sz w:val="32"/>
          <w:szCs w:val="32"/>
          <w:u w:val="single"/>
        </w:rPr>
        <w:t xml:space="preserve">            </w:t>
      </w:r>
    </w:p>
    <w:p>
      <w:pPr>
        <w:adjustRightInd w:val="0"/>
        <w:snapToGrid w:val="0"/>
        <w:spacing w:line="360" w:lineRule="auto"/>
        <w:ind w:firstLine="321" w:firstLineChars="100"/>
        <w:rPr>
          <w:b/>
          <w:bCs/>
          <w:color w:val="auto"/>
          <w:kern w:val="0"/>
          <w:sz w:val="32"/>
          <w:szCs w:val="32"/>
          <w:u w:val="single"/>
        </w:rPr>
      </w:pPr>
      <w:r>
        <w:rPr>
          <w:b/>
          <w:bCs/>
          <w:color w:val="auto"/>
          <w:kern w:val="0"/>
          <w:sz w:val="32"/>
          <w:szCs w:val="32"/>
        </w:rPr>
        <w:t>建设单位（盖章）：</w:t>
      </w:r>
      <w:r>
        <w:rPr>
          <w:b/>
          <w:bCs/>
          <w:color w:val="auto"/>
          <w:kern w:val="0"/>
          <w:sz w:val="32"/>
          <w:szCs w:val="32"/>
          <w:u w:val="single"/>
        </w:rPr>
        <w:t xml:space="preserve"> </w:t>
      </w:r>
      <w:r>
        <w:rPr>
          <w:rFonts w:hint="eastAsia"/>
          <w:b/>
          <w:bCs/>
          <w:color w:val="auto"/>
          <w:kern w:val="0"/>
          <w:sz w:val="32"/>
          <w:szCs w:val="32"/>
          <w:u w:val="single"/>
        </w:rPr>
        <w:t xml:space="preserve">    </w:t>
      </w:r>
      <w:r>
        <w:rPr>
          <w:rFonts w:hint="eastAsia"/>
          <w:b/>
          <w:bCs/>
          <w:color w:val="auto"/>
          <w:kern w:val="0"/>
          <w:sz w:val="32"/>
          <w:szCs w:val="32"/>
          <w:u w:val="single"/>
          <w:lang w:val="en-US" w:eastAsia="zh-CN"/>
        </w:rPr>
        <w:t xml:space="preserve"> </w:t>
      </w:r>
      <w:r>
        <w:rPr>
          <w:rFonts w:hint="eastAsia"/>
          <w:b/>
          <w:bCs/>
          <w:color w:val="auto"/>
          <w:kern w:val="0"/>
          <w:sz w:val="32"/>
          <w:szCs w:val="32"/>
          <w:u w:val="single"/>
          <w:lang w:eastAsia="zh-CN"/>
        </w:rPr>
        <w:t>蚌埠顺泰日用百货有限公司</w:t>
      </w:r>
      <w:r>
        <w:rPr>
          <w:rFonts w:hint="eastAsia"/>
          <w:b/>
          <w:bCs/>
          <w:color w:val="auto"/>
          <w:kern w:val="0"/>
          <w:sz w:val="32"/>
          <w:szCs w:val="32"/>
          <w:u w:val="single"/>
        </w:rPr>
        <w:t xml:space="preserve">    </w:t>
      </w:r>
      <w:r>
        <w:rPr>
          <w:rFonts w:hint="eastAsia"/>
          <w:b/>
          <w:bCs/>
          <w:color w:val="auto"/>
          <w:kern w:val="0"/>
          <w:sz w:val="32"/>
          <w:szCs w:val="32"/>
          <w:u w:val="single"/>
          <w:lang w:val="en-US" w:eastAsia="zh-CN"/>
        </w:rPr>
        <w:t xml:space="preserve"> </w:t>
      </w:r>
      <w:r>
        <w:rPr>
          <w:rFonts w:hint="eastAsia"/>
          <w:b/>
          <w:bCs/>
          <w:color w:val="auto"/>
          <w:kern w:val="0"/>
          <w:sz w:val="32"/>
          <w:szCs w:val="32"/>
          <w:u w:val="single"/>
        </w:rPr>
        <w:t xml:space="preserve"> </w:t>
      </w:r>
    </w:p>
    <w:p>
      <w:pPr>
        <w:adjustRightInd w:val="0"/>
        <w:snapToGrid w:val="0"/>
        <w:spacing w:line="360" w:lineRule="auto"/>
        <w:ind w:firstLine="321" w:firstLineChars="100"/>
        <w:rPr>
          <w:rFonts w:ascii="仿宋_GB2312"/>
          <w:b/>
          <w:bCs/>
          <w:color w:val="auto"/>
          <w:sz w:val="36"/>
          <w:szCs w:val="36"/>
          <w:u w:val="single"/>
        </w:rPr>
      </w:pPr>
      <w:r>
        <w:rPr>
          <w:b/>
          <w:bCs/>
          <w:color w:val="auto"/>
          <w:kern w:val="0"/>
          <w:sz w:val="32"/>
          <w:szCs w:val="32"/>
        </w:rPr>
        <w:t>编制日期：</w:t>
      </w:r>
      <w:r>
        <w:rPr>
          <w:b/>
          <w:bCs/>
          <w:color w:val="auto"/>
          <w:kern w:val="0"/>
          <w:sz w:val="32"/>
          <w:szCs w:val="32"/>
          <w:u w:val="single"/>
        </w:rPr>
        <w:t xml:space="preserve">            </w:t>
      </w:r>
      <w:r>
        <w:rPr>
          <w:rFonts w:hint="eastAsia"/>
          <w:b/>
          <w:bCs/>
          <w:color w:val="auto"/>
          <w:kern w:val="0"/>
          <w:sz w:val="32"/>
          <w:szCs w:val="32"/>
          <w:u w:val="single"/>
        </w:rPr>
        <w:t xml:space="preserve">      </w:t>
      </w:r>
      <w:r>
        <w:rPr>
          <w:b/>
          <w:bCs/>
          <w:color w:val="auto"/>
          <w:kern w:val="0"/>
          <w:sz w:val="32"/>
          <w:szCs w:val="32"/>
          <w:u w:val="single"/>
        </w:rPr>
        <w:t>202</w:t>
      </w:r>
      <w:r>
        <w:rPr>
          <w:rFonts w:hint="eastAsia"/>
          <w:b/>
          <w:bCs/>
          <w:color w:val="auto"/>
          <w:kern w:val="0"/>
          <w:sz w:val="32"/>
          <w:szCs w:val="32"/>
          <w:u w:val="single"/>
        </w:rPr>
        <w:t>5</w:t>
      </w:r>
      <w:r>
        <w:rPr>
          <w:b/>
          <w:bCs/>
          <w:color w:val="auto"/>
          <w:kern w:val="0"/>
          <w:sz w:val="32"/>
          <w:szCs w:val="32"/>
          <w:u w:val="single"/>
        </w:rPr>
        <w:t>年</w:t>
      </w:r>
      <w:r>
        <w:rPr>
          <w:rFonts w:hint="eastAsia"/>
          <w:b/>
          <w:bCs/>
          <w:color w:val="auto"/>
          <w:kern w:val="0"/>
          <w:sz w:val="32"/>
          <w:szCs w:val="32"/>
          <w:u w:val="single"/>
          <w:lang w:val="en-US" w:eastAsia="zh-CN"/>
        </w:rPr>
        <w:t>9</w:t>
      </w:r>
      <w:r>
        <w:rPr>
          <w:b/>
          <w:bCs/>
          <w:color w:val="auto"/>
          <w:kern w:val="0"/>
          <w:sz w:val="32"/>
          <w:szCs w:val="32"/>
          <w:u w:val="single"/>
        </w:rPr>
        <w:t>月</w:t>
      </w:r>
      <w:r>
        <w:rPr>
          <w:rFonts w:hint="eastAsia"/>
          <w:b/>
          <w:bCs/>
          <w:color w:val="auto"/>
          <w:kern w:val="0"/>
          <w:sz w:val="32"/>
          <w:szCs w:val="32"/>
          <w:u w:val="single"/>
        </w:rPr>
        <w:t xml:space="preserve"> </w:t>
      </w:r>
      <w:r>
        <w:rPr>
          <w:b/>
          <w:bCs/>
          <w:color w:val="auto"/>
          <w:kern w:val="0"/>
          <w:sz w:val="32"/>
          <w:szCs w:val="32"/>
          <w:u w:val="single"/>
        </w:rPr>
        <w:t xml:space="preserve">      </w:t>
      </w:r>
      <w:r>
        <w:rPr>
          <w:rFonts w:hint="eastAsia"/>
          <w:b/>
          <w:bCs/>
          <w:color w:val="auto"/>
          <w:kern w:val="0"/>
          <w:sz w:val="32"/>
          <w:szCs w:val="32"/>
          <w:u w:val="single"/>
        </w:rPr>
        <w:t xml:space="preserve"> </w:t>
      </w:r>
      <w:r>
        <w:rPr>
          <w:b/>
          <w:bCs/>
          <w:color w:val="auto"/>
          <w:kern w:val="0"/>
          <w:sz w:val="32"/>
          <w:szCs w:val="32"/>
          <w:u w:val="single"/>
        </w:rPr>
        <w:t xml:space="preserve">      </w:t>
      </w:r>
      <w:r>
        <w:rPr>
          <w:rFonts w:hint="eastAsia"/>
          <w:b/>
          <w:bCs/>
          <w:color w:val="auto"/>
          <w:kern w:val="0"/>
          <w:sz w:val="32"/>
          <w:szCs w:val="32"/>
          <w:u w:val="single"/>
        </w:rPr>
        <w:t xml:space="preserve">  </w:t>
      </w: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pStyle w:val="16"/>
        <w:rPr>
          <w:color w:val="auto"/>
        </w:rPr>
      </w:pPr>
    </w:p>
    <w:bookmarkEnd w:id="0"/>
    <w:p>
      <w:pPr>
        <w:adjustRightInd w:val="0"/>
        <w:snapToGrid w:val="0"/>
        <w:spacing w:line="288" w:lineRule="auto"/>
        <w:jc w:val="center"/>
        <w:rPr>
          <w:rFonts w:ascii="楷体_GB2312" w:eastAsia="楷体_GB2312"/>
          <w:b/>
          <w:bCs/>
          <w:color w:val="auto"/>
          <w:sz w:val="36"/>
          <w:szCs w:val="36"/>
        </w:rPr>
      </w:pPr>
      <w:r>
        <w:rPr>
          <w:rFonts w:hint="eastAsia" w:ascii="楷体_GB2312" w:eastAsia="楷体_GB2312"/>
          <w:b/>
          <w:bCs/>
          <w:color w:val="auto"/>
          <w:sz w:val="36"/>
          <w:szCs w:val="36"/>
        </w:rPr>
        <w:t>中华人民共和国生态环境部制</w:t>
      </w:r>
    </w:p>
    <w:p>
      <w:pPr>
        <w:adjustRightInd w:val="0"/>
        <w:snapToGrid w:val="0"/>
        <w:spacing w:line="288" w:lineRule="auto"/>
        <w:rPr>
          <w:rFonts w:ascii="楷体_GB2312" w:eastAsia="楷体_GB2312"/>
          <w:color w:val="auto"/>
          <w:sz w:val="36"/>
          <w:szCs w:val="36"/>
        </w:rPr>
      </w:pPr>
    </w:p>
    <w:p>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474" w:right="1417" w:bottom="1474" w:left="1417" w:header="907" w:footer="907" w:gutter="0"/>
          <w:pgNumType w:start="3"/>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8"/>
        <w:tblW w:w="96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90"/>
        <w:gridCol w:w="2310"/>
        <w:gridCol w:w="2327"/>
        <w:gridCol w:w="33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建设项目名称</w:t>
            </w:r>
          </w:p>
        </w:tc>
        <w:tc>
          <w:tcPr>
            <w:tcW w:w="8011" w:type="dxa"/>
            <w:gridSpan w:val="3"/>
            <w:vAlign w:val="center"/>
          </w:tcPr>
          <w:p>
            <w:pPr>
              <w:adjustRightInd w:val="0"/>
              <w:snapToGrid w:val="0"/>
              <w:ind w:left="42" w:leftChars="20" w:right="42" w:rightChars="20"/>
              <w:jc w:val="center"/>
              <w:rPr>
                <w:color w:val="auto"/>
                <w:sz w:val="24"/>
              </w:rPr>
            </w:pPr>
            <w:r>
              <w:rPr>
                <w:rFonts w:hint="eastAsia"/>
                <w:color w:val="auto"/>
                <w:sz w:val="24"/>
              </w:rPr>
              <w:t>智能显温器材生产项目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项目代码</w:t>
            </w:r>
          </w:p>
        </w:tc>
        <w:tc>
          <w:tcPr>
            <w:tcW w:w="8011" w:type="dxa"/>
            <w:gridSpan w:val="3"/>
            <w:vAlign w:val="center"/>
          </w:tcPr>
          <w:p>
            <w:pPr>
              <w:adjustRightInd w:val="0"/>
              <w:snapToGrid w:val="0"/>
              <w:ind w:left="42" w:leftChars="20" w:right="42" w:rightChars="20"/>
              <w:jc w:val="center"/>
              <w:rPr>
                <w:color w:val="auto"/>
                <w:sz w:val="24"/>
              </w:rPr>
            </w:pPr>
            <w:r>
              <w:rPr>
                <w:rFonts w:hint="eastAsia"/>
                <w:color w:val="auto"/>
                <w:sz w:val="24"/>
              </w:rPr>
              <w:t>2506-340323-04-01-883529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建设单位</w:t>
            </w:r>
          </w:p>
          <w:p>
            <w:pPr>
              <w:adjustRightInd w:val="0"/>
              <w:snapToGrid w:val="0"/>
              <w:ind w:left="42" w:leftChars="20" w:right="42" w:rightChars="20"/>
              <w:jc w:val="center"/>
              <w:rPr>
                <w:b/>
                <w:bCs/>
                <w:color w:val="auto"/>
                <w:sz w:val="24"/>
              </w:rPr>
            </w:pPr>
            <w:r>
              <w:rPr>
                <w:b/>
                <w:bCs/>
                <w:color w:val="auto"/>
                <w:sz w:val="24"/>
              </w:rPr>
              <w:t>联系人</w:t>
            </w:r>
          </w:p>
        </w:tc>
        <w:tc>
          <w:tcPr>
            <w:tcW w:w="2310" w:type="dxa"/>
            <w:vAlign w:val="center"/>
          </w:tcPr>
          <w:p>
            <w:pPr>
              <w:adjustRightInd w:val="0"/>
              <w:snapToGrid w:val="0"/>
              <w:ind w:left="42" w:leftChars="20" w:right="42" w:rightChars="20"/>
              <w:jc w:val="center"/>
              <w:rPr>
                <w:color w:val="auto"/>
                <w:sz w:val="24"/>
              </w:rPr>
            </w:pPr>
            <w:r>
              <w:rPr>
                <w:rFonts w:hint="eastAsia"/>
                <w:color w:val="auto"/>
                <w:sz w:val="24"/>
              </w:rPr>
              <w:t>陈文杰</w:t>
            </w:r>
          </w:p>
        </w:tc>
        <w:tc>
          <w:tcPr>
            <w:tcW w:w="2327" w:type="dxa"/>
            <w:vAlign w:val="center"/>
          </w:tcPr>
          <w:p>
            <w:pPr>
              <w:adjustRightInd w:val="0"/>
              <w:snapToGrid w:val="0"/>
              <w:ind w:left="42" w:leftChars="20" w:right="42" w:rightChars="20"/>
              <w:jc w:val="center"/>
              <w:rPr>
                <w:color w:val="auto"/>
                <w:sz w:val="24"/>
              </w:rPr>
            </w:pPr>
            <w:r>
              <w:rPr>
                <w:b/>
                <w:bCs/>
                <w:color w:val="auto"/>
                <w:sz w:val="24"/>
              </w:rPr>
              <w:t>联系方式</w:t>
            </w:r>
          </w:p>
        </w:tc>
        <w:tc>
          <w:tcPr>
            <w:tcW w:w="3374" w:type="dxa"/>
            <w:vAlign w:val="center"/>
          </w:tcPr>
          <w:p>
            <w:pPr>
              <w:adjustRightInd w:val="0"/>
              <w:snapToGrid w:val="0"/>
              <w:ind w:left="42" w:leftChars="20" w:right="42" w:rightChars="20"/>
              <w:jc w:val="center"/>
              <w:rPr>
                <w:color w:val="auto"/>
                <w:sz w:val="24"/>
              </w:rPr>
            </w:pPr>
            <w:r>
              <w:rPr>
                <w:rFonts w:hint="eastAsia"/>
                <w:color w:val="auto"/>
                <w:sz w:val="24"/>
              </w:rPr>
              <w:t>13855238201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建设地点</w:t>
            </w:r>
          </w:p>
        </w:tc>
        <w:tc>
          <w:tcPr>
            <w:tcW w:w="8011" w:type="dxa"/>
            <w:gridSpan w:val="3"/>
            <w:vAlign w:val="center"/>
          </w:tcPr>
          <w:p>
            <w:pPr>
              <w:adjustRightInd w:val="0"/>
              <w:snapToGrid w:val="0"/>
              <w:ind w:left="42" w:leftChars="20" w:right="42" w:rightChars="20"/>
              <w:jc w:val="center"/>
              <w:rPr>
                <w:color w:val="auto"/>
                <w:sz w:val="24"/>
              </w:rPr>
            </w:pPr>
            <w:r>
              <w:rPr>
                <w:rFonts w:hint="eastAsia"/>
                <w:color w:val="auto"/>
                <w:sz w:val="24"/>
              </w:rPr>
              <w:t>蚌埠市固镇县新马桥镇铜陵产业园规划十二号路东侧2#厂房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地理坐标</w:t>
            </w:r>
          </w:p>
        </w:tc>
        <w:tc>
          <w:tcPr>
            <w:tcW w:w="8011" w:type="dxa"/>
            <w:gridSpan w:val="3"/>
            <w:vAlign w:val="center"/>
          </w:tcPr>
          <w:p>
            <w:pPr>
              <w:adjustRightInd w:val="0"/>
              <w:snapToGrid w:val="0"/>
              <w:ind w:left="42" w:leftChars="20" w:right="42" w:rightChars="20"/>
              <w:jc w:val="center"/>
              <w:rPr>
                <w:color w:val="auto"/>
                <w:sz w:val="24"/>
              </w:rPr>
            </w:pPr>
            <w:r>
              <w:rPr>
                <w:color w:val="auto"/>
                <w:sz w:val="24"/>
                <w:u w:val="single"/>
              </w:rPr>
              <w:t xml:space="preserve"> 11</w:t>
            </w:r>
            <w:r>
              <w:rPr>
                <w:rFonts w:hint="eastAsia"/>
                <w:color w:val="auto"/>
                <w:sz w:val="24"/>
                <w:u w:val="single"/>
              </w:rPr>
              <w:t>7</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rPr>
              <w:t>24</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rPr>
              <w:t xml:space="preserve">10.826 </w:t>
            </w:r>
            <w:r>
              <w:rPr>
                <w:color w:val="auto"/>
                <w:sz w:val="24"/>
              </w:rPr>
              <w:t>秒，</w:t>
            </w:r>
            <w:r>
              <w:rPr>
                <w:color w:val="auto"/>
                <w:sz w:val="24"/>
                <w:u w:val="single"/>
              </w:rPr>
              <w:t xml:space="preserve"> 3</w:t>
            </w:r>
            <w:r>
              <w:rPr>
                <w:rFonts w:hint="eastAsia"/>
                <w:color w:val="auto"/>
                <w:sz w:val="24"/>
                <w:u w:val="single"/>
              </w:rPr>
              <w:t>3</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rPr>
              <w:t>06</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rPr>
              <w:t>50.727</w:t>
            </w:r>
            <w:r>
              <w:rPr>
                <w:color w:val="auto"/>
                <w:sz w:val="24"/>
                <w:u w:val="single"/>
              </w:rPr>
              <w:t xml:space="preserve"> </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国民经济行业类别</w:t>
            </w:r>
          </w:p>
        </w:tc>
        <w:tc>
          <w:tcPr>
            <w:tcW w:w="2310" w:type="dxa"/>
            <w:vAlign w:val="center"/>
          </w:tcPr>
          <w:p>
            <w:pPr>
              <w:widowControl/>
              <w:adjustRightInd w:val="0"/>
              <w:snapToGrid w:val="0"/>
              <w:ind w:left="42" w:leftChars="20" w:right="42" w:rightChars="20"/>
              <w:jc w:val="center"/>
              <w:rPr>
                <w:color w:val="auto"/>
                <w:sz w:val="24"/>
              </w:rPr>
            </w:pPr>
            <w:r>
              <w:rPr>
                <w:rFonts w:hint="eastAsia"/>
                <w:color w:val="auto"/>
                <w:sz w:val="24"/>
              </w:rPr>
              <w:t>C3859其他家用电力器具制造</w:t>
            </w:r>
          </w:p>
        </w:tc>
        <w:tc>
          <w:tcPr>
            <w:tcW w:w="2327" w:type="dxa"/>
            <w:vAlign w:val="center"/>
          </w:tcPr>
          <w:p>
            <w:pPr>
              <w:adjustRightInd w:val="0"/>
              <w:snapToGrid w:val="0"/>
              <w:ind w:left="42" w:leftChars="20" w:right="42" w:rightChars="20"/>
              <w:jc w:val="center"/>
              <w:rPr>
                <w:b/>
                <w:bCs/>
                <w:color w:val="auto"/>
                <w:sz w:val="24"/>
              </w:rPr>
            </w:pPr>
            <w:bookmarkStart w:id="1" w:name="_Hlk49843745"/>
            <w:r>
              <w:rPr>
                <w:b/>
                <w:bCs/>
                <w:color w:val="auto"/>
                <w:sz w:val="24"/>
              </w:rPr>
              <w:t>建设项目行业类别</w:t>
            </w:r>
            <w:bookmarkEnd w:id="1"/>
          </w:p>
        </w:tc>
        <w:tc>
          <w:tcPr>
            <w:tcW w:w="3374" w:type="dxa"/>
            <w:vAlign w:val="center"/>
          </w:tcPr>
          <w:p>
            <w:pPr>
              <w:adjustRightInd w:val="0"/>
              <w:snapToGrid w:val="0"/>
              <w:ind w:left="42" w:leftChars="20" w:right="42" w:rightChars="20"/>
              <w:jc w:val="center"/>
              <w:rPr>
                <w:color w:val="auto"/>
                <w:sz w:val="24"/>
              </w:rPr>
            </w:pPr>
            <w:r>
              <w:rPr>
                <w:rFonts w:hint="eastAsia"/>
                <w:color w:val="auto"/>
                <w:sz w:val="24"/>
              </w:rPr>
              <w:t>三十五、电气机械和器材制造业38-77家用电力器具制造 385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rFonts w:ascii="宋体" w:hAnsi="宋体" w:cs="宋体"/>
                <w:b/>
                <w:bCs/>
                <w:color w:val="auto"/>
                <w:sz w:val="24"/>
              </w:rPr>
            </w:pPr>
            <w:r>
              <w:rPr>
                <w:rFonts w:hint="eastAsia" w:ascii="宋体" w:hAnsi="宋体" w:cs="宋体"/>
                <w:b/>
                <w:bCs/>
                <w:color w:val="auto"/>
                <w:sz w:val="24"/>
              </w:rPr>
              <w:t>建设性质</w:t>
            </w:r>
          </w:p>
        </w:tc>
        <w:tc>
          <w:tcPr>
            <w:tcW w:w="2310" w:type="dxa"/>
            <w:vAlign w:val="center"/>
          </w:tcPr>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☑新建（迁建）</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□改建</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□扩建</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□技术改造</w:t>
            </w:r>
          </w:p>
        </w:tc>
        <w:tc>
          <w:tcPr>
            <w:tcW w:w="2327" w:type="dxa"/>
            <w:vAlign w:val="center"/>
          </w:tcPr>
          <w:p>
            <w:pPr>
              <w:adjustRightInd w:val="0"/>
              <w:snapToGrid w:val="0"/>
              <w:ind w:left="42" w:leftChars="20" w:right="42" w:rightChars="20"/>
              <w:jc w:val="center"/>
              <w:rPr>
                <w:rFonts w:ascii="宋体" w:hAnsi="宋体" w:cs="宋体"/>
                <w:b/>
                <w:bCs/>
                <w:color w:val="auto"/>
                <w:sz w:val="24"/>
              </w:rPr>
            </w:pPr>
            <w:r>
              <w:rPr>
                <w:rFonts w:hint="eastAsia" w:ascii="宋体" w:hAnsi="宋体" w:cs="宋体"/>
                <w:b/>
                <w:bCs/>
                <w:color w:val="auto"/>
                <w:sz w:val="24"/>
              </w:rPr>
              <w:t>建设项目申报情形</w:t>
            </w:r>
          </w:p>
        </w:tc>
        <w:tc>
          <w:tcPr>
            <w:tcW w:w="3374" w:type="dxa"/>
            <w:vAlign w:val="center"/>
          </w:tcPr>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☑首次申报项目</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□不予批准后再次申报项目</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□超五年重新审核项目</w:t>
            </w:r>
          </w:p>
          <w:p>
            <w:pPr>
              <w:adjustRightInd w:val="0"/>
              <w:snapToGrid w:val="0"/>
              <w:ind w:left="42" w:leftChars="20" w:right="42" w:rightChars="20"/>
              <w:jc w:val="left"/>
              <w:rPr>
                <w:rFonts w:ascii="宋体" w:hAnsi="宋体" w:cs="宋体"/>
                <w:color w:val="auto"/>
                <w:sz w:val="24"/>
              </w:rPr>
            </w:pPr>
            <w:r>
              <w:rPr>
                <w:rFonts w:hint="eastAsia" w:ascii="宋体" w:hAnsi="宋体" w:cs="宋体"/>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项目审批（核准/备案）部门（选填）</w:t>
            </w:r>
          </w:p>
        </w:tc>
        <w:tc>
          <w:tcPr>
            <w:tcW w:w="2310" w:type="dxa"/>
            <w:vAlign w:val="center"/>
          </w:tcPr>
          <w:p>
            <w:pPr>
              <w:adjustRightInd w:val="0"/>
              <w:snapToGrid w:val="0"/>
              <w:ind w:left="42" w:leftChars="20" w:right="42" w:rightChars="20"/>
              <w:jc w:val="center"/>
              <w:rPr>
                <w:color w:val="auto"/>
                <w:sz w:val="24"/>
              </w:rPr>
            </w:pPr>
            <w:r>
              <w:rPr>
                <w:rFonts w:hint="eastAsia"/>
                <w:color w:val="auto"/>
                <w:sz w:val="24"/>
              </w:rPr>
              <w:t>固镇县发展和改革委员会</w:t>
            </w:r>
          </w:p>
        </w:tc>
        <w:tc>
          <w:tcPr>
            <w:tcW w:w="2327" w:type="dxa"/>
            <w:vAlign w:val="center"/>
          </w:tcPr>
          <w:p>
            <w:pPr>
              <w:adjustRightInd w:val="0"/>
              <w:snapToGrid w:val="0"/>
              <w:ind w:left="42" w:leftChars="20" w:right="42" w:rightChars="20"/>
              <w:jc w:val="center"/>
              <w:rPr>
                <w:b/>
                <w:bCs/>
                <w:color w:val="auto"/>
                <w:sz w:val="24"/>
              </w:rPr>
            </w:pPr>
            <w:r>
              <w:rPr>
                <w:b/>
                <w:bCs/>
                <w:color w:val="auto"/>
                <w:sz w:val="24"/>
              </w:rPr>
              <w:t>项目审批（核准/备案）文号（选填）</w:t>
            </w:r>
          </w:p>
        </w:tc>
        <w:tc>
          <w:tcPr>
            <w:tcW w:w="3374" w:type="dxa"/>
            <w:vAlign w:val="center"/>
          </w:tcPr>
          <w:p>
            <w:pPr>
              <w:adjustRightInd w:val="0"/>
              <w:snapToGrid w:val="0"/>
              <w:ind w:left="42" w:leftChars="20" w:right="42" w:rightChars="20"/>
              <w:jc w:val="center"/>
              <w:rPr>
                <w:color w:val="auto"/>
                <w:sz w:val="24"/>
              </w:rPr>
            </w:pPr>
            <w:r>
              <w:rPr>
                <w:rFonts w:hint="eastAsia"/>
                <w:color w:val="auto"/>
                <w:sz w:val="24"/>
              </w:rPr>
              <w:t>固经开项字〔2025〕51号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总投资（万元）</w:t>
            </w:r>
          </w:p>
        </w:tc>
        <w:tc>
          <w:tcPr>
            <w:tcW w:w="2310" w:type="dxa"/>
            <w:vAlign w:val="center"/>
          </w:tcPr>
          <w:p>
            <w:pPr>
              <w:adjustRightInd w:val="0"/>
              <w:snapToGrid w:val="0"/>
              <w:ind w:left="42" w:leftChars="20" w:right="42" w:rightChars="20"/>
              <w:jc w:val="center"/>
              <w:rPr>
                <w:color w:val="auto"/>
                <w:sz w:val="24"/>
              </w:rPr>
            </w:pPr>
            <w:r>
              <w:rPr>
                <w:rFonts w:hint="eastAsia"/>
                <w:color w:val="auto"/>
                <w:sz w:val="24"/>
              </w:rPr>
              <w:t>1000</w:t>
            </w:r>
          </w:p>
        </w:tc>
        <w:tc>
          <w:tcPr>
            <w:tcW w:w="2327"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环保投资（万元）</w:t>
            </w:r>
          </w:p>
        </w:tc>
        <w:tc>
          <w:tcPr>
            <w:tcW w:w="3374" w:type="dxa"/>
            <w:vAlign w:val="center"/>
          </w:tcPr>
          <w:p>
            <w:pPr>
              <w:adjustRightInd w:val="0"/>
              <w:snapToGrid w:val="0"/>
              <w:ind w:left="42" w:leftChars="20" w:right="42" w:rightChars="20"/>
              <w:jc w:val="center"/>
              <w:rPr>
                <w:color w:val="auto"/>
                <w:sz w:val="24"/>
              </w:rPr>
            </w:pPr>
            <w:r>
              <w:rPr>
                <w:rFonts w:hint="eastAsia"/>
                <w:color w:val="auto"/>
                <w:sz w:val="24"/>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环保投资（%）</w:t>
            </w:r>
          </w:p>
        </w:tc>
        <w:tc>
          <w:tcPr>
            <w:tcW w:w="2310" w:type="dxa"/>
            <w:vAlign w:val="center"/>
          </w:tcPr>
          <w:p>
            <w:pPr>
              <w:adjustRightInd w:val="0"/>
              <w:snapToGrid w:val="0"/>
              <w:ind w:left="42" w:leftChars="20" w:right="42" w:rightChars="20"/>
              <w:jc w:val="center"/>
              <w:rPr>
                <w:color w:val="auto"/>
                <w:sz w:val="24"/>
              </w:rPr>
            </w:pPr>
            <w:r>
              <w:rPr>
                <w:rFonts w:hint="eastAsia"/>
                <w:color w:val="auto"/>
                <w:sz w:val="24"/>
              </w:rPr>
              <w:t>2.75</w:t>
            </w:r>
          </w:p>
        </w:tc>
        <w:tc>
          <w:tcPr>
            <w:tcW w:w="2327"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施工工期</w:t>
            </w:r>
          </w:p>
        </w:tc>
        <w:tc>
          <w:tcPr>
            <w:tcW w:w="3374" w:type="dxa"/>
            <w:vAlign w:val="center"/>
          </w:tcPr>
          <w:p>
            <w:pPr>
              <w:adjustRightInd w:val="0"/>
              <w:snapToGrid w:val="0"/>
              <w:ind w:left="42" w:leftChars="20" w:right="42" w:rightChars="20"/>
              <w:jc w:val="center"/>
              <w:rPr>
                <w:color w:val="auto"/>
                <w:sz w:val="24"/>
              </w:rPr>
            </w:pPr>
            <w:r>
              <w:rPr>
                <w:color w:val="auto"/>
                <w:sz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z w:val="24"/>
              </w:rPr>
              <w:t>是否开工建设</w:t>
            </w:r>
          </w:p>
        </w:tc>
        <w:tc>
          <w:tcPr>
            <w:tcW w:w="2310" w:type="dxa"/>
            <w:vAlign w:val="center"/>
          </w:tcPr>
          <w:p>
            <w:pPr>
              <w:adjustRightInd w:val="0"/>
              <w:snapToGrid w:val="0"/>
              <w:ind w:left="42" w:leftChars="20" w:right="42" w:rightChars="20"/>
              <w:rPr>
                <w:color w:val="auto"/>
                <w:sz w:val="24"/>
              </w:rPr>
            </w:pPr>
            <w:r>
              <w:rPr>
                <w:rFonts w:hint="eastAsia"/>
                <w:color w:val="auto"/>
                <w:sz w:val="24"/>
              </w:rPr>
              <w:t>☑</w:t>
            </w:r>
            <w:r>
              <w:rPr>
                <w:color w:val="auto"/>
                <w:sz w:val="24"/>
              </w:rPr>
              <w:t>否</w:t>
            </w:r>
          </w:p>
          <w:p>
            <w:pPr>
              <w:adjustRightInd w:val="0"/>
              <w:snapToGrid w:val="0"/>
              <w:ind w:left="42" w:leftChars="20" w:right="42" w:rightChars="20"/>
              <w:rPr>
                <w:color w:val="auto"/>
                <w:sz w:val="24"/>
              </w:rPr>
            </w:pPr>
            <w:r>
              <w:rPr>
                <w:rFonts w:hint="eastAsia"/>
                <w:color w:val="auto"/>
                <w:sz w:val="24"/>
              </w:rPr>
              <w:t>□</w:t>
            </w:r>
            <w:r>
              <w:rPr>
                <w:color w:val="auto"/>
                <w:sz w:val="24"/>
              </w:rPr>
              <w:t>是：</w:t>
            </w:r>
            <w:r>
              <w:rPr>
                <w:color w:val="auto"/>
                <w:sz w:val="24"/>
                <w:u w:val="single"/>
              </w:rPr>
              <w:t xml:space="preserve">             </w:t>
            </w:r>
          </w:p>
        </w:tc>
        <w:tc>
          <w:tcPr>
            <w:tcW w:w="2327" w:type="dxa"/>
            <w:tcMar>
              <w:top w:w="16" w:type="dxa"/>
              <w:left w:w="16" w:type="dxa"/>
              <w:right w:w="16" w:type="dxa"/>
            </w:tcMar>
            <w:vAlign w:val="center"/>
          </w:tcPr>
          <w:p>
            <w:pPr>
              <w:adjustRightInd w:val="0"/>
              <w:snapToGrid w:val="0"/>
              <w:ind w:left="42" w:leftChars="20" w:right="42" w:rightChars="20"/>
              <w:jc w:val="center"/>
              <w:rPr>
                <w:b/>
                <w:bCs/>
                <w:color w:val="auto"/>
                <w:sz w:val="24"/>
              </w:rPr>
            </w:pPr>
            <w:r>
              <w:rPr>
                <w:b/>
                <w:bCs/>
                <w:color w:val="auto"/>
                <w:spacing w:val="-6"/>
                <w:sz w:val="24"/>
              </w:rPr>
              <w:t>用地（用海）面积（m</w:t>
            </w:r>
            <w:r>
              <w:rPr>
                <w:b/>
                <w:bCs/>
                <w:color w:val="auto"/>
                <w:spacing w:val="-6"/>
                <w:sz w:val="24"/>
                <w:vertAlign w:val="superscript"/>
              </w:rPr>
              <w:t>2</w:t>
            </w:r>
            <w:r>
              <w:rPr>
                <w:b/>
                <w:bCs/>
                <w:color w:val="auto"/>
                <w:spacing w:val="-6"/>
                <w:sz w:val="24"/>
              </w:rPr>
              <w:t>）</w:t>
            </w:r>
          </w:p>
        </w:tc>
        <w:tc>
          <w:tcPr>
            <w:tcW w:w="3374" w:type="dxa"/>
            <w:vAlign w:val="center"/>
          </w:tcPr>
          <w:p>
            <w:pPr>
              <w:adjustRightInd w:val="0"/>
              <w:snapToGrid w:val="0"/>
              <w:ind w:left="42" w:leftChars="20" w:right="42" w:rightChars="20"/>
              <w:jc w:val="center"/>
              <w:rPr>
                <w:color w:val="auto"/>
                <w:sz w:val="24"/>
              </w:rPr>
            </w:pPr>
            <w:r>
              <w:rPr>
                <w:rFonts w:hint="eastAsia"/>
                <w:color w:val="auto"/>
                <w:sz w:val="24"/>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90" w:type="dxa"/>
            <w:vAlign w:val="center"/>
          </w:tcPr>
          <w:p>
            <w:pPr>
              <w:autoSpaceDE w:val="0"/>
              <w:autoSpaceDN w:val="0"/>
              <w:adjustRightInd w:val="0"/>
              <w:snapToGrid w:val="0"/>
              <w:jc w:val="center"/>
              <w:rPr>
                <w:b/>
                <w:bCs/>
                <w:color w:val="auto"/>
                <w:kern w:val="0"/>
                <w:sz w:val="24"/>
              </w:rPr>
            </w:pPr>
            <w:r>
              <w:rPr>
                <w:b/>
                <w:bCs/>
                <w:color w:val="auto"/>
                <w:kern w:val="0"/>
                <w:sz w:val="24"/>
              </w:rPr>
              <w:t>专项评价设置情况</w:t>
            </w:r>
          </w:p>
        </w:tc>
        <w:tc>
          <w:tcPr>
            <w:tcW w:w="8011" w:type="dxa"/>
            <w:gridSpan w:val="3"/>
            <w:vAlign w:val="center"/>
          </w:tcPr>
          <w:p>
            <w:pPr>
              <w:adjustRightInd w:val="0"/>
              <w:snapToGrid w:val="0"/>
              <w:spacing w:before="120" w:beforeLines="50" w:line="348" w:lineRule="auto"/>
              <w:ind w:firstLine="480" w:firstLineChars="200"/>
              <w:rPr>
                <w:color w:val="auto"/>
                <w:kern w:val="0"/>
                <w:sz w:val="24"/>
              </w:rPr>
            </w:pPr>
            <w:r>
              <w:rPr>
                <w:color w:val="auto"/>
                <w:kern w:val="0"/>
                <w:sz w:val="24"/>
              </w:rPr>
              <w:t>无。根据《建设项目环境影响报告表编制技术指南—污染影响类》（试行）专项评价设置原则表，项目无需进行专项评价。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90" w:type="dxa"/>
            <w:vAlign w:val="center"/>
          </w:tcPr>
          <w:p>
            <w:pPr>
              <w:autoSpaceDE w:val="0"/>
              <w:autoSpaceDN w:val="0"/>
              <w:adjustRightInd w:val="0"/>
              <w:snapToGrid w:val="0"/>
              <w:ind w:left="-63" w:leftChars="-30" w:right="-63" w:rightChars="-30"/>
              <w:jc w:val="center"/>
              <w:rPr>
                <w:b/>
                <w:bCs/>
                <w:color w:val="auto"/>
                <w:kern w:val="0"/>
                <w:sz w:val="24"/>
              </w:rPr>
            </w:pPr>
            <w:r>
              <w:rPr>
                <w:b/>
                <w:bCs/>
                <w:color w:val="auto"/>
                <w:sz w:val="24"/>
              </w:rPr>
              <w:t>规划情况</w:t>
            </w:r>
          </w:p>
        </w:tc>
        <w:tc>
          <w:tcPr>
            <w:tcW w:w="8011" w:type="dxa"/>
            <w:gridSpan w:val="3"/>
            <w:vAlign w:val="center"/>
          </w:tcPr>
          <w:p>
            <w:pPr>
              <w:adjustRightInd w:val="0"/>
              <w:snapToGrid w:val="0"/>
              <w:spacing w:before="120" w:beforeLines="50" w:line="336" w:lineRule="auto"/>
              <w:ind w:firstLine="480" w:firstLineChars="200"/>
              <w:rPr>
                <w:color w:val="auto"/>
                <w:kern w:val="0"/>
                <w:sz w:val="24"/>
              </w:rPr>
            </w:pPr>
            <w:r>
              <w:rPr>
                <w:color w:val="auto"/>
                <w:kern w:val="0"/>
                <w:sz w:val="24"/>
              </w:rPr>
              <w:t>①园区规划名称：</w:t>
            </w:r>
            <w:r>
              <w:rPr>
                <w:rFonts w:hint="eastAsia"/>
                <w:color w:val="auto"/>
                <w:kern w:val="0"/>
                <w:sz w:val="24"/>
              </w:rPr>
              <w:t>《安徽固镇经济开发区总体发展规划（2024-2035年）（调区）》</w:t>
            </w:r>
            <w:r>
              <w:rPr>
                <w:color w:val="auto"/>
                <w:kern w:val="0"/>
                <w:sz w:val="24"/>
              </w:rPr>
              <w:t>；</w:t>
            </w:r>
          </w:p>
          <w:p>
            <w:pPr>
              <w:adjustRightInd w:val="0"/>
              <w:snapToGrid w:val="0"/>
              <w:spacing w:line="336" w:lineRule="auto"/>
              <w:ind w:firstLine="480" w:firstLineChars="200"/>
              <w:rPr>
                <w:color w:val="auto"/>
                <w:kern w:val="0"/>
                <w:sz w:val="24"/>
              </w:rPr>
            </w:pPr>
            <w:r>
              <w:rPr>
                <w:color w:val="auto"/>
                <w:kern w:val="0"/>
                <w:sz w:val="24"/>
              </w:rPr>
              <w:t>②园区规划审批机关：</w:t>
            </w:r>
            <w:r>
              <w:rPr>
                <w:rFonts w:hint="eastAsia"/>
                <w:color w:val="auto"/>
                <w:kern w:val="0"/>
                <w:sz w:val="24"/>
              </w:rPr>
              <w:t>安徽省人民政府。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90" w:type="dxa"/>
            <w:vAlign w:val="center"/>
          </w:tcPr>
          <w:p>
            <w:pPr>
              <w:adjustRightInd w:val="0"/>
              <w:snapToGrid w:val="0"/>
              <w:ind w:left="-63" w:leftChars="-30" w:right="-63" w:rightChars="-30"/>
              <w:jc w:val="center"/>
              <w:rPr>
                <w:b/>
                <w:bCs/>
                <w:color w:val="auto"/>
                <w:kern w:val="0"/>
                <w:sz w:val="24"/>
              </w:rPr>
            </w:pPr>
            <w:r>
              <w:rPr>
                <w:b/>
                <w:bCs/>
                <w:color w:val="auto"/>
                <w:sz w:val="24"/>
              </w:rPr>
              <w:t>规划环境影响评价情况</w:t>
            </w:r>
          </w:p>
        </w:tc>
        <w:tc>
          <w:tcPr>
            <w:tcW w:w="8011" w:type="dxa"/>
            <w:gridSpan w:val="3"/>
            <w:vAlign w:val="center"/>
          </w:tcPr>
          <w:p>
            <w:pPr>
              <w:adjustRightInd w:val="0"/>
              <w:snapToGrid w:val="0"/>
              <w:spacing w:before="120" w:beforeLines="50" w:line="332" w:lineRule="auto"/>
              <w:ind w:firstLine="480" w:firstLineChars="200"/>
              <w:rPr>
                <w:color w:val="auto"/>
                <w:kern w:val="0"/>
                <w:sz w:val="24"/>
              </w:rPr>
            </w:pPr>
            <w:r>
              <w:rPr>
                <w:color w:val="auto"/>
                <w:kern w:val="0"/>
                <w:sz w:val="24"/>
              </w:rPr>
              <w:t>①规划环评文件名称：《</w:t>
            </w:r>
            <w:r>
              <w:rPr>
                <w:rFonts w:hint="eastAsia"/>
                <w:color w:val="auto"/>
                <w:kern w:val="0"/>
                <w:sz w:val="24"/>
              </w:rPr>
              <w:t>安徽固镇经济开发区总体发展规划（2024-2035年）（调区）环境影响报告书</w:t>
            </w:r>
            <w:r>
              <w:rPr>
                <w:color w:val="auto"/>
                <w:kern w:val="0"/>
                <w:sz w:val="24"/>
              </w:rPr>
              <w:t>》；</w:t>
            </w:r>
          </w:p>
          <w:p>
            <w:pPr>
              <w:adjustRightInd w:val="0"/>
              <w:snapToGrid w:val="0"/>
              <w:spacing w:line="332" w:lineRule="auto"/>
              <w:ind w:firstLine="480" w:firstLineChars="200"/>
              <w:rPr>
                <w:color w:val="auto"/>
                <w:kern w:val="0"/>
                <w:sz w:val="24"/>
              </w:rPr>
            </w:pPr>
            <w:r>
              <w:rPr>
                <w:color w:val="auto"/>
                <w:kern w:val="0"/>
                <w:sz w:val="24"/>
              </w:rPr>
              <w:t>②规划环评文件审查机关：</w:t>
            </w:r>
            <w:r>
              <w:rPr>
                <w:rFonts w:hint="eastAsia"/>
                <w:color w:val="auto"/>
                <w:kern w:val="0"/>
                <w:sz w:val="24"/>
              </w:rPr>
              <w:t>安徽省生态环境厅</w:t>
            </w:r>
            <w:r>
              <w:rPr>
                <w:color w:val="auto"/>
                <w:kern w:val="0"/>
                <w:sz w:val="24"/>
              </w:rPr>
              <w:t>；</w:t>
            </w:r>
          </w:p>
          <w:p>
            <w:pPr>
              <w:adjustRightInd w:val="0"/>
              <w:snapToGrid w:val="0"/>
              <w:spacing w:line="332" w:lineRule="auto"/>
              <w:ind w:firstLine="480" w:firstLineChars="200"/>
              <w:rPr>
                <w:color w:val="auto"/>
                <w:kern w:val="0"/>
                <w:sz w:val="24"/>
              </w:rPr>
            </w:pPr>
            <w:r>
              <w:rPr>
                <w:color w:val="auto"/>
                <w:kern w:val="0"/>
                <w:sz w:val="24"/>
              </w:rPr>
              <w:t>③规划环评文件审查文件名称及文号：《</w:t>
            </w:r>
            <w:r>
              <w:rPr>
                <w:rFonts w:hint="eastAsia"/>
                <w:color w:val="auto"/>
                <w:kern w:val="0"/>
                <w:sz w:val="24"/>
              </w:rPr>
              <w:t>安徽省生态环境厅关于印送&lt;安徽固镇经济开发区总体发展规划（2024-2035年）（调区）环境影响评价报告书审查意见&gt;的函</w:t>
            </w:r>
            <w:r>
              <w:rPr>
                <w:color w:val="auto"/>
                <w:kern w:val="0"/>
                <w:sz w:val="24"/>
              </w:rPr>
              <w:t>》（</w:t>
            </w:r>
            <w:r>
              <w:rPr>
                <w:rFonts w:hint="eastAsia"/>
                <w:color w:val="auto"/>
                <w:kern w:val="0"/>
                <w:sz w:val="24"/>
              </w:rPr>
              <w:t>皖环函〔2024〕1042号</w:t>
            </w:r>
            <w:r>
              <w:rPr>
                <w:color w:val="auto"/>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90" w:type="dxa"/>
            <w:vAlign w:val="center"/>
          </w:tcPr>
          <w:p>
            <w:pPr>
              <w:autoSpaceDE w:val="0"/>
              <w:autoSpaceDN w:val="0"/>
              <w:adjustRightInd w:val="0"/>
              <w:snapToGrid w:val="0"/>
              <w:ind w:left="-63" w:leftChars="-30" w:right="-63" w:rightChars="-30"/>
              <w:jc w:val="center"/>
              <w:rPr>
                <w:b/>
                <w:bCs/>
                <w:color w:val="auto"/>
                <w:kern w:val="0"/>
                <w:sz w:val="24"/>
              </w:rPr>
            </w:pPr>
            <w:r>
              <w:rPr>
                <w:b/>
                <w:bCs/>
                <w:color w:val="auto"/>
                <w:kern w:val="0"/>
                <w:sz w:val="24"/>
              </w:rPr>
              <w:t>规划及规划环境影响评价符合性分析</w:t>
            </w:r>
          </w:p>
        </w:tc>
        <w:tc>
          <w:tcPr>
            <w:tcW w:w="8011" w:type="dxa"/>
            <w:gridSpan w:val="3"/>
            <w:vAlign w:val="center"/>
          </w:tcPr>
          <w:p>
            <w:pPr>
              <w:pStyle w:val="69"/>
              <w:keepNext w:val="0"/>
              <w:keepLines w:val="0"/>
              <w:pageBreakBefore w:val="0"/>
              <w:widowControl w:val="0"/>
              <w:kinsoku/>
              <w:overflowPunct/>
              <w:topLinePunct w:val="0"/>
              <w:autoSpaceDE w:val="0"/>
              <w:autoSpaceDN w:val="0"/>
              <w:bidi w:val="0"/>
              <w:spacing w:before="120" w:beforeLines="50" w:line="360" w:lineRule="auto"/>
              <w:ind w:firstLine="482" w:firstLineChars="200"/>
              <w:textAlignment w:val="auto"/>
              <w:rPr>
                <w:rFonts w:ascii="Times New Roman" w:hAnsi="Times New Roman" w:cs="Times New Roman"/>
                <w:b/>
                <w:snapToGrid w:val="0"/>
                <w:color w:val="auto"/>
                <w:sz w:val="24"/>
                <w:lang w:eastAsia="zh-CN"/>
              </w:rPr>
            </w:pPr>
            <w:r>
              <w:rPr>
                <w:rFonts w:ascii="Times New Roman" w:hAnsi="Times New Roman" w:cs="Times New Roman"/>
                <w:b/>
                <w:snapToGrid w:val="0"/>
                <w:color w:val="auto"/>
                <w:sz w:val="24"/>
                <w:lang w:eastAsia="zh-CN"/>
              </w:rPr>
              <w:t>1、规划符合性：</w:t>
            </w:r>
          </w:p>
          <w:p>
            <w:pPr>
              <w:keepNext w:val="0"/>
              <w:keepLines w:val="0"/>
              <w:pageBreakBefore w:val="0"/>
              <w:widowControl w:val="0"/>
              <w:kinsoku/>
              <w:overflowPunct/>
              <w:topLinePunct w:val="0"/>
              <w:bidi w:val="0"/>
              <w:adjustRightInd w:val="0"/>
              <w:snapToGrid w:val="0"/>
              <w:spacing w:line="360" w:lineRule="auto"/>
              <w:ind w:firstLine="568" w:firstLineChars="200"/>
              <w:textAlignment w:val="auto"/>
              <w:rPr>
                <w:color w:val="auto"/>
                <w:sz w:val="24"/>
              </w:rPr>
            </w:pPr>
            <w:r>
              <w:rPr>
                <w:color w:val="auto"/>
                <w:spacing w:val="22"/>
                <w:sz w:val="24"/>
              </w:rPr>
              <w:t>安</w:t>
            </w:r>
            <w:r>
              <w:rPr>
                <w:color w:val="auto"/>
                <w:spacing w:val="19"/>
                <w:sz w:val="24"/>
              </w:rPr>
              <w:t>徽</w:t>
            </w:r>
            <w:r>
              <w:rPr>
                <w:color w:val="auto"/>
                <w:spacing w:val="11"/>
                <w:sz w:val="24"/>
              </w:rPr>
              <w:t>固镇经济开发区</w:t>
            </w:r>
            <w:r>
              <w:rPr>
                <w:rFonts w:hint="eastAsia"/>
                <w:color w:val="auto"/>
                <w:spacing w:val="11"/>
                <w:sz w:val="24"/>
              </w:rPr>
              <w:t>（</w:t>
            </w:r>
            <w:r>
              <w:rPr>
                <w:color w:val="auto"/>
                <w:spacing w:val="11"/>
                <w:sz w:val="24"/>
              </w:rPr>
              <w:t>以下简称</w:t>
            </w:r>
            <w:r>
              <w:rPr>
                <w:rFonts w:hint="eastAsia"/>
                <w:color w:val="auto"/>
                <w:spacing w:val="11"/>
                <w:sz w:val="24"/>
              </w:rPr>
              <w:t>“</w:t>
            </w:r>
            <w:r>
              <w:rPr>
                <w:color w:val="auto"/>
                <w:spacing w:val="11"/>
                <w:sz w:val="24"/>
              </w:rPr>
              <w:t>固镇经开区</w:t>
            </w:r>
            <w:r>
              <w:rPr>
                <w:rFonts w:hint="eastAsia"/>
                <w:color w:val="auto"/>
                <w:spacing w:val="11"/>
                <w:sz w:val="24"/>
              </w:rPr>
              <w:t>”）</w:t>
            </w:r>
            <w:r>
              <w:rPr>
                <w:color w:val="auto"/>
                <w:spacing w:val="11"/>
                <w:sz w:val="24"/>
              </w:rPr>
              <w:t>位于固镇县</w:t>
            </w:r>
            <w:r>
              <w:rPr>
                <w:color w:val="auto"/>
                <w:spacing w:val="18"/>
                <w:sz w:val="24"/>
              </w:rPr>
              <w:t>中</w:t>
            </w:r>
            <w:r>
              <w:rPr>
                <w:color w:val="auto"/>
                <w:spacing w:val="11"/>
                <w:sz w:val="24"/>
              </w:rPr>
              <w:t>部的连城镇内，隶属于安徽省蚌埠市，位于安徽省东北部，淮</w:t>
            </w:r>
            <w:r>
              <w:rPr>
                <w:color w:val="auto"/>
                <w:spacing w:val="17"/>
                <w:sz w:val="24"/>
              </w:rPr>
              <w:t>河</w:t>
            </w:r>
            <w:r>
              <w:rPr>
                <w:color w:val="auto"/>
                <w:spacing w:val="12"/>
                <w:sz w:val="24"/>
              </w:rPr>
              <w:t>中游北岸，开发区是固镇县县委、县政府为贯彻实施东向发展战略的</w:t>
            </w:r>
            <w:r>
              <w:rPr>
                <w:color w:val="auto"/>
                <w:spacing w:val="7"/>
                <w:sz w:val="24"/>
              </w:rPr>
              <w:t>重</w:t>
            </w:r>
            <w:r>
              <w:rPr>
                <w:color w:val="auto"/>
                <w:spacing w:val="6"/>
                <w:sz w:val="24"/>
              </w:rPr>
              <w:t>要载体。2002年3月，经蚌埠市人民政府成立开发区；</w:t>
            </w:r>
            <w:r>
              <w:rPr>
                <w:color w:val="auto"/>
                <w:spacing w:val="8"/>
                <w:sz w:val="24"/>
              </w:rPr>
              <w:t>200</w:t>
            </w:r>
            <w:r>
              <w:rPr>
                <w:color w:val="auto"/>
                <w:spacing w:val="5"/>
                <w:sz w:val="24"/>
              </w:rPr>
              <w:t>6</w:t>
            </w:r>
            <w:r>
              <w:rPr>
                <w:color w:val="auto"/>
                <w:spacing w:val="4"/>
                <w:sz w:val="24"/>
              </w:rPr>
              <w:t>年2月，经安徽省人民政府以皖政秘</w:t>
            </w:r>
            <w:r>
              <w:rPr>
                <w:rFonts w:hint="eastAsia"/>
                <w:color w:val="auto"/>
                <w:spacing w:val="4"/>
                <w:sz w:val="24"/>
              </w:rPr>
              <w:t>（</w:t>
            </w:r>
            <w:r>
              <w:rPr>
                <w:color w:val="auto"/>
                <w:spacing w:val="4"/>
                <w:sz w:val="24"/>
              </w:rPr>
              <w:t>2006</w:t>
            </w:r>
            <w:r>
              <w:rPr>
                <w:rFonts w:hint="eastAsia"/>
                <w:color w:val="auto"/>
                <w:spacing w:val="4"/>
                <w:sz w:val="24"/>
              </w:rPr>
              <w:t>）</w:t>
            </w:r>
            <w:r>
              <w:rPr>
                <w:color w:val="auto"/>
                <w:spacing w:val="4"/>
                <w:sz w:val="24"/>
              </w:rPr>
              <w:t>22号</w:t>
            </w:r>
            <w:r>
              <w:rPr>
                <w:rFonts w:hint="eastAsia"/>
                <w:color w:val="auto"/>
                <w:spacing w:val="4"/>
                <w:sz w:val="24"/>
              </w:rPr>
              <w:t>文</w:t>
            </w:r>
            <w:r>
              <w:rPr>
                <w:color w:val="auto"/>
                <w:spacing w:val="4"/>
                <w:sz w:val="24"/>
              </w:rPr>
              <w:t>批准为省</w:t>
            </w:r>
            <w:r>
              <w:rPr>
                <w:color w:val="auto"/>
                <w:spacing w:val="6"/>
                <w:sz w:val="24"/>
              </w:rPr>
              <w:t>级经济开发</w:t>
            </w:r>
            <w:r>
              <w:rPr>
                <w:color w:val="auto"/>
                <w:spacing w:val="4"/>
                <w:sz w:val="24"/>
              </w:rPr>
              <w:t>区</w:t>
            </w:r>
            <w:r>
              <w:rPr>
                <w:color w:val="auto"/>
                <w:spacing w:val="3"/>
                <w:sz w:val="24"/>
              </w:rPr>
              <w:t>，同年经国家发改委审核通过，并经国</w:t>
            </w:r>
            <w:r>
              <w:rPr>
                <w:color w:val="auto"/>
                <w:spacing w:val="2"/>
                <w:sz w:val="24"/>
              </w:rPr>
              <w:t>土资源部核定公布了经济开发区四至范围、面积，</w:t>
            </w:r>
            <w:r>
              <w:rPr>
                <w:color w:val="auto"/>
                <w:spacing w:val="1"/>
                <w:sz w:val="24"/>
              </w:rPr>
              <w:t>批准总面积3.05</w:t>
            </w:r>
            <w:r>
              <w:rPr>
                <w:color w:val="auto"/>
                <w:spacing w:val="7"/>
                <w:sz w:val="24"/>
              </w:rPr>
              <w:t>平方公里</w:t>
            </w:r>
            <w:r>
              <w:rPr>
                <w:color w:val="auto"/>
                <w:spacing w:val="6"/>
                <w:sz w:val="24"/>
              </w:rPr>
              <w:t>。</w:t>
            </w:r>
          </w:p>
          <w:p>
            <w:pPr>
              <w:keepNext w:val="0"/>
              <w:keepLines w:val="0"/>
              <w:pageBreakBefore w:val="0"/>
              <w:widowControl w:val="0"/>
              <w:tabs>
                <w:tab w:val="left" w:pos="235"/>
              </w:tabs>
              <w:kinsoku/>
              <w:overflowPunct/>
              <w:topLinePunct w:val="0"/>
              <w:bidi w:val="0"/>
              <w:adjustRightInd w:val="0"/>
              <w:snapToGrid w:val="0"/>
              <w:spacing w:line="360" w:lineRule="auto"/>
              <w:ind w:firstLine="528" w:firstLineChars="200"/>
              <w:textAlignment w:val="auto"/>
              <w:rPr>
                <w:color w:val="auto"/>
                <w:sz w:val="24"/>
              </w:rPr>
            </w:pPr>
            <w:r>
              <w:rPr>
                <w:color w:val="auto"/>
                <w:spacing w:val="12"/>
                <w:sz w:val="24"/>
              </w:rPr>
              <w:t>蚌埠铜陵现代产业园</w:t>
            </w:r>
            <w:r>
              <w:rPr>
                <w:rFonts w:hint="eastAsia"/>
                <w:color w:val="auto"/>
                <w:spacing w:val="12"/>
                <w:sz w:val="24"/>
              </w:rPr>
              <w:t>（</w:t>
            </w:r>
            <w:r>
              <w:rPr>
                <w:color w:val="auto"/>
                <w:spacing w:val="12"/>
                <w:sz w:val="24"/>
              </w:rPr>
              <w:t>以下简称</w:t>
            </w:r>
            <w:r>
              <w:rPr>
                <w:rFonts w:hint="eastAsia"/>
                <w:color w:val="auto"/>
                <w:spacing w:val="12"/>
                <w:sz w:val="24"/>
              </w:rPr>
              <w:t>“</w:t>
            </w:r>
            <w:r>
              <w:rPr>
                <w:color w:val="auto"/>
                <w:spacing w:val="12"/>
                <w:sz w:val="24"/>
              </w:rPr>
              <w:t>蚌铜园区</w:t>
            </w:r>
            <w:r>
              <w:rPr>
                <w:rFonts w:hint="eastAsia"/>
                <w:color w:val="auto"/>
                <w:spacing w:val="12"/>
                <w:sz w:val="24"/>
              </w:rPr>
              <w:t>”）</w:t>
            </w:r>
            <w:r>
              <w:rPr>
                <w:color w:val="auto"/>
                <w:spacing w:val="12"/>
                <w:sz w:val="24"/>
              </w:rPr>
              <w:t>位于蚌埠市</w:t>
            </w:r>
            <w:r>
              <w:rPr>
                <w:color w:val="auto"/>
                <w:spacing w:val="6"/>
                <w:sz w:val="24"/>
              </w:rPr>
              <w:t>固</w:t>
            </w:r>
            <w:r>
              <w:rPr>
                <w:color w:val="auto"/>
                <w:spacing w:val="14"/>
                <w:sz w:val="24"/>
              </w:rPr>
              <w:t>镇县</w:t>
            </w:r>
            <w:r>
              <w:rPr>
                <w:color w:val="auto"/>
                <w:spacing w:val="12"/>
                <w:sz w:val="24"/>
              </w:rPr>
              <w:t>新</w:t>
            </w:r>
            <w:r>
              <w:rPr>
                <w:color w:val="auto"/>
                <w:spacing w:val="7"/>
                <w:sz w:val="24"/>
              </w:rPr>
              <w:t>马桥镇磨盘张，由蚌埠和铜陵两市合作共建，独立运作，</w:t>
            </w:r>
            <w:r>
              <w:rPr>
                <w:color w:val="auto"/>
                <w:spacing w:val="12"/>
                <w:sz w:val="24"/>
              </w:rPr>
              <w:t>享受省级</w:t>
            </w:r>
            <w:r>
              <w:rPr>
                <w:color w:val="auto"/>
                <w:spacing w:val="6"/>
                <w:sz w:val="24"/>
              </w:rPr>
              <w:t>开发区各项优惠政策。2012年4月经安徽省人民政府以</w:t>
            </w:r>
            <w:r>
              <w:rPr>
                <w:rFonts w:hint="eastAsia"/>
                <w:color w:val="auto"/>
                <w:spacing w:val="8"/>
                <w:sz w:val="24"/>
              </w:rPr>
              <w:t>（</w:t>
            </w:r>
            <w:r>
              <w:rPr>
                <w:color w:val="auto"/>
                <w:spacing w:val="5"/>
                <w:sz w:val="24"/>
              </w:rPr>
              <w:t>皖</w:t>
            </w:r>
            <w:r>
              <w:rPr>
                <w:color w:val="auto"/>
                <w:spacing w:val="4"/>
                <w:sz w:val="24"/>
              </w:rPr>
              <w:t>政秘</w:t>
            </w:r>
            <w:r>
              <w:rPr>
                <w:rFonts w:hint="eastAsia" w:ascii="微软雅黑" w:hAnsi="微软雅黑" w:eastAsia="微软雅黑" w:cs="微软雅黑"/>
                <w:color w:val="auto"/>
                <w:spacing w:val="4"/>
                <w:sz w:val="24"/>
              </w:rPr>
              <w:t>〔</w:t>
            </w:r>
            <w:r>
              <w:rPr>
                <w:color w:val="auto"/>
                <w:spacing w:val="4"/>
                <w:sz w:val="24"/>
              </w:rPr>
              <w:t>2012</w:t>
            </w:r>
            <w:r>
              <w:rPr>
                <w:rFonts w:hint="eastAsia" w:ascii="微软雅黑" w:hAnsi="微软雅黑" w:eastAsia="微软雅黑" w:cs="微软雅黑"/>
                <w:color w:val="auto"/>
                <w:spacing w:val="4"/>
                <w:sz w:val="24"/>
              </w:rPr>
              <w:t>〕</w:t>
            </w:r>
            <w:r>
              <w:rPr>
                <w:color w:val="auto"/>
                <w:spacing w:val="4"/>
                <w:sz w:val="24"/>
              </w:rPr>
              <w:t>192号</w:t>
            </w:r>
            <w:r>
              <w:rPr>
                <w:rFonts w:hint="eastAsia"/>
                <w:color w:val="auto"/>
                <w:spacing w:val="4"/>
                <w:sz w:val="24"/>
              </w:rPr>
              <w:t>）</w:t>
            </w:r>
            <w:r>
              <w:rPr>
                <w:color w:val="auto"/>
                <w:spacing w:val="4"/>
                <w:sz w:val="24"/>
              </w:rPr>
              <w:t>文批复为省级开发区。</w:t>
            </w:r>
          </w:p>
          <w:p>
            <w:pPr>
              <w:keepNext w:val="0"/>
              <w:keepLines w:val="0"/>
              <w:pageBreakBefore w:val="0"/>
              <w:widowControl w:val="0"/>
              <w:kinsoku/>
              <w:overflowPunct/>
              <w:topLinePunct w:val="0"/>
              <w:bidi w:val="0"/>
              <w:adjustRightInd w:val="0"/>
              <w:snapToGrid w:val="0"/>
              <w:spacing w:line="360" w:lineRule="auto"/>
              <w:ind w:firstLine="528" w:firstLineChars="200"/>
              <w:textAlignment w:val="auto"/>
              <w:rPr>
                <w:color w:val="auto"/>
                <w:sz w:val="24"/>
              </w:rPr>
            </w:pPr>
            <w:r>
              <w:rPr>
                <w:color w:val="auto"/>
                <w:spacing w:val="12"/>
                <w:sz w:val="24"/>
              </w:rPr>
              <w:t>2</w:t>
            </w:r>
            <w:r>
              <w:rPr>
                <w:color w:val="auto"/>
                <w:spacing w:val="9"/>
                <w:sz w:val="24"/>
              </w:rPr>
              <w:t>017年，安徽省人民政府《关于促进全省开发区改革和创新</w:t>
            </w:r>
            <w:r>
              <w:rPr>
                <w:color w:val="auto"/>
                <w:spacing w:val="14"/>
                <w:sz w:val="24"/>
              </w:rPr>
              <w:t>发</w:t>
            </w:r>
            <w:r>
              <w:rPr>
                <w:color w:val="auto"/>
                <w:spacing w:val="10"/>
                <w:sz w:val="24"/>
              </w:rPr>
              <w:t>展</w:t>
            </w:r>
            <w:r>
              <w:rPr>
                <w:color w:val="auto"/>
                <w:spacing w:val="7"/>
                <w:sz w:val="24"/>
              </w:rPr>
              <w:t>的实施意见》</w:t>
            </w:r>
            <w:r>
              <w:rPr>
                <w:rFonts w:hint="eastAsia"/>
                <w:color w:val="auto"/>
                <w:spacing w:val="7"/>
                <w:sz w:val="24"/>
              </w:rPr>
              <w:t>（</w:t>
            </w:r>
            <w:r>
              <w:rPr>
                <w:color w:val="auto"/>
                <w:spacing w:val="7"/>
                <w:sz w:val="24"/>
              </w:rPr>
              <w:t>皖政</w:t>
            </w:r>
            <w:r>
              <w:rPr>
                <w:rFonts w:hint="eastAsia" w:ascii="微软雅黑" w:hAnsi="微软雅黑" w:eastAsia="微软雅黑" w:cs="微软雅黑"/>
                <w:color w:val="auto"/>
                <w:spacing w:val="4"/>
                <w:sz w:val="24"/>
              </w:rPr>
              <w:t>〔</w:t>
            </w:r>
            <w:r>
              <w:rPr>
                <w:color w:val="auto"/>
                <w:spacing w:val="7"/>
                <w:sz w:val="24"/>
              </w:rPr>
              <w:t>2017</w:t>
            </w:r>
            <w:r>
              <w:rPr>
                <w:rFonts w:hint="eastAsia" w:ascii="微软雅黑" w:hAnsi="微软雅黑" w:eastAsia="微软雅黑" w:cs="微软雅黑"/>
                <w:color w:val="auto"/>
                <w:spacing w:val="4"/>
                <w:sz w:val="24"/>
              </w:rPr>
              <w:t>〕</w:t>
            </w:r>
            <w:r>
              <w:rPr>
                <w:color w:val="auto"/>
                <w:spacing w:val="7"/>
                <w:sz w:val="24"/>
              </w:rPr>
              <w:t>98号</w:t>
            </w:r>
            <w:r>
              <w:rPr>
                <w:rFonts w:hint="eastAsia"/>
                <w:color w:val="auto"/>
                <w:spacing w:val="7"/>
                <w:sz w:val="24"/>
              </w:rPr>
              <w:t>）</w:t>
            </w:r>
            <w:r>
              <w:rPr>
                <w:color w:val="auto"/>
                <w:spacing w:val="7"/>
                <w:sz w:val="24"/>
              </w:rPr>
              <w:t>中促进开发区优化整合，</w:t>
            </w:r>
            <w:r>
              <w:rPr>
                <w:color w:val="auto"/>
                <w:spacing w:val="14"/>
                <w:sz w:val="24"/>
              </w:rPr>
              <w:t>以</w:t>
            </w:r>
            <w:r>
              <w:rPr>
                <w:color w:val="auto"/>
                <w:spacing w:val="8"/>
                <w:sz w:val="24"/>
              </w:rPr>
              <w:t>国</w:t>
            </w:r>
            <w:r>
              <w:rPr>
                <w:color w:val="auto"/>
                <w:spacing w:val="7"/>
                <w:sz w:val="24"/>
              </w:rPr>
              <w:t>家级和发展水平高的省级开发区为主体，整合区位相邻相近、</w:t>
            </w:r>
            <w:r>
              <w:rPr>
                <w:color w:val="auto"/>
                <w:spacing w:val="20"/>
                <w:sz w:val="24"/>
              </w:rPr>
              <w:t>产</w:t>
            </w:r>
            <w:r>
              <w:rPr>
                <w:color w:val="auto"/>
                <w:spacing w:val="13"/>
                <w:sz w:val="24"/>
              </w:rPr>
              <w:t>业</w:t>
            </w:r>
            <w:r>
              <w:rPr>
                <w:color w:val="auto"/>
                <w:spacing w:val="10"/>
                <w:sz w:val="24"/>
              </w:rPr>
              <w:t>关联同质的开发区。县</w:t>
            </w:r>
            <w:r>
              <w:rPr>
                <w:rFonts w:hint="eastAsia"/>
                <w:color w:val="auto"/>
                <w:spacing w:val="10"/>
                <w:sz w:val="24"/>
              </w:rPr>
              <w:t>（</w:t>
            </w:r>
            <w:r>
              <w:rPr>
                <w:color w:val="auto"/>
                <w:spacing w:val="10"/>
                <w:sz w:val="24"/>
              </w:rPr>
              <w:t>市、区</w:t>
            </w:r>
            <w:r>
              <w:rPr>
                <w:rFonts w:hint="eastAsia"/>
                <w:color w:val="auto"/>
                <w:spacing w:val="10"/>
                <w:sz w:val="24"/>
              </w:rPr>
              <w:t>）</w:t>
            </w:r>
            <w:r>
              <w:rPr>
                <w:color w:val="auto"/>
                <w:spacing w:val="10"/>
                <w:sz w:val="24"/>
              </w:rPr>
              <w:t>原则上实行</w:t>
            </w:r>
            <w:r>
              <w:rPr>
                <w:rFonts w:hint="eastAsia"/>
                <w:color w:val="auto"/>
                <w:spacing w:val="10"/>
                <w:sz w:val="24"/>
              </w:rPr>
              <w:t>“</w:t>
            </w:r>
            <w:r>
              <w:rPr>
                <w:color w:val="auto"/>
                <w:spacing w:val="10"/>
                <w:sz w:val="24"/>
              </w:rPr>
              <w:t>一县一区</w:t>
            </w:r>
            <w:r>
              <w:rPr>
                <w:rFonts w:hint="eastAsia"/>
                <w:color w:val="auto"/>
                <w:spacing w:val="10"/>
                <w:sz w:val="24"/>
              </w:rPr>
              <w:t>”</w:t>
            </w:r>
            <w:r>
              <w:rPr>
                <w:color w:val="auto"/>
                <w:spacing w:val="10"/>
                <w:sz w:val="24"/>
              </w:rPr>
              <w:t>。</w:t>
            </w:r>
            <w:r>
              <w:rPr>
                <w:color w:val="auto"/>
                <w:spacing w:val="14"/>
                <w:sz w:val="24"/>
              </w:rPr>
              <w:t>2</w:t>
            </w:r>
            <w:r>
              <w:rPr>
                <w:color w:val="auto"/>
                <w:spacing w:val="9"/>
                <w:sz w:val="24"/>
              </w:rPr>
              <w:t>018年，安徽省人民政府《关于蚌埠市省级以上开发区优化整合</w:t>
            </w:r>
            <w:r>
              <w:rPr>
                <w:color w:val="auto"/>
                <w:spacing w:val="2"/>
                <w:sz w:val="24"/>
              </w:rPr>
              <w:t>方案的批复》</w:t>
            </w:r>
            <w:r>
              <w:rPr>
                <w:rFonts w:hint="eastAsia"/>
                <w:color w:val="auto"/>
                <w:spacing w:val="2"/>
                <w:sz w:val="24"/>
              </w:rPr>
              <w:t>（</w:t>
            </w:r>
            <w:r>
              <w:rPr>
                <w:color w:val="auto"/>
                <w:spacing w:val="2"/>
                <w:sz w:val="24"/>
              </w:rPr>
              <w:t>皖政秘</w:t>
            </w:r>
            <w:r>
              <w:rPr>
                <w:rFonts w:hint="eastAsia" w:ascii="微软雅黑" w:hAnsi="微软雅黑" w:eastAsia="微软雅黑" w:cs="微软雅黑"/>
                <w:color w:val="auto"/>
                <w:spacing w:val="4"/>
                <w:sz w:val="24"/>
              </w:rPr>
              <w:t>〔</w:t>
            </w:r>
            <w:r>
              <w:rPr>
                <w:color w:val="auto"/>
                <w:spacing w:val="2"/>
                <w:sz w:val="24"/>
              </w:rPr>
              <w:t>2018</w:t>
            </w:r>
            <w:r>
              <w:rPr>
                <w:rFonts w:hint="eastAsia" w:ascii="微软雅黑" w:hAnsi="微软雅黑" w:eastAsia="微软雅黑" w:cs="微软雅黑"/>
                <w:color w:val="auto"/>
                <w:spacing w:val="4"/>
                <w:sz w:val="24"/>
              </w:rPr>
              <w:t>〕</w:t>
            </w:r>
            <w:r>
              <w:rPr>
                <w:color w:val="auto"/>
                <w:spacing w:val="2"/>
                <w:sz w:val="24"/>
              </w:rPr>
              <w:t>139号</w:t>
            </w:r>
            <w:r>
              <w:rPr>
                <w:rFonts w:hint="eastAsia"/>
                <w:color w:val="auto"/>
                <w:spacing w:val="2"/>
                <w:sz w:val="24"/>
              </w:rPr>
              <w:t>）</w:t>
            </w:r>
            <w:r>
              <w:rPr>
                <w:color w:val="auto"/>
                <w:spacing w:val="2"/>
                <w:sz w:val="24"/>
              </w:rPr>
              <w:t>文件：撤销蚌埠铜陵现</w:t>
            </w:r>
            <w:r>
              <w:rPr>
                <w:color w:val="auto"/>
                <w:spacing w:val="1"/>
                <w:sz w:val="24"/>
              </w:rPr>
              <w:t>代</w:t>
            </w:r>
            <w:r>
              <w:rPr>
                <w:color w:val="auto"/>
                <w:sz w:val="24"/>
              </w:rPr>
              <w:t>产</w:t>
            </w:r>
            <w:r>
              <w:rPr>
                <w:color w:val="auto"/>
                <w:spacing w:val="6"/>
                <w:sz w:val="24"/>
              </w:rPr>
              <w:t>业园，将其</w:t>
            </w:r>
            <w:r>
              <w:rPr>
                <w:color w:val="auto"/>
                <w:spacing w:val="4"/>
                <w:sz w:val="24"/>
              </w:rPr>
              <w:t>整</w:t>
            </w:r>
            <w:r>
              <w:rPr>
                <w:color w:val="auto"/>
                <w:spacing w:val="3"/>
                <w:sz w:val="24"/>
              </w:rPr>
              <w:t>体并入安徽固镇经济开发区，加挂</w:t>
            </w:r>
            <w:r>
              <w:rPr>
                <w:rFonts w:hint="eastAsia"/>
                <w:color w:val="auto"/>
                <w:spacing w:val="3"/>
                <w:sz w:val="24"/>
              </w:rPr>
              <w:t>“</w:t>
            </w:r>
            <w:r>
              <w:rPr>
                <w:color w:val="auto"/>
                <w:spacing w:val="3"/>
                <w:sz w:val="24"/>
              </w:rPr>
              <w:t>蚌埠铜陵</w:t>
            </w:r>
            <w:r>
              <w:rPr>
                <w:rFonts w:hint="eastAsia"/>
                <w:color w:val="auto"/>
                <w:spacing w:val="3"/>
                <w:sz w:val="24"/>
              </w:rPr>
              <w:t>（</w:t>
            </w:r>
            <w:r>
              <w:rPr>
                <w:color w:val="auto"/>
                <w:spacing w:val="3"/>
                <w:sz w:val="24"/>
              </w:rPr>
              <w:t>固镇</w:t>
            </w:r>
            <w:r>
              <w:rPr>
                <w:rFonts w:hint="eastAsia"/>
                <w:color w:val="auto"/>
                <w:spacing w:val="3"/>
                <w:sz w:val="24"/>
              </w:rPr>
              <w:t>）</w:t>
            </w:r>
            <w:r>
              <w:rPr>
                <w:color w:val="auto"/>
                <w:spacing w:val="16"/>
                <w:sz w:val="24"/>
              </w:rPr>
              <w:t>现</w:t>
            </w:r>
            <w:r>
              <w:rPr>
                <w:color w:val="auto"/>
                <w:spacing w:val="13"/>
                <w:sz w:val="24"/>
              </w:rPr>
              <w:t>代</w:t>
            </w:r>
            <w:r>
              <w:rPr>
                <w:color w:val="auto"/>
                <w:spacing w:val="8"/>
                <w:sz w:val="24"/>
              </w:rPr>
              <w:t>产业园</w:t>
            </w:r>
            <w:r>
              <w:rPr>
                <w:rFonts w:hint="eastAsia"/>
                <w:color w:val="auto"/>
                <w:spacing w:val="8"/>
                <w:sz w:val="24"/>
              </w:rPr>
              <w:t>”</w:t>
            </w:r>
            <w:r>
              <w:rPr>
                <w:color w:val="auto"/>
                <w:spacing w:val="8"/>
                <w:sz w:val="24"/>
              </w:rPr>
              <w:t>牌子，保留</w:t>
            </w:r>
            <w:r>
              <w:rPr>
                <w:rFonts w:hint="eastAsia"/>
                <w:color w:val="auto"/>
                <w:spacing w:val="8"/>
                <w:sz w:val="24"/>
              </w:rPr>
              <w:t>“</w:t>
            </w:r>
            <w:r>
              <w:rPr>
                <w:color w:val="auto"/>
                <w:spacing w:val="8"/>
                <w:sz w:val="24"/>
              </w:rPr>
              <w:t>蚌埠台湾产业园</w:t>
            </w:r>
            <w:r>
              <w:rPr>
                <w:rFonts w:hint="eastAsia"/>
                <w:color w:val="auto"/>
                <w:spacing w:val="8"/>
                <w:sz w:val="24"/>
              </w:rPr>
              <w:t>”</w:t>
            </w:r>
            <w:r>
              <w:rPr>
                <w:color w:val="auto"/>
                <w:spacing w:val="8"/>
                <w:sz w:val="24"/>
              </w:rPr>
              <w:t>牌子。</w:t>
            </w:r>
          </w:p>
          <w:p>
            <w:pPr>
              <w:keepNext w:val="0"/>
              <w:keepLines w:val="0"/>
              <w:pageBreakBefore w:val="0"/>
              <w:widowControl w:val="0"/>
              <w:kinsoku/>
              <w:overflowPunct/>
              <w:topLinePunct w:val="0"/>
              <w:bidi w:val="0"/>
              <w:adjustRightInd w:val="0"/>
              <w:snapToGrid w:val="0"/>
              <w:spacing w:line="360" w:lineRule="auto"/>
              <w:ind w:firstLine="492" w:firstLineChars="200"/>
              <w:textAlignment w:val="auto"/>
              <w:rPr>
                <w:color w:val="auto"/>
                <w:sz w:val="24"/>
              </w:rPr>
            </w:pPr>
            <w:r>
              <w:rPr>
                <w:color w:val="auto"/>
                <w:spacing w:val="3"/>
                <w:sz w:val="24"/>
              </w:rPr>
              <w:t>2020年11月，安徽省</w:t>
            </w:r>
            <w:r>
              <w:rPr>
                <w:rFonts w:hint="eastAsia"/>
                <w:color w:val="auto"/>
                <w:spacing w:val="3"/>
                <w:sz w:val="24"/>
              </w:rPr>
              <w:t>自然资源厅</w:t>
            </w:r>
            <w:r>
              <w:rPr>
                <w:color w:val="auto"/>
                <w:spacing w:val="3"/>
                <w:sz w:val="24"/>
              </w:rPr>
              <w:t>根据省政府开发区整合优</w:t>
            </w:r>
            <w:r>
              <w:rPr>
                <w:color w:val="auto"/>
                <w:spacing w:val="2"/>
                <w:sz w:val="24"/>
              </w:rPr>
              <w:t>化</w:t>
            </w:r>
            <w:r>
              <w:rPr>
                <w:color w:val="auto"/>
                <w:sz w:val="24"/>
              </w:rPr>
              <w:t>工</w:t>
            </w:r>
            <w:r>
              <w:rPr>
                <w:color w:val="auto"/>
                <w:spacing w:val="15"/>
                <w:sz w:val="24"/>
              </w:rPr>
              <w:t>作</w:t>
            </w:r>
            <w:r>
              <w:rPr>
                <w:color w:val="auto"/>
                <w:spacing w:val="12"/>
                <w:sz w:val="24"/>
              </w:rPr>
              <w:t>要求，对开发区四至范围进行了进一步审核并下发了《安徽省</w:t>
            </w:r>
            <w:r>
              <w:rPr>
                <w:color w:val="auto"/>
                <w:spacing w:val="14"/>
                <w:sz w:val="24"/>
              </w:rPr>
              <w:t>自然</w:t>
            </w:r>
            <w:r>
              <w:rPr>
                <w:color w:val="auto"/>
                <w:spacing w:val="7"/>
                <w:sz w:val="24"/>
              </w:rPr>
              <w:t>资源厅关于安徽固镇经济开发区四至范围和面积的函》</w:t>
            </w:r>
            <w:r>
              <w:rPr>
                <w:rFonts w:hint="eastAsia"/>
                <w:color w:val="auto"/>
                <w:spacing w:val="7"/>
                <w:sz w:val="24"/>
              </w:rPr>
              <w:t>（</w:t>
            </w:r>
            <w:r>
              <w:rPr>
                <w:color w:val="auto"/>
                <w:spacing w:val="7"/>
                <w:sz w:val="24"/>
              </w:rPr>
              <w:t>皖</w:t>
            </w:r>
            <w:r>
              <w:rPr>
                <w:color w:val="auto"/>
                <w:sz w:val="24"/>
              </w:rPr>
              <w:t>自然资用函〔2020〕149号</w:t>
            </w:r>
            <w:r>
              <w:rPr>
                <w:rFonts w:hint="eastAsia"/>
                <w:color w:val="auto"/>
                <w:sz w:val="24"/>
              </w:rPr>
              <w:t>）</w:t>
            </w:r>
            <w:r>
              <w:rPr>
                <w:color w:val="auto"/>
                <w:sz w:val="24"/>
              </w:rPr>
              <w:t>，经审核，撤销蚌埠铜陵现代产业园，</w:t>
            </w:r>
            <w:r>
              <w:rPr>
                <w:color w:val="auto"/>
                <w:spacing w:val="15"/>
                <w:sz w:val="24"/>
              </w:rPr>
              <w:t>将</w:t>
            </w:r>
            <w:r>
              <w:rPr>
                <w:color w:val="auto"/>
                <w:spacing w:val="12"/>
                <w:sz w:val="24"/>
              </w:rPr>
              <w:t>其整体并入安徽固镇经济开发区。整合之后，园区开发区总面</w:t>
            </w:r>
            <w:r>
              <w:rPr>
                <w:color w:val="auto"/>
                <w:spacing w:val="2"/>
                <w:sz w:val="24"/>
              </w:rPr>
              <w:t>积为172</w:t>
            </w:r>
            <w:r>
              <w:rPr>
                <w:color w:val="auto"/>
                <w:spacing w:val="1"/>
                <w:sz w:val="24"/>
              </w:rPr>
              <w:t>7.6094公顷。</w:t>
            </w:r>
          </w:p>
          <w:p>
            <w:pPr>
              <w:pStyle w:val="69"/>
              <w:keepNext w:val="0"/>
              <w:keepLines w:val="0"/>
              <w:pageBreakBefore w:val="0"/>
              <w:widowControl w:val="0"/>
              <w:kinsoku/>
              <w:wordWrap w:val="0"/>
              <w:overflowPunct/>
              <w:topLinePunct w:val="0"/>
              <w:autoSpaceDE w:val="0"/>
              <w:autoSpaceDN w:val="0"/>
              <w:bidi w:val="0"/>
              <w:spacing w:line="360" w:lineRule="auto"/>
              <w:ind w:firstLine="528" w:firstLineChars="200"/>
              <w:textAlignment w:val="auto"/>
              <w:rPr>
                <w:rFonts w:ascii="Times New Roman" w:hAnsi="Times New Roman" w:cs="Times New Roman"/>
                <w:color w:val="auto"/>
                <w:spacing w:val="7"/>
                <w:sz w:val="24"/>
                <w:szCs w:val="24"/>
                <w:lang w:eastAsia="zh-CN"/>
              </w:rPr>
            </w:pPr>
            <w:r>
              <w:rPr>
                <w:rFonts w:ascii="Times New Roman" w:hAnsi="Times New Roman" w:cs="Times New Roman"/>
                <w:color w:val="auto"/>
                <w:spacing w:val="12"/>
                <w:sz w:val="24"/>
                <w:szCs w:val="24"/>
                <w:lang w:eastAsia="zh-CN"/>
              </w:rPr>
              <w:t>2</w:t>
            </w:r>
            <w:r>
              <w:rPr>
                <w:rFonts w:ascii="Times New Roman" w:hAnsi="Times New Roman" w:cs="Times New Roman"/>
                <w:color w:val="auto"/>
                <w:spacing w:val="9"/>
                <w:sz w:val="24"/>
                <w:szCs w:val="24"/>
                <w:lang w:eastAsia="zh-CN"/>
              </w:rPr>
              <w:t>0</w:t>
            </w:r>
            <w:r>
              <w:rPr>
                <w:rFonts w:hint="eastAsia" w:ascii="Times New Roman" w:hAnsi="Times New Roman" w:cs="Times New Roman"/>
                <w:color w:val="auto"/>
                <w:spacing w:val="9"/>
                <w:sz w:val="24"/>
                <w:szCs w:val="24"/>
                <w:lang w:eastAsia="zh-CN"/>
              </w:rPr>
              <w:t>21</w:t>
            </w:r>
            <w:r>
              <w:rPr>
                <w:rFonts w:ascii="Times New Roman" w:hAnsi="Times New Roman" w:cs="Times New Roman"/>
                <w:color w:val="auto"/>
                <w:spacing w:val="9"/>
                <w:sz w:val="24"/>
                <w:szCs w:val="24"/>
                <w:lang w:eastAsia="zh-CN"/>
              </w:rPr>
              <w:t>年</w:t>
            </w:r>
            <w:r>
              <w:rPr>
                <w:rFonts w:hint="eastAsia" w:ascii="Times New Roman" w:hAnsi="Times New Roman" w:cs="Times New Roman"/>
                <w:color w:val="auto"/>
                <w:spacing w:val="9"/>
                <w:sz w:val="24"/>
                <w:szCs w:val="24"/>
                <w:lang w:eastAsia="zh-CN"/>
              </w:rPr>
              <w:t>12月</w:t>
            </w:r>
            <w:r>
              <w:rPr>
                <w:rFonts w:ascii="Times New Roman" w:hAnsi="Times New Roman" w:cs="Times New Roman"/>
                <w:color w:val="auto"/>
                <w:spacing w:val="9"/>
                <w:sz w:val="24"/>
                <w:szCs w:val="24"/>
                <w:lang w:eastAsia="zh-CN"/>
              </w:rPr>
              <w:t>，安徽固镇经济开发区管理委员会</w:t>
            </w:r>
            <w:r>
              <w:rPr>
                <w:rFonts w:hint="eastAsia" w:ascii="Times New Roman" w:hAnsi="Times New Roman" w:cs="Times New Roman"/>
                <w:color w:val="auto"/>
                <w:spacing w:val="9"/>
                <w:sz w:val="24"/>
                <w:szCs w:val="24"/>
                <w:lang w:eastAsia="zh-CN"/>
              </w:rPr>
              <w:t>着手</w:t>
            </w:r>
            <w:r>
              <w:rPr>
                <w:rFonts w:ascii="Times New Roman" w:hAnsi="Times New Roman" w:cs="Times New Roman"/>
                <w:color w:val="auto"/>
                <w:spacing w:val="9"/>
                <w:sz w:val="24"/>
                <w:szCs w:val="24"/>
                <w:lang w:eastAsia="zh-CN"/>
              </w:rPr>
              <w:t>对两个开</w:t>
            </w:r>
            <w:r>
              <w:rPr>
                <w:rFonts w:ascii="Times New Roman" w:hAnsi="Times New Roman" w:cs="Times New Roman"/>
                <w:color w:val="auto"/>
                <w:spacing w:val="21"/>
                <w:sz w:val="24"/>
                <w:szCs w:val="24"/>
                <w:lang w:eastAsia="zh-CN"/>
              </w:rPr>
              <w:t>发区整合工作，委托编制《安徽固镇经济开发区总体发展规</w:t>
            </w:r>
            <w:r>
              <w:rPr>
                <w:rFonts w:ascii="Times New Roman" w:hAnsi="Times New Roman" w:cs="Times New Roman"/>
                <w:color w:val="auto"/>
                <w:spacing w:val="17"/>
                <w:sz w:val="24"/>
                <w:szCs w:val="24"/>
                <w:lang w:eastAsia="zh-CN"/>
              </w:rPr>
              <w:t>划</w:t>
            </w:r>
            <w:r>
              <w:rPr>
                <w:rFonts w:hint="eastAsia" w:ascii="Times New Roman" w:hAnsi="Times New Roman" w:cs="Times New Roman"/>
                <w:color w:val="auto"/>
                <w:spacing w:val="7"/>
                <w:sz w:val="24"/>
                <w:szCs w:val="24"/>
                <w:lang w:eastAsia="zh-CN"/>
              </w:rPr>
              <w:t>（</w:t>
            </w:r>
            <w:r>
              <w:rPr>
                <w:rFonts w:ascii="Times New Roman" w:hAnsi="Times New Roman" w:cs="Times New Roman"/>
                <w:color w:val="auto"/>
                <w:spacing w:val="7"/>
                <w:sz w:val="24"/>
                <w:szCs w:val="24"/>
                <w:lang w:eastAsia="zh-CN"/>
              </w:rPr>
              <w:t>2021-2035年</w:t>
            </w:r>
            <w:r>
              <w:rPr>
                <w:rFonts w:hint="eastAsia" w:ascii="Times New Roman" w:hAnsi="Times New Roman" w:cs="Times New Roman"/>
                <w:color w:val="auto"/>
                <w:spacing w:val="7"/>
                <w:sz w:val="24"/>
                <w:szCs w:val="24"/>
                <w:lang w:eastAsia="zh-CN"/>
              </w:rPr>
              <w:t>）</w:t>
            </w:r>
            <w:r>
              <w:rPr>
                <w:rFonts w:ascii="Times New Roman" w:hAnsi="Times New Roman" w:cs="Times New Roman"/>
                <w:color w:val="auto"/>
                <w:spacing w:val="7"/>
                <w:sz w:val="24"/>
                <w:szCs w:val="24"/>
                <w:lang w:eastAsia="zh-CN"/>
              </w:rPr>
              <w:t>》，并同步开展规划环境影响工作</w:t>
            </w:r>
            <w:r>
              <w:rPr>
                <w:rFonts w:ascii="Times New Roman" w:hAnsi="Times New Roman" w:cs="Times New Roman"/>
                <w:color w:val="auto"/>
                <w:spacing w:val="1"/>
                <w:sz w:val="24"/>
                <w:szCs w:val="24"/>
                <w:lang w:eastAsia="zh-CN"/>
              </w:rPr>
              <w:t>。</w:t>
            </w:r>
            <w:r>
              <w:rPr>
                <w:rFonts w:ascii="Times New Roman" w:hAnsi="Times New Roman" w:cs="Times New Roman"/>
                <w:color w:val="auto"/>
                <w:spacing w:val="18"/>
                <w:sz w:val="24"/>
                <w:szCs w:val="24"/>
                <w:lang w:eastAsia="zh-CN"/>
              </w:rPr>
              <w:t>在</w:t>
            </w:r>
            <w:r>
              <w:rPr>
                <w:rFonts w:ascii="Times New Roman" w:hAnsi="Times New Roman" w:cs="Times New Roman"/>
                <w:color w:val="auto"/>
                <w:spacing w:val="12"/>
                <w:sz w:val="24"/>
                <w:szCs w:val="24"/>
                <w:lang w:eastAsia="zh-CN"/>
              </w:rPr>
              <w:t>保留原固镇经济开发区和蚌铜园</w:t>
            </w:r>
            <w:r>
              <w:rPr>
                <w:rFonts w:hint="eastAsia" w:ascii="Times New Roman" w:hAnsi="Times New Roman" w:cs="Times New Roman"/>
                <w:color w:val="auto"/>
                <w:spacing w:val="12"/>
                <w:sz w:val="24"/>
                <w:szCs w:val="24"/>
                <w:lang w:eastAsia="zh-CN"/>
              </w:rPr>
              <w:t>区</w:t>
            </w:r>
            <w:r>
              <w:rPr>
                <w:rFonts w:ascii="Times New Roman" w:hAnsi="Times New Roman" w:cs="Times New Roman"/>
                <w:color w:val="auto"/>
                <w:spacing w:val="12"/>
                <w:sz w:val="24"/>
                <w:szCs w:val="24"/>
                <w:lang w:eastAsia="zh-CN"/>
              </w:rPr>
              <w:t>现有主导产业的基础上，</w:t>
            </w:r>
            <w:r>
              <w:rPr>
                <w:rFonts w:ascii="Times New Roman" w:hAnsi="Times New Roman" w:cs="Times New Roman"/>
                <w:color w:val="auto"/>
                <w:spacing w:val="30"/>
                <w:sz w:val="24"/>
                <w:szCs w:val="24"/>
                <w:lang w:eastAsia="zh-CN"/>
              </w:rPr>
              <w:t>参</w:t>
            </w:r>
            <w:r>
              <w:rPr>
                <w:rFonts w:ascii="Times New Roman" w:hAnsi="Times New Roman" w:cs="Times New Roman"/>
                <w:color w:val="auto"/>
                <w:spacing w:val="16"/>
                <w:sz w:val="24"/>
                <w:szCs w:val="24"/>
                <w:lang w:eastAsia="zh-CN"/>
              </w:rPr>
              <w:t>考蚌埠市和固镇县</w:t>
            </w:r>
            <w:r>
              <w:rPr>
                <w:rFonts w:hint="eastAsia" w:ascii="Times New Roman" w:hAnsi="Times New Roman" w:cs="Times New Roman"/>
                <w:color w:val="auto"/>
                <w:spacing w:val="16"/>
                <w:sz w:val="24"/>
                <w:szCs w:val="24"/>
                <w:lang w:eastAsia="zh-CN"/>
              </w:rPr>
              <w:t>“</w:t>
            </w:r>
            <w:r>
              <w:rPr>
                <w:rFonts w:ascii="Times New Roman" w:hAnsi="Times New Roman" w:cs="Times New Roman"/>
                <w:color w:val="auto"/>
                <w:spacing w:val="16"/>
                <w:sz w:val="24"/>
                <w:szCs w:val="24"/>
                <w:lang w:eastAsia="zh-CN"/>
              </w:rPr>
              <w:t>十四五</w:t>
            </w:r>
            <w:r>
              <w:rPr>
                <w:rFonts w:hint="eastAsia" w:ascii="Times New Roman" w:hAnsi="Times New Roman" w:cs="Times New Roman"/>
                <w:color w:val="auto"/>
                <w:spacing w:val="16"/>
                <w:sz w:val="24"/>
                <w:szCs w:val="24"/>
                <w:lang w:eastAsia="zh-CN"/>
              </w:rPr>
              <w:t>”</w:t>
            </w:r>
            <w:r>
              <w:rPr>
                <w:rFonts w:ascii="Times New Roman" w:hAnsi="Times New Roman" w:cs="Times New Roman"/>
                <w:color w:val="auto"/>
                <w:spacing w:val="16"/>
                <w:sz w:val="24"/>
                <w:szCs w:val="24"/>
                <w:lang w:eastAsia="zh-CN"/>
              </w:rPr>
              <w:t>发展规划，固镇经开区委托编制</w:t>
            </w:r>
            <w:r>
              <w:rPr>
                <w:rFonts w:ascii="Times New Roman" w:hAnsi="Times New Roman" w:cs="Times New Roman"/>
                <w:color w:val="auto"/>
                <w:spacing w:val="13"/>
                <w:sz w:val="24"/>
                <w:szCs w:val="24"/>
                <w:lang w:eastAsia="zh-CN"/>
              </w:rPr>
              <w:t>《</w:t>
            </w:r>
            <w:r>
              <w:rPr>
                <w:rFonts w:ascii="Times New Roman" w:hAnsi="Times New Roman" w:cs="Times New Roman"/>
                <w:color w:val="auto"/>
                <w:spacing w:val="12"/>
                <w:sz w:val="24"/>
                <w:szCs w:val="24"/>
                <w:lang w:eastAsia="zh-CN"/>
              </w:rPr>
              <w:t>安徽固镇经济开发区主导产业调整变更可行性研究报告》，研</w:t>
            </w:r>
            <w:r>
              <w:rPr>
                <w:rFonts w:ascii="Times New Roman" w:hAnsi="Times New Roman" w:cs="Times New Roman"/>
                <w:color w:val="auto"/>
                <w:spacing w:val="13"/>
                <w:sz w:val="24"/>
                <w:szCs w:val="24"/>
                <w:lang w:eastAsia="zh-CN"/>
              </w:rPr>
              <w:t>讨</w:t>
            </w:r>
            <w:r>
              <w:rPr>
                <w:rFonts w:ascii="Times New Roman" w:hAnsi="Times New Roman" w:cs="Times New Roman"/>
                <w:color w:val="auto"/>
                <w:spacing w:val="12"/>
                <w:sz w:val="24"/>
                <w:szCs w:val="24"/>
                <w:lang w:eastAsia="zh-CN"/>
              </w:rPr>
              <w:t>区域产业发展政策，对主导产业变更进行研判，现两个园区合</w:t>
            </w:r>
            <w:r>
              <w:rPr>
                <w:rFonts w:ascii="Times New Roman" w:hAnsi="Times New Roman" w:cs="Times New Roman"/>
                <w:color w:val="auto"/>
                <w:spacing w:val="-1"/>
                <w:sz w:val="24"/>
                <w:szCs w:val="24"/>
                <w:lang w:eastAsia="zh-CN"/>
              </w:rPr>
              <w:t>并后其主导产业由原3+3调整为整体共3</w:t>
            </w:r>
            <w:r>
              <w:rPr>
                <w:rFonts w:ascii="Times New Roman" w:hAnsi="Times New Roman" w:cs="Times New Roman"/>
                <w:color w:val="auto"/>
                <w:sz w:val="24"/>
                <w:szCs w:val="24"/>
                <w:lang w:eastAsia="zh-CN"/>
              </w:rPr>
              <w:t>个，调整后的主导产业</w:t>
            </w:r>
            <w:r>
              <w:rPr>
                <w:rFonts w:ascii="Times New Roman" w:hAnsi="Times New Roman" w:cs="Times New Roman"/>
                <w:color w:val="auto"/>
                <w:spacing w:val="9"/>
                <w:sz w:val="24"/>
                <w:szCs w:val="24"/>
                <w:lang w:eastAsia="zh-CN"/>
              </w:rPr>
              <w:t>为农副产品加工、装备制造、精细化工</w:t>
            </w:r>
            <w:r>
              <w:rPr>
                <w:rFonts w:ascii="Times New Roman" w:hAnsi="Times New Roman" w:cs="Times New Roman"/>
                <w:color w:val="auto"/>
                <w:spacing w:val="7"/>
                <w:sz w:val="24"/>
                <w:szCs w:val="24"/>
                <w:lang w:eastAsia="zh-CN"/>
              </w:rPr>
              <w:t>。</w:t>
            </w:r>
          </w:p>
          <w:p>
            <w:pPr>
              <w:pStyle w:val="69"/>
              <w:keepNext w:val="0"/>
              <w:keepLines w:val="0"/>
              <w:pageBreakBefore w:val="0"/>
              <w:widowControl w:val="0"/>
              <w:kinsoku/>
              <w:wordWrap w:val="0"/>
              <w:overflowPunct/>
              <w:topLinePunct w:val="0"/>
              <w:autoSpaceDE w:val="0"/>
              <w:autoSpaceDN w:val="0"/>
              <w:bidi w:val="0"/>
              <w:spacing w:line="360" w:lineRule="auto"/>
              <w:ind w:firstLine="508" w:firstLineChars="200"/>
              <w:textAlignment w:val="auto"/>
              <w:rPr>
                <w:rFonts w:ascii="Times New Roman" w:hAnsi="Times New Roman" w:cs="Times New Roman"/>
                <w:color w:val="auto"/>
                <w:spacing w:val="7"/>
                <w:sz w:val="24"/>
                <w:szCs w:val="24"/>
                <w:lang w:eastAsia="zh-CN"/>
              </w:rPr>
            </w:pPr>
            <w:r>
              <w:rPr>
                <w:rFonts w:hint="eastAsia" w:ascii="Times New Roman" w:hAnsi="Times New Roman" w:cs="Times New Roman"/>
                <w:color w:val="auto"/>
                <w:spacing w:val="7"/>
                <w:sz w:val="24"/>
                <w:szCs w:val="24"/>
                <w:lang w:eastAsia="zh-CN"/>
              </w:rPr>
              <w:t>2024年，依据蚌埠市“三区三线”成果和《蚌埠市国土空间总体规划（2021-2035年）》），对原批准开发区范围（皖自然资用函[2020]149号）进行调整，规划总面积不突破原核准面积，经开区管委会组织编制了《安徽固镇经济开发区总体发展规划（2024-2035年）》并委托安徽科欣环保股份有限公司开展本轮经开区总体发展规划环境影响评价工作。</w:t>
            </w:r>
          </w:p>
          <w:p>
            <w:pPr>
              <w:pStyle w:val="69"/>
              <w:keepNext w:val="0"/>
              <w:keepLines w:val="0"/>
              <w:pageBreakBefore w:val="0"/>
              <w:widowControl w:val="0"/>
              <w:kinsoku/>
              <w:wordWrap w:val="0"/>
              <w:overflowPunct/>
              <w:topLinePunct w:val="0"/>
              <w:autoSpaceDE w:val="0"/>
              <w:autoSpaceDN w:val="0"/>
              <w:bidi w:val="0"/>
              <w:spacing w:line="360" w:lineRule="auto"/>
              <w:ind w:firstLine="508" w:firstLineChars="200"/>
              <w:textAlignment w:val="auto"/>
              <w:rPr>
                <w:rFonts w:ascii="Times New Roman" w:hAnsi="Times New Roman" w:cs="Times New Roman"/>
                <w:color w:val="auto"/>
                <w:spacing w:val="7"/>
                <w:sz w:val="24"/>
                <w:szCs w:val="24"/>
                <w:lang w:eastAsia="zh-CN"/>
              </w:rPr>
            </w:pPr>
            <w:r>
              <w:rPr>
                <w:rFonts w:hint="eastAsia" w:ascii="Times New Roman" w:hAnsi="Times New Roman" w:cs="Times New Roman"/>
                <w:color w:val="auto"/>
                <w:spacing w:val="7"/>
                <w:sz w:val="24"/>
                <w:szCs w:val="24"/>
                <w:lang w:eastAsia="zh-CN"/>
              </w:rPr>
              <w:t>本轮总体发展规划编制过程中，规划编制单位依据《安徽省自然资源厅关于核定安徽固镇经济开发区经济开发区四至范围和面积的通知》（皖自然资用函〔2020〕149）号文中对安徽固镇经济开发区规划面积与四至范围的认定结果，在保持经开区规划总面积1727.61公顷不变的情况下，结合经开区发展现状对各区块原四至范围进行了调整。2024年9月25日，安徽省自然资源厅印发《关于安徽固镇经济开发区拟调区四至范围初核意见》，安徽固镇经济开发区拟调区范围总面积为1727.61公顷。拟调区范围包括三个区块，其中北区即区块一面积943.35公顷，四至范围为：东至经四路，南至纬十路，西至旧S101省道路，北至刘集路；南区包含两个区块，区块二面积402.18公顷，四至范围为：东至京沪高铁，南至新马大道，西至S101省道，北至复兴大道；区块三面积382.08公顷，四至范围为：东至智汇路，南至新马大道，西至京沪高铁，北至复兴大道。安徽固镇经济开发区拟调区范围总面积1727.61公顷，位于城镇开发边界内面积1699.73公顷，城镇开发边界外面积27.88公顷，为保持开发区调区范围的完整性，对于城镇开发边界外的部分，固镇县人民政府承诺在正式核定前调整至城镇开发边界内。规划范围不涉及生态保护红线，不涉及永久基本农田。本轮总体发展规划不对经开区主导产业进行变更，经开区主导产业仍沿用上一轮总体规划中的装备制造、农副产品加工、精细化工三个产业。</w:t>
            </w:r>
          </w:p>
          <w:p>
            <w:pPr>
              <w:pStyle w:val="69"/>
              <w:keepNext w:val="0"/>
              <w:keepLines w:val="0"/>
              <w:pageBreakBefore w:val="0"/>
              <w:widowControl w:val="0"/>
              <w:kinsoku/>
              <w:overflowPunct/>
              <w:topLinePunct w:val="0"/>
              <w:autoSpaceDE w:val="0"/>
              <w:autoSpaceDN w:val="0"/>
              <w:bidi w:val="0"/>
              <w:spacing w:line="360" w:lineRule="auto"/>
              <w:ind w:firstLine="480" w:firstLineChars="200"/>
              <w:textAlignment w:val="auto"/>
              <w:rPr>
                <w:rFonts w:ascii="Times New Roman" w:hAnsi="Times New Roman" w:cs="Times New Roman"/>
                <w:snapToGrid w:val="0"/>
                <w:color w:val="auto"/>
                <w:sz w:val="24"/>
                <w:lang w:eastAsia="zh-CN"/>
              </w:rPr>
            </w:pPr>
            <w:r>
              <w:rPr>
                <w:rFonts w:ascii="Times New Roman" w:hAnsi="Times New Roman" w:cs="Times New Roman"/>
                <w:snapToGrid w:val="0"/>
                <w:color w:val="auto"/>
                <w:sz w:val="24"/>
                <w:lang w:eastAsia="zh-CN"/>
              </w:rPr>
              <w:t>本项目属于</w:t>
            </w:r>
            <w:r>
              <w:rPr>
                <w:rFonts w:hint="eastAsia" w:ascii="Times New Roman" w:hAnsi="Times New Roman" w:cs="Times New Roman"/>
                <w:snapToGrid w:val="0"/>
                <w:color w:val="auto"/>
                <w:sz w:val="24"/>
                <w:lang w:eastAsia="zh-CN"/>
              </w:rPr>
              <w:t>C3859其他家用电力器具制造</w:t>
            </w:r>
            <w:r>
              <w:rPr>
                <w:rFonts w:ascii="Times New Roman" w:hAnsi="Times New Roman" w:cs="Times New Roman"/>
                <w:snapToGrid w:val="0"/>
                <w:color w:val="auto"/>
                <w:sz w:val="24"/>
                <w:lang w:eastAsia="zh-CN"/>
              </w:rPr>
              <w:t>，</w:t>
            </w:r>
            <w:r>
              <w:rPr>
                <w:rFonts w:hint="eastAsia" w:ascii="Times New Roman" w:hAnsi="Times New Roman" w:cs="Times New Roman"/>
                <w:snapToGrid w:val="0"/>
                <w:color w:val="auto"/>
                <w:sz w:val="24"/>
                <w:lang w:eastAsia="zh-CN"/>
              </w:rPr>
              <w:t>不</w:t>
            </w:r>
            <w:r>
              <w:rPr>
                <w:rFonts w:ascii="Times New Roman" w:hAnsi="Times New Roman" w:cs="Times New Roman"/>
                <w:snapToGrid w:val="0"/>
                <w:color w:val="auto"/>
                <w:sz w:val="24"/>
                <w:lang w:eastAsia="zh-CN"/>
              </w:rPr>
              <w:t>属于园区主导产业，对照</w:t>
            </w:r>
            <w:r>
              <w:rPr>
                <w:rFonts w:hint="eastAsia" w:ascii="Times New Roman" w:hAnsi="Times New Roman" w:cs="Times New Roman"/>
                <w:snapToGrid w:val="0"/>
                <w:color w:val="auto"/>
                <w:sz w:val="24"/>
                <w:lang w:eastAsia="zh-CN"/>
              </w:rPr>
              <w:t>安徽固镇经济开发区总体发展规划（2024-2035年）（调区）</w:t>
            </w:r>
            <w:r>
              <w:rPr>
                <w:rFonts w:ascii="Times New Roman" w:hAnsi="Times New Roman" w:cs="Times New Roman"/>
                <w:snapToGrid w:val="0"/>
                <w:color w:val="auto"/>
                <w:sz w:val="24"/>
                <w:lang w:eastAsia="zh-CN"/>
              </w:rPr>
              <w:t>环境影响报告书提出的园区</w:t>
            </w:r>
            <w:r>
              <w:rPr>
                <w:rFonts w:hint="eastAsia" w:ascii="Times New Roman" w:hAnsi="Times New Roman" w:cs="Times New Roman"/>
                <w:snapToGrid w:val="0"/>
                <w:color w:val="auto"/>
                <w:sz w:val="24"/>
                <w:lang w:eastAsia="zh-CN"/>
              </w:rPr>
              <w:t>生态环境</w:t>
            </w:r>
            <w:r>
              <w:rPr>
                <w:rFonts w:ascii="Times New Roman" w:hAnsi="Times New Roman" w:cs="Times New Roman"/>
                <w:snapToGrid w:val="0"/>
                <w:color w:val="auto"/>
                <w:sz w:val="24"/>
                <w:lang w:eastAsia="zh-CN"/>
              </w:rPr>
              <w:t>准入</w:t>
            </w:r>
            <w:r>
              <w:rPr>
                <w:rFonts w:hint="eastAsia" w:ascii="Times New Roman" w:hAnsi="Times New Roman" w:cs="Times New Roman"/>
                <w:snapToGrid w:val="0"/>
                <w:color w:val="auto"/>
                <w:sz w:val="24"/>
                <w:lang w:eastAsia="zh-CN"/>
              </w:rPr>
              <w:t>清单，</w:t>
            </w:r>
            <w:r>
              <w:rPr>
                <w:rFonts w:ascii="Times New Roman" w:hAnsi="Times New Roman" w:cs="Times New Roman"/>
                <w:snapToGrid w:val="0"/>
                <w:color w:val="auto"/>
                <w:sz w:val="24"/>
                <w:lang w:eastAsia="zh-CN"/>
              </w:rPr>
              <w:t>不属于限制和禁止准入产业，符合固镇经济开发区总体发展规划。</w:t>
            </w:r>
          </w:p>
          <w:p>
            <w:pPr>
              <w:autoSpaceDE w:val="0"/>
              <w:autoSpaceDN w:val="0"/>
              <w:adjustRightInd w:val="0"/>
              <w:snapToGrid w:val="0"/>
              <w:jc w:val="center"/>
              <w:rPr>
                <w:b/>
                <w:color w:val="auto"/>
                <w:spacing w:val="-1"/>
                <w:sz w:val="24"/>
              </w:rPr>
            </w:pPr>
            <w:r>
              <w:rPr>
                <w:b/>
                <w:color w:val="auto"/>
                <w:spacing w:val="-1"/>
                <w:sz w:val="24"/>
              </w:rPr>
              <w:t>表1-1  安徽固</w:t>
            </w:r>
            <w:r>
              <w:rPr>
                <w:rFonts w:hint="eastAsia"/>
                <w:b/>
                <w:color w:val="auto"/>
                <w:spacing w:val="-1"/>
                <w:sz w:val="24"/>
              </w:rPr>
              <w:t>镇经济开发区总体发展规划（2024-2035年）（调区）环境影响报告书提出的园区生态环境准入清单</w:t>
            </w:r>
          </w:p>
          <w:tbl>
            <w:tblPr>
              <w:tblStyle w:val="71"/>
              <w:tblW w:w="4999"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616"/>
              <w:gridCol w:w="815"/>
              <w:gridCol w:w="636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95"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snapToGrid w:val="0"/>
                      <w:color w:val="auto"/>
                      <w:kern w:val="0"/>
                      <w:szCs w:val="21"/>
                      <w:lang w:eastAsia="en-US"/>
                    </w:rPr>
                  </w:pPr>
                  <w:r>
                    <w:rPr>
                      <w:rFonts w:ascii="Calibri" w:hAnsi="Calibri" w:cs="黑体"/>
                      <w:b/>
                      <w:bCs/>
                      <w:snapToGrid w:val="0"/>
                      <w:color w:val="auto"/>
                      <w:kern w:val="0"/>
                      <w:szCs w:val="21"/>
                      <w:lang w:eastAsia="en-US"/>
                    </w:rPr>
                    <w:t>类别</w:t>
                  </w: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snapToGrid w:val="0"/>
                      <w:color w:val="auto"/>
                      <w:kern w:val="0"/>
                      <w:szCs w:val="21"/>
                      <w:lang w:eastAsia="en-US"/>
                    </w:rPr>
                  </w:pPr>
                  <w:r>
                    <w:rPr>
                      <w:rFonts w:ascii="Calibri" w:hAnsi="Calibri" w:cs="黑体"/>
                      <w:b/>
                      <w:bCs/>
                      <w:snapToGrid w:val="0"/>
                      <w:color w:val="auto"/>
                      <w:kern w:val="0"/>
                      <w:szCs w:val="21"/>
                      <w:lang w:eastAsia="en-US"/>
                    </w:rPr>
                    <w:t>细类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snapToGrid w:val="0"/>
                      <w:color w:val="auto"/>
                      <w:kern w:val="0"/>
                      <w:szCs w:val="21"/>
                      <w:lang w:eastAsia="en-US"/>
                    </w:rPr>
                  </w:pPr>
                  <w:r>
                    <w:rPr>
                      <w:rFonts w:ascii="Calibri" w:hAnsi="Calibri" w:cs="黑体"/>
                      <w:b/>
                      <w:bCs/>
                      <w:snapToGrid w:val="0"/>
                      <w:color w:val="auto"/>
                      <w:kern w:val="0"/>
                      <w:szCs w:val="21"/>
                      <w:lang w:eastAsia="en-US"/>
                    </w:rPr>
                    <w:t>准入要求</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95" w:type="pct"/>
                  <w:vMerge w:val="restar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产业</w:t>
                  </w:r>
                </w:p>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准入</w:t>
                  </w: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有条件准入</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对于南区内新建、扩建排放含氟废水项目，应建设含氟废水预处理设施，含氟废水经污水预处理设施处理达到行业排放标准后，排放至经开区除氟系统，除氟系统处理至2.0mg/L后方可排入现代产业园污水处理厂，经污水处理厂排放至受纳水体。确保开发区周边受纳水体的水环境功能、下游水环境保护目标及相关考核断面水质稳定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限制类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限制水污染物排放量较大的项目入园。限制入园项目主要指国家现行产业政策中未禁止或未淘汰的污染型项目。这类项目应根据工业园区规划的产业发展方向，同时根据园区环境容量及其他环境条件从严要求，并严格执行环境影响评价制度，限制入园项目主要包括：《淮河流域水污染防治暂行条例》中限制类项目；《产业结构调整指导目录》（2024年本）中限制类项目；与工业园区规划的产业类型不相容的其他产业项目；严格“两高一低”项目管理。</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禁止类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严禁新建涉及工业废水排放的电镀项目（含电镀工序）。禁止入园项目是指国家现行产业政策明令禁止或淘汰的产业和工艺，以及排污量较大，污染控制难度大，不符合工业园区水污染及大气污染总量控制原则的项目。禁止入园项目主要为产业政策明令禁止或淘汰的项目。包括：《淮河流域水污染防治暂行条例》中禁止类项目；《产业结构调整指导目录》（2024年本）中淘汰类项目；《外商投资准入特别管理措施（负面清单）》中明令禁止的项目等。</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其他</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snapToGrid w:val="0"/>
                      <w:color w:val="auto"/>
                      <w:kern w:val="0"/>
                      <w:szCs w:val="21"/>
                      <w:lang w:eastAsia="en-US"/>
                    </w:rPr>
                  </w:pPr>
                  <w:r>
                    <w:rPr>
                      <w:rFonts w:ascii="Calibri" w:hAnsi="Calibri" w:cs="黑体"/>
                      <w:snapToGrid w:val="0"/>
                      <w:color w:val="auto"/>
                      <w:kern w:val="0"/>
                      <w:szCs w:val="21"/>
                      <w:lang w:eastAsia="en-US"/>
                    </w:rPr>
                    <w:t>入区项目应符合《安徽省经济和信息化厅安徽省发展和改革委员会安徽省自然资源厅安徽省生态环境厅安徽省应急管理厅关于进一步规范化工项目建设管理的通知》（皖经信原材料[2022]73号）、《市场准入负面清单》、《固镇经开区入园项目准入清单》及蚌埠市生态环境分区管控等相关文件要求。</w:t>
                  </w:r>
                </w:p>
              </w:tc>
            </w:tr>
          </w:tbl>
          <w:p>
            <w:pPr>
              <w:pStyle w:val="69"/>
              <w:autoSpaceDE w:val="0"/>
              <w:autoSpaceDN w:val="0"/>
              <w:adjustRightInd w:val="0"/>
              <w:snapToGrid w:val="0"/>
              <w:spacing w:before="120" w:beforeLines="50" w:line="360" w:lineRule="auto"/>
              <w:ind w:firstLine="482" w:firstLineChars="200"/>
              <w:rPr>
                <w:rFonts w:ascii="Times New Roman" w:hAnsi="Times New Roman" w:cs="Times New Roman"/>
                <w:b/>
                <w:snapToGrid w:val="0"/>
                <w:color w:val="auto"/>
                <w:sz w:val="24"/>
                <w:lang w:eastAsia="zh-CN"/>
              </w:rPr>
            </w:pPr>
            <w:r>
              <w:rPr>
                <w:rFonts w:ascii="Times New Roman" w:hAnsi="Times New Roman" w:cs="Times New Roman"/>
                <w:b/>
                <w:snapToGrid w:val="0"/>
                <w:color w:val="auto"/>
                <w:sz w:val="24"/>
                <w:lang w:eastAsia="zh-CN"/>
              </w:rPr>
              <w:t>2、规划环境影响评价符合性</w:t>
            </w:r>
          </w:p>
          <w:p>
            <w:pPr>
              <w:autoSpaceDE w:val="0"/>
              <w:autoSpaceDN w:val="0"/>
              <w:adjustRightInd w:val="0"/>
              <w:snapToGrid w:val="0"/>
              <w:spacing w:line="360" w:lineRule="auto"/>
              <w:ind w:firstLine="480" w:firstLineChars="200"/>
              <w:rPr>
                <w:snapToGrid w:val="0"/>
                <w:color w:val="auto"/>
                <w:sz w:val="24"/>
              </w:rPr>
            </w:pPr>
            <w:r>
              <w:rPr>
                <w:snapToGrid w:val="0"/>
                <w:color w:val="auto"/>
                <w:sz w:val="24"/>
              </w:rPr>
              <w:t>根据安徽省生态环境厅</w:t>
            </w:r>
            <w:r>
              <w:rPr>
                <w:rFonts w:hint="eastAsia"/>
                <w:snapToGrid w:val="0"/>
                <w:color w:val="auto"/>
                <w:sz w:val="24"/>
              </w:rPr>
              <w:t>皖环函〔2024〕1042号“</w:t>
            </w:r>
            <w:r>
              <w:rPr>
                <w:snapToGrid w:val="0"/>
                <w:color w:val="auto"/>
                <w:sz w:val="24"/>
              </w:rPr>
              <w:t>关于</w:t>
            </w:r>
            <w:r>
              <w:rPr>
                <w:rFonts w:hint="eastAsia"/>
                <w:snapToGrid w:val="0"/>
                <w:color w:val="auto"/>
                <w:sz w:val="24"/>
              </w:rPr>
              <w:t>安徽固镇经济开发区总体发展规划（2024-2035年）（调区）</w:t>
            </w:r>
            <w:r>
              <w:rPr>
                <w:snapToGrid w:val="0"/>
                <w:color w:val="auto"/>
                <w:sz w:val="24"/>
              </w:rPr>
              <w:t>环境影响报告书审查意见的函</w:t>
            </w:r>
            <w:r>
              <w:rPr>
                <w:rFonts w:hint="eastAsia"/>
                <w:snapToGrid w:val="0"/>
                <w:color w:val="auto"/>
                <w:sz w:val="24"/>
              </w:rPr>
              <w:t>”</w:t>
            </w:r>
            <w:r>
              <w:rPr>
                <w:snapToGrid w:val="0"/>
                <w:color w:val="auto"/>
                <w:sz w:val="24"/>
              </w:rPr>
              <w:t>的要求，本项目建设与规划环评及其审查意见符合性分析见下表。</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4"/>
              </w:rPr>
            </w:pPr>
            <w:r>
              <w:rPr>
                <w:b/>
                <w:color w:val="auto"/>
                <w:spacing w:val="-1"/>
                <w:sz w:val="24"/>
              </w:rPr>
              <w:t>表</w:t>
            </w:r>
            <w:r>
              <w:rPr>
                <w:rFonts w:eastAsia="Times New Roman"/>
                <w:b/>
                <w:color w:val="auto"/>
                <w:sz w:val="24"/>
              </w:rPr>
              <w:t>1-</w:t>
            </w:r>
            <w:r>
              <w:rPr>
                <w:rFonts w:hint="eastAsia"/>
                <w:b/>
                <w:color w:val="auto"/>
                <w:sz w:val="24"/>
              </w:rPr>
              <w:t>2</w:t>
            </w:r>
            <w:r>
              <w:rPr>
                <w:rFonts w:eastAsia="Times New Roman"/>
                <w:b/>
                <w:color w:val="auto"/>
                <w:spacing w:val="59"/>
                <w:sz w:val="24"/>
              </w:rPr>
              <w:t xml:space="preserve"> </w:t>
            </w:r>
            <w:r>
              <w:rPr>
                <w:b/>
                <w:color w:val="auto"/>
                <w:sz w:val="24"/>
              </w:rPr>
              <w:t>项目建设与规划环评及其审查意见符合性分析</w:t>
            </w:r>
          </w:p>
          <w:tbl>
            <w:tblPr>
              <w:tblStyle w:val="28"/>
              <w:tblW w:w="7844"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467"/>
              <w:gridCol w:w="4858"/>
              <w:gridCol w:w="1875"/>
              <w:gridCol w:w="64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序号</w:t>
                  </w:r>
                </w:p>
              </w:tc>
              <w:tc>
                <w:tcPr>
                  <w:tcW w:w="3096"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auto"/>
                      <w:sz w:val="21"/>
                      <w:szCs w:val="21"/>
                      <w:lang w:eastAsia="zh-CN"/>
                    </w:rPr>
                  </w:pPr>
                  <w:r>
                    <w:rPr>
                      <w:rFonts w:ascii="Times New Roman" w:hAnsi="Times New Roman" w:cs="Times New Roman"/>
                      <w:b/>
                      <w:bCs/>
                      <w:snapToGrid w:val="0"/>
                      <w:color w:val="auto"/>
                      <w:sz w:val="21"/>
                      <w:szCs w:val="21"/>
                      <w:lang w:eastAsia="zh-CN"/>
                    </w:rPr>
                    <w:t>规划环评及其审查意见要求</w:t>
                  </w:r>
                </w:p>
              </w:tc>
              <w:tc>
                <w:tcPr>
                  <w:tcW w:w="119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本项目情况</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符合性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1</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一）加强《规划》引领，坚持绿色协调发展。《规划》应全面贯彻落实习近平生态文明思想，加强《规划》与《淮河流域水污染防治暂行条例》、深入打好污染防治攻坚战相关要求、生态环境分区管控方案及国土空间总体规划的协调衔接，开发区部分区域位于城镇开发区边界外，建议优化调整。开发区位于淮河流域，包含固镇化工园，区域大气、水环境保护压力较大，应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p>
              </w:tc>
              <w:tc>
                <w:tcPr>
                  <w:tcW w:w="119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本项目属于C3859其他家用电力器具制造，不与主导产业冲突，不属于限制和禁止准入产业。项目建设符合《淮河流域水污染防治暂行条例》、深入打好污染防治攻坚战相关要求、生态环境分区管控方案及国土空间总体规划要求。</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2</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二）严守环境质量底线，保护区域生态环境质量。开发区周边涉及固镇两河湿地市级自然保护区、安徽三汊河国家湿地公园等生态敏感区，生态环境保护要求较高，应主动避让并与其边界保持一定的缓冲防护距离。开发区应坚持“生态优先、绿色发展”的战略定位，持续巩固突出生态环境问题整改成果，以生态环境质量改善、防范环境风险为核心，明确开发区发展存在的环境制约因素，加快制定开发区区域大气达标计划，在区域大气环境质量稳定达标前，化工园区外禁止“两高一低”项目入区。根据国家和我省大气、水、土壤、环境风险防范和固体废物污染防治相关要求，妥善解决区域现存生态环境问题，确保开发区建设项目污染物长期稳定达标排放，区域生态环境质量持续改善。</w:t>
                  </w:r>
                </w:p>
              </w:tc>
              <w:tc>
                <w:tcPr>
                  <w:tcW w:w="1195" w:type="pct"/>
                  <w:tcBorders>
                    <w:tl2br w:val="nil"/>
                    <w:tr2bl w:val="nil"/>
                  </w:tcBorders>
                  <w:vAlign w:val="center"/>
                </w:tcPr>
                <w:p>
                  <w:pPr>
                    <w:pStyle w:val="69"/>
                    <w:keepNext/>
                    <w:keepLines/>
                    <w:wordWrap w:val="0"/>
                    <w:autoSpaceDE w:val="0"/>
                    <w:autoSpaceDN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2024年，蚌埠市环境空气基本污染物O</w:t>
                  </w:r>
                  <w:r>
                    <w:rPr>
                      <w:rFonts w:ascii="Times New Roman" w:hAnsi="Times New Roman" w:cs="Times New Roman"/>
                      <w:snapToGrid w:val="0"/>
                      <w:color w:val="auto"/>
                      <w:sz w:val="21"/>
                      <w:szCs w:val="21"/>
                      <w:vertAlign w:val="subscript"/>
                      <w:lang w:eastAsia="zh-CN"/>
                    </w:rPr>
                    <w:t>3</w:t>
                  </w:r>
                  <w:r>
                    <w:rPr>
                      <w:rFonts w:ascii="Times New Roman" w:hAnsi="Times New Roman" w:cs="Times New Roman"/>
                      <w:snapToGrid w:val="0"/>
                      <w:color w:val="auto"/>
                      <w:sz w:val="21"/>
                      <w:szCs w:val="21"/>
                      <w:lang w:eastAsia="zh-CN"/>
                    </w:rPr>
                    <w:t>、PM</w:t>
                  </w:r>
                  <w:r>
                    <w:rPr>
                      <w:rFonts w:ascii="Times New Roman" w:hAnsi="Times New Roman" w:cs="Times New Roman"/>
                      <w:snapToGrid w:val="0"/>
                      <w:color w:val="auto"/>
                      <w:sz w:val="21"/>
                      <w:szCs w:val="21"/>
                      <w:vertAlign w:val="subscript"/>
                      <w:lang w:eastAsia="zh-CN"/>
                    </w:rPr>
                    <w:t>2.5</w:t>
                  </w:r>
                  <w:r>
                    <w:rPr>
                      <w:rFonts w:ascii="Times New Roman" w:hAnsi="Times New Roman" w:cs="Times New Roman"/>
                      <w:snapToGrid w:val="0"/>
                      <w:color w:val="auto"/>
                      <w:sz w:val="21"/>
                      <w:szCs w:val="21"/>
                      <w:lang w:eastAsia="zh-CN"/>
                    </w:rPr>
                    <w:t>不满足《环境空气质量标准》（GB3095-2012）中二级标准要求。本项目废气可达标排放；生活污水经</w:t>
                  </w:r>
                  <w:r>
                    <w:rPr>
                      <w:rFonts w:ascii="Times New Roman" w:hAnsi="Times New Roman" w:cs="Times New Roman"/>
                      <w:color w:val="auto"/>
                      <w:sz w:val="21"/>
                      <w:szCs w:val="21"/>
                      <w:lang w:eastAsia="zh-CN"/>
                    </w:rPr>
                    <w:t>化粪池</w:t>
                  </w:r>
                  <w:r>
                    <w:rPr>
                      <w:rFonts w:ascii="Times New Roman" w:hAnsi="Times New Roman" w:cs="Times New Roman"/>
                      <w:snapToGrid w:val="0"/>
                      <w:color w:val="auto"/>
                      <w:sz w:val="21"/>
                      <w:szCs w:val="21"/>
                      <w:lang w:eastAsia="zh-CN"/>
                    </w:rPr>
                    <w:t>收集后</w:t>
                  </w:r>
                  <w:r>
                    <w:rPr>
                      <w:rFonts w:hint="eastAsia" w:ascii="Times New Roman" w:hAnsi="Times New Roman" w:cs="Times New Roman"/>
                      <w:snapToGrid w:val="0"/>
                      <w:color w:val="auto"/>
                      <w:sz w:val="21"/>
                      <w:szCs w:val="21"/>
                      <w:lang w:eastAsia="zh-CN"/>
                    </w:rPr>
                    <w:t>与冷却废水</w:t>
                  </w:r>
                  <w:r>
                    <w:rPr>
                      <w:rFonts w:ascii="Times New Roman" w:hAnsi="Times New Roman" w:cs="Times New Roman"/>
                      <w:snapToGrid w:val="0"/>
                      <w:color w:val="auto"/>
                      <w:sz w:val="21"/>
                      <w:szCs w:val="21"/>
                      <w:lang w:eastAsia="zh-CN"/>
                    </w:rPr>
                    <w:t>进入</w:t>
                  </w:r>
                  <w:r>
                    <w:rPr>
                      <w:rFonts w:hint="eastAsia" w:ascii="Times New Roman" w:hAnsi="Times New Roman" w:cs="Times New Roman"/>
                      <w:snapToGrid w:val="0"/>
                      <w:color w:val="auto"/>
                      <w:sz w:val="21"/>
                      <w:szCs w:val="21"/>
                      <w:lang w:eastAsia="zh-CN"/>
                    </w:rPr>
                    <w:t>蚌埠铜陵现代产业园污水处理厂</w:t>
                  </w:r>
                  <w:r>
                    <w:rPr>
                      <w:rFonts w:ascii="Times New Roman" w:hAnsi="Times New Roman" w:cs="Times New Roman"/>
                      <w:snapToGrid w:val="0"/>
                      <w:color w:val="auto"/>
                      <w:sz w:val="21"/>
                      <w:szCs w:val="21"/>
                      <w:lang w:eastAsia="zh-CN"/>
                    </w:rPr>
                    <w:t>处理达标后排入北淝河。</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3</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三）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求的各类开发建设活动，规划实施应加强对浍河、怀洪新河、北淝河和周边“三沟一河”等地表水体的保护，重点加强对饮用水水源保护区的防护，规划实施不得损害周边大气环境、水环境、声环境、重要生态敏感区的环境质量和生态功能。做好开发区工业企业（重点是化工园区、农副产品加工区）与周边地表水体、居住区等各类环境保护目标的有效隔离，居住区和保护地周边严禁布设生态环境影响较大的建设项目，保障区域生态环境安全，实现产业发展与区域生态环境保护相协调。</w:t>
                  </w:r>
                </w:p>
              </w:tc>
              <w:tc>
                <w:tcPr>
                  <w:tcW w:w="119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本项目属于C3859其他家用电力器具制造，不属于园区主导产业，不属于限制和禁止准入产业，符合生态环境分区管控要求。</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4</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四）完善环保基础设施建设，强化环境污染防控。按照基础设施适当超前建设的原则，根据主导产业、开发时序和开发强度，进一步优化区域供水、排水、供气、供热及中水回用等规划。开发区应加快新调入区域环保基础设施建设，尽快完成区块二、区块三含氟废水预处理设施建设，确保含氟废水预处理后满足区域受纳水体环境质量管理要求。加快区块一污水管网升级改造，确保所有化工废水全部进入化工园区污水处理厂处理处置，加快实施化工污水处理厂提标改造工程。结合区域环境质量现状，细化开发区污染防治基础设施建设、运行管理要求及应急处理处置方案，合理设定处理规模和排放指标，开发区污水排放总量不得突破现有金山湖湿地排污口批复的3万吨/天污水排放总量，其中区块一化工园区污水处理厂排放量不得突破1万吨/天。加强开发区雨污分流管理，落实开发区北区中水回用方案，做好金山湖尾水湿地运行维护，确保浍河、怀洪新河、北淝河和周边“三沟一河”等水环境功能不降低，受纳水体、下游水环境保护目标及相关考核断面稳定达标。</w:t>
                  </w:r>
                </w:p>
              </w:tc>
              <w:tc>
                <w:tcPr>
                  <w:tcW w:w="1195" w:type="pct"/>
                  <w:tcBorders>
                    <w:tl2br w:val="nil"/>
                    <w:tr2bl w:val="nil"/>
                  </w:tcBorders>
                  <w:vAlign w:val="center"/>
                </w:tcPr>
                <w:p>
                  <w:pPr>
                    <w:pStyle w:val="69"/>
                    <w:keepNext/>
                    <w:keepLines/>
                    <w:pageBreakBefore w:val="0"/>
                    <w:widowControl w:val="0"/>
                    <w:kinsoku/>
                    <w:wordWrap w:val="0"/>
                    <w:overflowPunct/>
                    <w:topLinePunct w:val="0"/>
                    <w:autoSpaceDE w:val="0"/>
                    <w:autoSpaceDN w:val="0"/>
                    <w:bidi w:val="0"/>
                    <w:adjustRightInd w:val="0"/>
                    <w:snapToGrid w:val="0"/>
                    <w:jc w:val="center"/>
                    <w:textAlignment w:val="auto"/>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注塑废气、热转印废气</w:t>
                  </w:r>
                  <w:r>
                    <w:rPr>
                      <w:rFonts w:ascii="Times New Roman" w:hAnsi="Times New Roman" w:cs="Times New Roman"/>
                      <w:snapToGrid w:val="0"/>
                      <w:color w:val="auto"/>
                      <w:sz w:val="21"/>
                      <w:szCs w:val="21"/>
                      <w:lang w:eastAsia="zh-CN"/>
                    </w:rPr>
                    <w:t>排放满足</w:t>
                  </w:r>
                  <w:r>
                    <w:rPr>
                      <w:rFonts w:hint="eastAsia" w:ascii="Times New Roman" w:hAnsi="Times New Roman" w:cs="Times New Roman"/>
                      <w:snapToGrid w:val="0"/>
                      <w:color w:val="auto"/>
                      <w:sz w:val="21"/>
                      <w:szCs w:val="21"/>
                      <w:lang w:eastAsia="zh-CN"/>
                    </w:rPr>
                    <w:t>《固定源挥发性有机物综合排放标准 第四部分：印刷工业》（DB34/4812.4-2024）</w:t>
                  </w:r>
                  <w:r>
                    <w:rPr>
                      <w:rFonts w:ascii="Times New Roman" w:hAnsi="Times New Roman" w:cs="Times New Roman"/>
                      <w:snapToGrid w:val="0"/>
                      <w:color w:val="auto"/>
                      <w:sz w:val="21"/>
                      <w:szCs w:val="21"/>
                      <w:lang w:eastAsia="zh-CN"/>
                    </w:rPr>
                    <w:t>中相关标准；生活污水经</w:t>
                  </w:r>
                  <w:r>
                    <w:rPr>
                      <w:rFonts w:ascii="Times New Roman" w:hAnsi="Times New Roman" w:cs="Times New Roman"/>
                      <w:color w:val="auto"/>
                      <w:sz w:val="21"/>
                      <w:szCs w:val="21"/>
                      <w:lang w:eastAsia="zh-CN"/>
                    </w:rPr>
                    <w:t>化粪池</w:t>
                  </w:r>
                  <w:r>
                    <w:rPr>
                      <w:rFonts w:ascii="Times New Roman" w:hAnsi="Times New Roman" w:cs="Times New Roman"/>
                      <w:snapToGrid w:val="0"/>
                      <w:color w:val="auto"/>
                      <w:sz w:val="21"/>
                      <w:szCs w:val="21"/>
                      <w:lang w:eastAsia="zh-CN"/>
                    </w:rPr>
                    <w:t>收集后</w:t>
                  </w:r>
                  <w:r>
                    <w:rPr>
                      <w:rFonts w:hint="eastAsia" w:ascii="Times New Roman" w:hAnsi="Times New Roman" w:cs="Times New Roman"/>
                      <w:snapToGrid w:val="0"/>
                      <w:color w:val="auto"/>
                      <w:sz w:val="21"/>
                      <w:szCs w:val="21"/>
                      <w:lang w:eastAsia="zh-CN"/>
                    </w:rPr>
                    <w:t>与冷却废水</w:t>
                  </w:r>
                  <w:r>
                    <w:rPr>
                      <w:rFonts w:ascii="Times New Roman" w:hAnsi="Times New Roman" w:cs="Times New Roman"/>
                      <w:snapToGrid w:val="0"/>
                      <w:color w:val="auto"/>
                      <w:sz w:val="21"/>
                      <w:szCs w:val="21"/>
                      <w:lang w:eastAsia="zh-CN"/>
                    </w:rPr>
                    <w:t>进入</w:t>
                  </w:r>
                  <w:r>
                    <w:rPr>
                      <w:rFonts w:hint="eastAsia" w:ascii="Times New Roman" w:hAnsi="Times New Roman" w:cs="Times New Roman"/>
                      <w:snapToGrid w:val="0"/>
                      <w:color w:val="auto"/>
                      <w:sz w:val="21"/>
                      <w:szCs w:val="21"/>
                      <w:lang w:eastAsia="zh-CN"/>
                    </w:rPr>
                    <w:t>蚌埠铜陵现代产业园污水处理厂</w:t>
                  </w:r>
                  <w:r>
                    <w:rPr>
                      <w:rFonts w:ascii="Times New Roman" w:hAnsi="Times New Roman" w:cs="Times New Roman"/>
                      <w:snapToGrid w:val="0"/>
                      <w:color w:val="auto"/>
                      <w:sz w:val="21"/>
                      <w:szCs w:val="21"/>
                      <w:lang w:eastAsia="zh-CN"/>
                    </w:rPr>
                    <w:t>处理达标后排入北淝河。</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5</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五）细化生态环境准入清单，推动高质量发展。《报告书》应根据规划区域调整，结合主导产业、区域生态环境质量现状、生态环境分区管控要求和现行生态环境管理要求等，进一步加强产业准入管理。严格执行国家产业政策，严禁不符合淮河流域生态环境保护要求的项目入区。坚决遏制“两高一低”项目盲目发展，引进项目的清洁生产水平应达到国内同行业先进水平。加强对《淮河流域水污染防治暂行条例》限制和禁止项目的入园管控，开发区严禁新建涉及工业废水排放的电镀项目（含电镀工序），严禁不符合《淮河流域水污染防治暂行条例》的项目入园。</w:t>
                  </w:r>
                </w:p>
              </w:tc>
              <w:tc>
                <w:tcPr>
                  <w:tcW w:w="119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本项目属于C3859其他家用电力器具制造，不属于园区生态环境准入清单中限制和禁止准入产业，属于《产业结构调整指导目录（2024年本）》允许类项目，经对照《安徽省节能减排及应对气候变化工作领导小组关于印发安徽省“两高”项目管理目录（试行）的通知》（皖节能〔2022〕2号），本项目不属于目录中“两高”项目。</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6</w:t>
                  </w:r>
                </w:p>
              </w:tc>
              <w:tc>
                <w:tcPr>
                  <w:tcW w:w="3096"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六）提升环境管理水平，加强生态环境风险防控。着力提升开发区环境管理水平，统筹考虑区域内污染物排放、固体废物（含危险废物）管理、环境风险防范等生态环境管理要求，全面落实环境风险三级防控，做好开发区重大环境风险源的识别与管控，重点关注化工园区环境风险防控，确保事故废水与外环境有效隔离、及时处置。完善环境风险防范应急措施，加强对穿越怀洪新河污水管廊的管理和维护，强化日常环境监管与监测，落实各项环境管理要求。在规划实施过程中，适时开展规划环境影响的跟踪评价。结合规划环评及跟踪评价成果，同步更新“区域评估+环境标准”成果。</w:t>
                  </w:r>
                </w:p>
              </w:tc>
              <w:tc>
                <w:tcPr>
                  <w:tcW w:w="119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本项目严格落实各项风险防范措施，落实厂区分区防渗要求。</w:t>
                  </w:r>
                </w:p>
              </w:tc>
              <w:tc>
                <w:tcPr>
                  <w:tcW w:w="410"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符合</w:t>
                  </w:r>
                </w:p>
              </w:tc>
            </w:tr>
          </w:tbl>
          <w:p>
            <w:pPr>
              <w:autoSpaceDE w:val="0"/>
              <w:autoSpaceDN w:val="0"/>
              <w:adjustRightInd w:val="0"/>
              <w:snapToGrid w:val="0"/>
              <w:spacing w:line="360" w:lineRule="auto"/>
              <w:ind w:firstLine="480" w:firstLineChars="200"/>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90" w:type="dxa"/>
            <w:vAlign w:val="center"/>
          </w:tcPr>
          <w:p>
            <w:pPr>
              <w:autoSpaceDE w:val="0"/>
              <w:autoSpaceDN w:val="0"/>
              <w:adjustRightInd w:val="0"/>
              <w:snapToGrid w:val="0"/>
              <w:ind w:left="63" w:leftChars="30" w:right="63" w:rightChars="30"/>
              <w:jc w:val="center"/>
              <w:rPr>
                <w:b/>
                <w:bCs/>
                <w:color w:val="auto"/>
                <w:kern w:val="0"/>
                <w:sz w:val="24"/>
              </w:rPr>
            </w:pPr>
            <w:r>
              <w:rPr>
                <w:b/>
                <w:bCs/>
                <w:color w:val="auto"/>
                <w:kern w:val="0"/>
                <w:sz w:val="24"/>
              </w:rPr>
              <w:t>其他符合性分析</w:t>
            </w:r>
          </w:p>
        </w:tc>
        <w:tc>
          <w:tcPr>
            <w:tcW w:w="8011" w:type="dxa"/>
            <w:gridSpan w:val="3"/>
            <w:vAlign w:val="center"/>
          </w:tcPr>
          <w:p>
            <w:pPr>
              <w:adjustRightInd w:val="0"/>
              <w:snapToGrid w:val="0"/>
              <w:spacing w:before="120" w:beforeLines="50" w:line="348" w:lineRule="auto"/>
              <w:ind w:firstLine="482" w:firstLineChars="200"/>
              <w:rPr>
                <w:rFonts w:ascii="宋体" w:hAnsi="宋体" w:cs="宋体"/>
                <w:b/>
                <w:bCs/>
                <w:color w:val="auto"/>
                <w:sz w:val="24"/>
              </w:rPr>
            </w:pPr>
            <w:r>
              <w:rPr>
                <w:b/>
                <w:bCs/>
                <w:color w:val="auto"/>
                <w:sz w:val="24"/>
              </w:rPr>
              <w:t>1、选址</w:t>
            </w:r>
            <w:r>
              <w:rPr>
                <w:rFonts w:hint="eastAsia" w:ascii="宋体" w:hAnsi="宋体" w:cs="宋体"/>
                <w:b/>
                <w:bCs/>
                <w:color w:val="auto"/>
                <w:sz w:val="24"/>
              </w:rPr>
              <w:t>合理性分析</w:t>
            </w:r>
          </w:p>
          <w:p>
            <w:pPr>
              <w:adjustRightInd w:val="0"/>
              <w:snapToGrid w:val="0"/>
              <w:spacing w:line="348" w:lineRule="auto"/>
              <w:ind w:firstLine="480" w:firstLineChars="200"/>
              <w:rPr>
                <w:color w:val="auto"/>
                <w:kern w:val="0"/>
                <w:sz w:val="24"/>
              </w:rPr>
            </w:pPr>
            <w:r>
              <w:rPr>
                <w:color w:val="auto"/>
                <w:kern w:val="0"/>
                <w:sz w:val="24"/>
              </w:rPr>
              <w:t>项目</w:t>
            </w:r>
            <w:r>
              <w:rPr>
                <w:rFonts w:hint="eastAsia"/>
                <w:color w:val="auto"/>
                <w:kern w:val="0"/>
                <w:sz w:val="24"/>
              </w:rPr>
              <w:t>位于蚌埠市固镇县新马桥镇铜陵产业园规划十二号路东侧2#厂房，项目用地为工业用地，</w:t>
            </w:r>
            <w:r>
              <w:rPr>
                <w:rFonts w:hint="eastAsia"/>
                <w:color w:val="auto"/>
                <w:kern w:val="0"/>
                <w:sz w:val="24"/>
                <w:lang w:bidi="ar"/>
              </w:rPr>
              <w:t>符合固镇经济开发区用地规划</w:t>
            </w:r>
            <w:r>
              <w:rPr>
                <w:rFonts w:hint="eastAsia"/>
                <w:color w:val="auto"/>
                <w:kern w:val="0"/>
                <w:sz w:val="24"/>
              </w:rPr>
              <w:t>。</w:t>
            </w:r>
            <w:r>
              <w:rPr>
                <w:color w:val="auto"/>
                <w:kern w:val="0"/>
                <w:sz w:val="24"/>
              </w:rPr>
              <w:t>建设项目厂址地理位置优越，交通便利，评价范围内无自然保护区、风景名胜区、其他著名旅游景点和文物古迹等需要特殊保护的环境敏感对象，从环境保护角度而言，项目选址合适、可行。</w:t>
            </w:r>
          </w:p>
          <w:p>
            <w:pPr>
              <w:tabs>
                <w:tab w:val="center" w:pos="3897"/>
              </w:tabs>
              <w:adjustRightInd w:val="0"/>
              <w:snapToGrid w:val="0"/>
              <w:spacing w:line="348" w:lineRule="auto"/>
              <w:ind w:firstLine="482" w:firstLineChars="200"/>
              <w:rPr>
                <w:b/>
                <w:bCs/>
                <w:color w:val="auto"/>
                <w:sz w:val="24"/>
              </w:rPr>
            </w:pPr>
            <w:r>
              <w:rPr>
                <w:rFonts w:hint="eastAsia"/>
                <w:b/>
                <w:bCs/>
                <w:color w:val="auto"/>
                <w:sz w:val="24"/>
              </w:rPr>
              <w:t>2、与周边环境相容性分析</w:t>
            </w:r>
          </w:p>
          <w:p>
            <w:pPr>
              <w:tabs>
                <w:tab w:val="center" w:pos="3897"/>
              </w:tabs>
              <w:adjustRightInd w:val="0"/>
              <w:snapToGrid w:val="0"/>
              <w:spacing w:line="348" w:lineRule="auto"/>
              <w:ind w:firstLine="480" w:firstLineChars="200"/>
              <w:rPr>
                <w:color w:val="auto"/>
                <w:sz w:val="24"/>
              </w:rPr>
            </w:pPr>
            <w:r>
              <w:rPr>
                <w:color w:val="auto"/>
                <w:sz w:val="24"/>
              </w:rPr>
              <w:t>本项目位于</w:t>
            </w:r>
            <w:r>
              <w:rPr>
                <w:rFonts w:hint="eastAsia"/>
                <w:color w:val="auto"/>
                <w:sz w:val="24"/>
              </w:rPr>
              <w:t>蚌埠市固镇县新马桥镇铜陵产业园规划十二号路东侧2#厂房</w:t>
            </w:r>
            <w:r>
              <w:rPr>
                <w:color w:val="auto"/>
                <w:sz w:val="24"/>
              </w:rPr>
              <w:t>，经现场勘察与调研，厂区东侧为</w:t>
            </w:r>
            <w:r>
              <w:rPr>
                <w:rFonts w:hint="eastAsia"/>
                <w:color w:val="auto"/>
                <w:sz w:val="24"/>
              </w:rPr>
              <w:t>空地</w:t>
            </w:r>
            <w:r>
              <w:rPr>
                <w:color w:val="auto"/>
                <w:sz w:val="24"/>
              </w:rPr>
              <w:t>，南侧为</w:t>
            </w:r>
            <w:r>
              <w:rPr>
                <w:rFonts w:hint="eastAsia"/>
                <w:color w:val="auto"/>
                <w:sz w:val="24"/>
              </w:rPr>
              <w:t>固镇正艺装饰材料有限公司</w:t>
            </w:r>
            <w:r>
              <w:rPr>
                <w:color w:val="auto"/>
                <w:sz w:val="24"/>
              </w:rPr>
              <w:t>，西侧</w:t>
            </w:r>
            <w:r>
              <w:rPr>
                <w:rFonts w:hint="eastAsia"/>
                <w:color w:val="auto"/>
                <w:sz w:val="24"/>
              </w:rPr>
              <w:t>为安徽元鼎建筑工业有限公司，</w:t>
            </w:r>
            <w:r>
              <w:rPr>
                <w:color w:val="auto"/>
                <w:sz w:val="24"/>
              </w:rPr>
              <w:t>北侧为</w:t>
            </w:r>
            <w:r>
              <w:rPr>
                <w:rFonts w:hint="eastAsia"/>
                <w:color w:val="auto"/>
                <w:sz w:val="24"/>
              </w:rPr>
              <w:t>蚌埠临河水务有限公司</w:t>
            </w:r>
            <w:r>
              <w:rPr>
                <w:color w:val="auto"/>
                <w:sz w:val="24"/>
              </w:rPr>
              <w:t>。</w:t>
            </w:r>
            <w:r>
              <w:rPr>
                <w:rFonts w:hint="eastAsia"/>
                <w:color w:val="auto"/>
                <w:sz w:val="24"/>
              </w:rPr>
              <w:t>项目周边均为生产型企业，</w:t>
            </w:r>
            <w:r>
              <w:rPr>
                <w:color w:val="auto"/>
                <w:sz w:val="24"/>
              </w:rPr>
              <w:t>因此，项目的选址与周边环境是相容的。</w:t>
            </w:r>
          </w:p>
          <w:p>
            <w:pPr>
              <w:tabs>
                <w:tab w:val="center" w:pos="3897"/>
              </w:tabs>
              <w:adjustRightInd w:val="0"/>
              <w:snapToGrid w:val="0"/>
              <w:spacing w:line="348" w:lineRule="auto"/>
              <w:ind w:firstLine="482" w:firstLineChars="200"/>
              <w:rPr>
                <w:rFonts w:ascii="宋体" w:hAnsi="宋体" w:cs="宋体"/>
                <w:b/>
                <w:bCs/>
                <w:color w:val="auto"/>
                <w:sz w:val="24"/>
              </w:rPr>
            </w:pPr>
            <w:r>
              <w:rPr>
                <w:b/>
                <w:bCs/>
                <w:color w:val="auto"/>
                <w:sz w:val="24"/>
              </w:rPr>
              <w:t>2、产</w:t>
            </w:r>
            <w:r>
              <w:rPr>
                <w:rFonts w:hint="eastAsia" w:ascii="宋体" w:hAnsi="宋体" w:cs="宋体"/>
                <w:b/>
                <w:bCs/>
                <w:color w:val="auto"/>
                <w:sz w:val="24"/>
              </w:rPr>
              <w:t>业政策符合性分析</w:t>
            </w:r>
          </w:p>
          <w:p>
            <w:pPr>
              <w:adjustRightInd w:val="0"/>
              <w:snapToGrid w:val="0"/>
              <w:spacing w:line="348" w:lineRule="auto"/>
              <w:ind w:firstLine="480" w:firstLineChars="200"/>
              <w:rPr>
                <w:color w:val="auto"/>
                <w:sz w:val="24"/>
              </w:rPr>
            </w:pPr>
            <w:r>
              <w:rPr>
                <w:color w:val="auto"/>
                <w:sz w:val="24"/>
              </w:rPr>
              <w:t>项目为</w:t>
            </w:r>
            <w:r>
              <w:rPr>
                <w:rFonts w:hint="eastAsia"/>
                <w:color w:val="auto"/>
                <w:sz w:val="24"/>
              </w:rPr>
              <w:t>C3859其他家用电力器具制造</w:t>
            </w:r>
            <w:r>
              <w:rPr>
                <w:color w:val="auto"/>
                <w:sz w:val="24"/>
              </w:rPr>
              <w:t>，对照</w:t>
            </w:r>
            <w:r>
              <w:rPr>
                <w:rFonts w:hint="eastAsia"/>
                <w:color w:val="auto"/>
                <w:sz w:val="24"/>
              </w:rPr>
              <w:t>《产业结构调整指导目录（2024年本）》</w:t>
            </w:r>
            <w:r>
              <w:rPr>
                <w:color w:val="auto"/>
                <w:sz w:val="24"/>
              </w:rPr>
              <w:t>，项目不属于限制类及淘汰类项目，视为允许类，符合国家现行产业政策。</w:t>
            </w:r>
          </w:p>
          <w:p>
            <w:pPr>
              <w:adjustRightInd w:val="0"/>
              <w:snapToGrid w:val="0"/>
              <w:spacing w:line="348" w:lineRule="auto"/>
              <w:ind w:firstLine="480" w:firstLineChars="200"/>
              <w:rPr>
                <w:color w:val="auto"/>
                <w:sz w:val="24"/>
              </w:rPr>
            </w:pPr>
            <w:r>
              <w:rPr>
                <w:rFonts w:hint="eastAsia"/>
                <w:color w:val="auto"/>
                <w:sz w:val="24"/>
              </w:rPr>
              <w:t>2025年6月3日</w:t>
            </w:r>
            <w:r>
              <w:rPr>
                <w:color w:val="auto"/>
                <w:sz w:val="24"/>
              </w:rPr>
              <w:t>，项目已通过</w:t>
            </w:r>
            <w:r>
              <w:rPr>
                <w:rFonts w:hint="eastAsia"/>
                <w:color w:val="auto"/>
                <w:sz w:val="24"/>
              </w:rPr>
              <w:t>蚌埠市固镇县发展和改革委员会</w:t>
            </w:r>
            <w:r>
              <w:rPr>
                <w:color w:val="auto"/>
                <w:sz w:val="24"/>
              </w:rPr>
              <w:t>备案，备案代码为</w:t>
            </w:r>
            <w:r>
              <w:rPr>
                <w:rFonts w:hint="eastAsia"/>
                <w:color w:val="auto"/>
                <w:sz w:val="24"/>
              </w:rPr>
              <w:t>2506-340323-04-01-883529</w:t>
            </w:r>
            <w:r>
              <w:rPr>
                <w:color w:val="auto"/>
                <w:sz w:val="24"/>
              </w:rPr>
              <w:t>。因此，项目符合地方产业政策。</w:t>
            </w:r>
          </w:p>
          <w:p>
            <w:pPr>
              <w:adjustRightInd w:val="0"/>
              <w:snapToGrid w:val="0"/>
              <w:spacing w:line="348" w:lineRule="auto"/>
              <w:ind w:firstLine="480" w:firstLineChars="200"/>
              <w:rPr>
                <w:color w:val="auto"/>
                <w:sz w:val="24"/>
              </w:rPr>
            </w:pPr>
            <w:r>
              <w:rPr>
                <w:color w:val="auto"/>
                <w:sz w:val="24"/>
              </w:rPr>
              <w:t>综上分析，项目符合国家和地方产业政策要求。</w:t>
            </w:r>
          </w:p>
          <w:p>
            <w:pPr>
              <w:adjustRightInd w:val="0"/>
              <w:snapToGrid w:val="0"/>
              <w:spacing w:line="348" w:lineRule="auto"/>
              <w:ind w:firstLine="482" w:firstLineChars="200"/>
              <w:rPr>
                <w:rFonts w:ascii="宋体" w:hAnsi="宋体" w:cs="宋体"/>
                <w:color w:val="auto"/>
                <w:sz w:val="24"/>
              </w:rPr>
            </w:pPr>
            <w:r>
              <w:rPr>
                <w:b/>
                <w:bCs/>
                <w:color w:val="auto"/>
                <w:sz w:val="24"/>
              </w:rPr>
              <w:t>3、与</w:t>
            </w:r>
            <w:r>
              <w:rPr>
                <w:rFonts w:hint="eastAsia" w:ascii="宋体" w:hAnsi="宋体" w:cs="宋体"/>
                <w:b/>
                <w:bCs/>
                <w:color w:val="auto"/>
                <w:sz w:val="24"/>
              </w:rPr>
              <w:t>“三线一单”相符性分析</w:t>
            </w:r>
          </w:p>
          <w:p>
            <w:pPr>
              <w:pStyle w:val="72"/>
              <w:topLinePunct/>
              <w:spacing w:line="348" w:lineRule="auto"/>
              <w:rPr>
                <w:color w:val="auto"/>
                <w:sz w:val="24"/>
              </w:rPr>
            </w:pPr>
            <w:r>
              <w:rPr>
                <w:rFonts w:hint="eastAsia"/>
                <w:color w:val="auto"/>
                <w:sz w:val="24"/>
              </w:rPr>
              <w:t>（1）项目与蚌埠市“三线一单”文本相符性分析，具体见下表。</w:t>
            </w:r>
          </w:p>
          <w:p>
            <w:pPr>
              <w:pStyle w:val="63"/>
              <w:topLinePunct/>
              <w:rPr>
                <w:color w:val="auto"/>
                <w:sz w:val="24"/>
              </w:rPr>
            </w:pPr>
            <w:r>
              <w:rPr>
                <w:rFonts w:hint="eastAsia"/>
                <w:color w:val="auto"/>
                <w:sz w:val="24"/>
              </w:rPr>
              <w:t>表1-3  与蚌埠市“三线一单”相符性分析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6"/>
              <w:gridCol w:w="4382"/>
              <w:gridCol w:w="2051"/>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74"/>
                    <w:topLinePunct/>
                    <w:rPr>
                      <w:rFonts w:hint="default"/>
                      <w:color w:val="auto"/>
                      <w:kern w:val="0"/>
                      <w:szCs w:val="21"/>
                    </w:rPr>
                  </w:pPr>
                  <w:r>
                    <w:rPr>
                      <w:rFonts w:hint="default"/>
                      <w:color w:val="auto"/>
                      <w:kern w:val="0"/>
                      <w:szCs w:val="21"/>
                    </w:rPr>
                    <w:t>类别</w:t>
                  </w:r>
                </w:p>
              </w:tc>
              <w:tc>
                <w:tcPr>
                  <w:tcW w:w="4382" w:type="dxa"/>
                  <w:vAlign w:val="center"/>
                </w:tcPr>
                <w:p>
                  <w:pPr>
                    <w:pStyle w:val="74"/>
                    <w:topLinePunct/>
                    <w:rPr>
                      <w:rFonts w:hint="default"/>
                      <w:color w:val="auto"/>
                      <w:kern w:val="0"/>
                      <w:szCs w:val="21"/>
                    </w:rPr>
                  </w:pPr>
                  <w:r>
                    <w:rPr>
                      <w:rFonts w:hint="default"/>
                      <w:color w:val="auto"/>
                      <w:kern w:val="0"/>
                      <w:szCs w:val="21"/>
                    </w:rPr>
                    <w:t>蚌埠市“三线一单”要求</w:t>
                  </w:r>
                </w:p>
              </w:tc>
              <w:tc>
                <w:tcPr>
                  <w:tcW w:w="2051" w:type="dxa"/>
                  <w:vAlign w:val="center"/>
                </w:tcPr>
                <w:p>
                  <w:pPr>
                    <w:pStyle w:val="74"/>
                    <w:topLinePunct/>
                    <w:rPr>
                      <w:rFonts w:hint="default"/>
                      <w:color w:val="auto"/>
                      <w:kern w:val="0"/>
                      <w:szCs w:val="21"/>
                    </w:rPr>
                  </w:pPr>
                  <w:r>
                    <w:rPr>
                      <w:rFonts w:hint="default"/>
                      <w:color w:val="auto"/>
                      <w:kern w:val="0"/>
                      <w:szCs w:val="21"/>
                    </w:rPr>
                    <w:t>项目情况</w:t>
                  </w:r>
                </w:p>
              </w:tc>
              <w:tc>
                <w:tcPr>
                  <w:tcW w:w="751" w:type="dxa"/>
                  <w:vAlign w:val="center"/>
                </w:tcPr>
                <w:p>
                  <w:pPr>
                    <w:pStyle w:val="74"/>
                    <w:topLinePunct/>
                    <w:rPr>
                      <w:rFonts w:hint="default"/>
                      <w:color w:val="auto"/>
                      <w:kern w:val="0"/>
                      <w:szCs w:val="21"/>
                    </w:rPr>
                  </w:pPr>
                  <w:r>
                    <w:rPr>
                      <w:rFonts w:hint="default"/>
                      <w:color w:val="auto"/>
                      <w:kern w:val="0"/>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66"/>
                    <w:topLinePunct/>
                    <w:adjustRightInd w:val="0"/>
                    <w:snapToGrid w:val="0"/>
                    <w:spacing w:line="240" w:lineRule="auto"/>
                    <w:rPr>
                      <w:snapToGrid w:val="0"/>
                      <w:color w:val="auto"/>
                      <w:kern w:val="0"/>
                      <w:szCs w:val="21"/>
                    </w:rPr>
                  </w:pPr>
                  <w:r>
                    <w:rPr>
                      <w:snapToGrid w:val="0"/>
                      <w:color w:val="auto"/>
                      <w:kern w:val="0"/>
                      <w:szCs w:val="21"/>
                    </w:rPr>
                    <w:t>生态保护红线</w:t>
                  </w:r>
                </w:p>
              </w:tc>
              <w:tc>
                <w:tcPr>
                  <w:tcW w:w="4382" w:type="dxa"/>
                  <w:vAlign w:val="center"/>
                </w:tcPr>
                <w:p>
                  <w:pPr>
                    <w:pStyle w:val="66"/>
                    <w:topLinePunct/>
                    <w:adjustRightInd w:val="0"/>
                    <w:snapToGrid w:val="0"/>
                    <w:spacing w:line="240" w:lineRule="auto"/>
                    <w:jc w:val="both"/>
                    <w:rPr>
                      <w:snapToGrid w:val="0"/>
                      <w:color w:val="auto"/>
                      <w:kern w:val="0"/>
                      <w:szCs w:val="21"/>
                    </w:rPr>
                  </w:pPr>
                  <w:r>
                    <w:rPr>
                      <w:snapToGrid w:val="0"/>
                      <w:color w:val="auto"/>
                      <w:kern w:val="0"/>
                      <w:szCs w:val="21"/>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242.67km</w:t>
                  </w:r>
                  <w:r>
                    <w:rPr>
                      <w:snapToGrid w:val="0"/>
                      <w:color w:val="auto"/>
                      <w:kern w:val="0"/>
                      <w:szCs w:val="21"/>
                      <w:vertAlign w:val="superscript"/>
                    </w:rPr>
                    <w:t>2</w:t>
                  </w:r>
                  <w:r>
                    <w:rPr>
                      <w:snapToGrid w:val="0"/>
                      <w:color w:val="auto"/>
                      <w:kern w:val="0"/>
                      <w:szCs w:val="21"/>
                    </w:rPr>
                    <w:t>，占全市国土总面的4.08%。</w:t>
                  </w:r>
                </w:p>
              </w:tc>
              <w:tc>
                <w:tcPr>
                  <w:tcW w:w="2051" w:type="dxa"/>
                  <w:vAlign w:val="center"/>
                </w:tcPr>
                <w:p>
                  <w:pPr>
                    <w:pStyle w:val="66"/>
                    <w:topLinePunct/>
                    <w:adjustRightInd w:val="0"/>
                    <w:snapToGrid w:val="0"/>
                    <w:spacing w:line="240" w:lineRule="auto"/>
                    <w:rPr>
                      <w:snapToGrid w:val="0"/>
                      <w:color w:val="auto"/>
                      <w:kern w:val="0"/>
                      <w:szCs w:val="21"/>
                    </w:rPr>
                  </w:pPr>
                  <w:r>
                    <w:rPr>
                      <w:snapToGrid w:val="0"/>
                      <w:color w:val="auto"/>
                      <w:kern w:val="0"/>
                      <w:szCs w:val="21"/>
                    </w:rPr>
                    <w:t>项目位于蚌埠市固镇县新马桥镇铜陵产业园规划十二号路东侧2#厂房，周边无自然保护区等目标，不在蚌埠市生态保护红线范围内。</w:t>
                  </w:r>
                </w:p>
              </w:tc>
              <w:tc>
                <w:tcPr>
                  <w:tcW w:w="751" w:type="dxa"/>
                  <w:vAlign w:val="center"/>
                </w:tcPr>
                <w:p>
                  <w:pPr>
                    <w:pStyle w:val="66"/>
                    <w:topLinePunct/>
                    <w:adjustRightInd w:val="0"/>
                    <w:snapToGrid w:val="0"/>
                    <w:spacing w:line="240" w:lineRule="auto"/>
                    <w:rPr>
                      <w:snapToGrid w:val="0"/>
                      <w:color w:val="auto"/>
                      <w:kern w:val="0"/>
                      <w:szCs w:val="21"/>
                    </w:rPr>
                  </w:pPr>
                  <w:r>
                    <w:rPr>
                      <w:snapToGrid w:val="0"/>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restart"/>
                  <w:vAlign w:val="center"/>
                </w:tcPr>
                <w:p>
                  <w:pPr>
                    <w:pStyle w:val="66"/>
                    <w:topLinePunct/>
                    <w:adjustRightInd w:val="0"/>
                    <w:snapToGrid w:val="0"/>
                    <w:spacing w:line="240" w:lineRule="auto"/>
                    <w:rPr>
                      <w:snapToGrid w:val="0"/>
                      <w:color w:val="auto"/>
                      <w:kern w:val="0"/>
                      <w:szCs w:val="21"/>
                    </w:rPr>
                  </w:pPr>
                  <w:r>
                    <w:rPr>
                      <w:snapToGrid w:val="0"/>
                      <w:color w:val="auto"/>
                      <w:kern w:val="0"/>
                      <w:szCs w:val="21"/>
                    </w:rPr>
                    <w:t>环境质量底线</w:t>
                  </w:r>
                </w:p>
              </w:tc>
              <w:tc>
                <w:tcPr>
                  <w:tcW w:w="4382" w:type="dxa"/>
                  <w:vAlign w:val="center"/>
                </w:tcPr>
                <w:p>
                  <w:pPr>
                    <w:pStyle w:val="66"/>
                    <w:topLinePunct/>
                    <w:adjustRightInd w:val="0"/>
                    <w:snapToGrid w:val="0"/>
                    <w:spacing w:line="240" w:lineRule="auto"/>
                    <w:jc w:val="both"/>
                    <w:rPr>
                      <w:snapToGrid w:val="0"/>
                      <w:color w:val="auto"/>
                      <w:kern w:val="0"/>
                      <w:szCs w:val="21"/>
                    </w:rPr>
                  </w:pPr>
                  <w:r>
                    <w:rPr>
                      <w:snapToGrid w:val="0"/>
                      <w:color w:val="auto"/>
                      <w:kern w:val="0"/>
                      <w:szCs w:val="21"/>
                    </w:rPr>
                    <w:t>1、水环境质量底线</w:t>
                  </w:r>
                </w:p>
                <w:p>
                  <w:pPr>
                    <w:pStyle w:val="66"/>
                    <w:topLinePunct/>
                    <w:adjustRightInd w:val="0"/>
                    <w:snapToGrid w:val="0"/>
                    <w:spacing w:line="240" w:lineRule="auto"/>
                    <w:jc w:val="both"/>
                    <w:rPr>
                      <w:snapToGrid w:val="0"/>
                      <w:color w:val="auto"/>
                      <w:kern w:val="0"/>
                      <w:szCs w:val="21"/>
                    </w:rPr>
                  </w:pPr>
                  <w:r>
                    <w:rPr>
                      <w:color w:val="auto"/>
                      <w:kern w:val="0"/>
                      <w:szCs w:val="21"/>
                    </w:rPr>
                    <w:t>2025年地表水质量底线目标值根据《安徽省生态环境厅关于下达“十四五”国控断面水质目标及达标年限的通知》（皖环发〔2022〕18号）进行更新，变化情况为国考断面蚌埠固镇2025年目标值由Ⅳ更改为Ⅲ</w:t>
                  </w:r>
                  <w:r>
                    <w:rPr>
                      <w:snapToGrid w:val="0"/>
                      <w:color w:val="auto"/>
                      <w:kern w:val="0"/>
                      <w:szCs w:val="21"/>
                    </w:rPr>
                    <w:t>；2035年质量底线目标为暂定，最终以“十六五”生态环境保护规划确定的目标为准。</w:t>
                  </w:r>
                </w:p>
              </w:tc>
              <w:tc>
                <w:tcPr>
                  <w:tcW w:w="2051" w:type="dxa"/>
                  <w:vAlign w:val="center"/>
                </w:tcPr>
                <w:p>
                  <w:pPr>
                    <w:pStyle w:val="66"/>
                    <w:wordWrap w:val="0"/>
                    <w:topLinePunct/>
                    <w:adjustRightInd w:val="0"/>
                    <w:snapToGrid w:val="0"/>
                    <w:spacing w:line="240" w:lineRule="auto"/>
                    <w:rPr>
                      <w:snapToGrid w:val="0"/>
                      <w:color w:val="auto"/>
                      <w:kern w:val="0"/>
                      <w:szCs w:val="21"/>
                    </w:rPr>
                  </w:pPr>
                  <w:r>
                    <w:rPr>
                      <w:snapToGrid w:val="0"/>
                      <w:color w:val="auto"/>
                      <w:kern w:val="0"/>
                      <w:szCs w:val="21"/>
                    </w:rPr>
                    <w:t>根据《2024年蚌埠市生态环境质量状况公报》可知，北淝河水质满足《地表水环境质量标准》（GB 3838-2002）中</w:t>
                  </w:r>
                  <w:r>
                    <w:rPr>
                      <w:rFonts w:hint="eastAsia"/>
                      <w:snapToGrid w:val="0"/>
                      <w:color w:val="auto"/>
                      <w:kern w:val="0"/>
                      <w:szCs w:val="21"/>
                      <w:lang w:eastAsia="zh-CN"/>
                    </w:rPr>
                    <w:t>IV类</w:t>
                  </w:r>
                  <w:r>
                    <w:rPr>
                      <w:snapToGrid w:val="0"/>
                      <w:color w:val="auto"/>
                      <w:kern w:val="0"/>
                      <w:szCs w:val="21"/>
                    </w:rPr>
                    <w:t>标准。</w:t>
                  </w:r>
                </w:p>
              </w:tc>
              <w:tc>
                <w:tcPr>
                  <w:tcW w:w="751" w:type="dxa"/>
                  <w:vMerge w:val="restart"/>
                  <w:vAlign w:val="center"/>
                </w:tcPr>
                <w:p>
                  <w:pPr>
                    <w:pStyle w:val="66"/>
                    <w:topLinePunct/>
                    <w:adjustRightInd w:val="0"/>
                    <w:snapToGrid w:val="0"/>
                    <w:spacing w:line="240" w:lineRule="auto"/>
                    <w:rPr>
                      <w:snapToGrid w:val="0"/>
                      <w:color w:val="auto"/>
                      <w:kern w:val="0"/>
                      <w:szCs w:val="21"/>
                    </w:rPr>
                  </w:pPr>
                  <w:r>
                    <w:rPr>
                      <w:snapToGrid w:val="0"/>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adjustRightInd w:val="0"/>
                    <w:snapToGrid w:val="0"/>
                    <w:spacing w:line="240" w:lineRule="auto"/>
                    <w:rPr>
                      <w:color w:val="auto"/>
                      <w:kern w:val="0"/>
                      <w:szCs w:val="21"/>
                    </w:rPr>
                  </w:pPr>
                </w:p>
              </w:tc>
              <w:tc>
                <w:tcPr>
                  <w:tcW w:w="4382" w:type="dxa"/>
                  <w:vAlign w:val="center"/>
                </w:tcPr>
                <w:p>
                  <w:pPr>
                    <w:pStyle w:val="66"/>
                    <w:topLinePunct/>
                    <w:adjustRightInd w:val="0"/>
                    <w:snapToGrid w:val="0"/>
                    <w:spacing w:line="240" w:lineRule="auto"/>
                    <w:jc w:val="both"/>
                    <w:rPr>
                      <w:color w:val="auto"/>
                      <w:kern w:val="0"/>
                      <w:szCs w:val="21"/>
                    </w:rPr>
                  </w:pPr>
                  <w:r>
                    <w:rPr>
                      <w:color w:val="auto"/>
                      <w:kern w:val="0"/>
                      <w:szCs w:val="21"/>
                    </w:rPr>
                    <w:t>2、大气环境质量底线</w:t>
                  </w:r>
                </w:p>
                <w:p>
                  <w:pPr>
                    <w:pStyle w:val="66"/>
                    <w:topLinePunct/>
                    <w:adjustRightInd w:val="0"/>
                    <w:snapToGrid w:val="0"/>
                    <w:spacing w:line="240" w:lineRule="auto"/>
                    <w:jc w:val="both"/>
                    <w:rPr>
                      <w:color w:val="auto"/>
                      <w:kern w:val="0"/>
                      <w:szCs w:val="21"/>
                    </w:rPr>
                  </w:pPr>
                  <w:r>
                    <w:rPr>
                      <w:color w:val="auto"/>
                      <w:kern w:val="0"/>
                      <w:szCs w:val="21"/>
                    </w:rPr>
                    <w:t>根据《蚌埠市生态环境局关于印发&lt;蚌埠市“十四五”大气污染防治规划&gt;的通知》（2022年12月12日）：2025年，环境空气质量持续改善，蚌埠市</w:t>
                  </w:r>
                  <w:r>
                    <w:rPr>
                      <w:color w:val="auto"/>
                      <w:kern w:val="0"/>
                      <w:szCs w:val="21"/>
                      <w:lang w:bidi="ar"/>
                    </w:rPr>
                    <w:t>PM</w:t>
                  </w:r>
                  <w:r>
                    <w:rPr>
                      <w:color w:val="auto"/>
                      <w:kern w:val="0"/>
                      <w:szCs w:val="21"/>
                      <w:vertAlign w:val="subscript"/>
                      <w:lang w:bidi="ar"/>
                    </w:rPr>
                    <w:t>2.5</w:t>
                  </w:r>
                  <w:r>
                    <w:rPr>
                      <w:color w:val="auto"/>
                      <w:kern w:val="0"/>
                      <w:szCs w:val="21"/>
                    </w:rPr>
                    <w:t>年均浓度控制在37微克/立方米。参考《蚌埠市大气污染防治联席会议办公室关于下达各县区2023年度空气质量改善目标的通知》（蚌大气办〔2023〕38号），对2025年各区县目标值进行调整，为暂定值，最终以2025年下达各区县环境空气质量目标为准；到2035年，蚌埠市PM</w:t>
                  </w:r>
                  <w:r>
                    <w:rPr>
                      <w:color w:val="auto"/>
                      <w:kern w:val="0"/>
                      <w:szCs w:val="21"/>
                      <w:vertAlign w:val="subscript"/>
                    </w:rPr>
                    <w:t>2.5</w:t>
                  </w:r>
                  <w:r>
                    <w:rPr>
                      <w:color w:val="auto"/>
                      <w:kern w:val="0"/>
                      <w:szCs w:val="21"/>
                    </w:rPr>
                    <w:t>平均浓度目标暂定为&lt;35微克/立方米。最终以“十六五”生态环境保护规划确定的目标为准。</w:t>
                  </w:r>
                </w:p>
              </w:tc>
              <w:tc>
                <w:tcPr>
                  <w:tcW w:w="2051" w:type="dxa"/>
                  <w:vAlign w:val="center"/>
                </w:tcPr>
                <w:p>
                  <w:pPr>
                    <w:pStyle w:val="66"/>
                    <w:wordWrap w:val="0"/>
                    <w:topLinePunct/>
                    <w:adjustRightInd w:val="0"/>
                    <w:snapToGrid w:val="0"/>
                    <w:spacing w:line="240" w:lineRule="auto"/>
                    <w:rPr>
                      <w:color w:val="auto"/>
                      <w:kern w:val="0"/>
                      <w:szCs w:val="21"/>
                    </w:rPr>
                  </w:pPr>
                  <w:r>
                    <w:rPr>
                      <w:color w:val="auto"/>
                      <w:kern w:val="0"/>
                      <w:szCs w:val="21"/>
                    </w:rPr>
                    <w:t>2024年，蚌埠市环境空气基本污染物PM</w:t>
                  </w:r>
                  <w:r>
                    <w:rPr>
                      <w:color w:val="auto"/>
                      <w:kern w:val="0"/>
                      <w:szCs w:val="21"/>
                      <w:vertAlign w:val="subscript"/>
                    </w:rPr>
                    <w:t>2.5</w:t>
                  </w:r>
                  <w:r>
                    <w:rPr>
                      <w:color w:val="auto"/>
                      <w:kern w:val="0"/>
                      <w:szCs w:val="21"/>
                      <w:lang w:bidi="ar"/>
                    </w:rPr>
                    <w:t>、O₃</w:t>
                  </w:r>
                  <w:r>
                    <w:rPr>
                      <w:color w:val="auto"/>
                      <w:kern w:val="0"/>
                      <w:szCs w:val="21"/>
                    </w:rPr>
                    <w:t>不满足《环境空气质量标准》（GB3095-2012）中二级标准要求。项目</w:t>
                  </w:r>
                  <w:r>
                    <w:rPr>
                      <w:rFonts w:hint="eastAsia"/>
                      <w:color w:val="auto"/>
                      <w:kern w:val="0"/>
                      <w:szCs w:val="21"/>
                      <w:lang w:eastAsia="zh-CN"/>
                    </w:rPr>
                    <w:t>注塑废气、热转印废气</w:t>
                  </w:r>
                  <w:r>
                    <w:rPr>
                      <w:color w:val="auto"/>
                      <w:kern w:val="0"/>
                      <w:szCs w:val="21"/>
                    </w:rPr>
                    <w:t>经集气罩收集后由二级活性炭吸附装置吸附处理后通过1根15m高排气筒（DA001）排放，对周围环境空气影响较小，可满足大气环境质量底线要求。</w:t>
                  </w:r>
                </w:p>
              </w:tc>
              <w:tc>
                <w:tcPr>
                  <w:tcW w:w="751" w:type="dxa"/>
                  <w:vMerge w:val="continue"/>
                  <w:vAlign w:val="center"/>
                </w:tcPr>
                <w:p>
                  <w:pPr>
                    <w:pStyle w:val="66"/>
                    <w:topLinePunct/>
                    <w:adjustRightInd w:val="0"/>
                    <w:snapToGrid w:val="0"/>
                    <w:spacing w:line="240" w:lineRule="auto"/>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adjustRightInd w:val="0"/>
                    <w:snapToGrid w:val="0"/>
                    <w:spacing w:line="240" w:lineRule="auto"/>
                    <w:rPr>
                      <w:color w:val="auto"/>
                      <w:kern w:val="0"/>
                      <w:szCs w:val="21"/>
                    </w:rPr>
                  </w:pPr>
                </w:p>
              </w:tc>
              <w:tc>
                <w:tcPr>
                  <w:tcW w:w="4382" w:type="dxa"/>
                  <w:vAlign w:val="center"/>
                </w:tcPr>
                <w:p>
                  <w:pPr>
                    <w:pStyle w:val="66"/>
                    <w:topLinePunct/>
                    <w:adjustRightInd w:val="0"/>
                    <w:snapToGrid w:val="0"/>
                    <w:spacing w:line="240" w:lineRule="auto"/>
                    <w:jc w:val="both"/>
                    <w:rPr>
                      <w:color w:val="auto"/>
                      <w:kern w:val="0"/>
                      <w:szCs w:val="21"/>
                    </w:rPr>
                  </w:pPr>
                  <w:r>
                    <w:rPr>
                      <w:color w:val="auto"/>
                      <w:kern w:val="0"/>
                      <w:szCs w:val="21"/>
                    </w:rPr>
                    <w:t>3、土壤环境风险防控底线</w:t>
                  </w:r>
                </w:p>
                <w:p>
                  <w:pPr>
                    <w:pStyle w:val="66"/>
                    <w:topLinePunct/>
                    <w:adjustRightInd w:val="0"/>
                    <w:snapToGrid w:val="0"/>
                    <w:spacing w:line="240" w:lineRule="auto"/>
                    <w:jc w:val="both"/>
                    <w:rPr>
                      <w:color w:val="auto"/>
                      <w:kern w:val="0"/>
                      <w:szCs w:val="21"/>
                    </w:rPr>
                  </w:pPr>
                  <w:r>
                    <w:rPr>
                      <w:color w:val="auto"/>
                      <w:kern w:val="0"/>
                      <w:szCs w:val="21"/>
                    </w:rPr>
                    <w:t>根据《蚌埠市土壤污染防治规划（2021-2025年）》，到2025年，全市土壤和地下水环境质量总体保持稳定，局部地区稳中向好，受污染耕地和污染地块安全利用水平得到巩固提升，进一步保障老百姓“吃得放心、住得安心”；农业面源污染得到初步管控，农村生态环境基础设施建设加快推进，生产生活方式绿色转型取得显著成效，农村生态环境明显改善，打造生态宜居的美丽乡村，为老百姓留住山清水秀、鸟语花香的田园风光。根据规划指标，到2025年，受污染耕地安全利用率达到95%左右，重点建设用地安全利用率得到有效保障。</w:t>
                  </w:r>
                </w:p>
              </w:tc>
              <w:tc>
                <w:tcPr>
                  <w:tcW w:w="2051" w:type="dxa"/>
                  <w:vAlign w:val="center"/>
                </w:tcPr>
                <w:p>
                  <w:pPr>
                    <w:pStyle w:val="66"/>
                    <w:topLinePunct/>
                    <w:adjustRightInd w:val="0"/>
                    <w:snapToGrid w:val="0"/>
                    <w:spacing w:line="240" w:lineRule="auto"/>
                    <w:rPr>
                      <w:color w:val="auto"/>
                      <w:kern w:val="0"/>
                      <w:szCs w:val="21"/>
                    </w:rPr>
                  </w:pPr>
                  <w:r>
                    <w:rPr>
                      <w:color w:val="auto"/>
                      <w:kern w:val="0"/>
                      <w:szCs w:val="21"/>
                    </w:rPr>
                    <w:t>项目位于蚌埠市固镇县新马桥镇铜陵产业园规划十二号路东侧2#厂房，用地为工业用地，在落实各项风险防控措施的基础上，土壤环境风险较小。</w:t>
                  </w:r>
                </w:p>
              </w:tc>
              <w:tc>
                <w:tcPr>
                  <w:tcW w:w="751" w:type="dxa"/>
                  <w:vMerge w:val="continue"/>
                  <w:vAlign w:val="center"/>
                </w:tcPr>
                <w:p>
                  <w:pPr>
                    <w:pStyle w:val="66"/>
                    <w:topLinePunct/>
                    <w:adjustRightInd w:val="0"/>
                    <w:snapToGrid w:val="0"/>
                    <w:spacing w:line="240" w:lineRule="auto"/>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restart"/>
                  <w:vAlign w:val="center"/>
                </w:tcPr>
                <w:p>
                  <w:pPr>
                    <w:pStyle w:val="66"/>
                    <w:topLinePunct/>
                    <w:adjustRightInd w:val="0"/>
                    <w:snapToGrid w:val="0"/>
                    <w:spacing w:line="240" w:lineRule="auto"/>
                    <w:rPr>
                      <w:color w:val="auto"/>
                      <w:kern w:val="0"/>
                      <w:szCs w:val="21"/>
                    </w:rPr>
                  </w:pPr>
                  <w:r>
                    <w:rPr>
                      <w:color w:val="auto"/>
                      <w:kern w:val="0"/>
                      <w:szCs w:val="21"/>
                    </w:rPr>
                    <w:t>资源利用上线</w:t>
                  </w:r>
                </w:p>
              </w:tc>
              <w:tc>
                <w:tcPr>
                  <w:tcW w:w="4382" w:type="dxa"/>
                  <w:vAlign w:val="center"/>
                </w:tcPr>
                <w:p>
                  <w:pPr>
                    <w:pStyle w:val="66"/>
                    <w:topLinePunct/>
                    <w:adjustRightInd w:val="0"/>
                    <w:snapToGrid w:val="0"/>
                    <w:spacing w:line="240" w:lineRule="auto"/>
                    <w:jc w:val="both"/>
                    <w:rPr>
                      <w:color w:val="auto"/>
                      <w:kern w:val="0"/>
                      <w:szCs w:val="21"/>
                    </w:rPr>
                  </w:pPr>
                  <w:r>
                    <w:rPr>
                      <w:color w:val="auto"/>
                      <w:kern w:val="0"/>
                      <w:szCs w:val="21"/>
                    </w:rPr>
                    <w:t>1、煤炭资源利用上线</w:t>
                  </w:r>
                </w:p>
                <w:p>
                  <w:pPr>
                    <w:pStyle w:val="66"/>
                    <w:topLinePunct/>
                    <w:adjustRightInd w:val="0"/>
                    <w:snapToGrid w:val="0"/>
                    <w:spacing w:line="240" w:lineRule="auto"/>
                    <w:jc w:val="both"/>
                    <w:rPr>
                      <w:color w:val="auto"/>
                      <w:kern w:val="0"/>
                      <w:szCs w:val="21"/>
                    </w:rPr>
                  </w:pPr>
                  <w:r>
                    <w:rPr>
                      <w:color w:val="auto"/>
                      <w:kern w:val="0"/>
                      <w:szCs w:val="21"/>
                    </w:rPr>
                    <w:t>“十四五”期间，全市能源发展坚持以满足国民经济发展为中心，进一步完善能源供应保障能力，提升能源利用效率，推进能源基础设施建设，控制单位GDP能耗和碳排放强度，着力构建清洁低碳、安全高效的能源体系。到“十四五”末，全市能源消费总量完成省下达指标。</w:t>
                  </w:r>
                </w:p>
              </w:tc>
              <w:tc>
                <w:tcPr>
                  <w:tcW w:w="2051" w:type="dxa"/>
                  <w:vAlign w:val="center"/>
                </w:tcPr>
                <w:p>
                  <w:pPr>
                    <w:pStyle w:val="66"/>
                    <w:topLinePunct/>
                    <w:adjustRightInd w:val="0"/>
                    <w:snapToGrid w:val="0"/>
                    <w:spacing w:line="240" w:lineRule="auto"/>
                    <w:rPr>
                      <w:color w:val="auto"/>
                      <w:kern w:val="0"/>
                      <w:szCs w:val="21"/>
                    </w:rPr>
                  </w:pPr>
                  <w:r>
                    <w:rPr>
                      <w:color w:val="auto"/>
                      <w:kern w:val="0"/>
                      <w:szCs w:val="21"/>
                    </w:rPr>
                    <w:t>项目生产过程中不使用煤炭。</w:t>
                  </w:r>
                </w:p>
              </w:tc>
              <w:tc>
                <w:tcPr>
                  <w:tcW w:w="751" w:type="dxa"/>
                  <w:vMerge w:val="restart"/>
                  <w:vAlign w:val="center"/>
                </w:tcPr>
                <w:p>
                  <w:pPr>
                    <w:pStyle w:val="66"/>
                    <w:topLinePunct/>
                    <w:adjustRightInd w:val="0"/>
                    <w:snapToGrid w:val="0"/>
                    <w:spacing w:line="240" w:lineRule="auto"/>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adjustRightInd w:val="0"/>
                    <w:snapToGrid w:val="0"/>
                    <w:spacing w:line="240" w:lineRule="auto"/>
                    <w:rPr>
                      <w:color w:val="auto"/>
                      <w:kern w:val="0"/>
                      <w:szCs w:val="21"/>
                    </w:rPr>
                  </w:pPr>
                </w:p>
              </w:tc>
              <w:tc>
                <w:tcPr>
                  <w:tcW w:w="4382" w:type="dxa"/>
                  <w:vAlign w:val="center"/>
                </w:tcPr>
                <w:p>
                  <w:pPr>
                    <w:pStyle w:val="66"/>
                    <w:topLinePunct/>
                    <w:adjustRightInd w:val="0"/>
                    <w:snapToGrid w:val="0"/>
                    <w:spacing w:line="240" w:lineRule="auto"/>
                    <w:jc w:val="both"/>
                    <w:rPr>
                      <w:color w:val="auto"/>
                      <w:kern w:val="0"/>
                      <w:szCs w:val="21"/>
                    </w:rPr>
                  </w:pPr>
                  <w:r>
                    <w:rPr>
                      <w:color w:val="auto"/>
                      <w:kern w:val="0"/>
                      <w:szCs w:val="21"/>
                    </w:rPr>
                    <w:t>2、水资源利用上线</w:t>
                  </w:r>
                </w:p>
                <w:p>
                  <w:pPr>
                    <w:pStyle w:val="66"/>
                    <w:topLinePunct/>
                    <w:adjustRightInd w:val="0"/>
                    <w:snapToGrid w:val="0"/>
                    <w:spacing w:line="240" w:lineRule="auto"/>
                    <w:jc w:val="both"/>
                    <w:rPr>
                      <w:color w:val="auto"/>
                      <w:kern w:val="0"/>
                      <w:szCs w:val="21"/>
                    </w:rPr>
                  </w:pPr>
                  <w:r>
                    <w:rPr>
                      <w:color w:val="auto"/>
                      <w:kern w:val="0"/>
                      <w:szCs w:val="21"/>
                    </w:rPr>
                    <w:t>依据《蚌埠市水利局关于落实“十四五”用水总量和强度双控目标的通知》（蚌水资源函〔2022〕7号）文件要求，至2025年蚌埠市用水总量控制在16.31亿m³；2025年万元国内生产总值用水量比2020年下降20%、万元工业增加值用水量比2020年下降19%、农田灌溉水有效利用系数达到0.61。</w:t>
                  </w:r>
                </w:p>
              </w:tc>
              <w:tc>
                <w:tcPr>
                  <w:tcW w:w="2051" w:type="dxa"/>
                  <w:vAlign w:val="center"/>
                </w:tcPr>
                <w:p>
                  <w:pPr>
                    <w:pStyle w:val="66"/>
                    <w:topLinePunct/>
                    <w:adjustRightInd w:val="0"/>
                    <w:snapToGrid w:val="0"/>
                    <w:spacing w:line="240" w:lineRule="auto"/>
                    <w:rPr>
                      <w:color w:val="auto"/>
                      <w:kern w:val="0"/>
                      <w:szCs w:val="21"/>
                    </w:rPr>
                  </w:pPr>
                  <w:r>
                    <w:rPr>
                      <w:color w:val="auto"/>
                      <w:kern w:val="0"/>
                      <w:szCs w:val="21"/>
                    </w:rPr>
                    <w:t>项目年用水量为</w:t>
                  </w:r>
                  <w:r>
                    <w:rPr>
                      <w:rFonts w:hint="eastAsia"/>
                      <w:color w:val="auto"/>
                      <w:kern w:val="0"/>
                      <w:szCs w:val="21"/>
                    </w:rPr>
                    <w:t>550</w:t>
                  </w:r>
                  <w:r>
                    <w:rPr>
                      <w:color w:val="auto"/>
                      <w:kern w:val="0"/>
                      <w:szCs w:val="21"/>
                    </w:rPr>
                    <w:t>t/a，来自市政自来水管网。</w:t>
                  </w:r>
                </w:p>
              </w:tc>
              <w:tc>
                <w:tcPr>
                  <w:tcW w:w="751" w:type="dxa"/>
                  <w:vMerge w:val="continue"/>
                  <w:vAlign w:val="center"/>
                </w:tcPr>
                <w:p>
                  <w:pPr>
                    <w:pStyle w:val="66"/>
                    <w:topLinePunct/>
                    <w:adjustRightInd w:val="0"/>
                    <w:snapToGrid w:val="0"/>
                    <w:spacing w:line="240" w:lineRule="auto"/>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adjustRightInd w:val="0"/>
                    <w:snapToGrid w:val="0"/>
                    <w:spacing w:line="240" w:lineRule="auto"/>
                    <w:rPr>
                      <w:color w:val="auto"/>
                      <w:kern w:val="0"/>
                      <w:szCs w:val="21"/>
                    </w:rPr>
                  </w:pPr>
                </w:p>
              </w:tc>
              <w:tc>
                <w:tcPr>
                  <w:tcW w:w="4382" w:type="dxa"/>
                  <w:vAlign w:val="center"/>
                </w:tcPr>
                <w:p>
                  <w:pPr>
                    <w:pStyle w:val="66"/>
                    <w:topLinePunct/>
                    <w:adjustRightInd w:val="0"/>
                    <w:snapToGrid w:val="0"/>
                    <w:spacing w:line="240" w:lineRule="auto"/>
                    <w:jc w:val="both"/>
                    <w:rPr>
                      <w:color w:val="auto"/>
                      <w:kern w:val="0"/>
                      <w:szCs w:val="21"/>
                    </w:rPr>
                  </w:pPr>
                  <w:r>
                    <w:rPr>
                      <w:color w:val="auto"/>
                      <w:kern w:val="0"/>
                      <w:szCs w:val="21"/>
                    </w:rPr>
                    <w:t>3、土地资源利用上线</w:t>
                  </w:r>
                </w:p>
                <w:p>
                  <w:pPr>
                    <w:pStyle w:val="66"/>
                    <w:topLinePunct/>
                    <w:adjustRightInd w:val="0"/>
                    <w:snapToGrid w:val="0"/>
                    <w:spacing w:line="240" w:lineRule="auto"/>
                    <w:jc w:val="both"/>
                    <w:rPr>
                      <w:color w:val="auto"/>
                      <w:kern w:val="0"/>
                      <w:szCs w:val="21"/>
                    </w:rPr>
                  </w:pPr>
                  <w:r>
                    <w:rPr>
                      <w:color w:val="auto"/>
                      <w:kern w:val="0"/>
                      <w:szCs w:val="21"/>
                    </w:rPr>
                    <w:t>根据《蚌埠市国土空间总体规划（2021-2035年）》（送审稿），至2035年，耕地保有量不低于3721.09平方千米，永久基本农田不少于3247.44平方千米；至2035年，生态保护红线面积不少于242.66平方千米，自然保护地占国土面积不低于4.67%,森林覆盖率不低于22.1%,水域空间保有量不低于382.02平方千米；至2035年，新增建设用地规模控制在97.14平方千米以内，新增城镇建设用地规模控制在123.53平方千米以内，单位GDP使用建设用地面积下降50%以上，人均城镇建设用地控制在119.5平方米以内，十五分钟社区生活圈建设更加完善。</w:t>
                  </w:r>
                </w:p>
              </w:tc>
              <w:tc>
                <w:tcPr>
                  <w:tcW w:w="2051" w:type="dxa"/>
                  <w:vAlign w:val="center"/>
                </w:tcPr>
                <w:p>
                  <w:pPr>
                    <w:pStyle w:val="66"/>
                    <w:topLinePunct/>
                    <w:adjustRightInd w:val="0"/>
                    <w:snapToGrid w:val="0"/>
                    <w:spacing w:line="240" w:lineRule="auto"/>
                    <w:rPr>
                      <w:color w:val="auto"/>
                      <w:kern w:val="0"/>
                      <w:szCs w:val="21"/>
                    </w:rPr>
                  </w:pPr>
                  <w:r>
                    <w:rPr>
                      <w:color w:val="auto"/>
                      <w:kern w:val="0"/>
                      <w:szCs w:val="21"/>
                    </w:rPr>
                    <w:t>项目位于蚌埠市固镇县新马桥镇铜陵产业园规划十二号路东侧2#厂房，</w:t>
                  </w:r>
                  <w:r>
                    <w:rPr>
                      <w:bCs/>
                      <w:color w:val="auto"/>
                      <w:kern w:val="0"/>
                      <w:szCs w:val="21"/>
                    </w:rPr>
                    <w:t>用地性质为工业用地，不占用耕地</w:t>
                  </w:r>
                  <w:r>
                    <w:rPr>
                      <w:color w:val="auto"/>
                      <w:kern w:val="0"/>
                      <w:szCs w:val="21"/>
                    </w:rPr>
                    <w:t>。</w:t>
                  </w:r>
                </w:p>
              </w:tc>
              <w:tc>
                <w:tcPr>
                  <w:tcW w:w="751" w:type="dxa"/>
                  <w:vMerge w:val="continue"/>
                  <w:vAlign w:val="center"/>
                </w:tcPr>
                <w:p>
                  <w:pPr>
                    <w:pStyle w:val="66"/>
                    <w:topLinePunct/>
                    <w:adjustRightInd w:val="0"/>
                    <w:snapToGrid w:val="0"/>
                    <w:spacing w:line="240" w:lineRule="auto"/>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66"/>
                    <w:topLinePunct/>
                    <w:adjustRightInd w:val="0"/>
                    <w:snapToGrid w:val="0"/>
                    <w:spacing w:line="240" w:lineRule="auto"/>
                    <w:rPr>
                      <w:color w:val="auto"/>
                      <w:kern w:val="0"/>
                      <w:szCs w:val="21"/>
                    </w:rPr>
                  </w:pPr>
                  <w:r>
                    <w:rPr>
                      <w:color w:val="auto"/>
                      <w:kern w:val="0"/>
                      <w:szCs w:val="21"/>
                    </w:rPr>
                    <w:t>生态环境准入清单</w:t>
                  </w:r>
                </w:p>
              </w:tc>
              <w:tc>
                <w:tcPr>
                  <w:tcW w:w="4382" w:type="dxa"/>
                  <w:vAlign w:val="center"/>
                </w:tcPr>
                <w:p>
                  <w:pPr>
                    <w:pStyle w:val="66"/>
                    <w:keepNext w:val="0"/>
                    <w:keepLines w:val="0"/>
                    <w:pageBreakBefore w:val="0"/>
                    <w:widowControl w:val="0"/>
                    <w:kinsoku/>
                    <w:wordWrap w:val="0"/>
                    <w:overflowPunct/>
                    <w:topLinePunct/>
                    <w:autoSpaceDE/>
                    <w:autoSpaceDN/>
                    <w:bidi w:val="0"/>
                    <w:adjustRightInd w:val="0"/>
                    <w:snapToGrid w:val="0"/>
                    <w:spacing w:line="240" w:lineRule="auto"/>
                    <w:jc w:val="both"/>
                    <w:textAlignment w:val="auto"/>
                    <w:rPr>
                      <w:color w:val="auto"/>
                      <w:kern w:val="0"/>
                      <w:szCs w:val="21"/>
                    </w:rPr>
                  </w:pPr>
                  <w:r>
                    <w:rPr>
                      <w:color w:val="auto"/>
                      <w:kern w:val="0"/>
                      <w:szCs w:val="21"/>
                    </w:rPr>
                    <w:t>根据安徽省三线一单成果，全省建立“1+5+16+N”的四级清单管控体系。省级建立并发布省级清单、区域清单；初步确定市级清单，制作管控单元清单模板，市级清单、管控单元清单在市级“三线一单”编制过程中进一步细化。</w:t>
                  </w:r>
                </w:p>
                <w:p>
                  <w:pPr>
                    <w:pStyle w:val="66"/>
                    <w:keepNext w:val="0"/>
                    <w:keepLines w:val="0"/>
                    <w:pageBreakBefore w:val="0"/>
                    <w:widowControl w:val="0"/>
                    <w:kinsoku/>
                    <w:wordWrap w:val="0"/>
                    <w:overflowPunct/>
                    <w:topLinePunct/>
                    <w:autoSpaceDE/>
                    <w:autoSpaceDN/>
                    <w:bidi w:val="0"/>
                    <w:adjustRightInd w:val="0"/>
                    <w:snapToGrid w:val="0"/>
                    <w:spacing w:line="240" w:lineRule="auto"/>
                    <w:jc w:val="both"/>
                    <w:textAlignment w:val="auto"/>
                    <w:rPr>
                      <w:color w:val="auto"/>
                      <w:kern w:val="0"/>
                      <w:szCs w:val="21"/>
                    </w:rPr>
                  </w:pPr>
                  <w:r>
                    <w:rPr>
                      <w:color w:val="auto"/>
                      <w:kern w:val="0"/>
                      <w:szCs w:val="21"/>
                    </w:rPr>
                    <w:t>根据划分成果，蚌埠市形成了“1+1”+“1+16+124”的管控体系。“1+1”即省级和沿淮两个区域清单，“1+16+124”即1个市级清单、16个开发区清单和124个管控单元清单。</w:t>
                  </w:r>
                </w:p>
              </w:tc>
              <w:tc>
                <w:tcPr>
                  <w:tcW w:w="2051" w:type="dxa"/>
                  <w:vAlign w:val="center"/>
                </w:tcPr>
                <w:p>
                  <w:pPr>
                    <w:pStyle w:val="66"/>
                    <w:topLinePunct/>
                    <w:adjustRightInd w:val="0"/>
                    <w:snapToGrid w:val="0"/>
                    <w:spacing w:line="240" w:lineRule="auto"/>
                    <w:rPr>
                      <w:color w:val="auto"/>
                      <w:kern w:val="0"/>
                      <w:szCs w:val="21"/>
                    </w:rPr>
                  </w:pPr>
                  <w:r>
                    <w:rPr>
                      <w:color w:val="auto"/>
                      <w:kern w:val="0"/>
                      <w:szCs w:val="21"/>
                    </w:rPr>
                    <w:t>项目类别为C3859其他家用电力器具制造，属于电气机械和器材制造业，不属于禁止类项目和限制类项目，满足生态环境准入清单要求。</w:t>
                  </w:r>
                </w:p>
              </w:tc>
              <w:tc>
                <w:tcPr>
                  <w:tcW w:w="751" w:type="dxa"/>
                  <w:vAlign w:val="center"/>
                </w:tcPr>
                <w:p>
                  <w:pPr>
                    <w:pStyle w:val="66"/>
                    <w:topLinePunct/>
                    <w:adjustRightInd w:val="0"/>
                    <w:snapToGrid w:val="0"/>
                    <w:spacing w:line="240" w:lineRule="auto"/>
                    <w:rPr>
                      <w:color w:val="auto"/>
                      <w:kern w:val="0"/>
                      <w:szCs w:val="21"/>
                    </w:rPr>
                  </w:pPr>
                  <w:r>
                    <w:rPr>
                      <w:color w:val="auto"/>
                      <w:kern w:val="0"/>
                      <w:szCs w:val="21"/>
                    </w:rPr>
                    <w:t>符合</w:t>
                  </w:r>
                </w:p>
              </w:tc>
            </w:tr>
          </w:tbl>
          <w:p>
            <w:pPr>
              <w:adjustRightInd w:val="0"/>
              <w:snapToGrid w:val="0"/>
              <w:spacing w:before="120" w:beforeLines="50" w:line="324" w:lineRule="auto"/>
              <w:ind w:firstLine="480" w:firstLineChars="200"/>
              <w:rPr>
                <w:rFonts w:cs="宋体"/>
                <w:color w:val="auto"/>
                <w:kern w:val="0"/>
                <w:sz w:val="24"/>
                <w:lang w:bidi="ar"/>
              </w:rPr>
            </w:pPr>
            <w:r>
              <w:rPr>
                <w:rFonts w:hint="eastAsia" w:cs="宋体"/>
                <w:color w:val="auto"/>
                <w:kern w:val="0"/>
                <w:sz w:val="24"/>
                <w:lang w:bidi="ar"/>
              </w:rPr>
              <w:t>（2）蚌埠市“三线一单”成果</w:t>
            </w:r>
            <w:r>
              <w:rPr>
                <w:rFonts w:hint="eastAsia"/>
                <w:color w:val="auto"/>
              </w:rPr>
              <w:t>分析</w:t>
            </w:r>
          </w:p>
          <w:p>
            <w:pPr>
              <w:adjustRightInd w:val="0"/>
              <w:snapToGrid w:val="0"/>
              <w:spacing w:line="324" w:lineRule="auto"/>
              <w:ind w:firstLine="480" w:firstLineChars="200"/>
              <w:rPr>
                <w:rFonts w:cs="宋体"/>
                <w:color w:val="auto"/>
                <w:kern w:val="0"/>
                <w:sz w:val="24"/>
                <w:lang w:bidi="ar"/>
              </w:rPr>
            </w:pPr>
            <w:r>
              <w:rPr>
                <w:color w:val="auto"/>
                <w:sz w:val="24"/>
              </w:rPr>
              <w:t>本项目位于</w:t>
            </w:r>
            <w:r>
              <w:rPr>
                <w:rFonts w:hint="eastAsia"/>
                <w:color w:val="auto"/>
                <w:sz w:val="24"/>
              </w:rPr>
              <w:t>蚌埠市固镇县新马桥镇铜陵产业园规划十二号路东侧2#厂房</w:t>
            </w:r>
            <w:r>
              <w:rPr>
                <w:color w:val="auto"/>
                <w:sz w:val="24"/>
              </w:rPr>
              <w:t>，</w:t>
            </w:r>
            <w:r>
              <w:rPr>
                <w:rFonts w:hint="eastAsia" w:cs="宋体"/>
                <w:color w:val="auto"/>
                <w:kern w:val="0"/>
                <w:sz w:val="24"/>
                <w:lang w:bidi="ar"/>
              </w:rPr>
              <w:t>属于安徽固镇经济开发区（南区）范围内</w:t>
            </w:r>
            <w:r>
              <w:rPr>
                <w:color w:val="auto"/>
                <w:sz w:val="24"/>
              </w:rPr>
              <w:t>，对照生态环境管控单元分布，项目不在生态管控区内，在水环境工业污染重点管控区内，在大气环境高排放重点管控区内，在土壤环境风险一般管控区内。</w:t>
            </w:r>
            <w:r>
              <w:rPr>
                <w:rFonts w:hint="eastAsia"/>
                <w:color w:val="auto"/>
                <w:sz w:val="24"/>
              </w:rPr>
              <w:t>项目属于重点管控单元6，环境管控单元编码为：ZH34032320006。项目环境管控单元管控要求相符性分析见下表。</w:t>
            </w:r>
          </w:p>
          <w:p>
            <w:pPr>
              <w:adjustRightInd w:val="0"/>
              <w:snapToGrid w:val="0"/>
              <w:jc w:val="center"/>
              <w:rPr>
                <w:rFonts w:cs="宋体"/>
                <w:b/>
                <w:bCs/>
                <w:color w:val="auto"/>
                <w:kern w:val="0"/>
                <w:sz w:val="24"/>
                <w:lang w:bidi="ar"/>
              </w:rPr>
            </w:pPr>
            <w:r>
              <w:rPr>
                <w:rFonts w:hint="eastAsia" w:cs="宋体"/>
                <w:b/>
                <w:bCs/>
                <w:color w:val="auto"/>
                <w:kern w:val="0"/>
                <w:sz w:val="24"/>
                <w:lang w:bidi="ar"/>
              </w:rPr>
              <w:t>表1-4  与环境管控单元管控要求相符性分析</w:t>
            </w:r>
          </w:p>
          <w:tbl>
            <w:tblPr>
              <w:tblStyle w:val="28"/>
              <w:tblW w:w="788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67"/>
              <w:gridCol w:w="483"/>
              <w:gridCol w:w="330"/>
              <w:gridCol w:w="4456"/>
              <w:gridCol w:w="1419"/>
              <w:gridCol w:w="63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环境管控单元分类</w:t>
                  </w:r>
                </w:p>
              </w:tc>
              <w:tc>
                <w:tcPr>
                  <w:tcW w:w="306"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区域管控要求</w:t>
                  </w:r>
                </w:p>
              </w:tc>
              <w:tc>
                <w:tcPr>
                  <w:tcW w:w="209"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管控类别</w:t>
                  </w:r>
                </w:p>
              </w:tc>
              <w:tc>
                <w:tcPr>
                  <w:tcW w:w="2824"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管控要求（摘录）</w:t>
                  </w:r>
                </w:p>
              </w:tc>
              <w:tc>
                <w:tcPr>
                  <w:tcW w:w="900"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本项目情况</w:t>
                  </w:r>
                </w:p>
              </w:tc>
              <w:tc>
                <w:tcPr>
                  <w:tcW w:w="400" w:type="pct"/>
                  <w:vAlign w:val="center"/>
                </w:tcPr>
                <w:p>
                  <w:pPr>
                    <w:widowControl/>
                    <w:wordWrap w:val="0"/>
                    <w:autoSpaceDE w:val="0"/>
                    <w:autoSpaceDN w:val="0"/>
                    <w:adjustRightInd w:val="0"/>
                    <w:snapToGrid w:val="0"/>
                    <w:jc w:val="center"/>
                    <w:textAlignment w:val="baseline"/>
                    <w:rPr>
                      <w:b/>
                      <w:bCs/>
                      <w:color w:val="auto"/>
                      <w:kern w:val="0"/>
                      <w:szCs w:val="21"/>
                    </w:rPr>
                  </w:pPr>
                  <w:r>
                    <w:rPr>
                      <w:b/>
                      <w:bCs/>
                      <w:color w:val="auto"/>
                      <w:kern w:val="0"/>
                      <w:szCs w:val="21"/>
                    </w:rPr>
                    <w:t>相符性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r>
                    <w:rPr>
                      <w:color w:val="auto"/>
                      <w:kern w:val="0"/>
                      <w:szCs w:val="21"/>
                    </w:rPr>
                    <w:t>重点管控单元</w:t>
                  </w:r>
                </w:p>
              </w:tc>
              <w:tc>
                <w:tcPr>
                  <w:tcW w:w="306" w:type="pct"/>
                  <w:vAlign w:val="center"/>
                </w:tcPr>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p>
                <w:p>
                  <w:pPr>
                    <w:widowControl/>
                    <w:wordWrap w:val="0"/>
                    <w:autoSpaceDE w:val="0"/>
                    <w:autoSpaceDN w:val="0"/>
                    <w:adjustRightInd w:val="0"/>
                    <w:snapToGrid w:val="0"/>
                    <w:jc w:val="center"/>
                    <w:textAlignment w:val="baseline"/>
                    <w:rPr>
                      <w:color w:val="auto"/>
                      <w:kern w:val="0"/>
                      <w:szCs w:val="21"/>
                    </w:rPr>
                  </w:pPr>
                  <w:r>
                    <w:rPr>
                      <w:color w:val="auto"/>
                      <w:kern w:val="0"/>
                      <w:szCs w:val="21"/>
                    </w:rPr>
                    <w:t>无</w:t>
                  </w:r>
                </w:p>
              </w:tc>
              <w:tc>
                <w:tcPr>
                  <w:tcW w:w="209"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rPr>
                    <w:t>空间布局约束</w:t>
                  </w:r>
                </w:p>
              </w:tc>
              <w:tc>
                <w:tcPr>
                  <w:tcW w:w="2824" w:type="pct"/>
                  <w:vAlign w:val="center"/>
                </w:tcPr>
                <w:p>
                  <w:pPr>
                    <w:widowControl/>
                    <w:wordWrap w:val="0"/>
                    <w:autoSpaceDE w:val="0"/>
                    <w:autoSpaceDN w:val="0"/>
                    <w:adjustRightInd w:val="0"/>
                    <w:snapToGrid w:val="0"/>
                    <w:textAlignment w:val="baseline"/>
                    <w:rPr>
                      <w:color w:val="auto"/>
                      <w:kern w:val="0"/>
                      <w:szCs w:val="21"/>
                    </w:rPr>
                  </w:pPr>
                  <w:r>
                    <w:rPr>
                      <w:snapToGrid w:val="0"/>
                      <w:color w:val="auto"/>
                      <w:kern w:val="0"/>
                      <w:szCs w:val="21"/>
                    </w:rPr>
                    <w:t>4严格执行国家关于“两高”产业准入目录和产能总量控制政策措施。严禁新增钢铁、焦化、电解铝、铸造、水泥和平板玻璃等产能；新、改、扩建涉及大宗物料运输的建设项目，原则上不得采用公路运输。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13在城市规划区内禁止新建、扩建大气污染严重的建设项目。21禁止淘汰落后类的产业进入开发区。24严格资源节约和环保准入门槛，转入项目必须符合国家产业政策、资源节约和污染物排放强度要求，避免产业转移中的资源浪费和污染扩散。29加大工业涂装、包装印刷等行业低挥发性有机物含量原辅材料替代力度，严格执行涂料、油墨、胶粘剂、清洗剂挥发性有机物含量限值标准，确保生产、销售、进口、使用符合标准的产品。32优化产能规模和布局，引导化工企业向产业园区转移，提高集聚发展水平。45企业应当全面推进清洁生产，优先采用能源和原材料利用效率高、污染物排放量少的清洁生产技术、工艺和设备，淘汰严重污染大气环境质量的产品、落后工艺和落后设备，减少大气污染物的产生和排放。78坚持以水定城、以水定地、以水定人、以水定产，严格控制缺水地区、水污染严重地区和敏感区域高耗水、高污染行业发展，鼓励推动高耗水企业向水资源条件允许的工业园区集中。84严格水域岸线用途管制，土地开发利用应按照有关法律法规和技术标准要求，留足河道、湖泊的管理和保护范围，非法挤占的应限期退出。85国家禁止新建不符合国家产业政策的小型造纸、制革、印染、染料、炼焦、炼硫、炼砷、炼汞、炼油、电镀、农药、石棉、水泥、玻璃、钢铁、火电以及其他严重污染水环境的生产项目。</w:t>
                  </w:r>
                </w:p>
              </w:tc>
              <w:tc>
                <w:tcPr>
                  <w:tcW w:w="900" w:type="pct"/>
                  <w:vAlign w:val="center"/>
                </w:tcPr>
                <w:p>
                  <w:pPr>
                    <w:widowControl/>
                    <w:wordWrap w:val="0"/>
                    <w:autoSpaceDE w:val="0"/>
                    <w:autoSpaceDN w:val="0"/>
                    <w:adjustRightInd w:val="0"/>
                    <w:snapToGrid w:val="0"/>
                    <w:jc w:val="center"/>
                    <w:textAlignment w:val="baseline"/>
                    <w:rPr>
                      <w:snapToGrid w:val="0"/>
                      <w:color w:val="auto"/>
                      <w:kern w:val="0"/>
                      <w:szCs w:val="21"/>
                    </w:rPr>
                  </w:pPr>
                  <w:r>
                    <w:rPr>
                      <w:snapToGrid w:val="0"/>
                      <w:color w:val="auto"/>
                      <w:kern w:val="0"/>
                      <w:szCs w:val="21"/>
                    </w:rPr>
                    <w:t>本项目为新建项目，项目类别为C3859其他家用电力器具制造，对照《产业结构调整指导目录（2024年本）》，本项目属于“允许类”项目，且该项目已取得固镇县发展和改革委员会备案（项目代码：2506-340323-04-01-883529），因此，该项目的建设符合国家和地方产业政策；根据《安徽省节能减排及应对气候变化工作领导小组关于进一步加强新上“两高”项目管理的通知》（皖节能〔2021〕3号），本项目不属于“两高”项目和重污染企业。本项目不涉及涂料、油墨、胶粘剂、清洗剂</w:t>
                  </w:r>
                  <w:r>
                    <w:rPr>
                      <w:color w:val="auto"/>
                      <w:kern w:val="0"/>
                      <w:szCs w:val="21"/>
                    </w:rPr>
                    <w:t>。</w:t>
                  </w:r>
                </w:p>
              </w:tc>
              <w:tc>
                <w:tcPr>
                  <w:tcW w:w="400" w:type="pct"/>
                  <w:vAlign w:val="center"/>
                </w:tcPr>
                <w:p>
                  <w:pPr>
                    <w:widowControl/>
                    <w:wordWrap w:val="0"/>
                    <w:autoSpaceDE w:val="0"/>
                    <w:autoSpaceDN w:val="0"/>
                    <w:adjustRightInd w:val="0"/>
                    <w:snapToGrid w:val="0"/>
                    <w:jc w:val="center"/>
                    <w:textAlignment w:val="baseline"/>
                    <w:rPr>
                      <w:snapToGrid w:val="0"/>
                      <w:color w:val="auto"/>
                      <w:kern w:val="0"/>
                      <w:szCs w:val="21"/>
                    </w:rPr>
                  </w:pPr>
                  <w:r>
                    <w:rPr>
                      <w:snapToGrid w:val="0"/>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auto"/>
                      <w:kern w:val="0"/>
                      <w:szCs w:val="21"/>
                    </w:rPr>
                  </w:pPr>
                </w:p>
              </w:tc>
              <w:tc>
                <w:tcPr>
                  <w:tcW w:w="306" w:type="pct"/>
                  <w:vAlign w:val="center"/>
                </w:tcPr>
                <w:p>
                  <w:pPr>
                    <w:widowControl/>
                    <w:wordWrap w:val="0"/>
                    <w:autoSpaceDE w:val="0"/>
                    <w:autoSpaceDN w:val="0"/>
                    <w:adjustRightInd w:val="0"/>
                    <w:snapToGrid w:val="0"/>
                    <w:jc w:val="center"/>
                    <w:textAlignment w:val="baseline"/>
                    <w:rPr>
                      <w:color w:val="auto"/>
                      <w:kern w:val="0"/>
                      <w:szCs w:val="21"/>
                    </w:rPr>
                  </w:pPr>
                </w:p>
              </w:tc>
              <w:tc>
                <w:tcPr>
                  <w:tcW w:w="209"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rPr>
                    <w:t>污染物排放管控</w:t>
                  </w:r>
                </w:p>
              </w:tc>
              <w:tc>
                <w:tcPr>
                  <w:tcW w:w="2824" w:type="pct"/>
                  <w:vAlign w:val="center"/>
                </w:tcPr>
                <w:p>
                  <w:pPr>
                    <w:widowControl/>
                    <w:wordWrap w:val="0"/>
                    <w:autoSpaceDE w:val="0"/>
                    <w:autoSpaceDN w:val="0"/>
                    <w:adjustRightInd w:val="0"/>
                    <w:snapToGrid w:val="0"/>
                    <w:textAlignment w:val="baseline"/>
                    <w:rPr>
                      <w:color w:val="auto"/>
                      <w:kern w:val="0"/>
                      <w:szCs w:val="21"/>
                    </w:rPr>
                  </w:pPr>
                  <w:r>
                    <w:rPr>
                      <w:color w:val="auto"/>
                      <w:kern w:val="0"/>
                      <w:szCs w:val="21"/>
                    </w:rPr>
                    <w:t>49新建、改建、扩建排放重点大气污染物的项目不符合总量控制要求的，不得通过环境影响评价。54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56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57污染物排放标准中有特别排放限值的标准的行业，二氧化硫、氮氧化物、颗粒物、挥发性有机物（VOCs）全面执行大气污染物特别排放限值。已核发排污许可证的，应严格执行许可要求。59按《挥发性有机物无组织排放控制标准》（GB37822-2019）要求，做好VOCs物料储存、物料转移和输送、工艺过程、设备与管线组件、敞开液面VOCs排放，以及VOCs无组织排放废气收集处理系统要求。66强化工业企业无组织排放管理，推进挥发性有机物排放综合整治，开展大气氨排放控制试点。91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31落实省大气办《关于深入开展挥发性有机物污染治理工作的通知》，完善“源头—过程—末端”治理模式，推行基于反应活性的VOCs减排策略，实施“一园一案”、“一企一策”精细化治理。重点推进化工、包装印刷、工业涂装等工业行业VOCs污染减排，强化设备密闭化改造，全面加强含VOCs物料储存、转移和输送、设备与管线组件泄漏、敞开液面逸散以及工艺过程等五类排放源VOCs管控。推进产业集群VOCs综合治理，家具、彩涂板、皮革制品、制鞋、包装印刷等以小企业为主的集群，优先推进低VOCs源头替代；汽修、人造板、制药等行业为主的集群，重点推动优化整合，探索建立集中喷涂中心。开展VOCs整治专项执法行动，推动末端治理设施提档升级，强化末端治理设施的运行维护。34加强固体废物治理。加强固废危废收集、贮存、利用、处置环境监管。加快建设生活垃圾分类管理系统，推进生活垃圾分类投放、收集、运输、处理等。强化白色污染、新污染物治理。到2025年，固体废物产生强度持续下降，处置能力与需求基本匹配。</w:t>
                  </w:r>
                </w:p>
              </w:tc>
              <w:tc>
                <w:tcPr>
                  <w:tcW w:w="900" w:type="pct"/>
                  <w:vAlign w:val="center"/>
                </w:tcPr>
                <w:p>
                  <w:pPr>
                    <w:widowControl/>
                    <w:wordWrap w:val="0"/>
                    <w:autoSpaceDE w:val="0"/>
                    <w:autoSpaceDN w:val="0"/>
                    <w:adjustRightInd w:val="0"/>
                    <w:snapToGrid w:val="0"/>
                    <w:jc w:val="center"/>
                    <w:textAlignment w:val="baseline"/>
                    <w:rPr>
                      <w:color w:val="auto"/>
                      <w:kern w:val="0"/>
                      <w:szCs w:val="21"/>
                    </w:rPr>
                  </w:pPr>
                  <w:r>
                    <w:rPr>
                      <w:snapToGrid w:val="0"/>
                      <w:color w:val="auto"/>
                      <w:kern w:val="0"/>
                      <w:szCs w:val="21"/>
                    </w:rPr>
                    <w:t>本项目满足总量控制要求且不涉及涂料、油墨、胶粘剂、清洗剂</w:t>
                  </w:r>
                  <w:r>
                    <w:rPr>
                      <w:color w:val="auto"/>
                      <w:kern w:val="0"/>
                      <w:szCs w:val="21"/>
                    </w:rPr>
                    <w:t>。</w:t>
                  </w:r>
                </w:p>
              </w:tc>
              <w:tc>
                <w:tcPr>
                  <w:tcW w:w="400"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auto"/>
                      <w:kern w:val="0"/>
                      <w:szCs w:val="21"/>
                    </w:rPr>
                  </w:pPr>
                </w:p>
              </w:tc>
              <w:tc>
                <w:tcPr>
                  <w:tcW w:w="306" w:type="pct"/>
                  <w:vAlign w:val="center"/>
                </w:tcPr>
                <w:p>
                  <w:pPr>
                    <w:widowControl/>
                    <w:wordWrap w:val="0"/>
                    <w:autoSpaceDE w:val="0"/>
                    <w:autoSpaceDN w:val="0"/>
                    <w:adjustRightInd w:val="0"/>
                    <w:snapToGrid w:val="0"/>
                    <w:jc w:val="center"/>
                    <w:textAlignment w:val="baseline"/>
                    <w:rPr>
                      <w:color w:val="auto"/>
                      <w:kern w:val="0"/>
                      <w:szCs w:val="21"/>
                    </w:rPr>
                  </w:pPr>
                </w:p>
              </w:tc>
              <w:tc>
                <w:tcPr>
                  <w:tcW w:w="209"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rPr>
                    <w:t>资源开发效率要求</w:t>
                  </w:r>
                </w:p>
              </w:tc>
              <w:tc>
                <w:tcPr>
                  <w:tcW w:w="2824" w:type="pct"/>
                  <w:vAlign w:val="center"/>
                </w:tcPr>
                <w:p>
                  <w:pPr>
                    <w:widowControl/>
                    <w:wordWrap w:val="0"/>
                    <w:autoSpaceDE w:val="0"/>
                    <w:autoSpaceDN w:val="0"/>
                    <w:adjustRightInd w:val="0"/>
                    <w:snapToGrid w:val="0"/>
                    <w:rPr>
                      <w:color w:val="auto"/>
                      <w:kern w:val="0"/>
                      <w:szCs w:val="21"/>
                    </w:rPr>
                  </w:pPr>
                  <w:r>
                    <w:rPr>
                      <w:color w:val="auto"/>
                      <w:kern w:val="0"/>
                      <w:szCs w:val="21"/>
                    </w:rPr>
                    <w:t>38按照省政府下达给区域各市能源利用总量及效率要求执行。39按照省级清单中禁燃区要求执行。40土地资源利用效率按照省政府下达给区域各市的要求执行。47至2025年，全市用水总量严格控制在16.31亿m</w:t>
                  </w:r>
                  <w:r>
                    <w:rPr>
                      <w:color w:val="auto"/>
                      <w:kern w:val="0"/>
                      <w:szCs w:val="21"/>
                      <w:vertAlign w:val="superscript"/>
                    </w:rPr>
                    <w:t>3</w:t>
                  </w:r>
                  <w:r>
                    <w:rPr>
                      <w:color w:val="auto"/>
                      <w:kern w:val="0"/>
                      <w:szCs w:val="21"/>
                    </w:rPr>
                    <w:t>（其中，城乡生活及工业用水总量4.95亿m</w:t>
                  </w:r>
                  <w:r>
                    <w:rPr>
                      <w:color w:val="auto"/>
                      <w:kern w:val="0"/>
                      <w:szCs w:val="21"/>
                      <w:vertAlign w:val="superscript"/>
                    </w:rPr>
                    <w:t>3</w:t>
                  </w:r>
                  <w:r>
                    <w:rPr>
                      <w:color w:val="auto"/>
                      <w:kern w:val="0"/>
                      <w:szCs w:val="21"/>
                    </w:rPr>
                    <w:t>），万元GDP用水量较2020年下降18%；至2025年，万元工业增加值用水量较2020年下降17%，建设一批节水型企业；至2025年，全市城市供水管网漏损率控制在9%以内；至2025年，全市城市非常规水利用率达到25%。48工业节水的重点是开展工业园区水资源区域评估和争创节水型工业园区和节水型企业，加快对现有高耗水行业节水技术改造，强化用水定额管理，大力发展循环经济，推行清洁生产，限制和淘汰耗水量大、污染严重的落后工艺和设备。49根据中水的不同用途，对污水处理厂出水采取相应的处理措施以提高中水利用率。一是蚌埠城市兴建中水厂对城市污水处理厂出水再处理后向热电厂等对水质要求不高的企业供水；二是对三县污水处理厂出水提标后，供沿途农业灌溉用水，尽量减少入河排污量；三是鼓励生物、化工等大型高用水企业自建中水厂，供本厂和周边对水质要求不高的企业使用；四是对校园等用水大户兴建小型中水站，经处理后的中水进行回用。60加快推进高污染燃料禁燃区内生物质锅炉清洁能源替代工作，推进三县生物质锅炉高效除尘改造和无组织烟粉尘治理工作，推进生物质电厂超低排放改造工作。61禁燃区范围：市区高污染燃料禁燃区范围扩大至宁洛高速-X041县道-圈堤路-京台高速-京台高速仁合集出口-蚌埠南与凤阳交界处-蚌五高速公路-宁洛高速。62依据《高污染燃料目录》，确定我市禁燃区禁燃区内燃料组合为Ⅲ类（严格），具体为：（一）煤炭及其制品（包括原煤、散煤、煤矸石、煤泥、煤粉、水煤浆、型煤、焦炭、兰炭等）。（二）石油焦、油页岩、原油、重油、渣油、煤焦油。（三）非专用锅炉或未配制高效除尘设施的专用锅炉燃用的生物质成型燃料。63在禁燃区内，禁止销售、燃用高污染燃料；禁止新建、扩建燃用高污染燃料的设施，已建成的，应当在各区政府（含市高新区管委会、市经开区管委会）规定的期限内改用天然气、页岩气、液化石油气、电或者其他清洁能源。64推进清洁生产和能源资源节约高效利用。引导重点行业深入实施清洁生产改造，推进清洁生产。开展循环发展引领行动，提高能源资源使用效率。实施节水行动，推进污水资源化利用。65推进用地结构优化调整。严格落实城市规划及园区规划，严控城市无序发展、粗放发展，合理确定重点产业发展布局、结构与规模。扎实开展建设用地总量和强度“双控”行动，加强建设用地供后开发利用全程监管，强化临时用地管理，加大力度盘活闲置、低效建设用地。强化空间、总量、准入三条红线对产业布局的约束，引导产业向工业集聚区集中布局。</w:t>
                  </w:r>
                </w:p>
              </w:tc>
              <w:tc>
                <w:tcPr>
                  <w:tcW w:w="900"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lang w:bidi="ar"/>
                    </w:rPr>
                    <w:t>本项目</w:t>
                  </w:r>
                  <w:r>
                    <w:rPr>
                      <w:color w:val="auto"/>
                      <w:kern w:val="0"/>
                      <w:szCs w:val="21"/>
                    </w:rPr>
                    <w:t>使用水、电能等清洁能源</w:t>
                  </w:r>
                  <w:r>
                    <w:rPr>
                      <w:color w:val="auto"/>
                      <w:kern w:val="0"/>
                      <w:szCs w:val="21"/>
                      <w:lang w:bidi="ar"/>
                    </w:rPr>
                    <w:t>，不涉及燃煤消耗，符合资源开发利用要求。</w:t>
                  </w:r>
                </w:p>
              </w:tc>
              <w:tc>
                <w:tcPr>
                  <w:tcW w:w="400" w:type="pct"/>
                  <w:vAlign w:val="center"/>
                </w:tcPr>
                <w:p>
                  <w:pPr>
                    <w:widowControl/>
                    <w:wordWrap w:val="0"/>
                    <w:autoSpaceDE w:val="0"/>
                    <w:autoSpaceDN w:val="0"/>
                    <w:adjustRightInd w:val="0"/>
                    <w:snapToGrid w:val="0"/>
                    <w:jc w:val="center"/>
                    <w:textAlignment w:val="baseline"/>
                    <w:rPr>
                      <w:color w:val="auto"/>
                      <w:kern w:val="0"/>
                      <w:szCs w:val="21"/>
                    </w:rPr>
                  </w:pPr>
                  <w:r>
                    <w:rPr>
                      <w:color w:val="auto"/>
                      <w:kern w:val="0"/>
                      <w:szCs w:val="21"/>
                    </w:rPr>
                    <w:t>符合</w:t>
                  </w:r>
                </w:p>
              </w:tc>
            </w:tr>
          </w:tbl>
          <w:p>
            <w:pPr>
              <w:pStyle w:val="81"/>
              <w:spacing w:before="120" w:beforeLines="50" w:line="240" w:lineRule="auto"/>
              <w:ind w:firstLine="0" w:firstLineChars="0"/>
              <w:jc w:val="center"/>
              <w:rPr>
                <w:color w:val="auto"/>
              </w:rPr>
            </w:pPr>
            <w:r>
              <w:rPr>
                <w:rFonts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2782570</wp:posOffset>
                      </wp:positionH>
                      <wp:positionV relativeFrom="paragraph">
                        <wp:posOffset>1020445</wp:posOffset>
                      </wp:positionV>
                      <wp:extent cx="624840" cy="370205"/>
                      <wp:effectExtent l="241300" t="4445" r="10160" b="311150"/>
                      <wp:wrapNone/>
                      <wp:docPr id="1" name="圆角矩形标注 1"/>
                      <wp:cNvGraphicFramePr/>
                      <a:graphic xmlns:a="http://schemas.openxmlformats.org/drawingml/2006/main">
                        <a:graphicData uri="http://schemas.microsoft.com/office/word/2010/wordprocessingShape">
                          <wps:wsp>
                            <wps:cNvSpPr/>
                            <wps:spPr>
                              <a:xfrm>
                                <a:off x="0" y="0"/>
                                <a:ext cx="624840" cy="370205"/>
                              </a:xfrm>
                              <a:prstGeom prst="wedgeRoundRectCallout">
                                <a:avLst>
                                  <a:gd name="adj1" fmla="val -83638"/>
                                  <a:gd name="adj2" fmla="val 127530"/>
                                  <a:gd name="adj3" fmla="val 16667"/>
                                </a:avLst>
                              </a:prstGeom>
                              <a:noFill/>
                              <a:ln w="9525" cap="flat" cmpd="sng" algn="ctr">
                                <a:solidFill>
                                  <a:srgbClr val="0070C0"/>
                                </a:solidFill>
                                <a:prstDash val="solid"/>
                                <a:miter lim="800000"/>
                              </a:ln>
                              <a:effectLst/>
                            </wps:spPr>
                            <wps:txbx>
                              <w:txbxContent>
                                <w:p>
                                  <w:pPr>
                                    <w:adjustRightInd w:val="0"/>
                                    <w:snapToGrid w:val="0"/>
                                    <w:ind w:left="-105" w:leftChars="-50" w:right="-105" w:rightChars="-50"/>
                                    <w:jc w:val="center"/>
                                    <w:rPr>
                                      <w:color w:val="0000FF"/>
                                      <w:szCs w:val="21"/>
                                    </w:rPr>
                                  </w:pPr>
                                  <w:r>
                                    <w:rPr>
                                      <w:rFonts w:hint="eastAsia"/>
                                      <w:color w:val="0000FF"/>
                                      <w:szCs w:val="21"/>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9.1pt;margin-top:80.35pt;height:29.15pt;width:49.2pt;z-index:251661312;v-text-anchor:middle;mso-width-relative:page;mso-height-relative:page;" filled="f" stroked="t" coordsize="21600,21600" o:gfxdata="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V0kX3b&#10;AAAACwEAAA8AAAAAAAAAAQAgAAAAIgAAAGRycy9kb3ducmV2LnhtbFBLAQIUABQAAAAIAIdO4kDE&#10;v865yAIAAHYFAAAOAAAAAAAAAAEAIAAAACoBAABkcnMvZTJvRG9jLnhtbFBLBQYAAAAABgAGAFkB&#10;AABkBgAAAAA=&#10;" adj="-7266,38346,14400">
                      <v:fill on="f" focussize="0,0"/>
                      <v:stroke color="#0070C0" miterlimit="8" joinstyle="miter"/>
                      <v:imagedata o:title=""/>
                      <o:lock v:ext="edit" aspectratio="f"/>
                      <v:textbox>
                        <w:txbxContent>
                          <w:p>
                            <w:pPr>
                              <w:adjustRightInd w:val="0"/>
                              <w:snapToGrid w:val="0"/>
                              <w:ind w:left="-105" w:leftChars="-50" w:right="-105" w:rightChars="-50"/>
                              <w:jc w:val="center"/>
                              <w:rPr>
                                <w:color w:val="0000FF"/>
                                <w:szCs w:val="21"/>
                              </w:rPr>
                            </w:pPr>
                            <w:r>
                              <w:rPr>
                                <w:rFonts w:hint="eastAsia"/>
                                <w:color w:val="0000FF"/>
                                <w:szCs w:val="21"/>
                              </w:rPr>
                              <w:t>项目地</w:t>
                            </w:r>
                          </w:p>
                        </w:txbxContent>
                      </v:textbox>
                    </v:shape>
                  </w:pict>
                </mc:Fallback>
              </mc:AlternateContent>
            </w:r>
            <w:r>
              <w:rPr>
                <w:color w:val="auto"/>
              </w:rPr>
              <w:drawing>
                <wp:inline distT="0" distB="0" distL="114300" distR="114300">
                  <wp:extent cx="4413885" cy="3804285"/>
                  <wp:effectExtent l="0" t="0" r="5715" b="571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0"/>
                          <a:stretch>
                            <a:fillRect/>
                          </a:stretch>
                        </pic:blipFill>
                        <pic:spPr>
                          <a:xfrm>
                            <a:off x="0" y="0"/>
                            <a:ext cx="4413885" cy="3804285"/>
                          </a:xfrm>
                          <a:prstGeom prst="rect">
                            <a:avLst/>
                          </a:prstGeom>
                          <a:noFill/>
                          <a:ln>
                            <a:noFill/>
                          </a:ln>
                        </pic:spPr>
                      </pic:pic>
                    </a:graphicData>
                  </a:graphic>
                </wp:inline>
              </w:drawing>
            </w:r>
          </w:p>
          <w:p>
            <w:pPr>
              <w:adjustRightInd w:val="0"/>
              <w:snapToGrid w:val="0"/>
              <w:jc w:val="center"/>
              <w:rPr>
                <w:rFonts w:cs="宋体"/>
                <w:b/>
                <w:bCs/>
                <w:color w:val="auto"/>
                <w:sz w:val="24"/>
              </w:rPr>
            </w:pPr>
            <w:r>
              <w:rPr>
                <w:rFonts w:hint="eastAsia" w:cs="宋体"/>
                <w:b/>
                <w:bCs/>
                <w:color w:val="auto"/>
                <w:sz w:val="24"/>
              </w:rPr>
              <w:t>图1-</w:t>
            </w:r>
            <w:r>
              <w:rPr>
                <w:rFonts w:hint="eastAsia" w:cs="宋体"/>
                <w:b/>
                <w:bCs/>
                <w:color w:val="auto"/>
                <w:sz w:val="24"/>
                <w:lang w:val="en-US" w:eastAsia="zh-CN"/>
              </w:rPr>
              <w:t xml:space="preserve">1  </w:t>
            </w:r>
            <w:r>
              <w:rPr>
                <w:rFonts w:hint="eastAsia" w:cs="宋体"/>
                <w:b/>
                <w:bCs/>
                <w:color w:val="auto"/>
                <w:sz w:val="24"/>
              </w:rPr>
              <w:t>建设项目与安徽省“三线一单”公众服务平台叠图</w:t>
            </w:r>
          </w:p>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b/>
                <w:bCs/>
                <w:color w:val="auto"/>
                <w:sz w:val="24"/>
              </w:rPr>
            </w:pPr>
            <w:r>
              <w:rPr>
                <w:b/>
                <w:bCs/>
                <w:color w:val="auto"/>
                <w:sz w:val="24"/>
              </w:rPr>
              <w:t>4、</w:t>
            </w:r>
            <w:r>
              <w:rPr>
                <w:rFonts w:cs="宋体"/>
                <w:b/>
                <w:bCs/>
                <w:color w:val="auto"/>
                <w:sz w:val="24"/>
              </w:rPr>
              <w:t>与《安徽省淮河流域水污染防治条例》相符性分析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2018年11月23日，《安徽省淮河流域水污染防治条例》经安徽省第十三届人民代表大会常务委员会第六次会议修订公布，自2019年1月1日起施行。本项目位于</w:t>
            </w:r>
            <w:r>
              <w:rPr>
                <w:rFonts w:hint="eastAsia" w:cs="宋体"/>
                <w:color w:val="auto"/>
                <w:kern w:val="0"/>
                <w:sz w:val="24"/>
                <w:lang w:bidi="ar"/>
              </w:rPr>
              <w:t>蚌埠市固镇县新马桥镇铜陵产业园规划十二号路东侧2#厂房</w:t>
            </w:r>
            <w:r>
              <w:rPr>
                <w:rFonts w:cs="宋体"/>
                <w:color w:val="auto"/>
                <w:kern w:val="0"/>
                <w:sz w:val="24"/>
                <w:lang w:bidi="ar"/>
              </w:rPr>
              <w:t>，属于安徽省淮河流域。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其中与本项目相关内容如下：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第十三条：禁止在淮河流域新建化学制浆造纸企业和印染、制革、化工、电镀、酿造等污染严重的小型企业。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严格限制在淮河流域新建印染、制革、化工、电镀、酿造等大中型项目或者其他污染严重的项目；建设该类项目的，应当事前征得省人民政府生态环境行政主管部门的同意，并按照规定办理有关手续。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第十四条：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新建、扩建、改建项目，除执行前款规定外，还应当遵守下列规定：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（一）新建项目的选址应符合城市总体规划，避开饮用水水源地和对环境有特殊要求的功能区；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（二）采用资源利用率高、污染物排放量少的先进设备和先进工艺；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（三）改建、扩建项目和技改项目应当把水污染治理纳入项目内容。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工程配套建设的水污染防治设施竣工后，建设单位应当按照国务院生态环境行政主管部门规定的标准和程序进行验收。验收合格后，方可投入使用；未经验收或者验收不合格的，不得投入生产或者使用。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cs="宋体"/>
                <w:color w:val="auto"/>
                <w:kern w:val="0"/>
                <w:sz w:val="24"/>
                <w:lang w:bidi="ar"/>
              </w:rPr>
            </w:pPr>
            <w:r>
              <w:rPr>
                <w:rFonts w:cs="宋体"/>
                <w:color w:val="auto"/>
                <w:kern w:val="0"/>
                <w:sz w:val="24"/>
                <w:lang w:bidi="ar"/>
              </w:rPr>
              <w:t>本项目为</w:t>
            </w:r>
            <w:r>
              <w:rPr>
                <w:rFonts w:hint="eastAsia" w:cs="宋体"/>
                <w:color w:val="auto"/>
                <w:kern w:val="0"/>
                <w:sz w:val="24"/>
                <w:lang w:bidi="ar"/>
              </w:rPr>
              <w:t>新建项目</w:t>
            </w:r>
            <w:r>
              <w:rPr>
                <w:rFonts w:cs="宋体"/>
                <w:color w:val="auto"/>
                <w:kern w:val="0"/>
                <w:sz w:val="24"/>
                <w:lang w:bidi="ar"/>
              </w:rPr>
              <w:t>，项目行业类别为</w:t>
            </w:r>
            <w:r>
              <w:rPr>
                <w:rFonts w:hint="eastAsia"/>
                <w:color w:val="auto"/>
                <w:kern w:val="0"/>
                <w:sz w:val="24"/>
                <w:lang w:bidi="ar"/>
              </w:rPr>
              <w:t>C3859其他家用电力器具制造</w:t>
            </w:r>
            <w:r>
              <w:rPr>
                <w:rFonts w:cs="宋体"/>
                <w:color w:val="auto"/>
                <w:kern w:val="0"/>
                <w:sz w:val="24"/>
                <w:lang w:bidi="ar"/>
              </w:rPr>
              <w:t>，</w:t>
            </w:r>
            <w:r>
              <w:rPr>
                <w:rFonts w:hint="eastAsia" w:cs="宋体"/>
                <w:color w:val="auto"/>
                <w:kern w:val="0"/>
                <w:sz w:val="24"/>
                <w:lang w:bidi="ar"/>
              </w:rPr>
              <w:t>不属于印染、制革、化工、电镀、酿造等大中型项目或者其他污染严重的项目；项目生活污水经化粪池收集后与冷却废水接管至</w:t>
            </w:r>
            <w:r>
              <w:rPr>
                <w:rFonts w:hint="eastAsia" w:cs="宋体"/>
                <w:color w:val="auto"/>
                <w:kern w:val="0"/>
                <w:sz w:val="24"/>
                <w:lang w:eastAsia="zh-CN" w:bidi="ar"/>
              </w:rPr>
              <w:t>蚌埠铜陵现代产业园污水处理厂</w:t>
            </w:r>
            <w:r>
              <w:rPr>
                <w:rFonts w:hint="eastAsia" w:cs="宋体"/>
                <w:color w:val="auto"/>
                <w:kern w:val="0"/>
                <w:sz w:val="24"/>
                <w:lang w:bidi="ar"/>
              </w:rPr>
              <w:t>处理最终排入北淝河，评价要求建设单位执行“三同时”制度；项目</w:t>
            </w:r>
            <w:r>
              <w:rPr>
                <w:rFonts w:cs="宋体"/>
                <w:color w:val="auto"/>
                <w:kern w:val="0"/>
                <w:sz w:val="24"/>
                <w:lang w:bidi="ar"/>
              </w:rPr>
              <w:t>位于</w:t>
            </w:r>
            <w:r>
              <w:rPr>
                <w:rFonts w:hint="eastAsia" w:cs="宋体"/>
                <w:color w:val="auto"/>
                <w:kern w:val="0"/>
                <w:sz w:val="24"/>
                <w:lang w:bidi="ar"/>
              </w:rPr>
              <w:t>蚌埠市固镇县新马桥镇铜陵产业园规划十二号路东侧2#厂房</w:t>
            </w:r>
            <w:r>
              <w:rPr>
                <w:rFonts w:cs="宋体"/>
                <w:color w:val="auto"/>
                <w:kern w:val="0"/>
                <w:sz w:val="24"/>
                <w:lang w:bidi="ar"/>
              </w:rPr>
              <w:t>，</w:t>
            </w:r>
            <w:r>
              <w:rPr>
                <w:rFonts w:hint="eastAsia" w:cs="宋体"/>
                <w:color w:val="auto"/>
                <w:kern w:val="0"/>
                <w:sz w:val="24"/>
                <w:lang w:bidi="ar"/>
              </w:rPr>
              <w:t>评价范围内不涉及</w:t>
            </w:r>
            <w:r>
              <w:rPr>
                <w:rFonts w:cs="宋体"/>
                <w:color w:val="auto"/>
                <w:kern w:val="0"/>
                <w:sz w:val="24"/>
                <w:lang w:bidi="ar"/>
              </w:rPr>
              <w:t>饮用水水源地和对环境有特殊要求的功能区，项目的建设采用资源利用率高、污染物排放量少的先进设备和先进工艺</w:t>
            </w:r>
            <w:r>
              <w:rPr>
                <w:rFonts w:hint="eastAsia" w:cs="宋体"/>
                <w:color w:val="auto"/>
                <w:kern w:val="0"/>
                <w:sz w:val="24"/>
                <w:lang w:bidi="ar"/>
              </w:rPr>
              <w:t>；</w:t>
            </w:r>
            <w:r>
              <w:rPr>
                <w:rFonts w:hint="eastAsia" w:cs="宋体"/>
                <w:bCs/>
                <w:color w:val="auto"/>
                <w:kern w:val="0"/>
                <w:sz w:val="24"/>
                <w:lang w:bidi="ar"/>
              </w:rPr>
              <w:t>建设单位应当按照国务院生态环境行政主管部门规定的标准和程序进行验收，验收合格后，方可投入使用，未经验收或者验收不合格的，不得投入生产或者使用。</w:t>
            </w:r>
          </w:p>
          <w:p>
            <w:pPr>
              <w:pStyle w:val="81"/>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textAlignment w:val="auto"/>
              <w:rPr>
                <w:b w:val="0"/>
                <w:bCs w:val="0"/>
                <w:color w:val="auto"/>
                <w:kern w:val="0"/>
                <w:sz w:val="24"/>
                <w:lang w:bidi="ar"/>
              </w:rPr>
            </w:pPr>
            <w:r>
              <w:rPr>
                <w:b w:val="0"/>
                <w:bCs w:val="0"/>
                <w:color w:val="auto"/>
                <w:kern w:val="0"/>
                <w:sz w:val="24"/>
                <w:lang w:bidi="ar"/>
              </w:rPr>
              <w:t>因此，项目的建设符合《安徽省淮河流域水污染防治条例》</w:t>
            </w:r>
            <w:r>
              <w:rPr>
                <w:rFonts w:hint="eastAsia"/>
                <w:b w:val="0"/>
                <w:bCs w:val="0"/>
                <w:color w:val="auto"/>
                <w:kern w:val="0"/>
                <w:sz w:val="24"/>
                <w:lang w:bidi="ar"/>
              </w:rPr>
              <w:t>中的</w:t>
            </w:r>
            <w:r>
              <w:rPr>
                <w:b w:val="0"/>
                <w:bCs w:val="0"/>
                <w:color w:val="auto"/>
                <w:kern w:val="0"/>
                <w:sz w:val="24"/>
                <w:lang w:bidi="ar"/>
              </w:rPr>
              <w:t>要求。</w:t>
            </w:r>
          </w:p>
          <w:p>
            <w:pPr>
              <w:pStyle w:val="81"/>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rPr>
            </w:pPr>
            <w:r>
              <w:rPr>
                <w:rFonts w:cs="Times New Roman"/>
                <w:color w:val="auto"/>
                <w:sz w:val="24"/>
              </w:rPr>
              <w:t>5、与《</w:t>
            </w:r>
            <w:r>
              <w:rPr>
                <w:rFonts w:hint="eastAsia" w:cs="Times New Roman"/>
                <w:color w:val="auto"/>
                <w:sz w:val="24"/>
              </w:rPr>
              <w:t>安徽省</w:t>
            </w:r>
            <w:r>
              <w:rPr>
                <w:rFonts w:cs="Times New Roman"/>
                <w:color w:val="auto"/>
                <w:sz w:val="24"/>
              </w:rPr>
              <w:t>空气质量持续改善行动</w:t>
            </w:r>
            <w:r>
              <w:rPr>
                <w:rFonts w:hint="eastAsia" w:cs="Times New Roman"/>
                <w:color w:val="auto"/>
                <w:sz w:val="24"/>
              </w:rPr>
              <w:t>方案</w:t>
            </w:r>
            <w:r>
              <w:rPr>
                <w:rFonts w:cs="Times New Roman"/>
                <w:color w:val="auto"/>
                <w:sz w:val="24"/>
              </w:rPr>
              <w:t>》（皖政〔2024〕36号）的相符性</w:t>
            </w:r>
            <w:r>
              <w:rPr>
                <w:rFonts w:hint="eastAsia" w:cs="Times New Roman"/>
                <w:color w:val="auto"/>
                <w:sz w:val="24"/>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rPr>
            </w:pPr>
            <w:r>
              <w:rPr>
                <w:rFonts w:hint="eastAsia"/>
                <w:color w:val="auto"/>
                <w:kern w:val="0"/>
                <w:sz w:val="24"/>
              </w:rPr>
              <w:t>项目</w:t>
            </w:r>
            <w:r>
              <w:rPr>
                <w:color w:val="auto"/>
                <w:kern w:val="0"/>
                <w:sz w:val="24"/>
              </w:rPr>
              <w:t>与《安徽省空气质量持续改善行动方案》相符性分析内容具体见下表。</w:t>
            </w:r>
          </w:p>
          <w:p>
            <w:pPr>
              <w:adjustRightInd w:val="0"/>
              <w:snapToGrid w:val="0"/>
              <w:jc w:val="center"/>
              <w:rPr>
                <w:b/>
                <w:color w:val="auto"/>
                <w:sz w:val="24"/>
              </w:rPr>
            </w:pPr>
            <w:r>
              <w:rPr>
                <w:b/>
                <w:color w:val="auto"/>
                <w:sz w:val="24"/>
              </w:rPr>
              <w:t>表1-</w:t>
            </w:r>
            <w:r>
              <w:rPr>
                <w:rFonts w:hint="eastAsia"/>
                <w:b/>
                <w:color w:val="auto"/>
                <w:sz w:val="24"/>
              </w:rPr>
              <w:t xml:space="preserve">5 </w:t>
            </w:r>
            <w:r>
              <w:rPr>
                <w:b/>
                <w:color w:val="auto"/>
                <w:sz w:val="24"/>
              </w:rPr>
              <w:t xml:space="preserve"> 与《</w:t>
            </w:r>
            <w:r>
              <w:rPr>
                <w:rFonts w:hint="eastAsia"/>
                <w:b/>
                <w:color w:val="auto"/>
                <w:sz w:val="24"/>
              </w:rPr>
              <w:t>安徽省</w:t>
            </w:r>
            <w:r>
              <w:rPr>
                <w:b/>
                <w:color w:val="auto"/>
                <w:sz w:val="24"/>
              </w:rPr>
              <w:t>空气质量持续改善行动</w:t>
            </w:r>
            <w:r>
              <w:rPr>
                <w:rFonts w:hint="eastAsia"/>
                <w:b/>
                <w:color w:val="auto"/>
                <w:sz w:val="24"/>
              </w:rPr>
              <w:t>方案</w:t>
            </w:r>
            <w:r>
              <w:rPr>
                <w:b/>
                <w:color w:val="auto"/>
                <w:sz w:val="24"/>
              </w:rPr>
              <w:t>》相符性分析</w:t>
            </w:r>
          </w:p>
          <w:tbl>
            <w:tblPr>
              <w:tblStyle w:val="28"/>
              <w:tblW w:w="7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66"/>
              <w:gridCol w:w="4491"/>
              <w:gridCol w:w="2070"/>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adjustRightInd w:val="0"/>
                    <w:snapToGrid w:val="0"/>
                    <w:jc w:val="center"/>
                    <w:rPr>
                      <w:b/>
                      <w:bCs/>
                      <w:color w:val="auto"/>
                      <w:kern w:val="0"/>
                      <w:szCs w:val="21"/>
                    </w:rPr>
                  </w:pPr>
                  <w:r>
                    <w:rPr>
                      <w:b/>
                      <w:bCs/>
                      <w:color w:val="auto"/>
                      <w:kern w:val="0"/>
                      <w:szCs w:val="21"/>
                    </w:rPr>
                    <w:t>序号</w:t>
                  </w:r>
                </w:p>
              </w:tc>
              <w:tc>
                <w:tcPr>
                  <w:tcW w:w="4491" w:type="dxa"/>
                  <w:vAlign w:val="center"/>
                </w:tcPr>
                <w:p>
                  <w:pPr>
                    <w:adjustRightInd w:val="0"/>
                    <w:snapToGrid w:val="0"/>
                    <w:jc w:val="center"/>
                    <w:rPr>
                      <w:b/>
                      <w:bCs/>
                      <w:color w:val="auto"/>
                      <w:kern w:val="0"/>
                      <w:szCs w:val="21"/>
                    </w:rPr>
                  </w:pPr>
                  <w:r>
                    <w:rPr>
                      <w:b/>
                      <w:bCs/>
                      <w:color w:val="auto"/>
                      <w:kern w:val="0"/>
                      <w:szCs w:val="21"/>
                    </w:rPr>
                    <w:t>方案要求</w:t>
                  </w:r>
                </w:p>
              </w:tc>
              <w:tc>
                <w:tcPr>
                  <w:tcW w:w="2070" w:type="dxa"/>
                  <w:vAlign w:val="center"/>
                </w:tcPr>
                <w:p>
                  <w:pPr>
                    <w:adjustRightInd w:val="0"/>
                    <w:snapToGrid w:val="0"/>
                    <w:jc w:val="center"/>
                    <w:rPr>
                      <w:b/>
                      <w:bCs/>
                      <w:color w:val="auto"/>
                      <w:kern w:val="0"/>
                      <w:szCs w:val="21"/>
                    </w:rPr>
                  </w:pPr>
                  <w:r>
                    <w:rPr>
                      <w:b/>
                      <w:bCs/>
                      <w:color w:val="auto"/>
                      <w:kern w:val="0"/>
                      <w:szCs w:val="21"/>
                    </w:rPr>
                    <w:t>项目情况</w:t>
                  </w:r>
                </w:p>
              </w:tc>
              <w:tc>
                <w:tcPr>
                  <w:tcW w:w="751" w:type="dxa"/>
                  <w:vAlign w:val="center"/>
                </w:tcPr>
                <w:p>
                  <w:pPr>
                    <w:adjustRightInd w:val="0"/>
                    <w:snapToGrid w:val="0"/>
                    <w:jc w:val="center"/>
                    <w:rPr>
                      <w:b/>
                      <w:bCs/>
                      <w:color w:val="auto"/>
                      <w:kern w:val="0"/>
                      <w:szCs w:val="21"/>
                    </w:rPr>
                  </w:pPr>
                  <w:r>
                    <w:rPr>
                      <w:b/>
                      <w:bCs/>
                      <w:color w:val="auto"/>
                      <w:kern w:val="0"/>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1</w:t>
                  </w:r>
                </w:p>
              </w:tc>
              <w:tc>
                <w:tcPr>
                  <w:tcW w:w="4491" w:type="dxa"/>
                  <w:vAlign w:val="center"/>
                </w:tcPr>
                <w:p>
                  <w:pPr>
                    <w:widowControl/>
                    <w:adjustRightInd w:val="0"/>
                    <w:snapToGrid w:val="0"/>
                    <w:rPr>
                      <w:color w:val="auto"/>
                      <w:kern w:val="0"/>
                      <w:szCs w:val="21"/>
                      <w:lang w:bidi="ar"/>
                    </w:rPr>
                  </w:pPr>
                  <w:r>
                    <w:rPr>
                      <w:color w:val="auto"/>
                      <w:kern w:val="0"/>
                      <w:szCs w:val="21"/>
                      <w:lang w:bidi="ar"/>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p>
                  <w:pPr>
                    <w:widowControl/>
                    <w:adjustRightInd w:val="0"/>
                    <w:snapToGrid w:val="0"/>
                    <w:rPr>
                      <w:color w:val="auto"/>
                      <w:kern w:val="0"/>
                      <w:szCs w:val="21"/>
                      <w:lang w:bidi="ar"/>
                    </w:rPr>
                  </w:pPr>
                  <w:r>
                    <w:rPr>
                      <w:color w:val="auto"/>
                      <w:kern w:val="0"/>
                      <w:szCs w:val="21"/>
                      <w:lang w:bidi="ar"/>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2070" w:type="dxa"/>
                  <w:vAlign w:val="center"/>
                </w:tcPr>
                <w:p>
                  <w:pPr>
                    <w:widowControl/>
                    <w:wordWrap w:val="0"/>
                    <w:adjustRightInd w:val="0"/>
                    <w:snapToGrid w:val="0"/>
                    <w:jc w:val="center"/>
                    <w:rPr>
                      <w:color w:val="auto"/>
                      <w:kern w:val="0"/>
                      <w:szCs w:val="21"/>
                      <w:lang w:bidi="ar"/>
                    </w:rPr>
                  </w:pPr>
                  <w:r>
                    <w:rPr>
                      <w:snapToGrid w:val="0"/>
                      <w:color w:val="auto"/>
                      <w:kern w:val="0"/>
                      <w:szCs w:val="21"/>
                    </w:rPr>
                    <w:t>本项目为新建项目，项目类别为C3859其他家用电力器具制造，对照《产业结构调整指导目录（2024年本）》，本项目属于“允许类”项目，且该项目已取得固镇县发展和改革委员会备案（项目代码：2506-340323-04-01-883529），因此，该项目的建设符合国家和地方产业政策；根据《安徽省节能减排及应对气候变化工作领导小组关于进一步加强新上“两高”项目管理的通知》（皖节能〔2021〕3号），本项目不属于“两高”项目</w:t>
                  </w:r>
                  <w:r>
                    <w:rPr>
                      <w:color w:val="auto"/>
                      <w:kern w:val="0"/>
                      <w:szCs w:val="21"/>
                      <w:lang w:bidi="ar"/>
                    </w:rPr>
                    <w:t>。</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2</w:t>
                  </w:r>
                </w:p>
              </w:tc>
              <w:tc>
                <w:tcPr>
                  <w:tcW w:w="4491" w:type="dxa"/>
                  <w:vAlign w:val="center"/>
                </w:tcPr>
                <w:p>
                  <w:pPr>
                    <w:widowControl/>
                    <w:adjustRightInd w:val="0"/>
                    <w:snapToGrid w:val="0"/>
                    <w:rPr>
                      <w:color w:val="auto"/>
                      <w:kern w:val="0"/>
                      <w:szCs w:val="21"/>
                      <w:lang w:bidi="ar"/>
                    </w:rPr>
                  </w:pPr>
                  <w:r>
                    <w:rPr>
                      <w:color w:val="auto"/>
                      <w:kern w:val="0"/>
                      <w:szCs w:val="21"/>
                      <w:lang w:bidi="ar"/>
                    </w:rPr>
                    <w:t>加快推广使用清洁能源。深入实施风电光伏发电装机倍增工程，提高电能占终端能源消费比重。到2025年，非化石能源消费比重达到15.5%以上，电能占终端能源消费比重达到30%左右。加快推进天然气入皖管道建设，提升城镇燃气管网覆盖率，增强天然气供应能力，新增天然气优先保障居民生活和清洁取暖需求。</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本项目使用能源为水、电，属于清洁能源。</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3</w:t>
                  </w:r>
                </w:p>
              </w:tc>
              <w:tc>
                <w:tcPr>
                  <w:tcW w:w="4491" w:type="dxa"/>
                  <w:vAlign w:val="center"/>
                </w:tcPr>
                <w:p>
                  <w:pPr>
                    <w:widowControl/>
                    <w:adjustRightInd w:val="0"/>
                    <w:snapToGrid w:val="0"/>
                    <w:rPr>
                      <w:color w:val="auto"/>
                      <w:kern w:val="0"/>
                      <w:szCs w:val="21"/>
                      <w:lang w:bidi="ar"/>
                    </w:rPr>
                  </w:pPr>
                  <w:r>
                    <w:rPr>
                      <w:color w:val="auto"/>
                      <w:kern w:val="0"/>
                      <w:szCs w:val="21"/>
                      <w:lang w:bidi="ar"/>
                    </w:rPr>
                    <w:t>推动煤炭消费减量替代。在保障能源安全供应的前提下，继续实施煤炭消费总量控制，到2025年，重点区域煤炭消费量较2020年下降5%左右。重点削减非电力用煤。修订煤炭消费减量替代管理办法。重点区域新改扩建用煤项目，依法实行煤炭等量或减量替代，不得将使用高污染燃料作为煤炭减量替代措施。持续加大民用、农用散煤替代力度，重点区域散煤基本清零，其他地区散煤使用量进一步下降。强化企业商品煤质量管理，鼓励制定更严格的商品煤质量企业标准，提倡生产和使用优质煤。</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本项目不涉及煤炭使用。</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4</w:t>
                  </w:r>
                </w:p>
              </w:tc>
              <w:tc>
                <w:tcPr>
                  <w:tcW w:w="4491" w:type="dxa"/>
                  <w:vAlign w:val="center"/>
                </w:tcPr>
                <w:p>
                  <w:pPr>
                    <w:widowControl/>
                    <w:adjustRightInd w:val="0"/>
                    <w:snapToGrid w:val="0"/>
                    <w:rPr>
                      <w:color w:val="auto"/>
                      <w:kern w:val="0"/>
                      <w:szCs w:val="21"/>
                      <w:lang w:bidi="ar"/>
                    </w:rPr>
                  </w:pPr>
                  <w:r>
                    <w:rPr>
                      <w:color w:val="auto"/>
                      <w:kern w:val="0"/>
                      <w:szCs w:val="21"/>
                      <w:lang w:bidi="ar"/>
                    </w:rPr>
                    <w:t>加快推动燃煤锅炉机组升级改造。各市将燃煤供热锅炉替代项目纳入城镇供热规划。加快热力管网建设，开展远距离供热示范，鼓励城镇供热企业推广使用清洁能源技术，科学合理布局供热管道。淘汰管网覆盖范围内的燃煤锅炉和散煤。重点区域原则上不再新建除集中供暖外的燃煤锅炉。持续推动茶水炉、经营性炉灶、储粮烘干设备、农产品加工等各类燃煤设施清洁能源替代。对30万千瓦以上热电联产机组供热半径30公里范围内燃煤锅炉和落后燃煤小热电机组（含自备电厂）进行关停整合。禁止新建自备燃煤机组。大力推动现有煤电机组开展节能降碳改造、灵活性改造、供热改造“三改联动”。</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本项目不使用锅炉。</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5</w:t>
                  </w:r>
                </w:p>
              </w:tc>
              <w:tc>
                <w:tcPr>
                  <w:tcW w:w="4491" w:type="dxa"/>
                  <w:vAlign w:val="center"/>
                </w:tcPr>
                <w:p>
                  <w:pPr>
                    <w:widowControl/>
                    <w:adjustRightInd w:val="0"/>
                    <w:snapToGrid w:val="0"/>
                    <w:rPr>
                      <w:color w:val="auto"/>
                      <w:kern w:val="0"/>
                      <w:szCs w:val="21"/>
                      <w:lang w:bidi="ar"/>
                    </w:rPr>
                  </w:pPr>
                  <w:r>
                    <w:rPr>
                      <w:color w:val="auto"/>
                      <w:kern w:val="0"/>
                      <w:szCs w:val="21"/>
                      <w:lang w:bidi="ar"/>
                    </w:rPr>
                    <w:t>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本项目生产不使用工业炉窑。</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6</w:t>
                  </w:r>
                </w:p>
              </w:tc>
              <w:tc>
                <w:tcPr>
                  <w:tcW w:w="4491" w:type="dxa"/>
                  <w:vAlign w:val="center"/>
                </w:tcPr>
                <w:p>
                  <w:pPr>
                    <w:widowControl/>
                    <w:adjustRightInd w:val="0"/>
                    <w:snapToGrid w:val="0"/>
                    <w:rPr>
                      <w:color w:val="auto"/>
                      <w:kern w:val="0"/>
                      <w:szCs w:val="21"/>
                      <w:lang w:bidi="ar"/>
                    </w:rPr>
                  </w:pPr>
                  <w:r>
                    <w:rPr>
                      <w:color w:val="auto"/>
                      <w:kern w:val="0"/>
                      <w:szCs w:val="21"/>
                      <w:lang w:bidi="ar"/>
                    </w:rPr>
                    <w:t>加强建筑工地、道路扬尘污染和矿山综合治理。推动全省1万平方米以上规模建筑工地安装视频监控并接入监管平台，到2025年底，安装接入率达70%以上，合肥等有条件的市力争达到100%。开展道路扬尘污染治理专项行动。推动装配式建筑发展。将防治扬尘污染费用列入安全文明施工措施费等工程造价不可竞争性费用，明确施工单位扬尘污染防治责任。推动建筑业工业化、数字化、绿色化发展，提高城市道路保洁质量和效率。到2025年，装配式建筑占新建建筑面积比例40%以上，城市建成区道路机械化清扫率达90%左右，县城达70%左右。加强城市公共裸地扬尘管控，对在建工地、闲置地块等裸露土地开展排查建档，因地制宜落实抑尘措施。严格落实城市大型煤炭、矿石等干散货码头物料堆放场所主体责任，完善露天堆场防风网、喷淋装置、防尘屏障等抑尘设施建设和物料输送系统封闭改造。推动矿山综合治理，限期整改仍不达标的矿山，由矿山所在地人民政府根据安全生产、水土保持、生态环境等要求依法关闭。</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本项目不涉及。</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7</w:t>
                  </w:r>
                </w:p>
              </w:tc>
              <w:tc>
                <w:tcPr>
                  <w:tcW w:w="4491" w:type="dxa"/>
                  <w:vAlign w:val="center"/>
                </w:tcPr>
                <w:p>
                  <w:pPr>
                    <w:widowControl/>
                    <w:adjustRightInd w:val="0"/>
                    <w:snapToGrid w:val="0"/>
                    <w:rPr>
                      <w:color w:val="auto"/>
                      <w:kern w:val="0"/>
                      <w:szCs w:val="21"/>
                      <w:lang w:bidi="ar"/>
                    </w:rPr>
                  </w:pPr>
                  <w:r>
                    <w:rPr>
                      <w:color w:val="auto"/>
                      <w:kern w:val="0"/>
                      <w:szCs w:val="21"/>
                      <w:lang w:bidi="ar"/>
                    </w:rPr>
                    <w:t>加强VOCs综合治理。鼓励储罐使用低泄漏的呼吸阀、紧急泄压阀。汽车罐车推广使用密封式快速接头。污水处理场所高浓度有机废气单独收集处理；含VOCs有机废水储罐、装置区集水井（池）有机废气密闭收集处理。石化、化工行业集中的城市和重点工业园区，2024年底前建立统一的泄漏检测与修复信息管理平台。企业开停工、检维修期间，及时收集处理退料、清洗、吹扫等作业产生的VOCs废气，不得将火炬燃烧装置作为日常大气污染处理设施。</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w:t>
                  </w:r>
                  <w:r>
                    <w:rPr>
                      <w:rFonts w:hint="eastAsia"/>
                      <w:snapToGrid w:val="0"/>
                      <w:color w:val="auto"/>
                      <w:kern w:val="0"/>
                      <w:szCs w:val="21"/>
                      <w:lang w:eastAsia="zh-CN"/>
                    </w:rPr>
                    <w:t>注塑废气、热转印废气</w:t>
                  </w:r>
                  <w:r>
                    <w:rPr>
                      <w:snapToGrid w:val="0"/>
                      <w:color w:val="auto"/>
                      <w:kern w:val="0"/>
                      <w:szCs w:val="21"/>
                    </w:rPr>
                    <w:t>经集气罩收集后由二级活性炭吸附装置处理后通过一根15m高排气筒（DA001）排放</w:t>
                  </w:r>
                  <w:r>
                    <w:rPr>
                      <w:color w:val="auto"/>
                      <w:kern w:val="0"/>
                      <w:szCs w:val="21"/>
                      <w:lang w:bidi="ar"/>
                    </w:rPr>
                    <w:t>。</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8</w:t>
                  </w:r>
                </w:p>
              </w:tc>
              <w:tc>
                <w:tcPr>
                  <w:tcW w:w="4491" w:type="dxa"/>
                  <w:vAlign w:val="center"/>
                </w:tcPr>
                <w:p>
                  <w:pPr>
                    <w:widowControl/>
                    <w:adjustRightInd w:val="0"/>
                    <w:snapToGrid w:val="0"/>
                    <w:rPr>
                      <w:color w:val="auto"/>
                      <w:kern w:val="0"/>
                      <w:szCs w:val="21"/>
                      <w:lang w:bidi="ar"/>
                    </w:rPr>
                  </w:pPr>
                  <w:r>
                    <w:rPr>
                      <w:color w:val="auto"/>
                      <w:kern w:val="0"/>
                      <w:szCs w:val="21"/>
                      <w:lang w:bidi="ar"/>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2070" w:type="dxa"/>
                  <w:vAlign w:val="center"/>
                </w:tcPr>
                <w:p>
                  <w:pPr>
                    <w:widowControl/>
                    <w:adjustRightInd w:val="0"/>
                    <w:snapToGrid w:val="0"/>
                    <w:jc w:val="center"/>
                    <w:rPr>
                      <w:color w:val="auto"/>
                      <w:kern w:val="0"/>
                      <w:szCs w:val="21"/>
                      <w:lang w:bidi="ar"/>
                    </w:rPr>
                  </w:pPr>
                  <w:r>
                    <w:rPr>
                      <w:snapToGrid w:val="0"/>
                      <w:color w:val="auto"/>
                      <w:kern w:val="0"/>
                      <w:szCs w:val="21"/>
                    </w:rPr>
                    <w:t>本项目不使用涂料、油墨、胶粘剂、清洗剂</w:t>
                  </w:r>
                  <w:r>
                    <w:rPr>
                      <w:color w:val="auto"/>
                      <w:kern w:val="0"/>
                      <w:szCs w:val="21"/>
                      <w:lang w:bidi="ar"/>
                    </w:rPr>
                    <w:t>。</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9</w:t>
                  </w:r>
                </w:p>
              </w:tc>
              <w:tc>
                <w:tcPr>
                  <w:tcW w:w="4491" w:type="dxa"/>
                  <w:vAlign w:val="center"/>
                </w:tcPr>
                <w:p>
                  <w:pPr>
                    <w:widowControl/>
                    <w:adjustRightInd w:val="0"/>
                    <w:snapToGrid w:val="0"/>
                    <w:rPr>
                      <w:color w:val="auto"/>
                      <w:kern w:val="0"/>
                      <w:szCs w:val="21"/>
                      <w:lang w:bidi="ar"/>
                    </w:rPr>
                  </w:pPr>
                  <w:r>
                    <w:rPr>
                      <w:color w:val="auto"/>
                      <w:kern w:val="0"/>
                      <w:szCs w:val="21"/>
                      <w:lang w:bidi="ar"/>
                    </w:rPr>
                    <w:t>加快涉气重点行业深度治理。高质量推进钢铁、水泥、焦化等重点行业及燃煤锅炉超低排放改造。到2025年，全省钢铁冶炼企业、燃煤锅炉全面完成超低排放改造，独立烧结、球团、热轧企业参照钢铁超低排放标准力争完成改造。推进重点行业深度治理，推进燃气锅炉低氮燃烧改造。生物质锅炉采用专用锅炉，配套布袋等高效除尘设施。推进整合小型生物质锅炉，积极引导城市建成区内生物质锅炉（含电力）超低排放改造。减少非正常工况排放，重点涉气企业逐步取消烟气和含VOCs废气旁路。</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本项目属于</w:t>
                  </w:r>
                  <w:r>
                    <w:rPr>
                      <w:snapToGrid w:val="0"/>
                      <w:color w:val="auto"/>
                      <w:kern w:val="0"/>
                      <w:szCs w:val="21"/>
                    </w:rPr>
                    <w:t>C3859其他家用电力器具制造</w:t>
                  </w:r>
                  <w:r>
                    <w:rPr>
                      <w:color w:val="auto"/>
                      <w:kern w:val="0"/>
                      <w:szCs w:val="21"/>
                      <w:lang w:bidi="ar"/>
                    </w:rPr>
                    <w:t>，不属于钢铁、水泥、焦化等重点污染行业；不涉及燃煤锅炉的使用。</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dxa"/>
                  <w:vAlign w:val="center"/>
                </w:tcPr>
                <w:p>
                  <w:pPr>
                    <w:widowControl/>
                    <w:adjustRightInd w:val="0"/>
                    <w:snapToGrid w:val="0"/>
                    <w:jc w:val="center"/>
                    <w:rPr>
                      <w:color w:val="auto"/>
                      <w:kern w:val="0"/>
                      <w:szCs w:val="21"/>
                      <w:lang w:bidi="ar"/>
                    </w:rPr>
                  </w:pPr>
                  <w:r>
                    <w:rPr>
                      <w:color w:val="auto"/>
                      <w:kern w:val="0"/>
                      <w:szCs w:val="21"/>
                      <w:lang w:bidi="ar"/>
                    </w:rPr>
                    <w:t>10</w:t>
                  </w:r>
                </w:p>
              </w:tc>
              <w:tc>
                <w:tcPr>
                  <w:tcW w:w="4491" w:type="dxa"/>
                  <w:vAlign w:val="center"/>
                </w:tcPr>
                <w:p>
                  <w:pPr>
                    <w:widowControl/>
                    <w:adjustRightInd w:val="0"/>
                    <w:snapToGrid w:val="0"/>
                    <w:rPr>
                      <w:color w:val="auto"/>
                      <w:kern w:val="0"/>
                      <w:szCs w:val="21"/>
                      <w:lang w:bidi="ar"/>
                    </w:rPr>
                  </w:pPr>
                  <w:r>
                    <w:rPr>
                      <w:color w:val="auto"/>
                      <w:kern w:val="0"/>
                      <w:szCs w:val="21"/>
                      <w:lang w:bidi="ar"/>
                    </w:rPr>
                    <w:t>推动农业和工业领域大气氨污染防控。推广水稻侧深施肥和小麦、玉米种肥同播。推广低蛋白日粮和全混合日粮等精准饲喂技术。研究畜禽养殖场氨气等臭气治理措施，鼓励生猪、鸡等圈舍封闭管理，加强废气收集和处理，推行覆盖式处理与利用粪污技术。加大企业氨排放监管力度，工业企业严格执行恶臭异味防治要求和烟气脱硫脱硝氨逃逸排放标准。</w:t>
                  </w:r>
                </w:p>
              </w:tc>
              <w:tc>
                <w:tcPr>
                  <w:tcW w:w="2070" w:type="dxa"/>
                  <w:vAlign w:val="center"/>
                </w:tcPr>
                <w:p>
                  <w:pPr>
                    <w:widowControl/>
                    <w:adjustRightInd w:val="0"/>
                    <w:snapToGrid w:val="0"/>
                    <w:jc w:val="center"/>
                    <w:rPr>
                      <w:color w:val="auto"/>
                      <w:kern w:val="0"/>
                      <w:szCs w:val="21"/>
                      <w:lang w:bidi="ar"/>
                    </w:rPr>
                  </w:pPr>
                  <w:r>
                    <w:rPr>
                      <w:color w:val="auto"/>
                      <w:kern w:val="0"/>
                      <w:szCs w:val="21"/>
                      <w:lang w:bidi="ar"/>
                    </w:rPr>
                    <w:t>本项目不涉及。</w:t>
                  </w:r>
                </w:p>
              </w:tc>
              <w:tc>
                <w:tcPr>
                  <w:tcW w:w="751" w:type="dxa"/>
                  <w:vAlign w:val="center"/>
                </w:tcPr>
                <w:p>
                  <w:pPr>
                    <w:widowControl/>
                    <w:adjustRightInd w:val="0"/>
                    <w:snapToGrid w:val="0"/>
                    <w:jc w:val="center"/>
                    <w:rPr>
                      <w:color w:val="auto"/>
                      <w:kern w:val="0"/>
                      <w:szCs w:val="21"/>
                      <w:lang w:bidi="ar"/>
                    </w:rPr>
                  </w:pPr>
                  <w:r>
                    <w:rPr>
                      <w:color w:val="auto"/>
                      <w:kern w:val="0"/>
                      <w:szCs w:val="21"/>
                      <w:lang w:bidi="ar"/>
                    </w:rPr>
                    <w:t>符合</w:t>
                  </w:r>
                </w:p>
              </w:tc>
            </w:tr>
          </w:tbl>
          <w:p>
            <w:pPr>
              <w:adjustRightInd w:val="0"/>
              <w:snapToGrid w:val="0"/>
              <w:spacing w:before="120" w:beforeLines="50" w:line="360" w:lineRule="auto"/>
              <w:ind w:firstLine="480" w:firstLineChars="200"/>
              <w:rPr>
                <w:rFonts w:cs="宋体"/>
                <w:color w:val="auto"/>
                <w:sz w:val="24"/>
              </w:rPr>
            </w:pPr>
            <w:r>
              <w:rPr>
                <w:rFonts w:cs="宋体"/>
                <w:color w:val="auto"/>
                <w:kern w:val="0"/>
                <w:sz w:val="24"/>
                <w:lang w:bidi="ar"/>
              </w:rPr>
              <w:t>综上，项目建设符合</w:t>
            </w:r>
            <w:r>
              <w:rPr>
                <w:rFonts w:hint="eastAsia" w:cs="宋体"/>
                <w:color w:val="auto"/>
                <w:kern w:val="0"/>
                <w:sz w:val="24"/>
                <w:lang w:bidi="ar"/>
              </w:rPr>
              <w:t>《安徽省空气质量持续改善行动方案》（皖政〔2024〕36号）</w:t>
            </w:r>
            <w:r>
              <w:rPr>
                <w:rFonts w:cs="宋体"/>
                <w:color w:val="auto"/>
                <w:kern w:val="0"/>
                <w:sz w:val="24"/>
                <w:lang w:bidi="ar"/>
              </w:rPr>
              <w:t>中相关要求</w:t>
            </w:r>
            <w:r>
              <w:rPr>
                <w:rFonts w:hint="eastAsia" w:cs="宋体"/>
                <w:color w:val="auto"/>
                <w:kern w:val="0"/>
                <w:sz w:val="24"/>
                <w:lang w:bidi="ar"/>
              </w:rPr>
              <w:t>。</w:t>
            </w:r>
          </w:p>
          <w:p>
            <w:pPr>
              <w:adjustRightInd w:val="0"/>
              <w:snapToGrid w:val="0"/>
              <w:spacing w:line="360" w:lineRule="auto"/>
              <w:ind w:firstLine="482" w:firstLineChars="200"/>
              <w:rPr>
                <w:rFonts w:cs="宋体"/>
                <w:b/>
                <w:bCs/>
                <w:color w:val="auto"/>
                <w:sz w:val="24"/>
              </w:rPr>
            </w:pPr>
            <w:r>
              <w:rPr>
                <w:rFonts w:hint="eastAsia" w:cs="宋体"/>
                <w:b/>
                <w:bCs/>
                <w:color w:val="auto"/>
                <w:sz w:val="24"/>
              </w:rPr>
              <w:t>6</w:t>
            </w:r>
            <w:r>
              <w:rPr>
                <w:rFonts w:cs="宋体"/>
                <w:b/>
                <w:bCs/>
                <w:color w:val="auto"/>
                <w:sz w:val="24"/>
              </w:rPr>
              <w:t>、与《挥发性有机物（VOCs）污染防治技术政策》</w:t>
            </w:r>
            <w:r>
              <w:rPr>
                <w:rFonts w:hint="eastAsia" w:cs="宋体"/>
                <w:b/>
                <w:bCs/>
                <w:color w:val="auto"/>
                <w:sz w:val="24"/>
              </w:rPr>
              <w:t>相符性分析</w:t>
            </w:r>
          </w:p>
          <w:p>
            <w:pPr>
              <w:adjustRightInd w:val="0"/>
              <w:snapToGrid w:val="0"/>
              <w:spacing w:line="360" w:lineRule="auto"/>
              <w:ind w:firstLine="480" w:firstLineChars="200"/>
              <w:rPr>
                <w:b/>
                <w:color w:val="auto"/>
                <w:sz w:val="24"/>
              </w:rPr>
            </w:pPr>
            <w:r>
              <w:rPr>
                <w:rFonts w:hint="eastAsia"/>
                <w:color w:val="auto"/>
                <w:kern w:val="0"/>
                <w:sz w:val="24"/>
              </w:rPr>
              <w:t>项目</w:t>
            </w:r>
            <w:r>
              <w:rPr>
                <w:color w:val="auto"/>
                <w:kern w:val="0"/>
                <w:sz w:val="24"/>
              </w:rPr>
              <w:t>与《挥发性有机物（VOCs）污染防治技术政策》相符性分析内容具体见下表。</w:t>
            </w: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b/>
                <w:color w:val="auto"/>
                <w:sz w:val="24"/>
              </w:rPr>
            </w:pPr>
            <w:r>
              <w:rPr>
                <w:b/>
                <w:color w:val="auto"/>
                <w:sz w:val="24"/>
              </w:rPr>
              <w:t>表</w:t>
            </w:r>
            <w:r>
              <w:rPr>
                <w:b/>
                <w:bCs/>
                <w:color w:val="auto"/>
                <w:spacing w:val="-2"/>
                <w:sz w:val="24"/>
              </w:rPr>
              <w:t>1-</w:t>
            </w:r>
            <w:r>
              <w:rPr>
                <w:rFonts w:hint="eastAsia"/>
                <w:b/>
                <w:bCs/>
                <w:color w:val="auto"/>
                <w:spacing w:val="-2"/>
                <w:sz w:val="24"/>
              </w:rPr>
              <w:t xml:space="preserve">6  </w:t>
            </w:r>
            <w:r>
              <w:rPr>
                <w:b/>
                <w:color w:val="auto"/>
                <w:sz w:val="24"/>
              </w:rPr>
              <w:t>与《挥发性有机物（VOCs）污染防治技术政策》</w:t>
            </w:r>
            <w:r>
              <w:rPr>
                <w:rFonts w:hint="eastAsia"/>
                <w:b/>
                <w:color w:val="auto"/>
                <w:sz w:val="24"/>
              </w:rPr>
              <w:t>相符性分析</w:t>
            </w:r>
          </w:p>
          <w:tbl>
            <w:tblPr>
              <w:tblStyle w:val="28"/>
              <w:tblW w:w="78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43"/>
              <w:gridCol w:w="4219"/>
              <w:gridCol w:w="2220"/>
              <w:gridCol w:w="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97" w:hRule="atLeast"/>
                <w:tblHeader/>
                <w:jc w:val="center"/>
              </w:trPr>
              <w:tc>
                <w:tcPr>
                  <w:tcW w:w="643" w:type="dxa"/>
                  <w:tcBorders>
                    <w:top w:val="single" w:color="000000" w:sz="12" w:space="0"/>
                    <w:left w:val="nil"/>
                    <w:bottom w:val="single" w:color="000000" w:sz="4" w:space="0"/>
                    <w:right w:val="single" w:color="000000" w:sz="4" w:space="0"/>
                  </w:tcBorders>
                  <w:vAlign w:val="center"/>
                </w:tcPr>
                <w:p>
                  <w:pPr>
                    <w:adjustRightInd w:val="0"/>
                    <w:snapToGrid w:val="0"/>
                    <w:jc w:val="center"/>
                    <w:rPr>
                      <w:b/>
                      <w:bCs/>
                      <w:color w:val="auto"/>
                      <w:kern w:val="0"/>
                      <w:szCs w:val="21"/>
                    </w:rPr>
                  </w:pPr>
                  <w:r>
                    <w:rPr>
                      <w:b/>
                      <w:bCs/>
                      <w:color w:val="auto"/>
                      <w:kern w:val="0"/>
                      <w:szCs w:val="21"/>
                    </w:rPr>
                    <w:t>序号</w:t>
                  </w:r>
                </w:p>
              </w:tc>
              <w:tc>
                <w:tcPr>
                  <w:tcW w:w="4219"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b/>
                      <w:bCs/>
                      <w:color w:val="auto"/>
                      <w:kern w:val="0"/>
                      <w:szCs w:val="21"/>
                    </w:rPr>
                  </w:pPr>
                  <w:r>
                    <w:rPr>
                      <w:b/>
                      <w:bCs/>
                      <w:color w:val="auto"/>
                      <w:kern w:val="0"/>
                      <w:szCs w:val="21"/>
                    </w:rPr>
                    <w:t>挥发性有机物（VOCs）污染防治技术政策</w:t>
                  </w:r>
                </w:p>
              </w:tc>
              <w:tc>
                <w:tcPr>
                  <w:tcW w:w="222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b/>
                      <w:bCs/>
                      <w:color w:val="auto"/>
                      <w:kern w:val="0"/>
                      <w:szCs w:val="21"/>
                    </w:rPr>
                  </w:pPr>
                  <w:r>
                    <w:rPr>
                      <w:b/>
                      <w:bCs/>
                      <w:color w:val="auto"/>
                      <w:kern w:val="0"/>
                      <w:szCs w:val="21"/>
                    </w:rPr>
                    <w:t>项目情况</w:t>
                  </w:r>
                </w:p>
              </w:tc>
              <w:tc>
                <w:tcPr>
                  <w:tcW w:w="796" w:type="dxa"/>
                  <w:tcBorders>
                    <w:top w:val="single" w:color="000000" w:sz="12" w:space="0"/>
                    <w:left w:val="single" w:color="000000" w:sz="4" w:space="0"/>
                    <w:bottom w:val="single" w:color="000000" w:sz="4" w:space="0"/>
                    <w:right w:val="nil"/>
                  </w:tcBorders>
                  <w:vAlign w:val="center"/>
                </w:tcPr>
                <w:p>
                  <w:pPr>
                    <w:adjustRightInd w:val="0"/>
                    <w:snapToGrid w:val="0"/>
                    <w:jc w:val="center"/>
                    <w:rPr>
                      <w:b/>
                      <w:bCs/>
                      <w:color w:val="auto"/>
                      <w:kern w:val="0"/>
                      <w:szCs w:val="21"/>
                    </w:rPr>
                  </w:pPr>
                  <w:r>
                    <w:rPr>
                      <w:b/>
                      <w:bCs/>
                      <w:color w:val="auto"/>
                      <w:kern w:val="0"/>
                      <w:szCs w:val="21"/>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97" w:hRule="atLeast"/>
                <w:jc w:val="center"/>
              </w:trPr>
              <w:tc>
                <w:tcPr>
                  <w:tcW w:w="643" w:type="dxa"/>
                  <w:tcBorders>
                    <w:top w:val="single" w:color="000000" w:sz="4" w:space="0"/>
                    <w:left w:val="nil"/>
                    <w:bottom w:val="single" w:color="000000" w:sz="4" w:space="0"/>
                    <w:right w:val="single" w:color="000000" w:sz="4" w:space="0"/>
                  </w:tcBorders>
                  <w:vAlign w:val="center"/>
                </w:tcPr>
                <w:p>
                  <w:pPr>
                    <w:adjustRightInd w:val="0"/>
                    <w:snapToGrid w:val="0"/>
                    <w:jc w:val="center"/>
                    <w:rPr>
                      <w:bCs/>
                      <w:color w:val="auto"/>
                      <w:kern w:val="0"/>
                      <w:szCs w:val="21"/>
                    </w:rPr>
                  </w:pPr>
                  <w:r>
                    <w:rPr>
                      <w:bCs/>
                      <w:color w:val="auto"/>
                      <w:kern w:val="0"/>
                      <w:szCs w:val="21"/>
                    </w:rPr>
                    <w:t>1</w:t>
                  </w:r>
                </w:p>
              </w:tc>
              <w:tc>
                <w:tcPr>
                  <w:tcW w:w="421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bCs/>
                      <w:color w:val="auto"/>
                      <w:kern w:val="0"/>
                      <w:szCs w:val="21"/>
                    </w:rPr>
                  </w:pPr>
                  <w:r>
                    <w:rPr>
                      <w:bCs/>
                      <w:color w:val="auto"/>
                      <w:kern w:val="0"/>
                      <w:szCs w:val="21"/>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22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auto"/>
                      <w:kern w:val="0"/>
                      <w:szCs w:val="21"/>
                    </w:rPr>
                  </w:pPr>
                  <w:r>
                    <w:rPr>
                      <w:bCs/>
                      <w:color w:val="auto"/>
                      <w:kern w:val="0"/>
                      <w:szCs w:val="21"/>
                    </w:rPr>
                    <w:t>项目采用二级活性炭对有机废气进行处理可达标排放，有效减少废气对环境的影响。</w:t>
                  </w:r>
                </w:p>
              </w:tc>
              <w:tc>
                <w:tcPr>
                  <w:tcW w:w="796" w:type="dxa"/>
                  <w:tcBorders>
                    <w:top w:val="single" w:color="000000" w:sz="4" w:space="0"/>
                    <w:left w:val="single" w:color="000000" w:sz="4" w:space="0"/>
                    <w:bottom w:val="single" w:color="000000" w:sz="4" w:space="0"/>
                    <w:right w:val="nil"/>
                  </w:tcBorders>
                  <w:vAlign w:val="center"/>
                </w:tcPr>
                <w:p>
                  <w:pPr>
                    <w:adjustRightInd w:val="0"/>
                    <w:snapToGrid w:val="0"/>
                    <w:jc w:val="center"/>
                    <w:rPr>
                      <w:bCs/>
                      <w:color w:val="auto"/>
                      <w:kern w:val="0"/>
                      <w:szCs w:val="21"/>
                    </w:rPr>
                  </w:pPr>
                  <w:r>
                    <w:rPr>
                      <w:bCs/>
                      <w:color w:val="auto"/>
                      <w:kern w:val="0"/>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97" w:hRule="atLeast"/>
                <w:jc w:val="center"/>
              </w:trPr>
              <w:tc>
                <w:tcPr>
                  <w:tcW w:w="643" w:type="dxa"/>
                  <w:tcBorders>
                    <w:top w:val="single" w:color="000000" w:sz="4" w:space="0"/>
                    <w:left w:val="nil"/>
                    <w:bottom w:val="single" w:color="000000" w:sz="4" w:space="0"/>
                    <w:right w:val="single" w:color="000000" w:sz="4" w:space="0"/>
                  </w:tcBorders>
                  <w:vAlign w:val="center"/>
                </w:tcPr>
                <w:p>
                  <w:pPr>
                    <w:adjustRightInd w:val="0"/>
                    <w:snapToGrid w:val="0"/>
                    <w:jc w:val="center"/>
                    <w:rPr>
                      <w:bCs/>
                      <w:color w:val="auto"/>
                      <w:kern w:val="0"/>
                      <w:szCs w:val="21"/>
                    </w:rPr>
                  </w:pPr>
                  <w:r>
                    <w:rPr>
                      <w:bCs/>
                      <w:color w:val="auto"/>
                      <w:kern w:val="0"/>
                      <w:szCs w:val="21"/>
                    </w:rPr>
                    <w:t>2</w:t>
                  </w:r>
                </w:p>
              </w:tc>
              <w:tc>
                <w:tcPr>
                  <w:tcW w:w="421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bCs/>
                      <w:color w:val="auto"/>
                      <w:kern w:val="0"/>
                      <w:szCs w:val="21"/>
                    </w:rPr>
                  </w:pPr>
                  <w:r>
                    <w:rPr>
                      <w:bCs/>
                      <w:color w:val="auto"/>
                      <w:kern w:val="0"/>
                      <w:szCs w:val="21"/>
                    </w:rPr>
                    <w:t>含VOCs产品的使用过程中，应采取废气收集措施，提高废气收集效率，减少废气的无组织排放与逸散，并对收集后的废气进行回收或处理后达标排放。</w:t>
                  </w:r>
                </w:p>
              </w:tc>
              <w:tc>
                <w:tcPr>
                  <w:tcW w:w="22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bCs/>
                      <w:color w:val="auto"/>
                      <w:kern w:val="0"/>
                      <w:szCs w:val="21"/>
                    </w:rPr>
                  </w:pPr>
                  <w:r>
                    <w:rPr>
                      <w:color w:val="auto"/>
                      <w:kern w:val="0"/>
                      <w:szCs w:val="21"/>
                      <w:lang w:bidi="ar"/>
                    </w:rPr>
                    <w:t>项目</w:t>
                  </w:r>
                  <w:r>
                    <w:rPr>
                      <w:rFonts w:hint="eastAsia"/>
                      <w:snapToGrid w:val="0"/>
                      <w:color w:val="auto"/>
                      <w:kern w:val="0"/>
                      <w:szCs w:val="21"/>
                      <w:lang w:eastAsia="zh-CN"/>
                    </w:rPr>
                    <w:t>注塑废气、热转印废气</w:t>
                  </w:r>
                  <w:r>
                    <w:rPr>
                      <w:snapToGrid w:val="0"/>
                      <w:color w:val="auto"/>
                      <w:kern w:val="0"/>
                      <w:szCs w:val="21"/>
                    </w:rPr>
                    <w:t>经集气罩收集后由二级活性炭吸附装置处理后通过一根15m高排气筒（DA001）排放</w:t>
                  </w:r>
                  <w:r>
                    <w:rPr>
                      <w:color w:val="auto"/>
                      <w:kern w:val="0"/>
                      <w:szCs w:val="21"/>
                      <w:lang w:bidi="ar"/>
                    </w:rPr>
                    <w:t>。</w:t>
                  </w:r>
                </w:p>
              </w:tc>
              <w:tc>
                <w:tcPr>
                  <w:tcW w:w="796" w:type="dxa"/>
                  <w:tcBorders>
                    <w:top w:val="single" w:color="000000" w:sz="4" w:space="0"/>
                    <w:left w:val="single" w:color="000000" w:sz="4" w:space="0"/>
                    <w:bottom w:val="single" w:color="000000" w:sz="4" w:space="0"/>
                    <w:right w:val="nil"/>
                  </w:tcBorders>
                  <w:vAlign w:val="center"/>
                </w:tcPr>
                <w:p>
                  <w:pPr>
                    <w:adjustRightInd w:val="0"/>
                    <w:snapToGrid w:val="0"/>
                    <w:jc w:val="center"/>
                    <w:rPr>
                      <w:bCs/>
                      <w:color w:val="auto"/>
                      <w:kern w:val="0"/>
                      <w:szCs w:val="21"/>
                    </w:rPr>
                  </w:pPr>
                  <w:r>
                    <w:rPr>
                      <w:bCs/>
                      <w:color w:val="auto"/>
                      <w:kern w:val="0"/>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97" w:hRule="atLeast"/>
                <w:jc w:val="center"/>
              </w:trPr>
              <w:tc>
                <w:tcPr>
                  <w:tcW w:w="643" w:type="dxa"/>
                  <w:tcBorders>
                    <w:top w:val="single" w:color="000000" w:sz="4" w:space="0"/>
                    <w:left w:val="nil"/>
                    <w:bottom w:val="single" w:color="000000" w:sz="12" w:space="0"/>
                    <w:right w:val="single" w:color="000000" w:sz="4" w:space="0"/>
                  </w:tcBorders>
                  <w:vAlign w:val="center"/>
                </w:tcPr>
                <w:p>
                  <w:pPr>
                    <w:adjustRightInd w:val="0"/>
                    <w:snapToGrid w:val="0"/>
                    <w:jc w:val="center"/>
                    <w:rPr>
                      <w:bCs/>
                      <w:color w:val="auto"/>
                      <w:kern w:val="0"/>
                      <w:szCs w:val="21"/>
                    </w:rPr>
                  </w:pPr>
                  <w:r>
                    <w:rPr>
                      <w:bCs/>
                      <w:color w:val="auto"/>
                      <w:kern w:val="0"/>
                      <w:szCs w:val="21"/>
                    </w:rPr>
                    <w:t>3</w:t>
                  </w:r>
                </w:p>
              </w:tc>
              <w:tc>
                <w:tcPr>
                  <w:tcW w:w="4219"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rPr>
                      <w:bCs/>
                      <w:color w:val="auto"/>
                      <w:kern w:val="0"/>
                      <w:szCs w:val="21"/>
                    </w:rPr>
                  </w:pPr>
                  <w:r>
                    <w:rPr>
                      <w:bCs/>
                      <w:color w:val="auto"/>
                      <w:kern w:val="0"/>
                      <w:szCs w:val="21"/>
                    </w:rPr>
                    <w:t>在涂装、印刷、粘合、工业清洗等含VOCs产品的使用过程中的VOCs污染防治技术措施：1.鼓励使用通过环境标志产品认证的环保型涂料、油墨、胶粘剂和清洗剂；2.根据涂装工艺的不同，鼓励使用水性涂料、高固份涂料、粉末涂料、紫外光固化（UV）涂料等环保型涂料；推广采用静电喷涂、淋涂、辊涂、浸涂等效率较高的涂装工艺；应尽量避免无VOCs净化、回收措施的露天喷涂作业；3.在印刷工艺中推广使用水性油墨，印铁制罐行业鼓励使用紫外光固化（UV）油墨，书刊印刷行业鼓励使用预涂膜技术；4.鼓励在人造板、制鞋、皮革制品、包装材料等粘合过程中使用水基型、热熔型等环保型胶粘剂，在复合膜的生产中推广无溶剂复合及共挤出复合技术；5.淘汰以三氟三氯乙烷、甲基氯仿和四氯化碳为清洗剂或溶剂的生产工艺。清洗过程中产生的废溶剂宜密闭收集，有回收价值的废溶剂经处理后回用，其他废溶剂应妥善处置；6.含VOCs产品的使用过程中，应采取废气收集措施，提高废气收集效率，减少废气的无组织排放与逸散，并对收集后的废气进行回收或处理后达标排放。</w:t>
                  </w:r>
                </w:p>
              </w:tc>
              <w:tc>
                <w:tcPr>
                  <w:tcW w:w="2220"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color w:val="auto"/>
                      <w:kern w:val="0"/>
                      <w:szCs w:val="21"/>
                      <w:lang w:bidi="ar"/>
                    </w:rPr>
                  </w:pPr>
                  <w:r>
                    <w:rPr>
                      <w:color w:val="auto"/>
                      <w:kern w:val="0"/>
                      <w:szCs w:val="21"/>
                      <w:lang w:bidi="ar"/>
                    </w:rPr>
                    <w:t>本项目不涉及。</w:t>
                  </w:r>
                </w:p>
              </w:tc>
              <w:tc>
                <w:tcPr>
                  <w:tcW w:w="796" w:type="dxa"/>
                  <w:tcBorders>
                    <w:top w:val="single" w:color="000000" w:sz="4" w:space="0"/>
                    <w:left w:val="single" w:color="000000" w:sz="4" w:space="0"/>
                    <w:bottom w:val="single" w:color="000000" w:sz="12" w:space="0"/>
                    <w:right w:val="nil"/>
                  </w:tcBorders>
                  <w:vAlign w:val="center"/>
                </w:tcPr>
                <w:p>
                  <w:pPr>
                    <w:adjustRightInd w:val="0"/>
                    <w:snapToGrid w:val="0"/>
                    <w:jc w:val="center"/>
                    <w:rPr>
                      <w:bCs/>
                      <w:color w:val="auto"/>
                      <w:kern w:val="0"/>
                      <w:szCs w:val="21"/>
                    </w:rPr>
                  </w:pPr>
                  <w:r>
                    <w:rPr>
                      <w:bCs/>
                      <w:color w:val="auto"/>
                      <w:kern w:val="0"/>
                      <w:szCs w:val="21"/>
                    </w:rPr>
                    <w:t>符合</w:t>
                  </w:r>
                </w:p>
              </w:tc>
            </w:tr>
          </w:tbl>
          <w:p>
            <w:pPr>
              <w:pStyle w:val="81"/>
              <w:spacing w:before="120" w:beforeLines="50"/>
              <w:ind w:firstLine="480"/>
              <w:rPr>
                <w:b w:val="0"/>
                <w:bCs w:val="0"/>
                <w:color w:val="auto"/>
                <w:kern w:val="0"/>
                <w:sz w:val="24"/>
                <w:lang w:bidi="ar"/>
              </w:rPr>
            </w:pPr>
            <w:r>
              <w:rPr>
                <w:rFonts w:hint="eastAsia"/>
                <w:b w:val="0"/>
                <w:bCs w:val="0"/>
                <w:color w:val="auto"/>
                <w:kern w:val="0"/>
                <w:sz w:val="24"/>
                <w:lang w:bidi="ar"/>
              </w:rPr>
              <w:t>综上，项目建设</w:t>
            </w:r>
            <w:r>
              <w:rPr>
                <w:b w:val="0"/>
                <w:bCs w:val="0"/>
                <w:color w:val="auto"/>
                <w:kern w:val="0"/>
                <w:sz w:val="24"/>
                <w:lang w:bidi="ar"/>
              </w:rPr>
              <w:t>符合</w:t>
            </w:r>
            <w:r>
              <w:rPr>
                <w:rFonts w:hint="eastAsia"/>
                <w:b w:val="0"/>
                <w:bCs w:val="0"/>
                <w:color w:val="auto"/>
                <w:kern w:val="0"/>
                <w:sz w:val="24"/>
                <w:lang w:bidi="ar"/>
              </w:rPr>
              <w:t>《挥发性有机物（VOCs）污染防治技术政策》</w:t>
            </w:r>
            <w:r>
              <w:rPr>
                <w:b w:val="0"/>
                <w:bCs w:val="0"/>
                <w:color w:val="auto"/>
                <w:kern w:val="0"/>
                <w:sz w:val="24"/>
                <w:lang w:bidi="ar"/>
              </w:rPr>
              <w:t>中相关要求。</w:t>
            </w:r>
          </w:p>
          <w:p>
            <w:pPr>
              <w:pStyle w:val="81"/>
              <w:rPr>
                <w:color w:val="auto"/>
                <w:kern w:val="0"/>
                <w:sz w:val="24"/>
                <w:lang w:bidi="ar"/>
              </w:rPr>
            </w:pPr>
            <w:r>
              <w:rPr>
                <w:rFonts w:hint="eastAsia"/>
                <w:color w:val="auto"/>
                <w:kern w:val="0"/>
                <w:sz w:val="24"/>
                <w:lang w:bidi="ar"/>
              </w:rPr>
              <w:t>7、与《安徽省大气办关于深入开展挥发性有机物污染治理工作的通知》（皖大气办〔2021〕4号）的符合性分析</w:t>
            </w:r>
          </w:p>
          <w:p>
            <w:pPr>
              <w:pStyle w:val="81"/>
              <w:ind w:firstLine="480"/>
              <w:rPr>
                <w:b w:val="0"/>
                <w:bCs w:val="0"/>
                <w:color w:val="auto"/>
                <w:kern w:val="0"/>
                <w:sz w:val="24"/>
                <w:lang w:bidi="ar"/>
              </w:rPr>
            </w:pPr>
            <w:r>
              <w:rPr>
                <w:b w:val="0"/>
                <w:bCs w:val="0"/>
                <w:color w:val="auto"/>
                <w:kern w:val="0"/>
                <w:sz w:val="24"/>
                <w:lang w:bidi="ar"/>
              </w:rPr>
              <w:t>项目与《</w:t>
            </w:r>
            <w:r>
              <w:rPr>
                <w:rFonts w:hint="eastAsia"/>
                <w:b w:val="0"/>
                <w:bCs w:val="0"/>
                <w:color w:val="auto"/>
                <w:kern w:val="0"/>
                <w:sz w:val="24"/>
                <w:lang w:bidi="ar"/>
              </w:rPr>
              <w:t>安徽省大气办关于深入开展挥发性有机物污染治理工作的通知</w:t>
            </w:r>
            <w:r>
              <w:rPr>
                <w:b w:val="0"/>
                <w:bCs w:val="0"/>
                <w:color w:val="auto"/>
                <w:kern w:val="0"/>
                <w:sz w:val="24"/>
                <w:lang w:bidi="ar"/>
              </w:rPr>
              <w:t>》相符性分析内容具体见下表。</w:t>
            </w:r>
          </w:p>
          <w:p>
            <w:pPr>
              <w:pStyle w:val="81"/>
              <w:spacing w:line="240" w:lineRule="auto"/>
              <w:ind w:firstLine="0" w:firstLineChars="0"/>
              <w:jc w:val="center"/>
              <w:rPr>
                <w:rFonts w:cs="Times New Roman"/>
                <w:color w:val="auto"/>
                <w:sz w:val="24"/>
              </w:rPr>
            </w:pPr>
          </w:p>
          <w:p>
            <w:pPr>
              <w:pStyle w:val="81"/>
              <w:spacing w:line="240" w:lineRule="auto"/>
              <w:ind w:firstLine="0" w:firstLineChars="0"/>
              <w:jc w:val="center"/>
              <w:rPr>
                <w:rFonts w:cs="Times New Roman"/>
                <w:color w:val="auto"/>
                <w:sz w:val="24"/>
              </w:rPr>
            </w:pPr>
          </w:p>
          <w:p>
            <w:pPr>
              <w:pStyle w:val="81"/>
              <w:spacing w:line="240" w:lineRule="auto"/>
              <w:ind w:firstLine="0" w:firstLineChars="0"/>
              <w:jc w:val="center"/>
              <w:rPr>
                <w:rFonts w:cs="Times New Roman"/>
                <w:color w:val="auto"/>
                <w:sz w:val="24"/>
              </w:rPr>
            </w:pPr>
          </w:p>
          <w:p>
            <w:pPr>
              <w:pStyle w:val="81"/>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cs="Times New Roman"/>
                <w:color w:val="auto"/>
                <w:sz w:val="24"/>
              </w:rPr>
            </w:pPr>
            <w:r>
              <w:rPr>
                <w:rFonts w:cs="Times New Roman"/>
                <w:color w:val="auto"/>
                <w:sz w:val="24"/>
              </w:rPr>
              <w:t>表</w:t>
            </w:r>
            <w:r>
              <w:rPr>
                <w:rFonts w:cs="Times New Roman"/>
                <w:color w:val="auto"/>
                <w:spacing w:val="-2"/>
                <w:sz w:val="24"/>
              </w:rPr>
              <w:t>1-</w:t>
            </w:r>
            <w:r>
              <w:rPr>
                <w:rFonts w:hint="eastAsia" w:cs="Times New Roman"/>
                <w:color w:val="auto"/>
                <w:spacing w:val="-2"/>
                <w:sz w:val="24"/>
              </w:rPr>
              <w:t xml:space="preserve">7  </w:t>
            </w:r>
            <w:r>
              <w:rPr>
                <w:rFonts w:cs="Times New Roman"/>
                <w:color w:val="auto"/>
                <w:sz w:val="24"/>
              </w:rPr>
              <w:t>与《安徽省大气办关于深入开展挥发性有机物污染治理工作的通知》</w:t>
            </w:r>
            <w:r>
              <w:rPr>
                <w:rFonts w:hint="eastAsia" w:cs="Times New Roman"/>
                <w:color w:val="auto"/>
                <w:sz w:val="24"/>
              </w:rPr>
              <w:t>相符性分析</w:t>
            </w:r>
          </w:p>
          <w:tbl>
            <w:tblPr>
              <w:tblStyle w:val="28"/>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0"/>
              <w:gridCol w:w="5085"/>
              <w:gridCol w:w="1411"/>
              <w:gridCol w:w="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30" w:type="dxa"/>
                  <w:tcBorders>
                    <w:tl2br w:val="nil"/>
                    <w:tr2bl w:val="nil"/>
                  </w:tcBorders>
                  <w:vAlign w:val="center"/>
                </w:tcPr>
                <w:p>
                  <w:pPr>
                    <w:adjustRightInd w:val="0"/>
                    <w:snapToGrid w:val="0"/>
                    <w:jc w:val="center"/>
                    <w:rPr>
                      <w:b/>
                      <w:bCs/>
                      <w:color w:val="auto"/>
                      <w:kern w:val="0"/>
                      <w:szCs w:val="21"/>
                    </w:rPr>
                  </w:pPr>
                  <w:r>
                    <w:rPr>
                      <w:b/>
                      <w:bCs/>
                      <w:color w:val="auto"/>
                      <w:kern w:val="0"/>
                      <w:szCs w:val="21"/>
                    </w:rPr>
                    <w:t>序号</w:t>
                  </w:r>
                </w:p>
              </w:tc>
              <w:tc>
                <w:tcPr>
                  <w:tcW w:w="5085" w:type="dxa"/>
                  <w:tcBorders>
                    <w:tl2br w:val="nil"/>
                    <w:tr2bl w:val="nil"/>
                  </w:tcBorders>
                  <w:vAlign w:val="center"/>
                </w:tcPr>
                <w:p>
                  <w:pPr>
                    <w:adjustRightInd w:val="0"/>
                    <w:snapToGrid w:val="0"/>
                    <w:jc w:val="center"/>
                    <w:rPr>
                      <w:b/>
                      <w:bCs/>
                      <w:color w:val="auto"/>
                      <w:kern w:val="0"/>
                      <w:szCs w:val="21"/>
                    </w:rPr>
                  </w:pPr>
                  <w:r>
                    <w:rPr>
                      <w:b/>
                      <w:bCs/>
                      <w:color w:val="auto"/>
                      <w:kern w:val="0"/>
                      <w:szCs w:val="21"/>
                    </w:rPr>
                    <w:t>相关要点摘要</w:t>
                  </w:r>
                </w:p>
              </w:tc>
              <w:tc>
                <w:tcPr>
                  <w:tcW w:w="1411" w:type="dxa"/>
                  <w:tcBorders>
                    <w:tl2br w:val="nil"/>
                    <w:tr2bl w:val="nil"/>
                  </w:tcBorders>
                  <w:vAlign w:val="center"/>
                </w:tcPr>
                <w:p>
                  <w:pPr>
                    <w:adjustRightInd w:val="0"/>
                    <w:snapToGrid w:val="0"/>
                    <w:jc w:val="center"/>
                    <w:rPr>
                      <w:b/>
                      <w:bCs/>
                      <w:color w:val="auto"/>
                      <w:kern w:val="0"/>
                      <w:szCs w:val="21"/>
                    </w:rPr>
                  </w:pPr>
                  <w:r>
                    <w:rPr>
                      <w:b/>
                      <w:bCs/>
                      <w:color w:val="auto"/>
                      <w:kern w:val="0"/>
                      <w:szCs w:val="21"/>
                    </w:rPr>
                    <w:t>项目情况</w:t>
                  </w:r>
                </w:p>
              </w:tc>
              <w:tc>
                <w:tcPr>
                  <w:tcW w:w="792" w:type="dxa"/>
                  <w:tcBorders>
                    <w:tl2br w:val="nil"/>
                    <w:tr2bl w:val="nil"/>
                  </w:tcBorders>
                  <w:vAlign w:val="center"/>
                </w:tcPr>
                <w:p>
                  <w:pPr>
                    <w:adjustRightInd w:val="0"/>
                    <w:snapToGrid w:val="0"/>
                    <w:jc w:val="center"/>
                    <w:rPr>
                      <w:b/>
                      <w:bCs/>
                      <w:color w:val="auto"/>
                      <w:kern w:val="0"/>
                      <w:szCs w:val="21"/>
                    </w:rPr>
                  </w:pPr>
                  <w:r>
                    <w:rPr>
                      <w:b/>
                      <w:bCs/>
                      <w:color w:val="auto"/>
                      <w:kern w:val="0"/>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30" w:type="dxa"/>
                  <w:tcBorders>
                    <w:tl2br w:val="nil"/>
                    <w:tr2bl w:val="nil"/>
                  </w:tcBorders>
                  <w:vAlign w:val="center"/>
                </w:tcPr>
                <w:p>
                  <w:pPr>
                    <w:adjustRightInd w:val="0"/>
                    <w:snapToGrid w:val="0"/>
                    <w:jc w:val="center"/>
                    <w:rPr>
                      <w:bCs/>
                      <w:color w:val="auto"/>
                      <w:kern w:val="0"/>
                      <w:szCs w:val="21"/>
                    </w:rPr>
                  </w:pPr>
                  <w:r>
                    <w:rPr>
                      <w:bCs/>
                      <w:color w:val="auto"/>
                      <w:kern w:val="0"/>
                      <w:szCs w:val="21"/>
                    </w:rPr>
                    <w:t>1</w:t>
                  </w:r>
                </w:p>
              </w:tc>
              <w:tc>
                <w:tcPr>
                  <w:tcW w:w="5085" w:type="dxa"/>
                  <w:tcBorders>
                    <w:tl2br w:val="nil"/>
                    <w:tr2bl w:val="nil"/>
                  </w:tcBorders>
                  <w:vAlign w:val="center"/>
                </w:tcPr>
                <w:p>
                  <w:pPr>
                    <w:adjustRightInd w:val="0"/>
                    <w:snapToGrid w:val="0"/>
                    <w:rPr>
                      <w:bCs/>
                      <w:color w:val="auto"/>
                      <w:kern w:val="0"/>
                      <w:szCs w:val="21"/>
                    </w:rPr>
                  </w:pPr>
                  <w:r>
                    <w:rPr>
                      <w:bCs/>
                      <w:color w:val="auto"/>
                      <w:kern w:val="0"/>
                      <w:szCs w:val="21"/>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见附件5），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411" w:type="dxa"/>
                  <w:tcBorders>
                    <w:tl2br w:val="nil"/>
                    <w:tr2bl w:val="nil"/>
                  </w:tcBorders>
                  <w:vAlign w:val="center"/>
                </w:tcPr>
                <w:p>
                  <w:pPr>
                    <w:adjustRightInd w:val="0"/>
                    <w:snapToGrid w:val="0"/>
                    <w:jc w:val="center"/>
                    <w:rPr>
                      <w:bCs/>
                      <w:color w:val="auto"/>
                      <w:kern w:val="0"/>
                      <w:szCs w:val="21"/>
                    </w:rPr>
                  </w:pPr>
                  <w:r>
                    <w:rPr>
                      <w:color w:val="auto"/>
                      <w:kern w:val="0"/>
                      <w:szCs w:val="21"/>
                      <w:lang w:bidi="ar"/>
                    </w:rPr>
                    <w:t>本项目属于</w:t>
                  </w:r>
                  <w:r>
                    <w:rPr>
                      <w:snapToGrid w:val="0"/>
                      <w:color w:val="auto"/>
                      <w:kern w:val="0"/>
                      <w:szCs w:val="21"/>
                    </w:rPr>
                    <w:t>C3859其他家用电力器具制造</w:t>
                  </w:r>
                  <w:r>
                    <w:rPr>
                      <w:color w:val="auto"/>
                      <w:kern w:val="0"/>
                      <w:szCs w:val="21"/>
                      <w:lang w:bidi="ar"/>
                    </w:rPr>
                    <w:t>，不涉及</w:t>
                  </w:r>
                  <w:r>
                    <w:rPr>
                      <w:bCs/>
                      <w:color w:val="auto"/>
                      <w:kern w:val="0"/>
                      <w:szCs w:val="21"/>
                    </w:rPr>
                    <w:t>涂料、油墨、胶粘剂、涂层剂（树脂）、清洗剂的使用</w:t>
                  </w:r>
                  <w:r>
                    <w:rPr>
                      <w:color w:val="auto"/>
                      <w:kern w:val="0"/>
                      <w:szCs w:val="21"/>
                      <w:lang w:bidi="ar"/>
                    </w:rPr>
                    <w:t>。</w:t>
                  </w:r>
                </w:p>
              </w:tc>
              <w:tc>
                <w:tcPr>
                  <w:tcW w:w="792" w:type="dxa"/>
                  <w:tcBorders>
                    <w:tl2br w:val="nil"/>
                    <w:tr2bl w:val="nil"/>
                  </w:tcBorders>
                  <w:vAlign w:val="center"/>
                </w:tcPr>
                <w:p>
                  <w:pPr>
                    <w:adjustRightInd w:val="0"/>
                    <w:snapToGrid w:val="0"/>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30" w:type="dxa"/>
                  <w:tcBorders>
                    <w:tl2br w:val="nil"/>
                    <w:tr2bl w:val="nil"/>
                  </w:tcBorders>
                  <w:vAlign w:val="center"/>
                </w:tcPr>
                <w:p>
                  <w:pPr>
                    <w:adjustRightInd w:val="0"/>
                    <w:snapToGrid w:val="0"/>
                    <w:jc w:val="center"/>
                    <w:rPr>
                      <w:bCs/>
                      <w:color w:val="auto"/>
                      <w:kern w:val="0"/>
                      <w:szCs w:val="21"/>
                    </w:rPr>
                  </w:pPr>
                  <w:r>
                    <w:rPr>
                      <w:bCs/>
                      <w:color w:val="auto"/>
                      <w:kern w:val="0"/>
                      <w:szCs w:val="21"/>
                    </w:rPr>
                    <w:t>2</w:t>
                  </w:r>
                </w:p>
              </w:tc>
              <w:tc>
                <w:tcPr>
                  <w:tcW w:w="5085" w:type="dxa"/>
                  <w:tcBorders>
                    <w:tl2br w:val="nil"/>
                    <w:tr2bl w:val="nil"/>
                  </w:tcBorders>
                  <w:vAlign w:val="center"/>
                </w:tcPr>
                <w:p>
                  <w:pPr>
                    <w:adjustRightInd w:val="0"/>
                    <w:snapToGrid w:val="0"/>
                    <w:rPr>
                      <w:bCs/>
                      <w:color w:val="auto"/>
                      <w:kern w:val="0"/>
                      <w:szCs w:val="21"/>
                    </w:rPr>
                  </w:pPr>
                  <w:r>
                    <w:rPr>
                      <w:bCs/>
                      <w:color w:val="auto"/>
                      <w:kern w:val="0"/>
                      <w:szCs w:val="21"/>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411" w:type="dxa"/>
                  <w:tcBorders>
                    <w:tl2br w:val="nil"/>
                    <w:tr2bl w:val="nil"/>
                  </w:tcBorders>
                  <w:vAlign w:val="center"/>
                </w:tcPr>
                <w:p>
                  <w:pPr>
                    <w:adjustRightInd w:val="0"/>
                    <w:snapToGrid w:val="0"/>
                    <w:jc w:val="center"/>
                    <w:rPr>
                      <w:bCs/>
                      <w:color w:val="auto"/>
                      <w:kern w:val="0"/>
                      <w:szCs w:val="21"/>
                    </w:rPr>
                  </w:pPr>
                  <w:r>
                    <w:rPr>
                      <w:bCs/>
                      <w:color w:val="auto"/>
                      <w:kern w:val="0"/>
                      <w:szCs w:val="21"/>
                    </w:rPr>
                    <w:t>企业运营前实施排污许可，进行排污许可登记。</w:t>
                  </w:r>
                </w:p>
              </w:tc>
              <w:tc>
                <w:tcPr>
                  <w:tcW w:w="792" w:type="dxa"/>
                  <w:tcBorders>
                    <w:tl2br w:val="nil"/>
                    <w:tr2bl w:val="nil"/>
                  </w:tcBorders>
                  <w:vAlign w:val="center"/>
                </w:tcPr>
                <w:p>
                  <w:pPr>
                    <w:adjustRightInd w:val="0"/>
                    <w:snapToGrid w:val="0"/>
                    <w:jc w:val="center"/>
                    <w:rPr>
                      <w:bCs/>
                      <w:color w:val="auto"/>
                      <w:kern w:val="0"/>
                      <w:szCs w:val="21"/>
                    </w:rPr>
                  </w:pPr>
                  <w:r>
                    <w:rPr>
                      <w:bCs/>
                      <w:color w:val="auto"/>
                      <w:kern w:val="0"/>
                      <w:szCs w:val="21"/>
                    </w:rPr>
                    <w:t>符合</w:t>
                  </w:r>
                </w:p>
              </w:tc>
            </w:tr>
          </w:tbl>
          <w:p>
            <w:pPr>
              <w:pStyle w:val="81"/>
              <w:ind w:firstLine="0" w:firstLineChars="0"/>
              <w:rPr>
                <w:rFonts w:ascii="宋体" w:hAnsi="宋体"/>
                <w:color w:val="auto"/>
                <w:kern w:val="0"/>
                <w:sz w:val="24"/>
              </w:rPr>
            </w:pPr>
          </w:p>
          <w:p>
            <w:pPr>
              <w:pStyle w:val="81"/>
              <w:ind w:firstLine="0" w:firstLineChars="0"/>
              <w:rPr>
                <w:rFonts w:ascii="宋体" w:hAnsi="宋体"/>
                <w:color w:val="auto"/>
                <w:kern w:val="0"/>
                <w:sz w:val="24"/>
              </w:rPr>
            </w:pPr>
          </w:p>
          <w:p>
            <w:pPr>
              <w:pStyle w:val="81"/>
              <w:ind w:firstLine="0" w:firstLineChars="0"/>
              <w:rPr>
                <w:rFonts w:ascii="宋体" w:hAnsi="宋体"/>
                <w:color w:val="auto"/>
                <w:kern w:val="0"/>
                <w:sz w:val="24"/>
              </w:rPr>
            </w:pPr>
          </w:p>
          <w:p>
            <w:pPr>
              <w:pStyle w:val="81"/>
              <w:ind w:firstLine="0" w:firstLineChars="0"/>
              <w:rPr>
                <w:rFonts w:ascii="宋体" w:hAnsi="宋体"/>
                <w:color w:val="auto"/>
                <w:kern w:val="0"/>
                <w:sz w:val="24"/>
              </w:rPr>
            </w:pPr>
          </w:p>
          <w:p>
            <w:pPr>
              <w:pStyle w:val="81"/>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line="240" w:lineRule="auto"/>
              <w:ind w:firstLine="0" w:firstLineChars="0"/>
              <w:rPr>
                <w:rFonts w:ascii="宋体" w:hAnsi="宋体"/>
                <w:color w:val="auto"/>
                <w:kern w:val="0"/>
                <w:sz w:val="24"/>
              </w:rPr>
            </w:pPr>
          </w:p>
          <w:p>
            <w:pPr>
              <w:pStyle w:val="81"/>
              <w:spacing w:before="120" w:beforeLines="50"/>
              <w:ind w:firstLine="0" w:firstLineChars="0"/>
              <w:rPr>
                <w:rFonts w:ascii="宋体" w:hAnsi="宋体"/>
                <w:color w:val="auto"/>
                <w:kern w:val="0"/>
                <w:sz w:val="24"/>
              </w:rPr>
            </w:pPr>
          </w:p>
        </w:tc>
      </w:tr>
    </w:tbl>
    <w:p>
      <w:pPr>
        <w:pStyle w:val="25"/>
        <w:adjustRightInd w:val="0"/>
        <w:snapToGrid w:val="0"/>
        <w:spacing w:before="120" w:beforeLines="50" w:beforeAutospacing="0" w:after="180" w:afterLines="75"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8"/>
        <w:tblW w:w="9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4"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bCs/>
                <w:color w:val="auto"/>
                <w:szCs w:val="24"/>
              </w:rPr>
            </w:pPr>
            <w:r>
              <w:rPr>
                <w:rFonts w:hint="eastAsia" w:cs="宋体"/>
                <w:b/>
                <w:bCs/>
                <w:color w:val="auto"/>
                <w:szCs w:val="24"/>
              </w:rPr>
              <w:t>建设内容</w:t>
            </w:r>
          </w:p>
        </w:tc>
        <w:tc>
          <w:tcPr>
            <w:tcW w:w="9176" w:type="dxa"/>
          </w:tcPr>
          <w:p>
            <w:pPr>
              <w:adjustRightInd w:val="0"/>
              <w:snapToGrid w:val="0"/>
              <w:spacing w:before="120" w:beforeLines="50" w:line="360" w:lineRule="auto"/>
              <w:ind w:firstLine="482" w:firstLineChars="200"/>
              <w:rPr>
                <w:b/>
                <w:color w:val="auto"/>
                <w:kern w:val="0"/>
                <w:sz w:val="24"/>
              </w:rPr>
            </w:pPr>
            <w:r>
              <w:rPr>
                <w:b/>
                <w:color w:val="auto"/>
                <w:kern w:val="0"/>
                <w:sz w:val="24"/>
              </w:rPr>
              <w:t>一、项目概况</w:t>
            </w:r>
          </w:p>
          <w:p>
            <w:pPr>
              <w:adjustRightInd w:val="0"/>
              <w:snapToGrid w:val="0"/>
              <w:spacing w:line="360" w:lineRule="auto"/>
              <w:ind w:firstLine="480" w:firstLineChars="200"/>
              <w:rPr>
                <w:color w:val="auto"/>
                <w:sz w:val="24"/>
              </w:rPr>
            </w:pPr>
            <w:r>
              <w:rPr>
                <w:rFonts w:hint="eastAsia"/>
                <w:color w:val="auto"/>
                <w:sz w:val="24"/>
              </w:rPr>
              <w:t>（1）</w:t>
            </w:r>
            <w:r>
              <w:rPr>
                <w:color w:val="auto"/>
                <w:sz w:val="24"/>
              </w:rPr>
              <w:t>项目名称：</w:t>
            </w:r>
            <w:r>
              <w:rPr>
                <w:rFonts w:hint="eastAsia"/>
                <w:color w:val="auto"/>
                <w:sz w:val="24"/>
              </w:rPr>
              <w:t>智能显温器材生产项目</w:t>
            </w:r>
            <w:r>
              <w:rPr>
                <w:color w:val="auto"/>
                <w:sz w:val="24"/>
              </w:rPr>
              <w:t>。</w:t>
            </w:r>
          </w:p>
          <w:p>
            <w:pPr>
              <w:adjustRightInd w:val="0"/>
              <w:snapToGrid w:val="0"/>
              <w:spacing w:line="360" w:lineRule="auto"/>
              <w:ind w:firstLine="480" w:firstLineChars="200"/>
              <w:rPr>
                <w:color w:val="auto"/>
                <w:sz w:val="24"/>
              </w:rPr>
            </w:pPr>
            <w:r>
              <w:rPr>
                <w:color w:val="auto"/>
                <w:sz w:val="24"/>
              </w:rPr>
              <w:t>（2）项目性质：新建。</w:t>
            </w:r>
          </w:p>
          <w:p>
            <w:pPr>
              <w:adjustRightInd w:val="0"/>
              <w:snapToGrid w:val="0"/>
              <w:spacing w:line="360" w:lineRule="auto"/>
              <w:ind w:firstLine="480" w:firstLineChars="200"/>
              <w:rPr>
                <w:color w:val="auto"/>
                <w:sz w:val="24"/>
              </w:rPr>
            </w:pPr>
            <w:r>
              <w:rPr>
                <w:color w:val="auto"/>
                <w:sz w:val="24"/>
              </w:rPr>
              <w:t>（3）建设单位：</w:t>
            </w:r>
            <w:r>
              <w:rPr>
                <w:rFonts w:hint="eastAsia"/>
                <w:color w:val="auto"/>
                <w:sz w:val="24"/>
                <w:lang w:eastAsia="zh-CN"/>
              </w:rPr>
              <w:t>蚌埠顺泰日用百货有限公司</w:t>
            </w:r>
            <w:r>
              <w:rPr>
                <w:color w:val="auto"/>
                <w:sz w:val="24"/>
              </w:rPr>
              <w:t>。</w:t>
            </w:r>
          </w:p>
          <w:p>
            <w:pPr>
              <w:adjustRightInd w:val="0"/>
              <w:snapToGrid w:val="0"/>
              <w:spacing w:line="360" w:lineRule="auto"/>
              <w:ind w:firstLine="480" w:firstLineChars="200"/>
              <w:rPr>
                <w:color w:val="auto"/>
                <w:sz w:val="24"/>
              </w:rPr>
            </w:pPr>
            <w:r>
              <w:rPr>
                <w:color w:val="auto"/>
                <w:sz w:val="24"/>
              </w:rPr>
              <w:t>（4）建设地点：</w:t>
            </w:r>
            <w:r>
              <w:rPr>
                <w:rFonts w:hint="eastAsia"/>
                <w:color w:val="auto"/>
                <w:sz w:val="24"/>
              </w:rPr>
              <w:t>蚌埠市固镇县新马桥镇铜陵产业园规划十二号路东侧2#厂房</w:t>
            </w:r>
            <w:r>
              <w:rPr>
                <w:color w:val="auto"/>
                <w:sz w:val="24"/>
              </w:rPr>
              <w:t>。</w:t>
            </w:r>
          </w:p>
          <w:p>
            <w:pPr>
              <w:adjustRightInd w:val="0"/>
              <w:snapToGrid w:val="0"/>
              <w:spacing w:line="360" w:lineRule="auto"/>
              <w:ind w:firstLine="480" w:firstLineChars="200"/>
              <w:rPr>
                <w:color w:val="auto"/>
                <w:sz w:val="24"/>
              </w:rPr>
            </w:pPr>
            <w:r>
              <w:rPr>
                <w:color w:val="auto"/>
                <w:sz w:val="24"/>
              </w:rPr>
              <w:t>（5）建设内容及规模：</w:t>
            </w:r>
            <w:r>
              <w:rPr>
                <w:rFonts w:hint="eastAsia"/>
                <w:color w:val="auto"/>
                <w:sz w:val="24"/>
              </w:rPr>
              <w:t>企业租赁固镇正艺装饰材料有限公司已建成厂房作为生产厂房，本项目总</w:t>
            </w:r>
            <w:r>
              <w:rPr>
                <w:color w:val="auto"/>
                <w:sz w:val="24"/>
              </w:rPr>
              <w:t>占地面积</w:t>
            </w:r>
            <w:r>
              <w:rPr>
                <w:rFonts w:hint="eastAsia"/>
                <w:color w:val="auto"/>
                <w:sz w:val="24"/>
              </w:rPr>
              <w:t>3000</w:t>
            </w:r>
            <w:r>
              <w:rPr>
                <w:color w:val="auto"/>
                <w:sz w:val="24"/>
              </w:rPr>
              <w:t>㎡</w:t>
            </w:r>
            <w:r>
              <w:rPr>
                <w:rFonts w:hint="eastAsia"/>
                <w:color w:val="auto"/>
                <w:sz w:val="24"/>
              </w:rPr>
              <w:t>。购置混料机、注塑机、破碎机、空压机、印花机、水泵、水箱、电子称等设备，并配套建设辅助设施，建设智能显温器材生产项目，项目建成后可形成年产200万只智能显温器材的生产规模。</w:t>
            </w:r>
          </w:p>
          <w:p>
            <w:pPr>
              <w:adjustRightInd w:val="0"/>
              <w:snapToGrid w:val="0"/>
              <w:spacing w:line="360" w:lineRule="auto"/>
              <w:ind w:firstLine="480" w:firstLineChars="200"/>
              <w:rPr>
                <w:color w:val="auto"/>
                <w:sz w:val="24"/>
              </w:rPr>
            </w:pPr>
            <w:r>
              <w:rPr>
                <w:color w:val="auto"/>
                <w:sz w:val="24"/>
              </w:rPr>
              <w:t>（6）项目总投资：</w:t>
            </w:r>
            <w:r>
              <w:rPr>
                <w:rFonts w:hint="eastAsia"/>
                <w:color w:val="auto"/>
                <w:sz w:val="24"/>
              </w:rPr>
              <w:t>1000万元</w:t>
            </w:r>
            <w:r>
              <w:rPr>
                <w:color w:val="auto"/>
                <w:sz w:val="24"/>
              </w:rPr>
              <w:t>。</w:t>
            </w:r>
          </w:p>
          <w:p>
            <w:pPr>
              <w:topLinePunct/>
              <w:adjustRightInd w:val="0"/>
              <w:snapToGrid w:val="0"/>
              <w:spacing w:line="360" w:lineRule="auto"/>
              <w:ind w:firstLine="482" w:firstLineChars="200"/>
              <w:rPr>
                <w:rFonts w:cs="宋体"/>
                <w:b/>
                <w:bCs/>
                <w:color w:val="auto"/>
                <w:sz w:val="24"/>
              </w:rPr>
            </w:pPr>
            <w:r>
              <w:rPr>
                <w:rFonts w:hint="eastAsia" w:cs="宋体"/>
                <w:b/>
                <w:bCs/>
                <w:color w:val="auto"/>
                <w:sz w:val="24"/>
              </w:rPr>
              <w:t>二、项目类别判定</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（1）项目环评类别判定</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根据《中华人民共和国环境保护法》、《中华人民共和国环境影响评价法》和《建设项目环境保护管理条例》（国务院令682号）有关规定，建设项目应履行环境影响评价手续。本项目所使用的塑料原料为新料，不使用废料，对照《国民经济行业分类》（GB/T 4754-2017），项目属于电气机械和器材制造业中“C3859其他家用电力器具制造”，对照《建设项目环境影响评价分类管理名录（2021年版）》，项目属于“三十五、电气机械和器材制造业38--77、家用电力器具制造 385--其他（仅分割、焊接、组装的除外；年用非溶剂型低VOCs含量涂料10吨以下的除外）”，应编制环境影响报告表。</w:t>
            </w:r>
          </w:p>
          <w:p>
            <w:pPr>
              <w:topLinePunct/>
              <w:adjustRightInd w:val="0"/>
              <w:snapToGrid w:val="0"/>
              <w:jc w:val="center"/>
              <w:rPr>
                <w:b/>
                <w:color w:val="auto"/>
                <w:sz w:val="24"/>
              </w:rPr>
            </w:pPr>
            <w:r>
              <w:rPr>
                <w:b/>
                <w:color w:val="auto"/>
                <w:sz w:val="24"/>
              </w:rPr>
              <w:t>表2-1</w:t>
            </w:r>
            <w:r>
              <w:rPr>
                <w:rFonts w:hint="eastAsia"/>
                <w:b/>
                <w:color w:val="auto"/>
                <w:sz w:val="24"/>
              </w:rPr>
              <w:t xml:space="preserve">  《建设项目环境影响评价分类管理名录（2021年版）》摘录</w:t>
            </w:r>
          </w:p>
          <w:tbl>
            <w:tblPr>
              <w:tblStyle w:val="28"/>
              <w:tblW w:w="89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7"/>
              <w:gridCol w:w="1800"/>
              <w:gridCol w:w="1785"/>
              <w:gridCol w:w="10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5" w:type="dxa"/>
                  <w:gridSpan w:val="2"/>
                  <w:tcBorders>
                    <w:tl2br w:val="single" w:color="auto" w:sz="4" w:space="0"/>
                  </w:tcBorders>
                  <w:shd w:val="clear" w:color="auto" w:fill="auto"/>
                  <w:vAlign w:val="center"/>
                </w:tcPr>
                <w:p>
                  <w:pPr>
                    <w:pStyle w:val="74"/>
                    <w:topLinePunct/>
                    <w:jc w:val="right"/>
                    <w:rPr>
                      <w:rFonts w:hint="default"/>
                      <w:color w:val="auto"/>
                    </w:rPr>
                  </w:pPr>
                  <w:r>
                    <w:rPr>
                      <w:color w:val="auto"/>
                    </w:rPr>
                    <w:t>环评类别</w:t>
                  </w:r>
                </w:p>
                <w:p>
                  <w:pPr>
                    <w:pStyle w:val="74"/>
                    <w:topLinePunct/>
                    <w:jc w:val="left"/>
                    <w:rPr>
                      <w:rFonts w:hint="default"/>
                      <w:color w:val="auto"/>
                    </w:rPr>
                  </w:pPr>
                  <w:r>
                    <w:rPr>
                      <w:color w:val="auto"/>
                    </w:rPr>
                    <w:t>项目类别</w:t>
                  </w:r>
                </w:p>
              </w:tc>
              <w:tc>
                <w:tcPr>
                  <w:tcW w:w="1800" w:type="dxa"/>
                  <w:shd w:val="clear" w:color="auto" w:fill="auto"/>
                  <w:vAlign w:val="center"/>
                </w:tcPr>
                <w:p>
                  <w:pPr>
                    <w:pStyle w:val="74"/>
                    <w:topLinePunct/>
                    <w:rPr>
                      <w:rFonts w:hint="default"/>
                      <w:color w:val="auto"/>
                    </w:rPr>
                  </w:pPr>
                  <w:r>
                    <w:rPr>
                      <w:color w:val="auto"/>
                    </w:rPr>
                    <w:t>报告书</w:t>
                  </w:r>
                </w:p>
              </w:tc>
              <w:tc>
                <w:tcPr>
                  <w:tcW w:w="1785" w:type="dxa"/>
                  <w:shd w:val="clear" w:color="auto" w:fill="D7D7D7"/>
                  <w:vAlign w:val="center"/>
                </w:tcPr>
                <w:p>
                  <w:pPr>
                    <w:pStyle w:val="74"/>
                    <w:topLinePunct/>
                    <w:rPr>
                      <w:rFonts w:hint="default"/>
                      <w:color w:val="auto"/>
                    </w:rPr>
                  </w:pPr>
                  <w:r>
                    <w:rPr>
                      <w:color w:val="auto"/>
                    </w:rPr>
                    <w:t>报告表</w:t>
                  </w:r>
                </w:p>
              </w:tc>
              <w:tc>
                <w:tcPr>
                  <w:tcW w:w="1074" w:type="dxa"/>
                  <w:vAlign w:val="center"/>
                </w:tcPr>
                <w:p>
                  <w:pPr>
                    <w:pStyle w:val="74"/>
                    <w:topLinePunct/>
                    <w:rPr>
                      <w:rFonts w:hint="default"/>
                      <w:color w:val="auto"/>
                    </w:rPr>
                  </w:pPr>
                  <w:r>
                    <w:rPr>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34" w:type="dxa"/>
                  <w:gridSpan w:val="5"/>
                  <w:shd w:val="clear" w:color="auto" w:fill="D7D7D7"/>
                  <w:vAlign w:val="center"/>
                </w:tcPr>
                <w:p>
                  <w:pPr>
                    <w:topLinePunct/>
                    <w:adjustRightInd w:val="0"/>
                    <w:snapToGrid w:val="0"/>
                    <w:jc w:val="left"/>
                    <w:rPr>
                      <w:color w:val="auto"/>
                    </w:rPr>
                  </w:pPr>
                  <w:r>
                    <w:rPr>
                      <w:rFonts w:hint="eastAsia"/>
                      <w:color w:val="auto"/>
                    </w:rPr>
                    <w:t>三十五、电气机械和器材制造业38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dxa"/>
                  <w:shd w:val="clear" w:color="auto" w:fill="D7D7D7"/>
                  <w:vAlign w:val="center"/>
                </w:tcPr>
                <w:p>
                  <w:pPr>
                    <w:topLinePunct/>
                    <w:adjustRightInd w:val="0"/>
                    <w:snapToGrid w:val="0"/>
                    <w:jc w:val="center"/>
                    <w:rPr>
                      <w:color w:val="auto"/>
                    </w:rPr>
                  </w:pPr>
                  <w:r>
                    <w:rPr>
                      <w:rFonts w:hint="eastAsia"/>
                      <w:color w:val="auto"/>
                    </w:rPr>
                    <w:t>77</w:t>
                  </w:r>
                </w:p>
              </w:tc>
              <w:tc>
                <w:tcPr>
                  <w:tcW w:w="3467" w:type="dxa"/>
                  <w:vAlign w:val="center"/>
                </w:tcPr>
                <w:p>
                  <w:pPr>
                    <w:topLinePunct/>
                    <w:adjustRightInd w:val="0"/>
                    <w:snapToGrid w:val="0"/>
                    <w:jc w:val="center"/>
                    <w:rPr>
                      <w:color w:val="auto"/>
                    </w:rPr>
                  </w:pPr>
                  <w:r>
                    <w:rPr>
                      <w:color w:val="auto"/>
                    </w:rPr>
                    <w:t>电机制造381；输配电及控制设备制造382；电线、电缆、光缆及电工器材制造383；电池制造384；</w:t>
                  </w:r>
                  <w:r>
                    <w:rPr>
                      <w:color w:val="auto"/>
                      <w:highlight w:val="lightGray"/>
                    </w:rPr>
                    <w:t>家用电力器具制造385</w:t>
                  </w:r>
                  <w:r>
                    <w:rPr>
                      <w:color w:val="auto"/>
                    </w:rPr>
                    <w:t>；非电力家用器具制造386；照明器具制造387；其他电气机械及器材制造389</w:t>
                  </w:r>
                </w:p>
              </w:tc>
              <w:tc>
                <w:tcPr>
                  <w:tcW w:w="1800" w:type="dxa"/>
                  <w:vAlign w:val="center"/>
                </w:tcPr>
                <w:p>
                  <w:pPr>
                    <w:topLinePunct/>
                    <w:adjustRightInd w:val="0"/>
                    <w:snapToGrid w:val="0"/>
                    <w:jc w:val="center"/>
                    <w:rPr>
                      <w:color w:val="auto"/>
                    </w:rPr>
                  </w:pPr>
                  <w:r>
                    <w:rPr>
                      <w:rFonts w:hint="eastAsia"/>
                      <w:color w:val="auto"/>
                    </w:rPr>
                    <w:t>铅蓄电池制造；太阳能电池片生产；有电镀工艺的；年用溶剂型涂料（含稀释剂）10吨及以上的</w:t>
                  </w:r>
                </w:p>
              </w:tc>
              <w:tc>
                <w:tcPr>
                  <w:tcW w:w="1785" w:type="dxa"/>
                  <w:vAlign w:val="center"/>
                </w:tcPr>
                <w:p>
                  <w:pPr>
                    <w:topLinePunct/>
                    <w:adjustRightInd w:val="0"/>
                    <w:snapToGrid w:val="0"/>
                    <w:jc w:val="center"/>
                    <w:rPr>
                      <w:color w:val="auto"/>
                    </w:rPr>
                  </w:pPr>
                  <w:r>
                    <w:rPr>
                      <w:rFonts w:hint="eastAsia"/>
                      <w:color w:val="auto"/>
                      <w:shd w:val="clear" w:color="auto" w:fill="D7D7D7"/>
                    </w:rPr>
                    <w:t>其他（仅分割、焊接、组装的除外；年用非溶剂型低VOCs含量涂料10吨以下的除外）</w:t>
                  </w:r>
                </w:p>
              </w:tc>
              <w:tc>
                <w:tcPr>
                  <w:tcW w:w="1074" w:type="dxa"/>
                  <w:vAlign w:val="center"/>
                </w:tcPr>
                <w:p>
                  <w:pPr>
                    <w:topLinePunct/>
                    <w:adjustRightInd w:val="0"/>
                    <w:snapToGrid w:val="0"/>
                    <w:jc w:val="center"/>
                    <w:rPr>
                      <w:color w:val="auto"/>
                    </w:rPr>
                  </w:pPr>
                  <w:r>
                    <w:rPr>
                      <w:rFonts w:hint="eastAsia"/>
                      <w:color w:val="auto"/>
                    </w:rPr>
                    <w:t>/</w:t>
                  </w:r>
                </w:p>
              </w:tc>
            </w:tr>
          </w:tbl>
          <w:p>
            <w:pPr>
              <w:topLinePunct/>
              <w:adjustRightInd w:val="0"/>
              <w:snapToGrid w:val="0"/>
              <w:spacing w:before="120" w:beforeLines="50" w:line="360" w:lineRule="auto"/>
              <w:ind w:firstLine="480" w:firstLineChars="200"/>
              <w:rPr>
                <w:rFonts w:cs="宋体"/>
                <w:color w:val="auto"/>
                <w:kern w:val="0"/>
                <w:sz w:val="24"/>
                <w:lang w:bidi="ar"/>
              </w:rPr>
            </w:pPr>
            <w:r>
              <w:rPr>
                <w:rFonts w:hint="eastAsia" w:cs="宋体"/>
                <w:color w:val="auto"/>
                <w:kern w:val="0"/>
                <w:sz w:val="24"/>
                <w:lang w:bidi="ar"/>
              </w:rPr>
              <w:t>（2）项目排污许可管理类别确定</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根据《固定污染源排污许可分类管理名录》（2019年版），本</w:t>
            </w:r>
            <w:r>
              <w:rPr>
                <w:color w:val="auto"/>
                <w:sz w:val="24"/>
              </w:rPr>
              <w:t>项目属于</w:t>
            </w:r>
            <w:r>
              <w:rPr>
                <w:rFonts w:hint="eastAsia" w:ascii="宋体" w:hAnsi="宋体" w:cs="宋体"/>
                <w:color w:val="auto"/>
                <w:sz w:val="24"/>
              </w:rPr>
              <w:t>“</w:t>
            </w:r>
            <w:r>
              <w:rPr>
                <w:rFonts w:hint="eastAsia"/>
                <w:color w:val="auto"/>
                <w:sz w:val="24"/>
              </w:rPr>
              <w:t>87 家用电力器具制造 385-其他</w:t>
            </w:r>
            <w:r>
              <w:rPr>
                <w:rFonts w:hint="eastAsia" w:ascii="宋体" w:hAnsi="宋体" w:cs="宋体"/>
                <w:color w:val="auto"/>
                <w:sz w:val="24"/>
              </w:rPr>
              <w:t>”</w:t>
            </w:r>
            <w:r>
              <w:rPr>
                <w:rFonts w:hint="eastAsia" w:cs="宋体"/>
                <w:color w:val="auto"/>
                <w:kern w:val="0"/>
                <w:sz w:val="24"/>
                <w:lang w:bidi="ar"/>
              </w:rPr>
              <w:t>，排污许可管理类别为“登记管理”。项目适用的排污许可技术规范为《排污许可证申请与核发技术规范 总则》（HJ942—2018）、《排污许可证申请与核发技术规范 橡胶和塑料制品工业》（HJ1122—2020），项目适用的排污许可自行监测技术指南为</w:t>
            </w:r>
            <w:r>
              <w:rPr>
                <w:rFonts w:hint="eastAsia"/>
                <w:bCs/>
                <w:color w:val="auto"/>
                <w:sz w:val="24"/>
                <w:szCs w:val="20"/>
              </w:rPr>
              <w:t>《排污单位自行监测技术指南 总则》（HJ819-2017）、《排污单位自行监测技术指南 橡胶和塑料制品》（HJ1207-2021）。</w:t>
            </w:r>
          </w:p>
          <w:p>
            <w:pPr>
              <w:topLinePunct/>
              <w:adjustRightInd w:val="0"/>
              <w:snapToGrid w:val="0"/>
              <w:jc w:val="center"/>
              <w:rPr>
                <w:b/>
                <w:color w:val="auto"/>
                <w:sz w:val="24"/>
              </w:rPr>
            </w:pPr>
            <w:r>
              <w:rPr>
                <w:b/>
                <w:color w:val="auto"/>
                <w:sz w:val="24"/>
              </w:rPr>
              <w:t>表</w:t>
            </w:r>
            <w:r>
              <w:rPr>
                <w:rFonts w:hint="eastAsia"/>
                <w:b/>
                <w:color w:val="auto"/>
                <w:sz w:val="24"/>
              </w:rPr>
              <w:t xml:space="preserve">2-2  </w:t>
            </w:r>
            <w:r>
              <w:rPr>
                <w:b/>
                <w:color w:val="auto"/>
                <w:sz w:val="24"/>
              </w:rPr>
              <w:t>《固定污染源排污许可分类管理名录》（2019年版）摘录</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98"/>
              <w:gridCol w:w="4545"/>
              <w:gridCol w:w="1272"/>
              <w:gridCol w:w="1272"/>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598" w:type="dxa"/>
                  <w:shd w:val="clear" w:color="auto" w:fill="auto"/>
                  <w:vAlign w:val="center"/>
                </w:tcPr>
                <w:p>
                  <w:pPr>
                    <w:wordWrap w:val="0"/>
                    <w:topLinePunct/>
                    <w:snapToGrid w:val="0"/>
                    <w:jc w:val="center"/>
                    <w:rPr>
                      <w:b/>
                      <w:bCs/>
                      <w:color w:val="auto"/>
                      <w:kern w:val="0"/>
                      <w:szCs w:val="21"/>
                    </w:rPr>
                  </w:pPr>
                  <w:r>
                    <w:rPr>
                      <w:b/>
                      <w:bCs/>
                      <w:color w:val="auto"/>
                      <w:kern w:val="0"/>
                      <w:szCs w:val="21"/>
                    </w:rPr>
                    <w:t>序号</w:t>
                  </w:r>
                </w:p>
              </w:tc>
              <w:tc>
                <w:tcPr>
                  <w:tcW w:w="4545" w:type="dxa"/>
                  <w:shd w:val="clear" w:color="auto" w:fill="auto"/>
                  <w:vAlign w:val="center"/>
                </w:tcPr>
                <w:p>
                  <w:pPr>
                    <w:wordWrap w:val="0"/>
                    <w:topLinePunct/>
                    <w:snapToGrid w:val="0"/>
                    <w:jc w:val="center"/>
                    <w:rPr>
                      <w:b/>
                      <w:bCs/>
                      <w:color w:val="auto"/>
                      <w:kern w:val="0"/>
                      <w:szCs w:val="21"/>
                    </w:rPr>
                  </w:pPr>
                  <w:r>
                    <w:rPr>
                      <w:b/>
                      <w:bCs/>
                      <w:color w:val="auto"/>
                      <w:kern w:val="0"/>
                      <w:szCs w:val="21"/>
                    </w:rPr>
                    <w:t>行业类别</w:t>
                  </w:r>
                </w:p>
              </w:tc>
              <w:tc>
                <w:tcPr>
                  <w:tcW w:w="1272" w:type="dxa"/>
                  <w:shd w:val="clear" w:color="auto" w:fill="auto"/>
                  <w:vAlign w:val="center"/>
                </w:tcPr>
                <w:p>
                  <w:pPr>
                    <w:wordWrap w:val="0"/>
                    <w:topLinePunct/>
                    <w:snapToGrid w:val="0"/>
                    <w:jc w:val="center"/>
                    <w:rPr>
                      <w:b/>
                      <w:bCs/>
                      <w:color w:val="auto"/>
                      <w:kern w:val="0"/>
                      <w:szCs w:val="21"/>
                    </w:rPr>
                  </w:pPr>
                  <w:r>
                    <w:rPr>
                      <w:b/>
                      <w:bCs/>
                      <w:color w:val="auto"/>
                      <w:kern w:val="0"/>
                      <w:szCs w:val="21"/>
                    </w:rPr>
                    <w:t>重点管理</w:t>
                  </w:r>
                </w:p>
              </w:tc>
              <w:tc>
                <w:tcPr>
                  <w:tcW w:w="1272" w:type="dxa"/>
                  <w:shd w:val="clear" w:color="auto" w:fill="auto"/>
                  <w:vAlign w:val="center"/>
                </w:tcPr>
                <w:p>
                  <w:pPr>
                    <w:wordWrap w:val="0"/>
                    <w:topLinePunct/>
                    <w:snapToGrid w:val="0"/>
                    <w:jc w:val="center"/>
                    <w:rPr>
                      <w:b/>
                      <w:bCs/>
                      <w:color w:val="auto"/>
                      <w:kern w:val="0"/>
                      <w:szCs w:val="21"/>
                    </w:rPr>
                  </w:pPr>
                  <w:r>
                    <w:rPr>
                      <w:b/>
                      <w:bCs/>
                      <w:color w:val="auto"/>
                      <w:kern w:val="0"/>
                      <w:szCs w:val="21"/>
                    </w:rPr>
                    <w:t>简化管理</w:t>
                  </w:r>
                </w:p>
              </w:tc>
              <w:tc>
                <w:tcPr>
                  <w:tcW w:w="1273" w:type="dxa"/>
                  <w:shd w:val="clear" w:color="auto" w:fill="C8C8C8"/>
                  <w:vAlign w:val="center"/>
                </w:tcPr>
                <w:p>
                  <w:pPr>
                    <w:wordWrap w:val="0"/>
                    <w:topLinePunct/>
                    <w:snapToGrid w:val="0"/>
                    <w:jc w:val="center"/>
                    <w:rPr>
                      <w:b/>
                      <w:bCs/>
                      <w:color w:val="auto"/>
                      <w:kern w:val="0"/>
                      <w:szCs w:val="21"/>
                    </w:rPr>
                  </w:pPr>
                  <w:r>
                    <w:rPr>
                      <w:b/>
                      <w:bCs/>
                      <w:color w:val="auto"/>
                      <w:kern w:val="0"/>
                      <w:szCs w:val="21"/>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8960" w:type="dxa"/>
                  <w:gridSpan w:val="5"/>
                  <w:shd w:val="clear" w:color="auto" w:fill="BEBEBE"/>
                  <w:vAlign w:val="center"/>
                </w:tcPr>
                <w:p>
                  <w:pPr>
                    <w:wordWrap w:val="0"/>
                    <w:topLinePunct/>
                    <w:snapToGrid w:val="0"/>
                    <w:rPr>
                      <w:color w:val="auto"/>
                      <w:kern w:val="0"/>
                      <w:szCs w:val="21"/>
                    </w:rPr>
                  </w:pPr>
                  <w:r>
                    <w:rPr>
                      <w:rFonts w:hint="eastAsia"/>
                      <w:color w:val="auto"/>
                      <w:kern w:val="0"/>
                      <w:szCs w:val="21"/>
                    </w:rPr>
                    <w:t>三十三、电气机械和器材制造业 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598" w:type="dxa"/>
                  <w:shd w:val="clear" w:color="auto" w:fill="BEBEBE"/>
                  <w:vAlign w:val="center"/>
                </w:tcPr>
                <w:p>
                  <w:pPr>
                    <w:wordWrap w:val="0"/>
                    <w:topLinePunct/>
                    <w:snapToGrid w:val="0"/>
                    <w:jc w:val="center"/>
                    <w:rPr>
                      <w:color w:val="auto"/>
                      <w:kern w:val="0"/>
                      <w:szCs w:val="21"/>
                    </w:rPr>
                  </w:pPr>
                  <w:r>
                    <w:rPr>
                      <w:rFonts w:hint="eastAsia"/>
                      <w:color w:val="auto"/>
                      <w:kern w:val="0"/>
                      <w:szCs w:val="21"/>
                    </w:rPr>
                    <w:t>87</w:t>
                  </w:r>
                </w:p>
              </w:tc>
              <w:tc>
                <w:tcPr>
                  <w:tcW w:w="4545" w:type="dxa"/>
                  <w:vAlign w:val="center"/>
                </w:tcPr>
                <w:p>
                  <w:pPr>
                    <w:wordWrap w:val="0"/>
                    <w:topLinePunct/>
                    <w:snapToGrid w:val="0"/>
                    <w:jc w:val="center"/>
                    <w:rPr>
                      <w:color w:val="auto"/>
                      <w:kern w:val="0"/>
                      <w:szCs w:val="21"/>
                    </w:rPr>
                  </w:pPr>
                  <w:r>
                    <w:rPr>
                      <w:rFonts w:hint="eastAsia"/>
                      <w:color w:val="auto"/>
                      <w:kern w:val="0"/>
                      <w:szCs w:val="21"/>
                    </w:rPr>
                    <w:t>电机制造381，输配电及控制设备制造382，电线、电缆、光缆及电工器材制造383，</w:t>
                  </w:r>
                  <w:r>
                    <w:rPr>
                      <w:rFonts w:hint="eastAsia"/>
                      <w:color w:val="auto"/>
                      <w:kern w:val="0"/>
                      <w:szCs w:val="21"/>
                      <w:highlight w:val="lightGray"/>
                    </w:rPr>
                    <w:t>家用电力器具制造385</w:t>
                  </w:r>
                  <w:r>
                    <w:rPr>
                      <w:rFonts w:hint="eastAsia"/>
                      <w:color w:val="auto"/>
                      <w:kern w:val="0"/>
                      <w:szCs w:val="21"/>
                    </w:rPr>
                    <w:t>，非电力家用器具制造386，照明器具制造387，其他电气机械及器材制造389</w:t>
                  </w:r>
                </w:p>
              </w:tc>
              <w:tc>
                <w:tcPr>
                  <w:tcW w:w="1272" w:type="dxa"/>
                  <w:vAlign w:val="center"/>
                </w:tcPr>
                <w:p>
                  <w:pPr>
                    <w:widowControl/>
                    <w:jc w:val="center"/>
                    <w:rPr>
                      <w:color w:val="auto"/>
                      <w:szCs w:val="21"/>
                    </w:rPr>
                  </w:pPr>
                  <w:r>
                    <w:rPr>
                      <w:rFonts w:hint="eastAsia" w:ascii="宋体" w:hAnsi="宋体" w:cs="宋体"/>
                      <w:color w:val="auto"/>
                      <w:kern w:val="0"/>
                      <w:szCs w:val="21"/>
                      <w:lang w:bidi="ar"/>
                    </w:rPr>
                    <w:t>涉及通用工序重点管理的</w:t>
                  </w:r>
                </w:p>
              </w:tc>
              <w:tc>
                <w:tcPr>
                  <w:tcW w:w="1272" w:type="dxa"/>
                  <w:vAlign w:val="center"/>
                </w:tcPr>
                <w:p>
                  <w:pPr>
                    <w:wordWrap w:val="0"/>
                    <w:topLinePunct/>
                    <w:snapToGrid w:val="0"/>
                    <w:jc w:val="center"/>
                    <w:rPr>
                      <w:color w:val="auto"/>
                      <w:kern w:val="0"/>
                      <w:szCs w:val="21"/>
                    </w:rPr>
                  </w:pPr>
                  <w:r>
                    <w:rPr>
                      <w:rFonts w:hint="eastAsia"/>
                      <w:color w:val="auto"/>
                      <w:kern w:val="0"/>
                      <w:szCs w:val="21"/>
                    </w:rPr>
                    <w:t>涉及通用工序简化管理的</w:t>
                  </w:r>
                </w:p>
              </w:tc>
              <w:tc>
                <w:tcPr>
                  <w:tcW w:w="1273" w:type="dxa"/>
                  <w:vAlign w:val="center"/>
                </w:tcPr>
                <w:p>
                  <w:pPr>
                    <w:wordWrap w:val="0"/>
                    <w:topLinePunct/>
                    <w:snapToGrid w:val="0"/>
                    <w:jc w:val="center"/>
                    <w:rPr>
                      <w:color w:val="auto"/>
                      <w:kern w:val="0"/>
                      <w:szCs w:val="21"/>
                    </w:rPr>
                  </w:pPr>
                  <w:r>
                    <w:rPr>
                      <w:color w:val="auto"/>
                      <w:kern w:val="0"/>
                      <w:szCs w:val="21"/>
                      <w:highlight w:val="lightGray"/>
                    </w:rPr>
                    <w:t>其他</w:t>
                  </w:r>
                </w:p>
              </w:tc>
            </w:tr>
          </w:tbl>
          <w:p>
            <w:pPr>
              <w:adjustRightInd w:val="0"/>
              <w:snapToGrid w:val="0"/>
              <w:spacing w:before="120" w:beforeLines="50" w:line="360" w:lineRule="auto"/>
              <w:ind w:firstLine="482" w:firstLineChars="200"/>
              <w:rPr>
                <w:rFonts w:ascii="宋体" w:hAnsi="宋体" w:cs="宋体"/>
                <w:b/>
                <w:color w:val="auto"/>
                <w:kern w:val="0"/>
                <w:sz w:val="24"/>
              </w:rPr>
            </w:pPr>
            <w:r>
              <w:rPr>
                <w:rFonts w:hint="eastAsia"/>
                <w:b/>
                <w:bCs/>
                <w:color w:val="auto"/>
                <w:sz w:val="24"/>
                <w:szCs w:val="24"/>
              </w:rPr>
              <w:t>三</w:t>
            </w:r>
            <w:r>
              <w:rPr>
                <w:rFonts w:hint="eastAsia" w:ascii="宋体" w:hAnsi="宋体" w:cs="宋体"/>
                <w:b/>
                <w:bCs/>
                <w:color w:val="auto"/>
                <w:kern w:val="0"/>
                <w:sz w:val="24"/>
              </w:rPr>
              <w:t>、</w:t>
            </w:r>
            <w:r>
              <w:rPr>
                <w:rFonts w:hint="eastAsia" w:ascii="宋体" w:hAnsi="宋体" w:cs="宋体"/>
                <w:b/>
                <w:color w:val="auto"/>
                <w:kern w:val="0"/>
                <w:sz w:val="24"/>
              </w:rPr>
              <w:t>建设内容</w:t>
            </w:r>
          </w:p>
          <w:p>
            <w:pPr>
              <w:adjustRightInd w:val="0"/>
              <w:snapToGrid w:val="0"/>
              <w:spacing w:line="336" w:lineRule="auto"/>
              <w:ind w:firstLine="480" w:firstLineChars="200"/>
              <w:rPr>
                <w:color w:val="auto"/>
                <w:kern w:val="24"/>
                <w:sz w:val="24"/>
              </w:rPr>
            </w:pPr>
            <w:r>
              <w:rPr>
                <w:color w:val="auto"/>
                <w:kern w:val="24"/>
                <w:sz w:val="24"/>
              </w:rPr>
              <w:t>项目厂房共1层，为钢结构厂房，高13</w:t>
            </w:r>
            <w:r>
              <w:rPr>
                <w:rFonts w:hint="eastAsia"/>
                <w:color w:val="auto"/>
                <w:kern w:val="24"/>
                <w:sz w:val="24"/>
              </w:rPr>
              <w:t>m</w:t>
            </w:r>
            <w:r>
              <w:rPr>
                <w:color w:val="auto"/>
                <w:kern w:val="24"/>
                <w:sz w:val="24"/>
              </w:rPr>
              <w:t>，建设内容包括主体工程、辅助工程、储运工程、公用工程、环保工程等。</w:t>
            </w:r>
          </w:p>
          <w:p>
            <w:pPr>
              <w:adjustRightInd w:val="0"/>
              <w:snapToGrid w:val="0"/>
              <w:jc w:val="center"/>
              <w:rPr>
                <w:b/>
                <w:bCs/>
                <w:color w:val="auto"/>
                <w:sz w:val="24"/>
              </w:rPr>
            </w:pPr>
            <w:r>
              <w:rPr>
                <w:b/>
                <w:bCs/>
                <w:color w:val="auto"/>
                <w:sz w:val="24"/>
              </w:rPr>
              <w:t>表2-</w:t>
            </w:r>
            <w:r>
              <w:rPr>
                <w:rFonts w:hint="eastAsia"/>
                <w:b/>
                <w:bCs/>
                <w:color w:val="auto"/>
                <w:sz w:val="24"/>
              </w:rPr>
              <w:t>3</w:t>
            </w:r>
            <w:r>
              <w:rPr>
                <w:b/>
                <w:bCs/>
                <w:color w:val="auto"/>
                <w:sz w:val="24"/>
              </w:rPr>
              <w:t xml:space="preserve">  项目建设内容一览表</w:t>
            </w:r>
          </w:p>
          <w:tbl>
            <w:tblPr>
              <w:tblStyle w:val="28"/>
              <w:tblW w:w="8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397"/>
              <w:gridCol w:w="5895"/>
              <w:gridCol w:w="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b/>
                      <w:bCs/>
                      <w:color w:val="auto"/>
                      <w:szCs w:val="21"/>
                    </w:rPr>
                  </w:pPr>
                  <w:r>
                    <w:rPr>
                      <w:b/>
                      <w:bCs/>
                      <w:color w:val="auto"/>
                      <w:szCs w:val="21"/>
                    </w:rPr>
                    <w:t>工程类别</w:t>
                  </w:r>
                </w:p>
              </w:tc>
              <w:tc>
                <w:tcPr>
                  <w:tcW w:w="1397" w:type="dxa"/>
                  <w:vAlign w:val="center"/>
                </w:tcPr>
                <w:p>
                  <w:pPr>
                    <w:adjustRightInd w:val="0"/>
                    <w:snapToGrid w:val="0"/>
                    <w:ind w:left="-63" w:leftChars="-30" w:right="-63" w:rightChars="-30"/>
                    <w:jc w:val="center"/>
                    <w:rPr>
                      <w:b/>
                      <w:bCs/>
                      <w:color w:val="auto"/>
                      <w:szCs w:val="21"/>
                    </w:rPr>
                  </w:pPr>
                  <w:r>
                    <w:rPr>
                      <w:b/>
                      <w:bCs/>
                      <w:color w:val="auto"/>
                      <w:szCs w:val="21"/>
                    </w:rPr>
                    <w:t>单项工程名称</w:t>
                  </w:r>
                </w:p>
              </w:tc>
              <w:tc>
                <w:tcPr>
                  <w:tcW w:w="5895" w:type="dxa"/>
                  <w:vAlign w:val="center"/>
                </w:tcPr>
                <w:p>
                  <w:pPr>
                    <w:adjustRightInd w:val="0"/>
                    <w:snapToGrid w:val="0"/>
                    <w:ind w:left="-63" w:leftChars="-30" w:right="-63" w:rightChars="-30"/>
                    <w:jc w:val="center"/>
                    <w:rPr>
                      <w:b/>
                      <w:bCs/>
                      <w:color w:val="auto"/>
                      <w:szCs w:val="21"/>
                    </w:rPr>
                  </w:pPr>
                  <w:r>
                    <w:rPr>
                      <w:b/>
                      <w:bCs/>
                      <w:color w:val="auto"/>
                      <w:szCs w:val="21"/>
                    </w:rPr>
                    <w:t>工程内容及规模</w:t>
                  </w:r>
                </w:p>
              </w:tc>
              <w:tc>
                <w:tcPr>
                  <w:tcW w:w="613" w:type="dxa"/>
                  <w:vAlign w:val="center"/>
                </w:tcPr>
                <w:p>
                  <w:pPr>
                    <w:adjustRightInd w:val="0"/>
                    <w:snapToGrid w:val="0"/>
                    <w:ind w:left="-63" w:leftChars="-30" w:right="-63" w:rightChars="-30"/>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auto"/>
                      <w:szCs w:val="21"/>
                    </w:rPr>
                  </w:pPr>
                  <w:r>
                    <w:rPr>
                      <w:color w:val="auto"/>
                      <w:szCs w:val="21"/>
                    </w:rPr>
                    <w:t>主体工程</w:t>
                  </w:r>
                </w:p>
              </w:tc>
              <w:tc>
                <w:tcPr>
                  <w:tcW w:w="1397" w:type="dxa"/>
                  <w:vAlign w:val="center"/>
                </w:tcPr>
                <w:p>
                  <w:pPr>
                    <w:adjustRightInd w:val="0"/>
                    <w:snapToGrid w:val="0"/>
                    <w:ind w:left="-63" w:leftChars="-30" w:right="-63" w:rightChars="-30"/>
                    <w:jc w:val="center"/>
                    <w:rPr>
                      <w:color w:val="auto"/>
                      <w:szCs w:val="21"/>
                    </w:rPr>
                  </w:pPr>
                  <w:r>
                    <w:rPr>
                      <w:rFonts w:hint="eastAsia"/>
                      <w:color w:val="auto"/>
                      <w:szCs w:val="21"/>
                    </w:rPr>
                    <w:t>生产车间</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位于厂房北侧，</w:t>
                  </w:r>
                  <w:r>
                    <w:rPr>
                      <w:color w:val="auto"/>
                      <w:szCs w:val="21"/>
                    </w:rPr>
                    <w:t>占地面积为</w:t>
                  </w:r>
                  <w:r>
                    <w:rPr>
                      <w:rFonts w:hint="eastAsia"/>
                      <w:color w:val="auto"/>
                      <w:szCs w:val="21"/>
                    </w:rPr>
                    <w:t>1400</w:t>
                  </w:r>
                  <w:r>
                    <w:rPr>
                      <w:color w:val="auto"/>
                      <w:szCs w:val="21"/>
                    </w:rPr>
                    <w:t>㎡，</w:t>
                  </w:r>
                  <w:r>
                    <w:rPr>
                      <w:rFonts w:hint="eastAsia"/>
                      <w:color w:val="auto"/>
                      <w:szCs w:val="21"/>
                    </w:rPr>
                    <w:t>建设</w:t>
                  </w:r>
                  <w:r>
                    <w:rPr>
                      <w:rFonts w:hint="eastAsia"/>
                      <w:color w:val="auto"/>
                      <w:szCs w:val="21"/>
                      <w:lang w:val="en-US" w:eastAsia="zh-CN"/>
                    </w:rPr>
                    <w:t>注塑生产线及组装生产线，注塑生产线生产</w:t>
                  </w:r>
                  <w:r>
                    <w:rPr>
                      <w:rFonts w:hint="eastAsia"/>
                      <w:color w:val="auto"/>
                      <w:szCs w:val="21"/>
                    </w:rPr>
                    <w:t>智能显温器材</w:t>
                  </w:r>
                  <w:r>
                    <w:rPr>
                      <w:rFonts w:hint="eastAsia"/>
                      <w:color w:val="auto"/>
                      <w:szCs w:val="21"/>
                      <w:lang w:val="en-US" w:eastAsia="zh-CN"/>
                    </w:rPr>
                    <w:t>塑料外壳，组装生产线将塑料外壳与玻璃内胆、智能显示屏等组装形成成品，</w:t>
                  </w:r>
                  <w:r>
                    <w:rPr>
                      <w:rFonts w:hint="eastAsia"/>
                      <w:color w:val="auto"/>
                      <w:szCs w:val="21"/>
                    </w:rPr>
                    <w:t>年产200万只智能显温器材</w:t>
                  </w:r>
                </w:p>
              </w:tc>
              <w:tc>
                <w:tcPr>
                  <w:tcW w:w="613" w:type="dxa"/>
                  <w:vMerge w:val="restart"/>
                  <w:vAlign w:val="center"/>
                </w:tcPr>
                <w:p>
                  <w:pPr>
                    <w:adjustRightInd w:val="0"/>
                    <w:snapToGrid w:val="0"/>
                    <w:ind w:left="-63" w:leftChars="-30" w:right="-63" w:rightChars="-30"/>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utoSpaceDE w:val="0"/>
                    <w:autoSpaceDN w:val="0"/>
                    <w:adjustRightInd w:val="0"/>
                    <w:snapToGrid w:val="0"/>
                    <w:ind w:left="-63" w:leftChars="-30" w:right="-63" w:rightChars="-30"/>
                    <w:jc w:val="center"/>
                    <w:rPr>
                      <w:color w:val="auto"/>
                      <w:szCs w:val="21"/>
                    </w:rPr>
                  </w:pPr>
                  <w:r>
                    <w:rPr>
                      <w:rFonts w:hint="eastAsia"/>
                      <w:color w:val="auto"/>
                      <w:szCs w:val="21"/>
                    </w:rPr>
                    <w:t>料房</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位于生产厂房东北角，</w:t>
                  </w:r>
                  <w:r>
                    <w:rPr>
                      <w:color w:val="auto"/>
                      <w:szCs w:val="21"/>
                    </w:rPr>
                    <w:t>占地面积约为</w:t>
                  </w:r>
                  <w:r>
                    <w:rPr>
                      <w:rFonts w:hint="eastAsia"/>
                      <w:color w:val="auto"/>
                      <w:szCs w:val="21"/>
                    </w:rPr>
                    <w:t>100</w:t>
                  </w:r>
                  <w:r>
                    <w:rPr>
                      <w:color w:val="auto"/>
                      <w:szCs w:val="21"/>
                    </w:rPr>
                    <w:t>㎡</w:t>
                  </w:r>
                  <w:r>
                    <w:rPr>
                      <w:rFonts w:hint="eastAsia"/>
                      <w:color w:val="auto"/>
                      <w:szCs w:val="21"/>
                    </w:rPr>
                    <w:t>，用于原辅材料暂存及混合工序</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rFonts w:hint="eastAsia"/>
                      <w:color w:val="auto"/>
                      <w:szCs w:val="21"/>
                    </w:rPr>
                    <w:t>密闭破碎间</w:t>
                  </w:r>
                </w:p>
              </w:tc>
              <w:tc>
                <w:tcPr>
                  <w:tcW w:w="5895" w:type="dxa"/>
                  <w:vAlign w:val="center"/>
                </w:tcPr>
                <w:p>
                  <w:pPr>
                    <w:adjustRightInd w:val="0"/>
                    <w:snapToGrid w:val="0"/>
                    <w:ind w:left="-63" w:leftChars="-30" w:right="-63" w:rightChars="-30"/>
                    <w:jc w:val="center"/>
                    <w:rPr>
                      <w:rFonts w:hint="default" w:eastAsia="宋体"/>
                      <w:color w:val="auto"/>
                      <w:szCs w:val="21"/>
                      <w:lang w:val="en-US" w:eastAsia="zh-CN"/>
                    </w:rPr>
                  </w:pPr>
                  <w:r>
                    <w:rPr>
                      <w:rFonts w:hint="eastAsia"/>
                      <w:color w:val="auto"/>
                      <w:szCs w:val="21"/>
                    </w:rPr>
                    <w:t>位于生产厂房西北角，占地面积约为50</w:t>
                  </w:r>
                  <w:r>
                    <w:rPr>
                      <w:color w:val="auto"/>
                      <w:szCs w:val="21"/>
                    </w:rPr>
                    <w:t>㎡</w:t>
                  </w:r>
                  <w:r>
                    <w:rPr>
                      <w:rFonts w:hint="eastAsia"/>
                      <w:color w:val="auto"/>
                      <w:szCs w:val="21"/>
                    </w:rPr>
                    <w:t>，用于边角料、不合格品的破碎</w:t>
                  </w:r>
                  <w:r>
                    <w:rPr>
                      <w:rStyle w:val="35"/>
                      <w:rFonts w:hint="eastAsia"/>
                      <w:color w:val="auto"/>
                      <w:kern w:val="0"/>
                      <w:szCs w:val="20"/>
                      <w:lang w:eastAsia="zh-CN"/>
                    </w:rPr>
                    <w:t>，</w:t>
                  </w:r>
                  <w:r>
                    <w:rPr>
                      <w:rStyle w:val="35"/>
                      <w:rFonts w:hint="eastAsia"/>
                      <w:color w:val="auto"/>
                      <w:kern w:val="0"/>
                      <w:szCs w:val="20"/>
                      <w:lang w:val="en-US" w:eastAsia="zh-CN"/>
                    </w:rPr>
                    <w:t>共设2台破碎机，根据破碎料的颜色深浅使用不同破碎机进行破碎</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color w:val="auto"/>
                      <w:szCs w:val="21"/>
                    </w:rPr>
                  </w:pPr>
                  <w:r>
                    <w:rPr>
                      <w:rFonts w:hint="eastAsia"/>
                      <w:color w:val="auto"/>
                      <w:szCs w:val="21"/>
                    </w:rPr>
                    <w:t>辅助工程</w:t>
                  </w:r>
                </w:p>
              </w:tc>
              <w:tc>
                <w:tcPr>
                  <w:tcW w:w="1397" w:type="dxa"/>
                  <w:vAlign w:val="center"/>
                </w:tcPr>
                <w:p>
                  <w:pPr>
                    <w:adjustRightInd w:val="0"/>
                    <w:snapToGrid w:val="0"/>
                    <w:ind w:left="-63" w:leftChars="-30" w:right="-63" w:rightChars="-30"/>
                    <w:jc w:val="center"/>
                    <w:rPr>
                      <w:color w:val="auto"/>
                      <w:szCs w:val="21"/>
                    </w:rPr>
                  </w:pPr>
                  <w:r>
                    <w:rPr>
                      <w:rFonts w:hint="eastAsia"/>
                      <w:color w:val="auto"/>
                      <w:szCs w:val="21"/>
                    </w:rPr>
                    <w:t>办公室</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位于厂房南侧中部</w:t>
                  </w:r>
                  <w:r>
                    <w:rPr>
                      <w:color w:val="auto"/>
                      <w:szCs w:val="21"/>
                    </w:rPr>
                    <w:t>，占地面积约为</w:t>
                  </w:r>
                  <w:r>
                    <w:rPr>
                      <w:rFonts w:hint="eastAsia"/>
                      <w:color w:val="auto"/>
                      <w:szCs w:val="21"/>
                    </w:rPr>
                    <w:t>60</w:t>
                  </w:r>
                  <w:r>
                    <w:rPr>
                      <w:color w:val="auto"/>
                      <w:szCs w:val="21"/>
                    </w:rPr>
                    <w:t>㎡</w:t>
                  </w:r>
                  <w:r>
                    <w:rPr>
                      <w:rFonts w:hint="eastAsia"/>
                      <w:color w:val="auto"/>
                      <w:szCs w:val="21"/>
                    </w:rPr>
                    <w:t>，用于员工办公等</w:t>
                  </w:r>
                </w:p>
              </w:tc>
              <w:tc>
                <w:tcPr>
                  <w:tcW w:w="613" w:type="dxa"/>
                  <w:vAlign w:val="center"/>
                </w:tcPr>
                <w:p>
                  <w:pPr>
                    <w:adjustRightInd w:val="0"/>
                    <w:snapToGrid w:val="0"/>
                    <w:ind w:left="-63" w:leftChars="-30" w:right="-63" w:rightChars="-30"/>
                    <w:jc w:val="center"/>
                    <w:rPr>
                      <w:color w:val="auto"/>
                      <w:szCs w:val="21"/>
                    </w:rPr>
                  </w:pPr>
                  <w:r>
                    <w:rPr>
                      <w:rFonts w:hint="eastAsia"/>
                      <w:color w:val="auto"/>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color w:val="auto"/>
                      <w:szCs w:val="21"/>
                    </w:rPr>
                  </w:pPr>
                  <w:r>
                    <w:rPr>
                      <w:color w:val="auto"/>
                      <w:szCs w:val="21"/>
                    </w:rPr>
                    <w:t>储运工程</w:t>
                  </w:r>
                </w:p>
              </w:tc>
              <w:tc>
                <w:tcPr>
                  <w:tcW w:w="1397" w:type="dxa"/>
                  <w:vAlign w:val="center"/>
                </w:tcPr>
                <w:p>
                  <w:pPr>
                    <w:autoSpaceDE w:val="0"/>
                    <w:autoSpaceDN w:val="0"/>
                    <w:adjustRightInd w:val="0"/>
                    <w:snapToGrid w:val="0"/>
                    <w:ind w:left="-63" w:leftChars="-30" w:right="-63" w:rightChars="-30"/>
                    <w:jc w:val="center"/>
                    <w:rPr>
                      <w:color w:val="auto"/>
                      <w:szCs w:val="21"/>
                    </w:rPr>
                  </w:pPr>
                  <w:r>
                    <w:rPr>
                      <w:rFonts w:hint="eastAsia"/>
                      <w:color w:val="auto"/>
                      <w:szCs w:val="21"/>
                    </w:rPr>
                    <w:t>半成品、成品暂存区</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位于厂房南侧，</w:t>
                  </w:r>
                  <w:r>
                    <w:rPr>
                      <w:color w:val="auto"/>
                      <w:szCs w:val="21"/>
                    </w:rPr>
                    <w:t>占地面积为</w:t>
                  </w:r>
                  <w:r>
                    <w:rPr>
                      <w:rFonts w:hint="eastAsia"/>
                      <w:color w:val="auto"/>
                      <w:szCs w:val="21"/>
                    </w:rPr>
                    <w:t>1400</w:t>
                  </w:r>
                  <w:r>
                    <w:rPr>
                      <w:color w:val="auto"/>
                      <w:szCs w:val="21"/>
                    </w:rPr>
                    <w:t>㎡，</w:t>
                  </w:r>
                  <w:r>
                    <w:rPr>
                      <w:rFonts w:hint="eastAsia"/>
                      <w:color w:val="auto"/>
                      <w:szCs w:val="21"/>
                    </w:rPr>
                    <w:t>用于半成品、成品暂存</w:t>
                  </w:r>
                </w:p>
              </w:tc>
              <w:tc>
                <w:tcPr>
                  <w:tcW w:w="613" w:type="dxa"/>
                  <w:vAlign w:val="center"/>
                </w:tcPr>
                <w:p>
                  <w:pPr>
                    <w:adjustRightInd w:val="0"/>
                    <w:snapToGrid w:val="0"/>
                    <w:ind w:left="-63" w:leftChars="-30" w:right="-63" w:rightChars="-30"/>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auto"/>
                      <w:szCs w:val="21"/>
                    </w:rPr>
                  </w:pPr>
                  <w:r>
                    <w:rPr>
                      <w:rFonts w:hint="eastAsia"/>
                      <w:color w:val="auto"/>
                      <w:szCs w:val="21"/>
                    </w:rPr>
                    <w:t>公用工程</w:t>
                  </w:r>
                </w:p>
              </w:tc>
              <w:tc>
                <w:tcPr>
                  <w:tcW w:w="1397" w:type="dxa"/>
                  <w:vAlign w:val="center"/>
                </w:tcPr>
                <w:p>
                  <w:pPr>
                    <w:adjustRightInd w:val="0"/>
                    <w:snapToGrid w:val="0"/>
                    <w:ind w:left="-63" w:leftChars="-30" w:right="-63" w:rightChars="-30"/>
                    <w:jc w:val="center"/>
                    <w:rPr>
                      <w:color w:val="auto"/>
                      <w:szCs w:val="21"/>
                    </w:rPr>
                  </w:pPr>
                  <w:r>
                    <w:rPr>
                      <w:color w:val="auto"/>
                      <w:szCs w:val="21"/>
                    </w:rPr>
                    <w:t>给水系统</w:t>
                  </w:r>
                </w:p>
              </w:tc>
              <w:tc>
                <w:tcPr>
                  <w:tcW w:w="5895" w:type="dxa"/>
                  <w:vAlign w:val="center"/>
                </w:tcPr>
                <w:p>
                  <w:pPr>
                    <w:adjustRightInd w:val="0"/>
                    <w:snapToGrid w:val="0"/>
                    <w:ind w:left="-63" w:leftChars="-30" w:right="-63" w:rightChars="-30"/>
                    <w:jc w:val="center"/>
                    <w:rPr>
                      <w:color w:val="auto"/>
                      <w:szCs w:val="21"/>
                    </w:rPr>
                  </w:pPr>
                  <w:r>
                    <w:rPr>
                      <w:color w:val="auto"/>
                      <w:szCs w:val="21"/>
                    </w:rPr>
                    <w:t>来自当地供水管网</w:t>
                  </w:r>
                  <w:r>
                    <w:rPr>
                      <w:rFonts w:hint="eastAsia"/>
                      <w:color w:val="auto"/>
                      <w:szCs w:val="21"/>
                    </w:rPr>
                    <w:t>，用水量为550t/a</w:t>
                  </w:r>
                </w:p>
              </w:tc>
              <w:tc>
                <w:tcPr>
                  <w:tcW w:w="613" w:type="dxa"/>
                  <w:vMerge w:val="restart"/>
                  <w:vAlign w:val="center"/>
                </w:tcPr>
                <w:p>
                  <w:pPr>
                    <w:adjustRightInd w:val="0"/>
                    <w:snapToGrid w:val="0"/>
                    <w:ind w:left="-63" w:leftChars="-30" w:right="-63" w:rightChars="-30"/>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color w:val="auto"/>
                      <w:szCs w:val="21"/>
                    </w:rPr>
                    <w:t>排水系统</w:t>
                  </w:r>
                </w:p>
              </w:tc>
              <w:tc>
                <w:tcPr>
                  <w:tcW w:w="5895" w:type="dxa"/>
                  <w:vAlign w:val="center"/>
                </w:tcPr>
                <w:p>
                  <w:pPr>
                    <w:adjustRightInd w:val="0"/>
                    <w:snapToGrid w:val="0"/>
                    <w:ind w:left="-63" w:leftChars="-30" w:right="-63" w:rightChars="-30"/>
                    <w:jc w:val="center"/>
                    <w:rPr>
                      <w:color w:val="auto"/>
                      <w:szCs w:val="21"/>
                    </w:rPr>
                  </w:pPr>
                  <w:r>
                    <w:rPr>
                      <w:color w:val="auto"/>
                      <w:szCs w:val="21"/>
                    </w:rPr>
                    <w:t>项目排水实行雨污分流</w:t>
                  </w:r>
                  <w:r>
                    <w:rPr>
                      <w:rFonts w:hint="eastAsia"/>
                      <w:color w:val="auto"/>
                      <w:szCs w:val="21"/>
                    </w:rPr>
                    <w:t>，排水量为364t/a</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color w:val="auto"/>
                      <w:szCs w:val="21"/>
                    </w:rPr>
                    <w:t>供电系统</w:t>
                  </w:r>
                </w:p>
              </w:tc>
              <w:tc>
                <w:tcPr>
                  <w:tcW w:w="5895" w:type="dxa"/>
                  <w:vAlign w:val="center"/>
                </w:tcPr>
                <w:p>
                  <w:pPr>
                    <w:adjustRightInd w:val="0"/>
                    <w:snapToGrid w:val="0"/>
                    <w:ind w:left="-63" w:leftChars="-30" w:right="-63" w:rightChars="-30"/>
                    <w:jc w:val="center"/>
                    <w:rPr>
                      <w:color w:val="auto"/>
                      <w:szCs w:val="21"/>
                    </w:rPr>
                  </w:pPr>
                  <w:r>
                    <w:rPr>
                      <w:color w:val="auto"/>
                      <w:szCs w:val="21"/>
                    </w:rPr>
                    <w:t>来自当地市政电网</w:t>
                  </w:r>
                  <w:r>
                    <w:rPr>
                      <w:rFonts w:hint="eastAsia"/>
                      <w:color w:val="auto"/>
                      <w:szCs w:val="21"/>
                    </w:rPr>
                    <w:t>，用电量为150万</w:t>
                  </w:r>
                  <w:r>
                    <w:rPr>
                      <w:color w:val="auto"/>
                      <w:szCs w:val="21"/>
                    </w:rPr>
                    <w:t>kW·h/a</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auto"/>
                      <w:szCs w:val="21"/>
                    </w:rPr>
                  </w:pPr>
                  <w:r>
                    <w:rPr>
                      <w:color w:val="auto"/>
                      <w:szCs w:val="21"/>
                    </w:rPr>
                    <w:t>环保工程</w:t>
                  </w:r>
                </w:p>
              </w:tc>
              <w:tc>
                <w:tcPr>
                  <w:tcW w:w="1397" w:type="dxa"/>
                  <w:vAlign w:val="center"/>
                </w:tcPr>
                <w:p>
                  <w:pPr>
                    <w:adjustRightInd w:val="0"/>
                    <w:snapToGrid w:val="0"/>
                    <w:ind w:left="-63" w:leftChars="-30" w:right="-63" w:rightChars="-30"/>
                    <w:jc w:val="center"/>
                    <w:rPr>
                      <w:color w:val="auto"/>
                      <w:szCs w:val="21"/>
                    </w:rPr>
                  </w:pPr>
                  <w:r>
                    <w:rPr>
                      <w:color w:val="auto"/>
                      <w:szCs w:val="21"/>
                    </w:rPr>
                    <w:t>废水处理</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生活污水经化粪池收集后与冷却废水接管至</w:t>
                  </w:r>
                  <w:r>
                    <w:rPr>
                      <w:rFonts w:hint="eastAsia"/>
                      <w:color w:val="auto"/>
                      <w:szCs w:val="21"/>
                      <w:lang w:eastAsia="zh-CN"/>
                    </w:rPr>
                    <w:t>蚌埠铜陵现代产业园污水处理厂</w:t>
                  </w:r>
                  <w:r>
                    <w:rPr>
                      <w:rFonts w:hint="eastAsia"/>
                      <w:color w:val="auto"/>
                      <w:szCs w:val="21"/>
                    </w:rPr>
                    <w:t>处理最终排入北淝河</w:t>
                  </w:r>
                </w:p>
              </w:tc>
              <w:tc>
                <w:tcPr>
                  <w:tcW w:w="613" w:type="dxa"/>
                  <w:vMerge w:val="restart"/>
                  <w:vAlign w:val="center"/>
                </w:tcPr>
                <w:p>
                  <w:pPr>
                    <w:adjustRightInd w:val="0"/>
                    <w:snapToGrid w:val="0"/>
                    <w:ind w:left="-63" w:leftChars="-30" w:right="-63" w:rightChars="-30"/>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rFonts w:hint="eastAsia"/>
                      <w:color w:val="auto"/>
                      <w:szCs w:val="21"/>
                    </w:rPr>
                    <w:t>废气处理</w:t>
                  </w:r>
                </w:p>
              </w:tc>
              <w:tc>
                <w:tcPr>
                  <w:tcW w:w="5895" w:type="dxa"/>
                  <w:vAlign w:val="center"/>
                </w:tcPr>
                <w:p>
                  <w:pPr>
                    <w:adjustRightInd w:val="0"/>
                    <w:snapToGrid w:val="0"/>
                    <w:ind w:left="-63" w:leftChars="-30" w:right="-63" w:rightChars="-30"/>
                    <w:jc w:val="center"/>
                    <w:rPr>
                      <w:color w:val="auto"/>
                      <w:szCs w:val="21"/>
                    </w:rPr>
                  </w:pPr>
                  <w:r>
                    <w:rPr>
                      <w:rFonts w:hint="eastAsia"/>
                      <w:color w:val="auto"/>
                      <w:szCs w:val="21"/>
                    </w:rPr>
                    <w:t>注塑废气</w:t>
                  </w:r>
                  <w:r>
                    <w:rPr>
                      <w:rFonts w:hint="eastAsia"/>
                      <w:color w:val="auto"/>
                      <w:szCs w:val="21"/>
                      <w:lang w:eastAsia="zh-CN"/>
                    </w:rPr>
                    <w:t>、</w:t>
                  </w:r>
                  <w:r>
                    <w:rPr>
                      <w:rFonts w:hint="eastAsia"/>
                      <w:color w:val="auto"/>
                      <w:szCs w:val="21"/>
                      <w:lang w:val="en-US" w:eastAsia="zh-CN"/>
                    </w:rPr>
                    <w:t>热转印废气</w:t>
                  </w:r>
                  <w:r>
                    <w:rPr>
                      <w:rFonts w:hint="eastAsia"/>
                      <w:color w:val="auto"/>
                      <w:szCs w:val="21"/>
                    </w:rPr>
                    <w:t>经集气罩收集后由二级活性炭吸附装置处理后通过一根15m高排气筒（DA001）排放；破碎于密闭破碎间进行，并要求进行破碎作业时加盖封闭，作业结束先静置一段时间后再开盖，破碎粉尘</w:t>
                  </w:r>
                  <w:r>
                    <w:rPr>
                      <w:rFonts w:hint="eastAsia"/>
                      <w:color w:val="auto"/>
                      <w:szCs w:val="21"/>
                      <w:lang w:val="en-US" w:eastAsia="zh-CN"/>
                    </w:rPr>
                    <w:t>经布袋除尘后</w:t>
                  </w:r>
                  <w:r>
                    <w:rPr>
                      <w:rFonts w:hint="eastAsia"/>
                      <w:color w:val="auto"/>
                      <w:szCs w:val="21"/>
                    </w:rPr>
                    <w:t>车间内无组织排放</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color w:val="auto"/>
                      <w:szCs w:val="21"/>
                    </w:rPr>
                    <w:t>噪声防治</w:t>
                  </w:r>
                </w:p>
              </w:tc>
              <w:tc>
                <w:tcPr>
                  <w:tcW w:w="5895" w:type="dxa"/>
                  <w:vAlign w:val="center"/>
                </w:tcPr>
                <w:p>
                  <w:pPr>
                    <w:adjustRightInd w:val="0"/>
                    <w:snapToGrid w:val="0"/>
                    <w:ind w:left="-63" w:leftChars="-30" w:right="-63" w:rightChars="-30"/>
                    <w:jc w:val="center"/>
                    <w:rPr>
                      <w:color w:val="auto"/>
                      <w:szCs w:val="21"/>
                    </w:rPr>
                  </w:pPr>
                  <w:r>
                    <w:rPr>
                      <w:color w:val="auto"/>
                      <w:szCs w:val="21"/>
                    </w:rPr>
                    <w:t>选用低噪声设备，采取厂房隔声、基础减振等降噪措施进行处理</w:t>
                  </w:r>
                </w:p>
              </w:tc>
              <w:tc>
                <w:tcPr>
                  <w:tcW w:w="613" w:type="dxa"/>
                  <w:vMerge w:val="continue"/>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auto"/>
                      <w:szCs w:val="21"/>
                    </w:rPr>
                  </w:pPr>
                </w:p>
              </w:tc>
              <w:tc>
                <w:tcPr>
                  <w:tcW w:w="1397" w:type="dxa"/>
                  <w:vAlign w:val="center"/>
                </w:tcPr>
                <w:p>
                  <w:pPr>
                    <w:adjustRightInd w:val="0"/>
                    <w:snapToGrid w:val="0"/>
                    <w:ind w:left="-63" w:leftChars="-30" w:right="-63" w:rightChars="-30"/>
                    <w:jc w:val="center"/>
                    <w:rPr>
                      <w:color w:val="auto"/>
                      <w:szCs w:val="21"/>
                    </w:rPr>
                  </w:pPr>
                  <w:r>
                    <w:rPr>
                      <w:color w:val="auto"/>
                      <w:szCs w:val="21"/>
                    </w:rPr>
                    <w:t>固废处理</w:t>
                  </w:r>
                </w:p>
              </w:tc>
              <w:tc>
                <w:tcPr>
                  <w:tcW w:w="5895" w:type="dxa"/>
                  <w:vAlign w:val="center"/>
                </w:tcPr>
                <w:p>
                  <w:pPr>
                    <w:adjustRightInd w:val="0"/>
                    <w:snapToGrid w:val="0"/>
                    <w:ind w:left="-63" w:leftChars="-30" w:right="-63" w:rightChars="-30"/>
                    <w:jc w:val="center"/>
                    <w:rPr>
                      <w:color w:val="auto"/>
                      <w:szCs w:val="21"/>
                    </w:rPr>
                  </w:pPr>
                  <w:r>
                    <w:rPr>
                      <w:color w:val="auto"/>
                      <w:szCs w:val="21"/>
                    </w:rPr>
                    <w:t>一般固体废物</w:t>
                  </w:r>
                  <w:r>
                    <w:rPr>
                      <w:rFonts w:hint="eastAsia"/>
                      <w:color w:val="auto"/>
                      <w:szCs w:val="21"/>
                    </w:rPr>
                    <w:t>暂存于</w:t>
                  </w:r>
                  <w:r>
                    <w:rPr>
                      <w:color w:val="auto"/>
                      <w:szCs w:val="21"/>
                    </w:rPr>
                    <w:t>一般固废暂存间</w:t>
                  </w:r>
                  <w:r>
                    <w:rPr>
                      <w:rFonts w:hint="eastAsia"/>
                      <w:color w:val="auto"/>
                      <w:szCs w:val="21"/>
                    </w:rPr>
                    <w:t>（</w:t>
                  </w:r>
                  <w:r>
                    <w:rPr>
                      <w:color w:val="auto"/>
                      <w:szCs w:val="21"/>
                    </w:rPr>
                    <w:t>10㎡</w:t>
                  </w:r>
                  <w:r>
                    <w:rPr>
                      <w:rFonts w:hint="eastAsia"/>
                      <w:color w:val="auto"/>
                      <w:szCs w:val="21"/>
                    </w:rPr>
                    <w:t>）</w:t>
                  </w:r>
                  <w:r>
                    <w:rPr>
                      <w:color w:val="auto"/>
                      <w:szCs w:val="21"/>
                    </w:rPr>
                    <w:t>；生活垃圾：设置垃圾桶；危险废物</w:t>
                  </w:r>
                  <w:r>
                    <w:rPr>
                      <w:rFonts w:hint="eastAsia"/>
                      <w:color w:val="auto"/>
                      <w:szCs w:val="21"/>
                    </w:rPr>
                    <w:t>暂存于</w:t>
                  </w:r>
                  <w:r>
                    <w:rPr>
                      <w:color w:val="auto"/>
                      <w:szCs w:val="21"/>
                    </w:rPr>
                    <w:t>危废暂存间</w:t>
                  </w:r>
                  <w:r>
                    <w:rPr>
                      <w:rFonts w:hint="eastAsia"/>
                      <w:color w:val="auto"/>
                      <w:szCs w:val="21"/>
                    </w:rPr>
                    <w:t>（10㎡）</w:t>
                  </w:r>
                </w:p>
              </w:tc>
              <w:tc>
                <w:tcPr>
                  <w:tcW w:w="613" w:type="dxa"/>
                  <w:vMerge w:val="continue"/>
                  <w:vAlign w:val="center"/>
                </w:tcPr>
                <w:p>
                  <w:pPr>
                    <w:adjustRightInd w:val="0"/>
                    <w:snapToGrid w:val="0"/>
                    <w:ind w:left="-63" w:leftChars="-30" w:right="-63" w:rightChars="-30"/>
                    <w:jc w:val="center"/>
                    <w:rPr>
                      <w:color w:val="auto"/>
                      <w:szCs w:val="21"/>
                    </w:rPr>
                  </w:pPr>
                </w:p>
              </w:tc>
            </w:tr>
          </w:tbl>
          <w:p>
            <w:pPr>
              <w:adjustRightInd w:val="0"/>
              <w:snapToGrid w:val="0"/>
              <w:spacing w:before="96" w:beforeLines="40" w:line="336" w:lineRule="auto"/>
              <w:ind w:firstLine="482" w:firstLineChars="200"/>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、产品方案</w:t>
            </w:r>
          </w:p>
          <w:p>
            <w:pPr>
              <w:adjustRightInd w:val="0"/>
              <w:snapToGrid w:val="0"/>
              <w:spacing w:line="336" w:lineRule="auto"/>
              <w:ind w:firstLine="480" w:firstLineChars="200"/>
              <w:rPr>
                <w:rFonts w:ascii="宋体" w:hAnsi="宋体" w:cs="宋体"/>
                <w:color w:val="auto"/>
                <w:sz w:val="24"/>
              </w:rPr>
            </w:pPr>
            <w:r>
              <w:rPr>
                <w:color w:val="auto"/>
                <w:sz w:val="24"/>
              </w:rPr>
              <w:t>项目具体产品方案见下表</w:t>
            </w:r>
            <w:r>
              <w:rPr>
                <w:rFonts w:hint="eastAsia" w:ascii="宋体" w:hAnsi="宋体" w:cs="宋体"/>
                <w:color w:val="auto"/>
                <w:sz w:val="24"/>
              </w:rPr>
              <w:t>。</w:t>
            </w:r>
          </w:p>
          <w:p>
            <w:pPr>
              <w:widowControl/>
              <w:adjustRightInd w:val="0"/>
              <w:snapToGrid w:val="0"/>
              <w:jc w:val="center"/>
              <w:rPr>
                <w:rFonts w:ascii="Times New Roman" w:hAnsi="Times New Roman" w:eastAsia="宋体" w:cs="Times New Roman"/>
                <w:b/>
                <w:color w:val="auto"/>
                <w:kern w:val="0"/>
                <w:sz w:val="24"/>
                <w:szCs w:val="24"/>
                <w:lang w:val="en-US" w:eastAsia="zh-CN" w:bidi="ar-SA"/>
              </w:rPr>
            </w:pPr>
            <w:r>
              <w:rPr>
                <w:rFonts w:ascii="Times New Roman" w:hAnsi="Times New Roman" w:eastAsia="宋体" w:cs="Times New Roman"/>
                <w:b/>
                <w:color w:val="auto"/>
                <w:kern w:val="0"/>
                <w:sz w:val="24"/>
                <w:szCs w:val="24"/>
                <w:lang w:val="en-US" w:eastAsia="zh-CN" w:bidi="ar-SA"/>
              </w:rPr>
              <w:t>表2-</w:t>
            </w:r>
            <w:r>
              <w:rPr>
                <w:rFonts w:hint="eastAsia" w:ascii="Times New Roman" w:hAnsi="Times New Roman" w:eastAsia="宋体" w:cs="Times New Roman"/>
                <w:b/>
                <w:color w:val="auto"/>
                <w:kern w:val="0"/>
                <w:sz w:val="24"/>
                <w:szCs w:val="24"/>
                <w:lang w:val="en-US" w:eastAsia="zh-CN" w:bidi="ar-SA"/>
              </w:rPr>
              <w:t>4</w:t>
            </w:r>
            <w:r>
              <w:rPr>
                <w:rFonts w:ascii="Times New Roman" w:hAnsi="Times New Roman" w:eastAsia="宋体" w:cs="Times New Roman"/>
                <w:b/>
                <w:color w:val="auto"/>
                <w:kern w:val="0"/>
                <w:sz w:val="24"/>
                <w:szCs w:val="24"/>
                <w:lang w:val="en-US" w:eastAsia="zh-CN" w:bidi="ar-SA"/>
              </w:rPr>
              <w:t xml:space="preserve">  项目产品方案一览表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704"/>
              <w:gridCol w:w="2228"/>
              <w:gridCol w:w="1371"/>
              <w:gridCol w:w="1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pct"/>
                  <w:vAlign w:val="center"/>
                </w:tcPr>
                <w:p>
                  <w:pPr>
                    <w:adjustRightInd w:val="0"/>
                    <w:snapToGrid w:val="0"/>
                    <w:jc w:val="center"/>
                    <w:rPr>
                      <w:rFonts w:eastAsia="宋体"/>
                      <w:b/>
                      <w:bCs/>
                      <w:color w:val="auto"/>
                      <w:szCs w:val="21"/>
                    </w:rPr>
                  </w:pPr>
                  <w:r>
                    <w:rPr>
                      <w:rFonts w:eastAsia="宋体"/>
                      <w:b/>
                      <w:bCs/>
                      <w:color w:val="auto"/>
                      <w:szCs w:val="21"/>
                    </w:rPr>
                    <w:t>序号</w:t>
                  </w:r>
                </w:p>
              </w:tc>
              <w:tc>
                <w:tcPr>
                  <w:tcW w:w="1509" w:type="pct"/>
                  <w:vAlign w:val="center"/>
                </w:tcPr>
                <w:p>
                  <w:pPr>
                    <w:adjustRightInd w:val="0"/>
                    <w:snapToGrid w:val="0"/>
                    <w:jc w:val="center"/>
                    <w:rPr>
                      <w:rFonts w:eastAsia="宋体"/>
                      <w:b/>
                      <w:bCs/>
                      <w:color w:val="auto"/>
                      <w:szCs w:val="21"/>
                    </w:rPr>
                  </w:pPr>
                  <w:r>
                    <w:rPr>
                      <w:rFonts w:hint="eastAsia" w:eastAsia="宋体"/>
                      <w:b/>
                      <w:bCs/>
                      <w:color w:val="auto"/>
                      <w:szCs w:val="21"/>
                    </w:rPr>
                    <w:t>产品</w:t>
                  </w:r>
                  <w:r>
                    <w:rPr>
                      <w:rFonts w:eastAsia="宋体"/>
                      <w:b/>
                      <w:bCs/>
                      <w:color w:val="auto"/>
                      <w:szCs w:val="21"/>
                    </w:rPr>
                    <w:t>名称</w:t>
                  </w:r>
                </w:p>
              </w:tc>
              <w:tc>
                <w:tcPr>
                  <w:tcW w:w="1243" w:type="pct"/>
                  <w:vAlign w:val="center"/>
                </w:tcPr>
                <w:p>
                  <w:pPr>
                    <w:adjustRightInd w:val="0"/>
                    <w:snapToGrid w:val="0"/>
                    <w:jc w:val="center"/>
                    <w:rPr>
                      <w:rFonts w:eastAsia="宋体"/>
                      <w:b/>
                      <w:bCs/>
                      <w:color w:val="auto"/>
                      <w:szCs w:val="21"/>
                    </w:rPr>
                  </w:pPr>
                  <w:r>
                    <w:rPr>
                      <w:rFonts w:eastAsia="宋体"/>
                      <w:b/>
                      <w:bCs/>
                      <w:color w:val="auto"/>
                      <w:szCs w:val="21"/>
                    </w:rPr>
                    <w:t>设计年产量</w:t>
                  </w:r>
                </w:p>
              </w:tc>
              <w:tc>
                <w:tcPr>
                  <w:tcW w:w="765" w:type="pct"/>
                  <w:vAlign w:val="center"/>
                </w:tcPr>
                <w:p>
                  <w:pPr>
                    <w:adjustRightInd w:val="0"/>
                    <w:snapToGrid w:val="0"/>
                    <w:jc w:val="center"/>
                    <w:rPr>
                      <w:rFonts w:eastAsia="宋体"/>
                      <w:b/>
                      <w:bCs/>
                      <w:color w:val="auto"/>
                      <w:szCs w:val="21"/>
                    </w:rPr>
                  </w:pPr>
                  <w:r>
                    <w:rPr>
                      <w:rFonts w:eastAsia="宋体"/>
                      <w:b/>
                      <w:bCs/>
                      <w:color w:val="auto"/>
                      <w:szCs w:val="21"/>
                    </w:rPr>
                    <w:t>单位</w:t>
                  </w:r>
                </w:p>
              </w:tc>
              <w:tc>
                <w:tcPr>
                  <w:tcW w:w="765" w:type="pct"/>
                  <w:vAlign w:val="center"/>
                </w:tcPr>
                <w:p>
                  <w:pPr>
                    <w:adjustRightInd w:val="0"/>
                    <w:snapToGrid w:val="0"/>
                    <w:jc w:val="center"/>
                    <w:rPr>
                      <w:rFonts w:hint="eastAsia" w:eastAsia="宋体"/>
                      <w:b/>
                      <w:bCs/>
                      <w:color w:val="auto"/>
                      <w:szCs w:val="21"/>
                      <w:lang w:val="en-US" w:eastAsia="zh-CN"/>
                    </w:rPr>
                  </w:pPr>
                  <w:r>
                    <w:rPr>
                      <w:rFonts w:hint="eastAsia" w:eastAsia="宋体"/>
                      <w:b/>
                      <w:bCs/>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Align w:val="center"/>
                </w:tcPr>
                <w:p>
                  <w:pPr>
                    <w:adjustRightInd w:val="0"/>
                    <w:snapToGrid w:val="0"/>
                    <w:jc w:val="center"/>
                    <w:rPr>
                      <w:rFonts w:eastAsia="宋体"/>
                      <w:color w:val="auto"/>
                      <w:szCs w:val="21"/>
                    </w:rPr>
                  </w:pPr>
                  <w:r>
                    <w:rPr>
                      <w:rFonts w:hint="eastAsia" w:eastAsia="宋体"/>
                      <w:color w:val="auto"/>
                      <w:szCs w:val="21"/>
                    </w:rPr>
                    <w:t>1</w:t>
                  </w:r>
                </w:p>
              </w:tc>
              <w:tc>
                <w:tcPr>
                  <w:tcW w:w="1509" w:type="pct"/>
                  <w:vMerge w:val="restart"/>
                  <w:vAlign w:val="center"/>
                </w:tcPr>
                <w:p>
                  <w:pPr>
                    <w:jc w:val="center"/>
                    <w:rPr>
                      <w:rFonts w:hint="default" w:eastAsia="宋体"/>
                      <w:color w:val="auto"/>
                      <w:szCs w:val="21"/>
                      <w:lang w:val="en-US" w:eastAsia="zh-CN"/>
                    </w:rPr>
                  </w:pPr>
                  <w:r>
                    <w:rPr>
                      <w:rFonts w:hint="eastAsia" w:eastAsia="宋体"/>
                      <w:color w:val="auto"/>
                      <w:szCs w:val="21"/>
                      <w:lang w:val="en-US" w:eastAsia="zh-CN"/>
                    </w:rPr>
                    <w:t>智能显温器材</w:t>
                  </w:r>
                  <w:r>
                    <w:rPr>
                      <w:rFonts w:hint="eastAsia" w:eastAsia="宋体"/>
                      <w:color w:val="auto"/>
                      <w:szCs w:val="21"/>
                      <w:highlight w:val="none"/>
                      <w:lang w:val="en-US" w:eastAsia="zh-CN"/>
                    </w:rPr>
                    <w:t>（智能显温保温壶）</w:t>
                  </w:r>
                </w:p>
              </w:tc>
              <w:tc>
                <w:tcPr>
                  <w:tcW w:w="1243" w:type="pct"/>
                  <w:vAlign w:val="center"/>
                </w:tcPr>
                <w:p>
                  <w:pPr>
                    <w:jc w:val="center"/>
                    <w:rPr>
                      <w:rFonts w:hint="eastAsia" w:eastAsia="宋体"/>
                      <w:color w:val="auto"/>
                      <w:szCs w:val="21"/>
                      <w:lang w:val="en-US" w:eastAsia="zh-CN"/>
                    </w:rPr>
                  </w:pPr>
                  <w:r>
                    <w:rPr>
                      <w:rFonts w:hint="eastAsia" w:eastAsia="宋体"/>
                      <w:color w:val="auto"/>
                      <w:szCs w:val="21"/>
                      <w:lang w:val="en-US" w:eastAsia="zh-CN"/>
                    </w:rPr>
                    <w:t>10万</w:t>
                  </w:r>
                </w:p>
              </w:tc>
              <w:tc>
                <w:tcPr>
                  <w:tcW w:w="765" w:type="pct"/>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只</w:t>
                  </w:r>
                </w:p>
              </w:tc>
              <w:tc>
                <w:tcPr>
                  <w:tcW w:w="765" w:type="pct"/>
                  <w:vAlign w:val="center"/>
                </w:tcPr>
                <w:p>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需热转印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pct"/>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2</w:t>
                  </w:r>
                </w:p>
              </w:tc>
              <w:tc>
                <w:tcPr>
                  <w:tcW w:w="1509" w:type="pct"/>
                  <w:vMerge w:val="continue"/>
                  <w:vAlign w:val="center"/>
                </w:tcPr>
                <w:p>
                  <w:pPr>
                    <w:jc w:val="center"/>
                    <w:rPr>
                      <w:rFonts w:hint="eastAsia" w:eastAsia="宋体"/>
                      <w:color w:val="auto"/>
                      <w:szCs w:val="21"/>
                      <w:lang w:val="en-US" w:eastAsia="zh-CN"/>
                    </w:rPr>
                  </w:pPr>
                </w:p>
              </w:tc>
              <w:tc>
                <w:tcPr>
                  <w:tcW w:w="1243" w:type="pct"/>
                  <w:vAlign w:val="center"/>
                </w:tcPr>
                <w:p>
                  <w:pPr>
                    <w:jc w:val="center"/>
                    <w:rPr>
                      <w:rFonts w:hint="default" w:eastAsia="宋体"/>
                      <w:color w:val="auto"/>
                      <w:szCs w:val="21"/>
                      <w:lang w:val="en-US" w:eastAsia="zh-CN"/>
                    </w:rPr>
                  </w:pPr>
                  <w:r>
                    <w:rPr>
                      <w:rFonts w:hint="eastAsia" w:eastAsia="宋体"/>
                      <w:color w:val="auto"/>
                      <w:szCs w:val="21"/>
                      <w:lang w:val="en-US" w:eastAsia="zh-CN"/>
                    </w:rPr>
                    <w:t>120万</w:t>
                  </w:r>
                </w:p>
              </w:tc>
              <w:tc>
                <w:tcPr>
                  <w:tcW w:w="765" w:type="pct"/>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只</w:t>
                  </w:r>
                </w:p>
              </w:tc>
              <w:tc>
                <w:tcPr>
                  <w:tcW w:w="765" w:type="pct"/>
                  <w:vAlign w:val="center"/>
                </w:tcPr>
                <w:p>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需挂吊牌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pct"/>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3</w:t>
                  </w:r>
                </w:p>
              </w:tc>
              <w:tc>
                <w:tcPr>
                  <w:tcW w:w="1509" w:type="pct"/>
                  <w:vMerge w:val="continue"/>
                  <w:vAlign w:val="center"/>
                </w:tcPr>
                <w:p>
                  <w:pPr>
                    <w:jc w:val="center"/>
                    <w:rPr>
                      <w:rFonts w:hint="eastAsia" w:eastAsia="宋体"/>
                      <w:color w:val="auto"/>
                      <w:szCs w:val="21"/>
                      <w:lang w:val="en-US" w:eastAsia="zh-CN"/>
                    </w:rPr>
                  </w:pPr>
                </w:p>
              </w:tc>
              <w:tc>
                <w:tcPr>
                  <w:tcW w:w="1243" w:type="pct"/>
                  <w:vAlign w:val="center"/>
                </w:tcPr>
                <w:p>
                  <w:pPr>
                    <w:jc w:val="center"/>
                    <w:rPr>
                      <w:rFonts w:hint="default" w:eastAsia="宋体"/>
                      <w:color w:val="auto"/>
                      <w:szCs w:val="21"/>
                      <w:lang w:val="en-US" w:eastAsia="zh-CN"/>
                    </w:rPr>
                  </w:pPr>
                  <w:r>
                    <w:rPr>
                      <w:rFonts w:hint="eastAsia" w:eastAsia="宋体"/>
                      <w:color w:val="auto"/>
                      <w:szCs w:val="21"/>
                      <w:lang w:val="en-US" w:eastAsia="zh-CN"/>
                    </w:rPr>
                    <w:t>70万</w:t>
                  </w:r>
                </w:p>
              </w:tc>
              <w:tc>
                <w:tcPr>
                  <w:tcW w:w="765" w:type="pct"/>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只</w:t>
                  </w:r>
                </w:p>
              </w:tc>
              <w:tc>
                <w:tcPr>
                  <w:tcW w:w="765" w:type="pct"/>
                  <w:vAlign w:val="center"/>
                </w:tcPr>
                <w:p>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需贴标签纸</w:t>
                  </w: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注：本项目产品智能显温器材由塑料壶盖、塑料壶身、塑料壶底、玻璃内胆、智能显示屏等主要部分组成，其中玻璃内胆、智能显示屏为外购，塑料壶盖、塑料壶身、塑料壶底为本项目通过注塑工艺生产，具体生产方案如下表所示。</w:t>
            </w:r>
          </w:p>
          <w:p>
            <w:pPr>
              <w:widowControl/>
              <w:adjustRightInd w:val="0"/>
              <w:snapToGrid w:val="0"/>
              <w:jc w:val="center"/>
              <w:rPr>
                <w:rFonts w:ascii="Times New Roman" w:hAnsi="Times New Roman" w:eastAsia="宋体" w:cs="Times New Roman"/>
                <w:b/>
                <w:color w:val="auto"/>
                <w:kern w:val="0"/>
                <w:sz w:val="24"/>
                <w:szCs w:val="24"/>
                <w:lang w:val="en-US" w:eastAsia="zh-CN" w:bidi="ar-SA"/>
              </w:rPr>
            </w:pPr>
            <w:r>
              <w:rPr>
                <w:rFonts w:ascii="Times New Roman" w:hAnsi="Times New Roman" w:eastAsia="宋体" w:cs="Times New Roman"/>
                <w:b/>
                <w:color w:val="auto"/>
                <w:kern w:val="0"/>
                <w:sz w:val="24"/>
                <w:szCs w:val="24"/>
                <w:lang w:val="en-US" w:eastAsia="zh-CN" w:bidi="ar-SA"/>
              </w:rPr>
              <w:t>表2-</w:t>
            </w:r>
            <w:r>
              <w:rPr>
                <w:rFonts w:hint="eastAsia" w:ascii="Times New Roman" w:hAnsi="Times New Roman" w:eastAsia="宋体" w:cs="Times New Roman"/>
                <w:b/>
                <w:color w:val="auto"/>
                <w:kern w:val="0"/>
                <w:sz w:val="24"/>
                <w:szCs w:val="24"/>
                <w:lang w:val="en-US" w:eastAsia="zh-CN" w:bidi="ar-SA"/>
              </w:rPr>
              <w:t>5</w:t>
            </w:r>
            <w:r>
              <w:rPr>
                <w:rFonts w:ascii="Times New Roman" w:hAnsi="Times New Roman" w:eastAsia="宋体" w:cs="Times New Roman"/>
                <w:b/>
                <w:color w:val="auto"/>
                <w:kern w:val="0"/>
                <w:sz w:val="24"/>
                <w:szCs w:val="24"/>
                <w:lang w:val="en-US" w:eastAsia="zh-CN" w:bidi="ar-SA"/>
              </w:rPr>
              <w:t xml:space="preserve">  项目</w:t>
            </w:r>
            <w:r>
              <w:rPr>
                <w:rFonts w:hint="eastAsia" w:ascii="Times New Roman" w:hAnsi="Times New Roman" w:eastAsia="宋体" w:cs="Times New Roman"/>
                <w:b/>
                <w:color w:val="auto"/>
                <w:kern w:val="0"/>
                <w:sz w:val="24"/>
                <w:szCs w:val="24"/>
                <w:lang w:val="en-US" w:eastAsia="zh-CN" w:bidi="ar-SA"/>
              </w:rPr>
              <w:t>注塑件生产</w:t>
            </w:r>
            <w:r>
              <w:rPr>
                <w:rFonts w:ascii="Times New Roman" w:hAnsi="Times New Roman" w:eastAsia="宋体" w:cs="Times New Roman"/>
                <w:b/>
                <w:color w:val="auto"/>
                <w:kern w:val="0"/>
                <w:sz w:val="24"/>
                <w:szCs w:val="24"/>
                <w:lang w:val="en-US" w:eastAsia="zh-CN" w:bidi="ar-SA"/>
              </w:rPr>
              <w:t>方案一览表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59"/>
              <w:gridCol w:w="660"/>
              <w:gridCol w:w="841"/>
              <w:gridCol w:w="841"/>
              <w:gridCol w:w="807"/>
              <w:gridCol w:w="1112"/>
              <w:gridCol w:w="886"/>
              <w:gridCol w:w="674"/>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eastAsia="宋体"/>
                      <w:b/>
                      <w:bCs/>
                      <w:color w:val="auto"/>
                      <w:szCs w:val="21"/>
                      <w:highlight w:val="none"/>
                    </w:rPr>
                  </w:pPr>
                  <w:r>
                    <w:rPr>
                      <w:rFonts w:eastAsia="宋体"/>
                      <w:b/>
                      <w:bCs/>
                      <w:color w:val="auto"/>
                      <w:szCs w:val="21"/>
                      <w:highlight w:val="none"/>
                    </w:rPr>
                    <w:t>序号</w:t>
                  </w:r>
                </w:p>
              </w:tc>
              <w:tc>
                <w:tcPr>
                  <w:tcW w:w="981" w:type="pct"/>
                  <w:noWrap w:val="0"/>
                  <w:vAlign w:val="center"/>
                </w:tcPr>
                <w:p>
                  <w:pPr>
                    <w:adjustRightInd w:val="0"/>
                    <w:snapToGrid w:val="0"/>
                    <w:jc w:val="center"/>
                    <w:rPr>
                      <w:rFonts w:eastAsia="宋体"/>
                      <w:b/>
                      <w:bCs/>
                      <w:color w:val="auto"/>
                      <w:szCs w:val="21"/>
                      <w:highlight w:val="none"/>
                    </w:rPr>
                  </w:pPr>
                  <w:r>
                    <w:rPr>
                      <w:rFonts w:hint="eastAsia" w:eastAsia="宋体"/>
                      <w:b/>
                      <w:bCs/>
                      <w:color w:val="auto"/>
                      <w:szCs w:val="21"/>
                      <w:highlight w:val="none"/>
                      <w:lang w:val="en-US" w:eastAsia="zh-CN"/>
                    </w:rPr>
                    <w:t>注塑件</w:t>
                  </w:r>
                  <w:r>
                    <w:rPr>
                      <w:rFonts w:eastAsia="宋体"/>
                      <w:b/>
                      <w:bCs/>
                      <w:color w:val="auto"/>
                      <w:szCs w:val="21"/>
                      <w:highlight w:val="none"/>
                    </w:rPr>
                    <w:t>名称</w:t>
                  </w:r>
                </w:p>
              </w:tc>
              <w:tc>
                <w:tcPr>
                  <w:tcW w:w="368" w:type="pct"/>
                  <w:noWrap w:val="0"/>
                  <w:vAlign w:val="center"/>
                </w:tcPr>
                <w:p>
                  <w:pPr>
                    <w:adjustRightInd w:val="0"/>
                    <w:snapToGrid w:val="0"/>
                    <w:jc w:val="center"/>
                    <w:rPr>
                      <w:rFonts w:hint="eastAsia" w:eastAsia="宋体"/>
                      <w:b/>
                      <w:bCs/>
                      <w:color w:val="auto"/>
                      <w:szCs w:val="21"/>
                      <w:highlight w:val="none"/>
                      <w:lang w:val="en-US" w:eastAsia="zh-CN"/>
                    </w:rPr>
                  </w:pPr>
                  <w:r>
                    <w:rPr>
                      <w:rFonts w:hint="eastAsia" w:eastAsia="宋体"/>
                      <w:b/>
                      <w:bCs/>
                      <w:color w:val="auto"/>
                      <w:szCs w:val="21"/>
                      <w:highlight w:val="none"/>
                      <w:lang w:val="en-US" w:eastAsia="zh-CN"/>
                    </w:rPr>
                    <w:t>容量</w:t>
                  </w:r>
                </w:p>
              </w:tc>
              <w:tc>
                <w:tcPr>
                  <w:tcW w:w="469"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eastAsia="宋体"/>
                      <w:b/>
                      <w:bCs/>
                      <w:color w:val="auto"/>
                      <w:szCs w:val="21"/>
                      <w:highlight w:val="none"/>
                      <w:lang w:val="en-US" w:eastAsia="zh-CN"/>
                    </w:rPr>
                    <w:t>直径</w:t>
                  </w:r>
                </w:p>
              </w:tc>
              <w:tc>
                <w:tcPr>
                  <w:tcW w:w="469" w:type="pct"/>
                  <w:noWrap w:val="0"/>
                  <w:vAlign w:val="center"/>
                </w:tcPr>
                <w:p>
                  <w:pPr>
                    <w:adjustRightInd w:val="0"/>
                    <w:snapToGrid w:val="0"/>
                    <w:jc w:val="center"/>
                    <w:rPr>
                      <w:rFonts w:hint="eastAsia" w:eastAsia="宋体"/>
                      <w:b/>
                      <w:bCs/>
                      <w:color w:val="auto"/>
                      <w:szCs w:val="21"/>
                      <w:highlight w:val="none"/>
                      <w:lang w:val="en-US" w:eastAsia="zh-CN"/>
                    </w:rPr>
                  </w:pPr>
                  <w:r>
                    <w:rPr>
                      <w:rFonts w:hint="eastAsia" w:eastAsia="宋体"/>
                      <w:b/>
                      <w:bCs/>
                      <w:color w:val="auto"/>
                      <w:szCs w:val="21"/>
                      <w:highlight w:val="none"/>
                      <w:lang w:val="en-US" w:eastAsia="zh-CN"/>
                    </w:rPr>
                    <w:t>高度</w:t>
                  </w:r>
                </w:p>
              </w:tc>
              <w:tc>
                <w:tcPr>
                  <w:tcW w:w="450"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eastAsia="宋体"/>
                      <w:b/>
                      <w:bCs/>
                      <w:color w:val="auto"/>
                      <w:szCs w:val="21"/>
                      <w:highlight w:val="none"/>
                      <w:lang w:val="en-US" w:eastAsia="zh-CN"/>
                    </w:rPr>
                    <w:t>厚度</w:t>
                  </w:r>
                </w:p>
              </w:tc>
              <w:tc>
                <w:tcPr>
                  <w:tcW w:w="620"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eastAsia="宋体"/>
                      <w:b/>
                      <w:bCs/>
                      <w:color w:val="auto"/>
                      <w:szCs w:val="21"/>
                      <w:highlight w:val="none"/>
                      <w:lang w:val="en-US" w:eastAsia="zh-CN"/>
                    </w:rPr>
                    <w:t>密度</w:t>
                  </w:r>
                </w:p>
              </w:tc>
              <w:tc>
                <w:tcPr>
                  <w:tcW w:w="494" w:type="pct"/>
                  <w:noWrap w:val="0"/>
                  <w:vAlign w:val="center"/>
                </w:tcPr>
                <w:p>
                  <w:pPr>
                    <w:adjustRightInd w:val="0"/>
                    <w:snapToGrid w:val="0"/>
                    <w:jc w:val="center"/>
                    <w:rPr>
                      <w:rFonts w:hint="eastAsia" w:eastAsia="宋体"/>
                      <w:b/>
                      <w:bCs/>
                      <w:color w:val="auto"/>
                      <w:kern w:val="2"/>
                      <w:sz w:val="21"/>
                      <w:szCs w:val="21"/>
                      <w:highlight w:val="none"/>
                      <w:lang w:val="en-US" w:eastAsia="zh-CN" w:bidi="ar-SA"/>
                    </w:rPr>
                  </w:pPr>
                  <w:r>
                    <w:rPr>
                      <w:rFonts w:eastAsia="宋体"/>
                      <w:b/>
                      <w:bCs/>
                      <w:color w:val="auto"/>
                      <w:szCs w:val="21"/>
                      <w:highlight w:val="none"/>
                    </w:rPr>
                    <w:t>设计年产量</w:t>
                  </w:r>
                </w:p>
              </w:tc>
              <w:tc>
                <w:tcPr>
                  <w:tcW w:w="376" w:type="pct"/>
                  <w:noWrap w:val="0"/>
                  <w:vAlign w:val="center"/>
                </w:tcPr>
                <w:p>
                  <w:pPr>
                    <w:adjustRightInd w:val="0"/>
                    <w:snapToGrid w:val="0"/>
                    <w:jc w:val="center"/>
                    <w:rPr>
                      <w:rFonts w:eastAsia="宋体"/>
                      <w:b/>
                      <w:bCs/>
                      <w:color w:val="auto"/>
                      <w:szCs w:val="21"/>
                      <w:highlight w:val="none"/>
                    </w:rPr>
                  </w:pPr>
                  <w:r>
                    <w:rPr>
                      <w:rFonts w:eastAsia="宋体"/>
                      <w:b/>
                      <w:bCs/>
                      <w:color w:val="auto"/>
                      <w:szCs w:val="21"/>
                      <w:highlight w:val="none"/>
                    </w:rPr>
                    <w:t>单位</w:t>
                  </w:r>
                </w:p>
              </w:tc>
              <w:tc>
                <w:tcPr>
                  <w:tcW w:w="496"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eastAsia="宋体"/>
                      <w:b/>
                      <w:bCs/>
                      <w:color w:val="auto"/>
                      <w:szCs w:val="21"/>
                      <w:highlight w:val="none"/>
                      <w:lang w:val="en-US" w:eastAsia="zh-CN"/>
                    </w:rPr>
                    <w:t>总重量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eastAsia="宋体"/>
                      <w:color w:val="auto"/>
                      <w:szCs w:val="21"/>
                      <w:highlight w:val="none"/>
                    </w:rPr>
                  </w:pPr>
                  <w:r>
                    <w:rPr>
                      <w:rFonts w:eastAsia="宋体"/>
                      <w:color w:val="auto"/>
                      <w:szCs w:val="21"/>
                      <w:highlight w:val="none"/>
                    </w:rPr>
                    <w:t>1</w:t>
                  </w:r>
                </w:p>
              </w:tc>
              <w:tc>
                <w:tcPr>
                  <w:tcW w:w="981"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塑料壶盖</w:t>
                  </w:r>
                </w:p>
              </w:tc>
              <w:tc>
                <w:tcPr>
                  <w:tcW w:w="36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469"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13.5cm</w:t>
                  </w:r>
                </w:p>
              </w:tc>
              <w:tc>
                <w:tcPr>
                  <w:tcW w:w="469"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450" w:type="pct"/>
                  <w:noWrap w:val="0"/>
                  <w:vAlign w:val="center"/>
                </w:tcPr>
                <w:p>
                  <w:pPr>
                    <w:jc w:val="center"/>
                    <w:rPr>
                      <w:rFonts w:hint="default" w:eastAsia="宋体"/>
                      <w:color w:val="auto"/>
                      <w:szCs w:val="21"/>
                      <w:highlight w:val="none"/>
                      <w:lang w:val="en-US" w:eastAsia="zh-CN"/>
                    </w:rPr>
                  </w:pPr>
                  <w:r>
                    <w:rPr>
                      <w:rFonts w:hint="eastAsia" w:eastAsia="宋体"/>
                      <w:color w:val="auto"/>
                      <w:kern w:val="0"/>
                      <w:szCs w:val="21"/>
                      <w:highlight w:val="none"/>
                      <w:lang w:val="en-US" w:eastAsia="zh-CN"/>
                    </w:rPr>
                    <w:t>1.2mm</w:t>
                  </w:r>
                </w:p>
              </w:tc>
              <w:tc>
                <w:tcPr>
                  <w:tcW w:w="620" w:type="pct"/>
                  <w:vMerge w:val="restart"/>
                  <w:noWrap w:val="0"/>
                  <w:vAlign w:val="center"/>
                </w:tcPr>
                <w:p>
                  <w:pPr>
                    <w:jc w:val="center"/>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约0.91g/cm</w:t>
                  </w:r>
                  <w:r>
                    <w:rPr>
                      <w:rFonts w:hint="eastAsia" w:eastAsia="宋体"/>
                      <w:color w:val="auto"/>
                      <w:kern w:val="0"/>
                      <w:szCs w:val="21"/>
                      <w:highlight w:val="none"/>
                      <w:vertAlign w:val="superscript"/>
                      <w:lang w:val="en-US" w:eastAsia="zh-CN"/>
                    </w:rPr>
                    <w:t>3</w:t>
                  </w:r>
                </w:p>
              </w:tc>
              <w:tc>
                <w:tcPr>
                  <w:tcW w:w="494" w:type="pct"/>
                  <w:noWrap w:val="0"/>
                  <w:vAlign w:val="center"/>
                </w:tcPr>
                <w:p>
                  <w:pPr>
                    <w:jc w:val="center"/>
                    <w:rPr>
                      <w:rFonts w:hint="eastAsia"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200万</w:t>
                  </w:r>
                </w:p>
              </w:tc>
              <w:tc>
                <w:tcPr>
                  <w:tcW w:w="376"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只</w:t>
                  </w:r>
                </w:p>
                <w:p>
                  <w:pPr>
                    <w:adjustRightInd w:val="0"/>
                    <w:snapToGrid w:val="0"/>
                    <w:jc w:val="center"/>
                    <w:rPr>
                      <w:rFonts w:hint="eastAsia" w:eastAsia="宋体"/>
                      <w:color w:val="auto"/>
                      <w:szCs w:val="21"/>
                      <w:highlight w:val="none"/>
                      <w:lang w:eastAsia="zh-CN"/>
                    </w:rPr>
                  </w:pPr>
                </w:p>
              </w:tc>
              <w:tc>
                <w:tcPr>
                  <w:tcW w:w="49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约30t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w:t>
                  </w:r>
                </w:p>
              </w:tc>
              <w:tc>
                <w:tcPr>
                  <w:tcW w:w="981" w:type="pct"/>
                  <w:vMerge w:val="restar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塑料壶身</w:t>
                  </w:r>
                </w:p>
              </w:tc>
              <w:tc>
                <w:tcPr>
                  <w:tcW w:w="36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1.0L</w:t>
                  </w:r>
                </w:p>
              </w:tc>
              <w:tc>
                <w:tcPr>
                  <w:tcW w:w="469" w:type="pct"/>
                  <w:vMerge w:val="restar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13.5cm</w:t>
                  </w:r>
                </w:p>
              </w:tc>
              <w:tc>
                <w:tcPr>
                  <w:tcW w:w="46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kern w:val="0"/>
                      <w:szCs w:val="21"/>
                      <w:highlight w:val="none"/>
                      <w:lang w:val="en-US" w:eastAsia="zh-CN"/>
                    </w:rPr>
                    <w:t>24.5cm</w:t>
                  </w:r>
                </w:p>
              </w:tc>
              <w:tc>
                <w:tcPr>
                  <w:tcW w:w="450" w:type="pct"/>
                  <w:vMerge w:val="restart"/>
                  <w:noWrap w:val="0"/>
                  <w:vAlign w:val="center"/>
                </w:tcPr>
                <w:p>
                  <w:pPr>
                    <w:rPr>
                      <w:rFonts w:hint="eastAsia" w:eastAsia="宋体"/>
                      <w:color w:val="auto"/>
                      <w:lang w:val="en-US" w:eastAsia="zh-CN"/>
                    </w:rPr>
                  </w:pPr>
                  <w:r>
                    <w:rPr>
                      <w:rFonts w:hint="eastAsia" w:eastAsia="宋体"/>
                      <w:color w:val="auto"/>
                      <w:kern w:val="0"/>
                      <w:szCs w:val="21"/>
                      <w:highlight w:val="none"/>
                      <w:lang w:val="en-US" w:eastAsia="zh-CN"/>
                    </w:rPr>
                    <w:t>1.2mm</w:t>
                  </w:r>
                </w:p>
              </w:tc>
              <w:tc>
                <w:tcPr>
                  <w:tcW w:w="620" w:type="pct"/>
                  <w:vMerge w:val="continue"/>
                  <w:noWrap w:val="0"/>
                  <w:vAlign w:val="center"/>
                </w:tcPr>
                <w:p>
                  <w:pPr>
                    <w:rPr>
                      <w:rFonts w:hint="eastAsia" w:eastAsia="宋体"/>
                      <w:color w:val="auto"/>
                      <w:kern w:val="0"/>
                      <w:szCs w:val="21"/>
                      <w:highlight w:val="none"/>
                      <w:lang w:val="en-US" w:eastAsia="zh-CN"/>
                    </w:rPr>
                  </w:pPr>
                </w:p>
              </w:tc>
              <w:tc>
                <w:tcPr>
                  <w:tcW w:w="49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100万</w:t>
                  </w:r>
                </w:p>
              </w:tc>
              <w:tc>
                <w:tcPr>
                  <w:tcW w:w="376" w:type="pct"/>
                  <w:vMerge w:val="continue"/>
                  <w:noWrap w:val="0"/>
                  <w:vAlign w:val="center"/>
                </w:tcPr>
                <w:p>
                  <w:pPr>
                    <w:adjustRightInd w:val="0"/>
                    <w:snapToGrid w:val="0"/>
                    <w:jc w:val="center"/>
                    <w:rPr>
                      <w:rFonts w:hint="eastAsia" w:eastAsia="宋体"/>
                      <w:color w:val="auto"/>
                      <w:szCs w:val="21"/>
                      <w:highlight w:val="none"/>
                      <w:lang w:val="en-US" w:eastAsia="zh-CN"/>
                    </w:rPr>
                  </w:pPr>
                </w:p>
              </w:tc>
              <w:tc>
                <w:tcPr>
                  <w:tcW w:w="49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约110t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w:t>
                  </w:r>
                </w:p>
              </w:tc>
              <w:tc>
                <w:tcPr>
                  <w:tcW w:w="981" w:type="pct"/>
                  <w:vMerge w:val="continue"/>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36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1.3L</w:t>
                  </w:r>
                </w:p>
              </w:tc>
              <w:tc>
                <w:tcPr>
                  <w:tcW w:w="469" w:type="pct"/>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46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kern w:val="0"/>
                      <w:szCs w:val="21"/>
                      <w:highlight w:val="none"/>
                      <w:lang w:val="en-US" w:eastAsia="zh-CN"/>
                    </w:rPr>
                    <w:t>27.5cm</w:t>
                  </w:r>
                </w:p>
              </w:tc>
              <w:tc>
                <w:tcPr>
                  <w:tcW w:w="450" w:type="pct"/>
                  <w:vMerge w:val="continue"/>
                  <w:noWrap w:val="0"/>
                  <w:vAlign w:val="center"/>
                </w:tcPr>
                <w:p>
                  <w:pPr>
                    <w:jc w:val="center"/>
                    <w:rPr>
                      <w:rFonts w:hint="eastAsia" w:eastAsia="宋体"/>
                      <w:color w:val="auto"/>
                      <w:kern w:val="0"/>
                      <w:szCs w:val="21"/>
                      <w:highlight w:val="none"/>
                      <w:lang w:val="en-US" w:eastAsia="zh-CN"/>
                    </w:rPr>
                  </w:pPr>
                </w:p>
              </w:tc>
              <w:tc>
                <w:tcPr>
                  <w:tcW w:w="620" w:type="pct"/>
                  <w:vMerge w:val="continue"/>
                  <w:noWrap w:val="0"/>
                  <w:vAlign w:val="center"/>
                </w:tcPr>
                <w:p>
                  <w:pPr>
                    <w:jc w:val="center"/>
                    <w:rPr>
                      <w:rFonts w:hint="eastAsia" w:eastAsia="宋体"/>
                      <w:color w:val="auto"/>
                      <w:kern w:val="0"/>
                      <w:szCs w:val="21"/>
                      <w:highlight w:val="none"/>
                      <w:lang w:val="en-US" w:eastAsia="zh-CN"/>
                    </w:rPr>
                  </w:pPr>
                </w:p>
              </w:tc>
              <w:tc>
                <w:tcPr>
                  <w:tcW w:w="49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35万</w:t>
                  </w:r>
                </w:p>
              </w:tc>
              <w:tc>
                <w:tcPr>
                  <w:tcW w:w="376" w:type="pct"/>
                  <w:vMerge w:val="continue"/>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p>
              </w:tc>
              <w:tc>
                <w:tcPr>
                  <w:tcW w:w="49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约</w:t>
                  </w:r>
                  <w:r>
                    <w:rPr>
                      <w:rFonts w:hint="eastAsia" w:eastAsia="宋体" w:cs="Times New Roman"/>
                      <w:color w:val="auto"/>
                      <w:kern w:val="2"/>
                      <w:sz w:val="21"/>
                      <w:szCs w:val="21"/>
                      <w:highlight w:val="none"/>
                      <w:lang w:val="en-US" w:eastAsia="zh-CN" w:bidi="ar-SA"/>
                    </w:rPr>
                    <w:t>44</w:t>
                  </w:r>
                  <w:r>
                    <w:rPr>
                      <w:rFonts w:hint="eastAsia" w:eastAsia="宋体" w:cs="Times New Roman"/>
                      <w:color w:val="auto"/>
                      <w:szCs w:val="21"/>
                      <w:highlight w:val="none"/>
                      <w:lang w:val="en-US" w:eastAsia="zh-CN"/>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4</w:t>
                  </w:r>
                </w:p>
              </w:tc>
              <w:tc>
                <w:tcPr>
                  <w:tcW w:w="981" w:type="pct"/>
                  <w:vMerge w:val="continue"/>
                  <w:noWrap w:val="0"/>
                  <w:vAlign w:val="center"/>
                </w:tcPr>
                <w:p>
                  <w:pPr>
                    <w:jc w:val="center"/>
                    <w:rPr>
                      <w:rFonts w:hint="default" w:eastAsia="宋体"/>
                      <w:color w:val="auto"/>
                      <w:szCs w:val="21"/>
                      <w:highlight w:val="none"/>
                      <w:lang w:val="en-US" w:eastAsia="zh-CN"/>
                    </w:rPr>
                  </w:pPr>
                </w:p>
              </w:tc>
              <w:tc>
                <w:tcPr>
                  <w:tcW w:w="36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1.6L</w:t>
                  </w:r>
                </w:p>
              </w:tc>
              <w:tc>
                <w:tcPr>
                  <w:tcW w:w="469" w:type="pct"/>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46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kern w:val="0"/>
                      <w:szCs w:val="21"/>
                      <w:highlight w:val="none"/>
                      <w:lang w:val="en-US" w:eastAsia="zh-CN"/>
                    </w:rPr>
                    <w:t>29.5cm</w:t>
                  </w:r>
                </w:p>
              </w:tc>
              <w:tc>
                <w:tcPr>
                  <w:tcW w:w="450" w:type="pct"/>
                  <w:vMerge w:val="continue"/>
                  <w:noWrap w:val="0"/>
                  <w:vAlign w:val="center"/>
                </w:tcPr>
                <w:p>
                  <w:pPr>
                    <w:jc w:val="center"/>
                    <w:rPr>
                      <w:rFonts w:hint="eastAsia" w:eastAsia="宋体"/>
                      <w:color w:val="auto"/>
                      <w:kern w:val="0"/>
                      <w:szCs w:val="21"/>
                      <w:highlight w:val="none"/>
                      <w:lang w:val="en-US" w:eastAsia="zh-CN"/>
                    </w:rPr>
                  </w:pPr>
                </w:p>
              </w:tc>
              <w:tc>
                <w:tcPr>
                  <w:tcW w:w="620" w:type="pct"/>
                  <w:vMerge w:val="continue"/>
                  <w:noWrap w:val="0"/>
                  <w:vAlign w:val="center"/>
                </w:tcPr>
                <w:p>
                  <w:pPr>
                    <w:jc w:val="center"/>
                    <w:rPr>
                      <w:rFonts w:hint="eastAsia" w:eastAsia="宋体"/>
                      <w:color w:val="auto"/>
                      <w:kern w:val="0"/>
                      <w:szCs w:val="21"/>
                      <w:highlight w:val="none"/>
                      <w:lang w:val="en-US" w:eastAsia="zh-CN"/>
                    </w:rPr>
                  </w:pPr>
                </w:p>
              </w:tc>
              <w:tc>
                <w:tcPr>
                  <w:tcW w:w="49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35</w:t>
                  </w:r>
                  <w:r>
                    <w:rPr>
                      <w:rFonts w:hint="eastAsia" w:eastAsia="宋体"/>
                      <w:color w:val="auto"/>
                      <w:szCs w:val="21"/>
                      <w:highlight w:val="none"/>
                      <w:lang w:val="en-US" w:eastAsia="zh-CN"/>
                    </w:rPr>
                    <w:t>万</w:t>
                  </w:r>
                </w:p>
              </w:tc>
              <w:tc>
                <w:tcPr>
                  <w:tcW w:w="376" w:type="pct"/>
                  <w:vMerge w:val="continue"/>
                  <w:noWrap w:val="0"/>
                  <w:vAlign w:val="center"/>
                </w:tcPr>
                <w:p>
                  <w:pPr>
                    <w:adjustRightInd w:val="0"/>
                    <w:snapToGrid w:val="0"/>
                    <w:jc w:val="center"/>
                    <w:rPr>
                      <w:rFonts w:hint="eastAsia" w:eastAsia="宋体"/>
                      <w:color w:val="auto"/>
                      <w:szCs w:val="21"/>
                      <w:highlight w:val="none"/>
                      <w:lang w:val="en-US" w:eastAsia="zh-CN"/>
                    </w:rPr>
                  </w:pPr>
                </w:p>
              </w:tc>
              <w:tc>
                <w:tcPr>
                  <w:tcW w:w="49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约46t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5</w:t>
                  </w:r>
                </w:p>
              </w:tc>
              <w:tc>
                <w:tcPr>
                  <w:tcW w:w="981" w:type="pct"/>
                  <w:vMerge w:val="continue"/>
                  <w:noWrap w:val="0"/>
                  <w:vAlign w:val="center"/>
                </w:tcPr>
                <w:p>
                  <w:pPr>
                    <w:jc w:val="center"/>
                    <w:rPr>
                      <w:rFonts w:hint="default" w:eastAsia="宋体"/>
                      <w:color w:val="auto"/>
                      <w:szCs w:val="21"/>
                      <w:highlight w:val="none"/>
                      <w:lang w:val="en-US" w:eastAsia="zh-CN"/>
                    </w:rPr>
                  </w:pPr>
                </w:p>
              </w:tc>
              <w:tc>
                <w:tcPr>
                  <w:tcW w:w="36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1.9L</w:t>
                  </w:r>
                </w:p>
              </w:tc>
              <w:tc>
                <w:tcPr>
                  <w:tcW w:w="469" w:type="pct"/>
                  <w:vMerge w:val="continue"/>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c>
                <w:tcPr>
                  <w:tcW w:w="46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kern w:val="0"/>
                      <w:szCs w:val="21"/>
                      <w:highlight w:val="none"/>
                      <w:lang w:val="en-US" w:eastAsia="zh-CN"/>
                    </w:rPr>
                    <w:t>31.5cm</w:t>
                  </w:r>
                </w:p>
              </w:tc>
              <w:tc>
                <w:tcPr>
                  <w:tcW w:w="450" w:type="pct"/>
                  <w:vMerge w:val="continue"/>
                  <w:noWrap w:val="0"/>
                  <w:vAlign w:val="center"/>
                </w:tcPr>
                <w:p>
                  <w:pPr>
                    <w:jc w:val="center"/>
                    <w:rPr>
                      <w:rFonts w:hint="eastAsia" w:eastAsia="宋体"/>
                      <w:color w:val="auto"/>
                      <w:kern w:val="0"/>
                      <w:szCs w:val="21"/>
                      <w:highlight w:val="none"/>
                      <w:lang w:val="en-US" w:eastAsia="zh-CN"/>
                    </w:rPr>
                  </w:pPr>
                </w:p>
              </w:tc>
              <w:tc>
                <w:tcPr>
                  <w:tcW w:w="620" w:type="pct"/>
                  <w:vMerge w:val="continue"/>
                  <w:noWrap w:val="0"/>
                  <w:vAlign w:val="center"/>
                </w:tcPr>
                <w:p>
                  <w:pPr>
                    <w:jc w:val="center"/>
                    <w:rPr>
                      <w:rFonts w:hint="eastAsia" w:eastAsia="宋体"/>
                      <w:color w:val="auto"/>
                      <w:kern w:val="0"/>
                      <w:szCs w:val="21"/>
                      <w:highlight w:val="none"/>
                      <w:lang w:val="en-US" w:eastAsia="zh-CN"/>
                    </w:rPr>
                  </w:pPr>
                </w:p>
              </w:tc>
              <w:tc>
                <w:tcPr>
                  <w:tcW w:w="49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30</w:t>
                  </w:r>
                  <w:r>
                    <w:rPr>
                      <w:rFonts w:hint="eastAsia" w:eastAsia="宋体"/>
                      <w:color w:val="auto"/>
                      <w:szCs w:val="21"/>
                      <w:highlight w:val="none"/>
                      <w:lang w:val="en-US" w:eastAsia="zh-CN"/>
                    </w:rPr>
                    <w:t>万</w:t>
                  </w:r>
                </w:p>
              </w:tc>
              <w:tc>
                <w:tcPr>
                  <w:tcW w:w="376" w:type="pct"/>
                  <w:vMerge w:val="continue"/>
                  <w:noWrap w:val="0"/>
                  <w:vAlign w:val="center"/>
                </w:tcPr>
                <w:p>
                  <w:pPr>
                    <w:adjustRightInd w:val="0"/>
                    <w:snapToGrid w:val="0"/>
                    <w:jc w:val="center"/>
                    <w:rPr>
                      <w:rFonts w:hint="eastAsia" w:eastAsia="宋体"/>
                      <w:color w:val="auto"/>
                      <w:szCs w:val="21"/>
                      <w:highlight w:val="none"/>
                      <w:lang w:val="en-US" w:eastAsia="zh-CN"/>
                    </w:rPr>
                  </w:pPr>
                </w:p>
              </w:tc>
              <w:tc>
                <w:tcPr>
                  <w:tcW w:w="49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约42t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 w:type="pct"/>
                  <w:noWrap w:val="0"/>
                  <w:vAlign w:val="center"/>
                </w:tcPr>
                <w:p>
                  <w:pPr>
                    <w:adjustRightInd w:val="0"/>
                    <w:snapToGrid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6</w:t>
                  </w:r>
                </w:p>
              </w:tc>
              <w:tc>
                <w:tcPr>
                  <w:tcW w:w="981"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塑料壶底</w:t>
                  </w:r>
                </w:p>
              </w:tc>
              <w:tc>
                <w:tcPr>
                  <w:tcW w:w="36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469" w:type="pct"/>
                  <w:noWrap w:val="0"/>
                  <w:vAlign w:val="center"/>
                </w:tcPr>
                <w:p>
                  <w:pPr>
                    <w:jc w:val="center"/>
                    <w:rPr>
                      <w:rFonts w:hint="eastAsia" w:eastAsia="宋体"/>
                      <w:color w:val="auto"/>
                      <w:szCs w:val="21"/>
                      <w:highlight w:val="none"/>
                      <w:lang w:val="en-US" w:eastAsia="zh-CN"/>
                    </w:rPr>
                  </w:pPr>
                  <w:r>
                    <w:rPr>
                      <w:rFonts w:hint="eastAsia" w:eastAsia="宋体"/>
                      <w:color w:val="auto"/>
                      <w:szCs w:val="21"/>
                      <w:highlight w:val="none"/>
                      <w:lang w:val="en-US" w:eastAsia="zh-CN"/>
                    </w:rPr>
                    <w:t>13.5cm</w:t>
                  </w:r>
                </w:p>
              </w:tc>
              <w:tc>
                <w:tcPr>
                  <w:tcW w:w="469"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450" w:type="pct"/>
                  <w:noWrap w:val="0"/>
                  <w:vAlign w:val="center"/>
                </w:tcPr>
                <w:p>
                  <w:pPr>
                    <w:jc w:val="center"/>
                    <w:rPr>
                      <w:rFonts w:hint="eastAsia" w:eastAsia="宋体"/>
                      <w:color w:val="auto"/>
                      <w:szCs w:val="21"/>
                      <w:highlight w:val="none"/>
                      <w:lang w:val="en-US" w:eastAsia="zh-CN"/>
                    </w:rPr>
                  </w:pPr>
                  <w:r>
                    <w:rPr>
                      <w:rFonts w:hint="eastAsia" w:eastAsia="宋体"/>
                      <w:color w:val="auto"/>
                      <w:kern w:val="0"/>
                      <w:szCs w:val="21"/>
                      <w:highlight w:val="none"/>
                      <w:lang w:val="en-US" w:eastAsia="zh-CN"/>
                    </w:rPr>
                    <w:t>1.2mm</w:t>
                  </w:r>
                </w:p>
              </w:tc>
              <w:tc>
                <w:tcPr>
                  <w:tcW w:w="620" w:type="pct"/>
                  <w:vMerge w:val="continue"/>
                  <w:noWrap w:val="0"/>
                  <w:vAlign w:val="center"/>
                </w:tcPr>
                <w:p>
                  <w:pPr>
                    <w:jc w:val="center"/>
                    <w:rPr>
                      <w:rFonts w:hint="eastAsia" w:eastAsia="宋体"/>
                      <w:color w:val="auto"/>
                      <w:kern w:val="0"/>
                      <w:szCs w:val="21"/>
                      <w:highlight w:val="none"/>
                      <w:lang w:val="en-US" w:eastAsia="zh-CN"/>
                    </w:rPr>
                  </w:pPr>
                </w:p>
              </w:tc>
              <w:tc>
                <w:tcPr>
                  <w:tcW w:w="494" w:type="pct"/>
                  <w:noWrap w:val="0"/>
                  <w:vAlign w:val="center"/>
                </w:tcPr>
                <w:p>
                  <w:pPr>
                    <w:jc w:val="center"/>
                    <w:rPr>
                      <w:rFonts w:hint="default"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200万</w:t>
                  </w:r>
                </w:p>
              </w:tc>
              <w:tc>
                <w:tcPr>
                  <w:tcW w:w="376" w:type="pct"/>
                  <w:vMerge w:val="continue"/>
                  <w:noWrap w:val="0"/>
                  <w:vAlign w:val="center"/>
                </w:tcPr>
                <w:p>
                  <w:pPr>
                    <w:adjustRightInd w:val="0"/>
                    <w:snapToGrid w:val="0"/>
                    <w:jc w:val="center"/>
                    <w:rPr>
                      <w:rFonts w:hint="eastAsia" w:eastAsia="宋体"/>
                      <w:color w:val="auto"/>
                      <w:szCs w:val="21"/>
                      <w:highlight w:val="none"/>
                      <w:lang w:val="en-US" w:eastAsia="zh-CN"/>
                    </w:rPr>
                  </w:pPr>
                </w:p>
              </w:tc>
              <w:tc>
                <w:tcPr>
                  <w:tcW w:w="49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约30t</w:t>
                  </w:r>
                </w:p>
              </w:tc>
            </w:tr>
          </w:tbl>
          <w:p>
            <w:pPr>
              <w:autoSpaceDE w:val="0"/>
              <w:autoSpaceDN w:val="0"/>
              <w:adjustRightInd w:val="0"/>
              <w:spacing w:before="120" w:beforeLines="50" w:line="360" w:lineRule="auto"/>
              <w:ind w:firstLine="482" w:firstLineChars="200"/>
              <w:rPr>
                <w:rFonts w:ascii="宋体" w:hAnsi="宋体" w:eastAsia="宋体" w:cs="宋体"/>
                <w:b/>
                <w:bCs/>
                <w:color w:val="auto"/>
                <w:kern w:val="0"/>
                <w:sz w:val="24"/>
              </w:rPr>
            </w:pPr>
            <w:r>
              <w:rPr>
                <w:rFonts w:hint="eastAsia" w:ascii="宋体" w:hAnsi="宋体" w:eastAsia="宋体" w:cs="宋体"/>
                <w:b/>
                <w:bCs/>
                <w:color w:val="auto"/>
                <w:kern w:val="0"/>
                <w:sz w:val="24"/>
                <w:lang w:val="en-US" w:eastAsia="zh-CN"/>
              </w:rPr>
              <w:t>五</w:t>
            </w:r>
            <w:r>
              <w:rPr>
                <w:rFonts w:hint="eastAsia" w:ascii="宋体" w:hAnsi="宋体" w:eastAsia="宋体" w:cs="宋体"/>
                <w:b/>
                <w:bCs/>
                <w:color w:val="auto"/>
                <w:kern w:val="0"/>
                <w:sz w:val="24"/>
              </w:rPr>
              <w:t>、主要生产设备</w:t>
            </w:r>
          </w:p>
          <w:p>
            <w:pPr>
              <w:widowControl w:val="0"/>
              <w:adjustRightInd w:val="0"/>
              <w:snapToGrid w:val="0"/>
              <w:spacing w:line="360" w:lineRule="auto"/>
              <w:ind w:firstLine="480" w:firstLineChars="200"/>
              <w:jc w:val="both"/>
              <w:rPr>
                <w:rFonts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0"/>
                <w:lang w:val="en-US" w:eastAsia="zh-CN" w:bidi="ar-SA"/>
              </w:rPr>
              <w:t>根据建设单位提供，</w:t>
            </w:r>
            <w:r>
              <w:rPr>
                <w:rFonts w:hint="eastAsia" w:ascii="宋体" w:hAnsi="宋体" w:eastAsia="宋体" w:cs="宋体"/>
                <w:b w:val="0"/>
                <w:color w:val="auto"/>
                <w:kern w:val="0"/>
                <w:sz w:val="24"/>
                <w:szCs w:val="20"/>
                <w:lang w:val="en-US" w:eastAsia="zh-CN" w:bidi="ar-SA"/>
              </w:rPr>
              <w:t>项目主要生产设备见下表。</w:t>
            </w:r>
          </w:p>
          <w:p>
            <w:pPr>
              <w:widowControl w:val="0"/>
              <w:adjustRightInd w:val="0"/>
              <w:snapToGrid w:val="0"/>
              <w:jc w:val="center"/>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表2-</w:t>
            </w:r>
            <w:r>
              <w:rPr>
                <w:rFonts w:hint="eastAsia" w:ascii="Times New Roman" w:hAnsi="Times New Roman" w:eastAsia="宋体" w:cs="Times New Roman"/>
                <w:b/>
                <w:bCs/>
                <w:color w:val="auto"/>
                <w:kern w:val="2"/>
                <w:sz w:val="24"/>
                <w:szCs w:val="24"/>
                <w:lang w:val="en-US" w:eastAsia="zh-CN" w:bidi="ar-SA"/>
              </w:rPr>
              <w:t>6</w:t>
            </w:r>
            <w:r>
              <w:rPr>
                <w:rFonts w:ascii="Times New Roman" w:hAnsi="Times New Roman" w:eastAsia="宋体" w:cs="Times New Roman"/>
                <w:b/>
                <w:bCs/>
                <w:color w:val="auto"/>
                <w:kern w:val="2"/>
                <w:sz w:val="24"/>
                <w:szCs w:val="24"/>
                <w:lang w:val="en-US" w:eastAsia="zh-CN" w:bidi="ar-SA"/>
              </w:rPr>
              <w:t xml:space="preserve">  主要生产设备一览表</w:t>
            </w:r>
          </w:p>
          <w:tbl>
            <w:tblPr>
              <w:tblStyle w:val="28"/>
              <w:tblW w:w="49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990"/>
              <w:gridCol w:w="2882"/>
              <w:gridCol w:w="1732"/>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adjustRightInd w:val="0"/>
                    <w:snapToGrid w:val="0"/>
                    <w:jc w:val="center"/>
                    <w:rPr>
                      <w:rFonts w:eastAsia="宋体"/>
                      <w:b/>
                      <w:bCs/>
                      <w:snapToGrid w:val="0"/>
                      <w:color w:val="auto"/>
                      <w:kern w:val="0"/>
                      <w:szCs w:val="21"/>
                    </w:rPr>
                  </w:pPr>
                  <w:r>
                    <w:rPr>
                      <w:rFonts w:eastAsia="宋体"/>
                      <w:b/>
                      <w:bCs/>
                      <w:snapToGrid w:val="0"/>
                      <w:color w:val="auto"/>
                      <w:kern w:val="0"/>
                      <w:szCs w:val="21"/>
                    </w:rPr>
                    <w:t>序号</w:t>
                  </w:r>
                </w:p>
              </w:tc>
              <w:tc>
                <w:tcPr>
                  <w:tcW w:w="1119" w:type="pct"/>
                  <w:vAlign w:val="center"/>
                </w:tcPr>
                <w:p>
                  <w:pPr>
                    <w:adjustRightInd w:val="0"/>
                    <w:snapToGrid w:val="0"/>
                    <w:jc w:val="center"/>
                    <w:rPr>
                      <w:rFonts w:eastAsia="宋体"/>
                      <w:b/>
                      <w:bCs/>
                      <w:snapToGrid w:val="0"/>
                      <w:color w:val="auto"/>
                      <w:kern w:val="0"/>
                      <w:szCs w:val="21"/>
                    </w:rPr>
                  </w:pPr>
                  <w:r>
                    <w:rPr>
                      <w:rFonts w:eastAsia="宋体"/>
                      <w:b/>
                      <w:bCs/>
                      <w:snapToGrid w:val="0"/>
                      <w:color w:val="auto"/>
                      <w:kern w:val="0"/>
                      <w:szCs w:val="21"/>
                    </w:rPr>
                    <w:t>生产设备名称</w:t>
                  </w:r>
                </w:p>
              </w:tc>
              <w:tc>
                <w:tcPr>
                  <w:tcW w:w="1621" w:type="pct"/>
                  <w:vAlign w:val="center"/>
                </w:tcPr>
                <w:p>
                  <w:pPr>
                    <w:adjustRightInd w:val="0"/>
                    <w:snapToGrid w:val="0"/>
                    <w:jc w:val="center"/>
                    <w:rPr>
                      <w:rFonts w:eastAsia="宋体"/>
                      <w:b/>
                      <w:bCs/>
                      <w:snapToGrid w:val="0"/>
                      <w:color w:val="auto"/>
                      <w:kern w:val="0"/>
                      <w:szCs w:val="21"/>
                    </w:rPr>
                  </w:pPr>
                  <w:r>
                    <w:rPr>
                      <w:rFonts w:eastAsia="宋体"/>
                      <w:b/>
                      <w:bCs/>
                      <w:snapToGrid w:val="0"/>
                      <w:color w:val="auto"/>
                      <w:kern w:val="0"/>
                      <w:szCs w:val="21"/>
                    </w:rPr>
                    <w:t>规格/型号</w:t>
                  </w:r>
                </w:p>
              </w:tc>
              <w:tc>
                <w:tcPr>
                  <w:tcW w:w="974" w:type="pct"/>
                  <w:vAlign w:val="center"/>
                </w:tcPr>
                <w:p>
                  <w:pPr>
                    <w:adjustRightInd w:val="0"/>
                    <w:snapToGrid w:val="0"/>
                    <w:jc w:val="center"/>
                    <w:rPr>
                      <w:rFonts w:eastAsia="宋体"/>
                      <w:b/>
                      <w:bCs/>
                      <w:snapToGrid w:val="0"/>
                      <w:color w:val="auto"/>
                      <w:kern w:val="0"/>
                      <w:szCs w:val="21"/>
                    </w:rPr>
                  </w:pPr>
                  <w:r>
                    <w:rPr>
                      <w:rFonts w:eastAsia="宋体"/>
                      <w:b/>
                      <w:bCs/>
                      <w:snapToGrid w:val="0"/>
                      <w:color w:val="auto"/>
                      <w:kern w:val="0"/>
                      <w:szCs w:val="21"/>
                    </w:rPr>
                    <w:t>数量</w:t>
                  </w:r>
                </w:p>
              </w:tc>
              <w:tc>
                <w:tcPr>
                  <w:tcW w:w="704" w:type="pct"/>
                  <w:vAlign w:val="center"/>
                </w:tcPr>
                <w:p>
                  <w:pPr>
                    <w:adjustRightInd w:val="0"/>
                    <w:snapToGrid w:val="0"/>
                    <w:jc w:val="center"/>
                    <w:rPr>
                      <w:rFonts w:eastAsia="宋体"/>
                      <w:b/>
                      <w:bCs/>
                      <w:snapToGrid w:val="0"/>
                      <w:color w:val="auto"/>
                      <w:kern w:val="0"/>
                      <w:szCs w:val="21"/>
                    </w:rPr>
                  </w:pPr>
                  <w:r>
                    <w:rPr>
                      <w:rFonts w:eastAsia="宋体"/>
                      <w:b/>
                      <w:bCs/>
                      <w:snapToGrid w:val="0"/>
                      <w:color w:val="auto"/>
                      <w:kern w:val="0"/>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eastAsia="宋体"/>
                      <w:color w:val="auto"/>
                      <w:szCs w:val="21"/>
                    </w:rPr>
                  </w:pPr>
                  <w:r>
                    <w:rPr>
                      <w:rFonts w:hint="eastAsia" w:eastAsia="宋体"/>
                      <w:color w:val="auto"/>
                      <w:szCs w:val="21"/>
                    </w:rPr>
                    <w:t>1</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混料机</w:t>
                  </w:r>
                </w:p>
              </w:tc>
              <w:tc>
                <w:tcPr>
                  <w:tcW w:w="1621" w:type="pct"/>
                  <w:vAlign w:val="center"/>
                </w:tcPr>
                <w:p>
                  <w:pPr>
                    <w:widowControl/>
                    <w:adjustRightInd w:val="0"/>
                    <w:snapToGrid w:val="0"/>
                    <w:jc w:val="center"/>
                    <w:rPr>
                      <w:rFonts w:hint="default" w:eastAsia="宋体"/>
                      <w:color w:val="auto"/>
                      <w:szCs w:val="21"/>
                      <w:lang w:val="en-US" w:eastAsia="zh-CN"/>
                    </w:rPr>
                  </w:pPr>
                  <w:r>
                    <w:rPr>
                      <w:rFonts w:hint="eastAsia" w:eastAsia="宋体"/>
                      <w:color w:val="auto"/>
                      <w:szCs w:val="21"/>
                      <w:lang w:val="en-US" w:eastAsia="zh-CN"/>
                    </w:rPr>
                    <w:t>100kg</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3</w:t>
                  </w:r>
                </w:p>
              </w:tc>
              <w:tc>
                <w:tcPr>
                  <w:tcW w:w="704" w:type="pct"/>
                  <w:vAlign w:val="center"/>
                </w:tcPr>
                <w:p>
                  <w:pPr>
                    <w:adjustRightInd w:val="0"/>
                    <w:snapToGrid w:val="0"/>
                    <w:jc w:val="center"/>
                    <w:rPr>
                      <w:rFonts w:eastAsia="宋体"/>
                      <w:color w:val="auto"/>
                      <w:kern w:val="0"/>
                      <w:szCs w:val="21"/>
                    </w:rPr>
                  </w:pPr>
                  <w:r>
                    <w:rPr>
                      <w:rFonts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eastAsia="宋体"/>
                      <w:color w:val="auto"/>
                      <w:szCs w:val="21"/>
                    </w:rPr>
                  </w:pPr>
                  <w:r>
                    <w:rPr>
                      <w:rFonts w:hint="eastAsia" w:eastAsia="宋体"/>
                      <w:color w:val="auto"/>
                      <w:szCs w:val="21"/>
                    </w:rPr>
                    <w:t>2</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注塑机</w:t>
                  </w:r>
                </w:p>
              </w:tc>
              <w:tc>
                <w:tcPr>
                  <w:tcW w:w="1621" w:type="pct"/>
                  <w:vAlign w:val="center"/>
                </w:tcPr>
                <w:p>
                  <w:pPr>
                    <w:widowControl/>
                    <w:adjustRightInd w:val="0"/>
                    <w:snapToGrid w:val="0"/>
                    <w:jc w:val="center"/>
                    <w:rPr>
                      <w:rFonts w:hint="default" w:eastAsia="宋体"/>
                      <w:color w:val="auto"/>
                      <w:szCs w:val="21"/>
                      <w:lang w:val="en-US" w:eastAsia="zh-CN"/>
                    </w:rPr>
                  </w:pPr>
                  <w:r>
                    <w:rPr>
                      <w:rFonts w:hint="eastAsia" w:eastAsia="宋体"/>
                      <w:color w:val="auto"/>
                      <w:szCs w:val="21"/>
                      <w:lang w:val="en-US" w:eastAsia="zh-CN"/>
                    </w:rPr>
                    <w:t>GEK300W/S</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4</w:t>
                  </w:r>
                </w:p>
              </w:tc>
              <w:tc>
                <w:tcPr>
                  <w:tcW w:w="704" w:type="pct"/>
                  <w:vAlign w:val="center"/>
                </w:tcPr>
                <w:p>
                  <w:pPr>
                    <w:adjustRightInd w:val="0"/>
                    <w:snapToGrid w:val="0"/>
                    <w:jc w:val="center"/>
                    <w:rPr>
                      <w:rFonts w:eastAsia="宋体"/>
                      <w:color w:val="auto"/>
                      <w:kern w:val="0"/>
                      <w:szCs w:val="21"/>
                    </w:rPr>
                  </w:pPr>
                  <w:r>
                    <w:rPr>
                      <w:rFonts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rPr>
                    <w:t>3</w:t>
                  </w:r>
                </w:p>
              </w:tc>
              <w:tc>
                <w:tcPr>
                  <w:tcW w:w="1119" w:type="pct"/>
                  <w:vAlign w:val="center"/>
                </w:tcPr>
                <w:p>
                  <w:pPr>
                    <w:jc w:val="center"/>
                    <w:rPr>
                      <w:rFonts w:hint="default" w:eastAsia="宋体"/>
                      <w:color w:val="auto"/>
                      <w:szCs w:val="21"/>
                      <w:lang w:val="en-US" w:eastAsia="zh-CN"/>
                    </w:rPr>
                  </w:pPr>
                  <w:r>
                    <w:rPr>
                      <w:rFonts w:hint="eastAsia" w:eastAsia="宋体"/>
                      <w:color w:val="auto"/>
                      <w:szCs w:val="21"/>
                      <w:lang w:val="en-US" w:eastAsia="zh-CN"/>
                    </w:rPr>
                    <w:t>注塑机</w:t>
                  </w:r>
                </w:p>
              </w:tc>
              <w:tc>
                <w:tcPr>
                  <w:tcW w:w="1621" w:type="pct"/>
                  <w:vAlign w:val="center"/>
                </w:tcPr>
                <w:p>
                  <w:pPr>
                    <w:widowControl/>
                    <w:adjustRightInd w:val="0"/>
                    <w:snapToGrid w:val="0"/>
                    <w:jc w:val="center"/>
                    <w:rPr>
                      <w:rFonts w:hint="default" w:eastAsia="宋体"/>
                      <w:color w:val="auto"/>
                      <w:szCs w:val="21"/>
                      <w:lang w:val="en-US" w:eastAsia="zh-CN"/>
                    </w:rPr>
                  </w:pPr>
                  <w:r>
                    <w:rPr>
                      <w:rFonts w:hint="eastAsia" w:eastAsia="宋体"/>
                      <w:color w:val="auto"/>
                      <w:szCs w:val="21"/>
                      <w:lang w:val="en-US" w:eastAsia="zh-CN"/>
                    </w:rPr>
                    <w:t>UN230-EPM</w:t>
                  </w:r>
                </w:p>
              </w:tc>
              <w:tc>
                <w:tcPr>
                  <w:tcW w:w="974" w:type="pct"/>
                  <w:vAlign w:val="center"/>
                </w:tcPr>
                <w:p>
                  <w:pPr>
                    <w:jc w:val="center"/>
                    <w:rPr>
                      <w:rFonts w:hint="default" w:eastAsia="宋体"/>
                      <w:color w:val="auto"/>
                      <w:szCs w:val="21"/>
                      <w:lang w:val="en-US" w:eastAsia="zh-CN"/>
                    </w:rPr>
                  </w:pPr>
                  <w:r>
                    <w:rPr>
                      <w:rFonts w:hint="eastAsia" w:eastAsia="宋体"/>
                      <w:color w:val="auto"/>
                      <w:szCs w:val="21"/>
                      <w:lang w:val="en-US" w:eastAsia="zh-CN"/>
                    </w:rPr>
                    <w:t>8</w:t>
                  </w:r>
                </w:p>
              </w:tc>
              <w:tc>
                <w:tcPr>
                  <w:tcW w:w="704" w:type="pct"/>
                  <w:vAlign w:val="center"/>
                </w:tcPr>
                <w:p>
                  <w:pPr>
                    <w:adjustRightInd w:val="0"/>
                    <w:snapToGrid w:val="0"/>
                    <w:jc w:val="center"/>
                    <w:rPr>
                      <w:rFonts w:eastAsia="宋体"/>
                      <w:color w:val="auto"/>
                      <w:kern w:val="0"/>
                      <w:szCs w:val="21"/>
                    </w:rPr>
                  </w:pPr>
                  <w:r>
                    <w:rPr>
                      <w:rFonts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eastAsia="宋体"/>
                      <w:color w:val="auto"/>
                      <w:szCs w:val="21"/>
                    </w:rPr>
                    <w:t>4</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破碎机</w:t>
                  </w:r>
                </w:p>
              </w:tc>
              <w:tc>
                <w:tcPr>
                  <w:tcW w:w="1621" w:type="pct"/>
                  <w:vAlign w:val="center"/>
                </w:tcPr>
                <w:p>
                  <w:pPr>
                    <w:widowControl/>
                    <w:adjustRightInd w:val="0"/>
                    <w:snapToGrid w:val="0"/>
                    <w:jc w:val="center"/>
                    <w:rPr>
                      <w:rFonts w:hint="default" w:eastAsia="宋体"/>
                      <w:color w:val="auto"/>
                      <w:szCs w:val="21"/>
                      <w:lang w:val="en-US" w:eastAsia="zh-CN"/>
                    </w:rPr>
                  </w:pPr>
                  <w:r>
                    <w:rPr>
                      <w:rFonts w:hint="eastAsia" w:eastAsia="宋体"/>
                      <w:color w:val="auto"/>
                      <w:szCs w:val="21"/>
                      <w:lang w:val="en-US" w:eastAsia="zh-CN"/>
                    </w:rPr>
                    <w:t>PC-400</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704" w:type="pct"/>
                  <w:vAlign w:val="center"/>
                </w:tcPr>
                <w:p>
                  <w:pPr>
                    <w:adjustRightInd w:val="0"/>
                    <w:snapToGrid w:val="0"/>
                    <w:jc w:val="center"/>
                    <w:rPr>
                      <w:rFonts w:eastAsia="宋体"/>
                      <w:color w:val="auto"/>
                      <w:kern w:val="0"/>
                      <w:szCs w:val="21"/>
                    </w:rPr>
                  </w:pPr>
                  <w:r>
                    <w:rPr>
                      <w:rFonts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eastAsia="宋体"/>
                      <w:color w:val="auto"/>
                      <w:szCs w:val="21"/>
                    </w:rPr>
                    <w:t>5</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空压机</w:t>
                  </w:r>
                </w:p>
              </w:tc>
              <w:tc>
                <w:tcPr>
                  <w:tcW w:w="1621" w:type="pct"/>
                  <w:vAlign w:val="center"/>
                </w:tcPr>
                <w:p>
                  <w:pPr>
                    <w:widowControl/>
                    <w:adjustRightInd w:val="0"/>
                    <w:snapToGrid w:val="0"/>
                    <w:jc w:val="center"/>
                    <w:rPr>
                      <w:rFonts w:eastAsia="宋体"/>
                      <w:color w:val="auto"/>
                      <w:szCs w:val="21"/>
                    </w:rPr>
                  </w:pPr>
                  <w:r>
                    <w:rPr>
                      <w:rFonts w:hint="eastAsia" w:ascii="Times New Roman" w:hAnsi="Times New Roman" w:eastAsia="宋体" w:cs="Times New Roman"/>
                      <w:color w:val="auto"/>
                      <w:szCs w:val="21"/>
                      <w:highlight w:val="none"/>
                      <w:lang w:val="en-US" w:eastAsia="zh-CN"/>
                    </w:rPr>
                    <w:t>1.5m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/min</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704" w:type="pct"/>
                  <w:vAlign w:val="center"/>
                </w:tcPr>
                <w:p>
                  <w:pPr>
                    <w:adjustRightInd w:val="0"/>
                    <w:snapToGrid w:val="0"/>
                    <w:jc w:val="center"/>
                    <w:rPr>
                      <w:rFonts w:eastAsia="宋体"/>
                      <w:color w:val="auto"/>
                      <w:kern w:val="0"/>
                      <w:szCs w:val="21"/>
                    </w:rPr>
                  </w:pPr>
                  <w:r>
                    <w:rPr>
                      <w:rFonts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eastAsia="宋体"/>
                      <w:color w:val="auto"/>
                      <w:szCs w:val="21"/>
                    </w:rPr>
                    <w:t>6</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印花机</w:t>
                  </w:r>
                </w:p>
              </w:tc>
              <w:tc>
                <w:tcPr>
                  <w:tcW w:w="1621" w:type="pct"/>
                  <w:vAlign w:val="center"/>
                </w:tcPr>
                <w:p>
                  <w:pPr>
                    <w:widowControl/>
                    <w:adjustRightInd w:val="0"/>
                    <w:snapToGrid w:val="0"/>
                    <w:jc w:val="center"/>
                    <w:rPr>
                      <w:rFonts w:eastAsia="宋体"/>
                      <w:color w:val="auto"/>
                      <w:szCs w:val="21"/>
                    </w:rPr>
                  </w:pPr>
                  <w:r>
                    <w:rPr>
                      <w:rFonts w:hint="eastAsia" w:eastAsia="宋体"/>
                      <w:color w:val="auto"/>
                      <w:szCs w:val="21"/>
                    </w:rPr>
                    <w:t>M</w:t>
                  </w:r>
                  <w:r>
                    <w:rPr>
                      <w:rFonts w:hint="eastAsia" w:eastAsia="宋体"/>
                      <w:color w:val="auto"/>
                      <w:szCs w:val="21"/>
                      <w:lang w:val="en-US" w:eastAsia="zh-CN"/>
                    </w:rPr>
                    <w:t>T</w:t>
                  </w:r>
                  <w:r>
                    <w:rPr>
                      <w:rFonts w:hint="eastAsia" w:eastAsia="宋体"/>
                      <w:color w:val="auto"/>
                      <w:szCs w:val="21"/>
                    </w:rPr>
                    <w:t>3055N</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4</w:t>
                  </w:r>
                </w:p>
              </w:tc>
              <w:tc>
                <w:tcPr>
                  <w:tcW w:w="704" w:type="pct"/>
                  <w:vAlign w:val="center"/>
                </w:tcPr>
                <w:p>
                  <w:pPr>
                    <w:adjustRightInd w:val="0"/>
                    <w:snapToGrid w:val="0"/>
                    <w:jc w:val="center"/>
                    <w:rPr>
                      <w:rFonts w:eastAsia="宋体"/>
                      <w:color w:val="auto"/>
                      <w:kern w:val="0"/>
                      <w:szCs w:val="21"/>
                    </w:rPr>
                  </w:pPr>
                  <w:r>
                    <w:rPr>
                      <w:rFonts w:hint="eastAsia"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eastAsia="宋体"/>
                      <w:color w:val="auto"/>
                      <w:szCs w:val="21"/>
                    </w:rPr>
                    <w:t>7</w:t>
                  </w:r>
                </w:p>
              </w:tc>
              <w:tc>
                <w:tcPr>
                  <w:tcW w:w="1119"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水泵</w:t>
                  </w:r>
                </w:p>
              </w:tc>
              <w:tc>
                <w:tcPr>
                  <w:tcW w:w="1621" w:type="pct"/>
                  <w:vAlign w:val="center"/>
                </w:tcPr>
                <w:p>
                  <w:pPr>
                    <w:widowControl/>
                    <w:adjustRightInd w:val="0"/>
                    <w:snapToGrid w:val="0"/>
                    <w:jc w:val="center"/>
                    <w:rPr>
                      <w:rFonts w:hint="eastAsia" w:eastAsia="宋体"/>
                      <w:color w:val="auto"/>
                      <w:szCs w:val="21"/>
                      <w:lang w:eastAsia="zh-CN"/>
                    </w:rPr>
                  </w:pPr>
                  <w:r>
                    <w:rPr>
                      <w:rFonts w:hint="eastAsia" w:eastAsia="宋体"/>
                      <w:color w:val="auto"/>
                      <w:szCs w:val="21"/>
                      <w:lang w:val="en-US" w:eastAsia="zh-CN"/>
                    </w:rPr>
                    <w:t>10</w:t>
                  </w:r>
                  <w:r>
                    <w:rPr>
                      <w:rFonts w:hint="eastAsia" w:eastAsia="宋体"/>
                      <w:color w:val="auto"/>
                      <w:szCs w:val="21"/>
                    </w:rPr>
                    <w:t>m</w:t>
                  </w:r>
                  <w:r>
                    <w:rPr>
                      <w:rFonts w:hint="eastAsia" w:eastAsia="宋体"/>
                      <w:color w:val="auto"/>
                      <w:szCs w:val="21"/>
                      <w:vertAlign w:val="superscript"/>
                    </w:rPr>
                    <w:t>3</w:t>
                  </w:r>
                  <w:r>
                    <w:rPr>
                      <w:rFonts w:hint="eastAsia" w:eastAsia="宋体"/>
                      <w:color w:val="auto"/>
                      <w:szCs w:val="21"/>
                    </w:rPr>
                    <w:t>/</w:t>
                  </w:r>
                  <w:r>
                    <w:rPr>
                      <w:rFonts w:hint="eastAsia" w:eastAsia="宋体"/>
                      <w:color w:val="auto"/>
                      <w:szCs w:val="21"/>
                      <w:lang w:val="en-US" w:eastAsia="zh-CN"/>
                    </w:rPr>
                    <w:t>h</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704" w:type="pct"/>
                  <w:vAlign w:val="center"/>
                </w:tcPr>
                <w:p>
                  <w:pPr>
                    <w:adjustRightInd w:val="0"/>
                    <w:snapToGrid w:val="0"/>
                    <w:jc w:val="center"/>
                    <w:rPr>
                      <w:rFonts w:eastAsia="宋体"/>
                      <w:color w:val="auto"/>
                      <w:kern w:val="0"/>
                      <w:szCs w:val="21"/>
                    </w:rPr>
                  </w:pPr>
                  <w:r>
                    <w:rPr>
                      <w:rFonts w:hint="eastAsia" w:eastAsia="宋体"/>
                      <w:color w:val="auto"/>
                      <w:kern w:val="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widowControl/>
                    <w:adjustRightInd w:val="0"/>
                    <w:snapToGrid w:val="0"/>
                    <w:jc w:val="center"/>
                    <w:rPr>
                      <w:rFonts w:hint="eastAsia" w:eastAsia="宋体"/>
                      <w:color w:val="auto"/>
                      <w:szCs w:val="21"/>
                      <w:lang w:val="en-US" w:eastAsia="zh-CN"/>
                    </w:rPr>
                  </w:pPr>
                  <w:r>
                    <w:rPr>
                      <w:rFonts w:hint="eastAsia" w:eastAsia="宋体"/>
                      <w:color w:val="auto"/>
                      <w:szCs w:val="21"/>
                      <w:lang w:val="en-US" w:eastAsia="zh-CN"/>
                    </w:rPr>
                    <w:t>8</w:t>
                  </w:r>
                </w:p>
              </w:tc>
              <w:tc>
                <w:tcPr>
                  <w:tcW w:w="1119"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水箱</w:t>
                  </w:r>
                </w:p>
              </w:tc>
              <w:tc>
                <w:tcPr>
                  <w:tcW w:w="1621" w:type="pct"/>
                  <w:vAlign w:val="center"/>
                </w:tcPr>
                <w:p>
                  <w:pPr>
                    <w:widowControl/>
                    <w:adjustRightInd w:val="0"/>
                    <w:snapToGrid w:val="0"/>
                    <w:jc w:val="center"/>
                    <w:rPr>
                      <w:rFonts w:hint="default" w:eastAsia="宋体"/>
                      <w:color w:val="auto"/>
                      <w:szCs w:val="21"/>
                      <w:lang w:val="en-US" w:eastAsia="zh-CN"/>
                    </w:rPr>
                  </w:pPr>
                  <w:r>
                    <w:rPr>
                      <w:rFonts w:hint="default" w:ascii="Times New Roman" w:hAnsi="Times New Roman" w:eastAsia="宋体" w:cs="Times New Roman"/>
                      <w:color w:val="auto"/>
                      <w:szCs w:val="21"/>
                      <w:lang w:val="en-US" w:eastAsia="zh-CN"/>
                    </w:rPr>
                    <w:t>4m³</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704" w:type="pct"/>
                  <w:vAlign w:val="center"/>
                </w:tcPr>
                <w:p>
                  <w:pPr>
                    <w:adjustRightInd w:val="0"/>
                    <w:snapToGrid w:val="0"/>
                    <w:jc w:val="center"/>
                    <w:rPr>
                      <w:rFonts w:eastAsia="宋体"/>
                      <w:color w:val="auto"/>
                      <w:kern w:val="0"/>
                      <w:szCs w:val="21"/>
                    </w:rPr>
                  </w:pPr>
                  <w:r>
                    <w:rPr>
                      <w:rFonts w:hint="eastAsia" w:eastAsia="宋体"/>
                      <w:color w:val="auto"/>
                      <w:kern w:val="0"/>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Align w:val="center"/>
                </w:tcPr>
                <w:p>
                  <w:pPr>
                    <w:widowControl/>
                    <w:adjustRightInd w:val="0"/>
                    <w:snapToGrid w:val="0"/>
                    <w:jc w:val="center"/>
                    <w:rPr>
                      <w:rFonts w:hint="eastAsia" w:eastAsia="宋体"/>
                      <w:color w:val="auto"/>
                      <w:szCs w:val="21"/>
                      <w:lang w:val="en-US" w:eastAsia="zh-CN"/>
                    </w:rPr>
                  </w:pPr>
                  <w:r>
                    <w:rPr>
                      <w:rFonts w:hint="eastAsia" w:eastAsia="宋体"/>
                      <w:color w:val="auto"/>
                      <w:szCs w:val="21"/>
                      <w:lang w:val="en-US" w:eastAsia="zh-CN"/>
                    </w:rPr>
                    <w:t>9</w:t>
                  </w:r>
                </w:p>
              </w:tc>
              <w:tc>
                <w:tcPr>
                  <w:tcW w:w="1990"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电子称</w:t>
                  </w:r>
                </w:p>
              </w:tc>
              <w:tc>
                <w:tcPr>
                  <w:tcW w:w="1621" w:type="pct"/>
                  <w:vAlign w:val="center"/>
                </w:tcPr>
                <w:p>
                  <w:pPr>
                    <w:widowControl/>
                    <w:adjustRightInd w:val="0"/>
                    <w:snapToGrid w:val="0"/>
                    <w:jc w:val="center"/>
                    <w:rPr>
                      <w:rFonts w:hint="eastAsia" w:eastAsia="宋体"/>
                      <w:color w:val="auto"/>
                      <w:szCs w:val="21"/>
                      <w:lang w:val="en-US" w:eastAsia="zh-CN"/>
                    </w:rPr>
                  </w:pPr>
                  <w:r>
                    <w:rPr>
                      <w:rFonts w:hint="eastAsia" w:eastAsia="宋体"/>
                      <w:color w:val="auto"/>
                      <w:szCs w:val="21"/>
                      <w:lang w:val="en-US" w:eastAsia="zh-CN"/>
                    </w:rPr>
                    <w:t>/</w:t>
                  </w:r>
                </w:p>
              </w:tc>
              <w:tc>
                <w:tcPr>
                  <w:tcW w:w="974" w:type="pct"/>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1252" w:type="dxa"/>
                  <w:vAlign w:val="center"/>
                </w:tcPr>
                <w:p>
                  <w:pPr>
                    <w:adjustRightInd w:val="0"/>
                    <w:snapToGrid w:val="0"/>
                    <w:jc w:val="center"/>
                    <w:rPr>
                      <w:rFonts w:hint="eastAsia" w:eastAsia="宋体"/>
                      <w:color w:val="auto"/>
                      <w:kern w:val="0"/>
                      <w:szCs w:val="21"/>
                      <w:lang w:val="en-US" w:eastAsia="zh-CN"/>
                    </w:rPr>
                  </w:pPr>
                  <w:r>
                    <w:rPr>
                      <w:rFonts w:hint="eastAsia" w:eastAsia="宋体"/>
                      <w:color w:val="auto"/>
                      <w:kern w:val="0"/>
                      <w:szCs w:val="21"/>
                      <w:lang w:val="en-US" w:eastAsia="zh-CN"/>
                    </w:rPr>
                    <w:t>台</w:t>
                  </w:r>
                </w:p>
              </w:tc>
            </w:tr>
          </w:tbl>
          <w:p>
            <w:pPr>
              <w:adjustRightInd w:val="0"/>
              <w:snapToGrid w:val="0"/>
              <w:spacing w:before="120" w:beforeLines="50" w:line="360" w:lineRule="auto"/>
              <w:ind w:firstLine="480" w:firstLineChars="200"/>
              <w:rPr>
                <w:rFonts w:eastAsia="宋体"/>
                <w:bCs/>
                <w:color w:val="auto"/>
                <w:kern w:val="24"/>
                <w:sz w:val="24"/>
              </w:rPr>
            </w:pPr>
            <w:r>
              <w:rPr>
                <w:rFonts w:hint="eastAsia" w:eastAsia="宋体"/>
                <w:bCs/>
                <w:color w:val="auto"/>
                <w:kern w:val="24"/>
                <w:sz w:val="24"/>
              </w:rPr>
              <w:t>主要生产</w:t>
            </w:r>
            <w:r>
              <w:rPr>
                <w:rFonts w:eastAsia="宋体"/>
                <w:bCs/>
                <w:color w:val="auto"/>
                <w:kern w:val="24"/>
                <w:sz w:val="24"/>
              </w:rPr>
              <w:t>设备产能</w:t>
            </w:r>
            <w:r>
              <w:rPr>
                <w:rFonts w:hint="eastAsia" w:eastAsia="宋体"/>
                <w:bCs/>
                <w:color w:val="auto"/>
                <w:kern w:val="24"/>
                <w:sz w:val="24"/>
              </w:rPr>
              <w:t>匹配性</w:t>
            </w:r>
            <w:r>
              <w:rPr>
                <w:rFonts w:eastAsia="宋体"/>
                <w:bCs/>
                <w:color w:val="auto"/>
                <w:kern w:val="24"/>
                <w:sz w:val="24"/>
              </w:rPr>
              <w:t>分析见下表：</w:t>
            </w:r>
          </w:p>
          <w:p>
            <w:pPr>
              <w:widowControl w:val="0"/>
              <w:adjustRightInd w:val="0"/>
              <w:snapToGrid w:val="0"/>
              <w:jc w:val="center"/>
              <w:rPr>
                <w:rFonts w:ascii="Cambria" w:hAnsi="Cambria" w:eastAsia="宋体" w:cs="Times New Roman"/>
                <w:b/>
                <w:color w:val="auto"/>
                <w:kern w:val="2"/>
                <w:sz w:val="24"/>
                <w:szCs w:val="20"/>
                <w:lang w:val="en-US" w:eastAsia="zh-CN" w:bidi="ar-SA"/>
              </w:rPr>
            </w:pPr>
            <w:r>
              <w:rPr>
                <w:rFonts w:ascii="Times New Roman" w:hAnsi="Times New Roman" w:eastAsia="宋体" w:cs="Times New Roman"/>
                <w:b/>
                <w:bCs/>
                <w:color w:val="auto"/>
                <w:kern w:val="2"/>
                <w:sz w:val="24"/>
                <w:szCs w:val="24"/>
                <w:lang w:val="en-US" w:eastAsia="zh-CN" w:bidi="ar-SA"/>
              </w:rPr>
              <w:t>表2-</w:t>
            </w:r>
            <w:r>
              <w:rPr>
                <w:rFonts w:hint="eastAsia" w:ascii="Times New Roman" w:hAnsi="Times New Roman" w:eastAsia="宋体" w:cs="Times New Roman"/>
                <w:b/>
                <w:bCs/>
                <w:color w:val="auto"/>
                <w:kern w:val="2"/>
                <w:sz w:val="24"/>
                <w:szCs w:val="24"/>
                <w:lang w:val="en-US" w:eastAsia="zh-CN" w:bidi="ar-SA"/>
              </w:rPr>
              <w:t>7</w:t>
            </w:r>
            <w:r>
              <w:rPr>
                <w:rFonts w:ascii="Times New Roman" w:hAnsi="Times New Roman" w:eastAsia="宋体" w:cs="Times New Roman"/>
                <w:b/>
                <w:bCs/>
                <w:color w:val="auto"/>
                <w:kern w:val="2"/>
                <w:sz w:val="24"/>
                <w:szCs w:val="24"/>
                <w:lang w:val="en-US" w:eastAsia="zh-CN" w:bidi="ar-SA"/>
              </w:rPr>
              <w:t xml:space="preserve">  主要生产设备</w:t>
            </w:r>
            <w:r>
              <w:rPr>
                <w:rFonts w:hint="eastAsia" w:ascii="Times New Roman" w:hAnsi="Times New Roman" w:eastAsia="宋体" w:cs="Times New Roman"/>
                <w:b/>
                <w:bCs/>
                <w:color w:val="auto"/>
                <w:kern w:val="2"/>
                <w:sz w:val="24"/>
                <w:szCs w:val="24"/>
                <w:lang w:val="en-US" w:eastAsia="zh-CN" w:bidi="ar-SA"/>
              </w:rPr>
              <w:t>产能匹配性分析</w:t>
            </w:r>
            <w:r>
              <w:rPr>
                <w:rFonts w:ascii="Times New Roman" w:hAnsi="Times New Roman" w:eastAsia="宋体" w:cs="Times New Roman"/>
                <w:b/>
                <w:bCs/>
                <w:color w:val="auto"/>
                <w:kern w:val="2"/>
                <w:sz w:val="24"/>
                <w:szCs w:val="24"/>
                <w:lang w:val="en-US" w:eastAsia="zh-CN" w:bidi="ar-SA"/>
              </w:rPr>
              <w:t>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05"/>
              <w:gridCol w:w="1143"/>
              <w:gridCol w:w="1804"/>
              <w:gridCol w:w="1803"/>
              <w:gridCol w:w="1324"/>
              <w:gridCol w:w="137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70" w:hRule="atLeast"/>
                <w:jc w:val="center"/>
              </w:trPr>
              <w:tc>
                <w:tcPr>
                  <w:tcW w:w="840"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mc:AlternateContent>
                      <mc:Choice Requires="wpsCustomData">
                        <wpsCustomData:diagonalParaType/>
                      </mc:Choice>
                    </mc:AlternateContent>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设备信息</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设备名称</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eastAsia="宋体" w:cs="Times New Roman"/>
                      <w:b/>
                      <w:bCs/>
                      <w:color w:val="auto"/>
                      <w:szCs w:val="21"/>
                      <w:highlight w:val="none"/>
                      <w:lang w:val="en-US" w:eastAsia="zh-CN"/>
                    </w:rPr>
                    <w:t>混料机</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eastAsia="宋体" w:cs="Times New Roman"/>
                      <w:b/>
                      <w:bCs/>
                      <w:color w:val="auto"/>
                      <w:szCs w:val="21"/>
                      <w:highlight w:val="none"/>
                      <w:lang w:val="en-US" w:eastAsia="zh-CN"/>
                    </w:rPr>
                    <w:t>注塑机（GEK300W/S）</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b/>
                      <w:bCs/>
                      <w:color w:val="auto"/>
                      <w:szCs w:val="21"/>
                      <w:highlight w:val="none"/>
                      <w:lang w:val="en-US" w:eastAsia="zh-CN"/>
                    </w:rPr>
                  </w:pPr>
                  <w:r>
                    <w:rPr>
                      <w:rFonts w:hint="eastAsia" w:eastAsia="宋体" w:cs="Times New Roman"/>
                      <w:b/>
                      <w:bCs/>
                      <w:color w:val="auto"/>
                      <w:szCs w:val="21"/>
                      <w:highlight w:val="none"/>
                      <w:lang w:val="en-US" w:eastAsia="zh-CN"/>
                    </w:rPr>
                    <w:t>注塑机（UN230-EPM）</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lang w:val="en-US" w:eastAsia="zh-CN"/>
                    </w:rPr>
                  </w:pPr>
                  <w:r>
                    <w:rPr>
                      <w:rFonts w:hint="eastAsia" w:eastAsia="宋体" w:cs="Times New Roman"/>
                      <w:b/>
                      <w:bCs/>
                      <w:color w:val="auto"/>
                      <w:szCs w:val="21"/>
                      <w:highlight w:val="none"/>
                      <w:lang w:val="en-US" w:eastAsia="zh-CN"/>
                    </w:rPr>
                    <w:t>破碎机（深色物料）</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eastAsia="宋体" w:cs="Times New Roman"/>
                      <w:b/>
                      <w:bCs/>
                      <w:color w:val="auto"/>
                      <w:szCs w:val="21"/>
                      <w:highlight w:val="none"/>
                      <w:lang w:val="en-US" w:eastAsia="zh-CN"/>
                    </w:rPr>
                    <w:t>破碎机（浅色物料）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设备数量</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3</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4</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8</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1</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设施参数</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szCs w:val="21"/>
                      <w:highlight w:val="none"/>
                      <w:lang w:val="en-US" w:eastAsia="zh-CN"/>
                    </w:rPr>
                    <w:t>50</w:t>
                  </w:r>
                  <w:r>
                    <w:rPr>
                      <w:rFonts w:hint="eastAsia" w:ascii="Times New Roman" w:hAnsi="Times New Roman" w:eastAsia="宋体" w:cs="Times New Roman"/>
                      <w:color w:val="auto"/>
                      <w:szCs w:val="21"/>
                      <w:highlight w:val="none"/>
                      <w:lang w:val="en-US" w:eastAsia="zh-CN"/>
                    </w:rPr>
                    <w:t>kg/h</w:t>
                  </w:r>
                  <w:r>
                    <w:rPr>
                      <w:rFonts w:hint="eastAsia" w:ascii="Times New Roman" w:hAnsi="Times New Roman" w:eastAsia="宋体" w:cs="Times New Roman"/>
                      <w:b w:val="0"/>
                      <w:bCs w:val="0"/>
                      <w:color w:val="auto"/>
                      <w:kern w:val="0"/>
                      <w:sz w:val="21"/>
                      <w:szCs w:val="21"/>
                      <w:highlight w:val="none"/>
                      <w:vertAlign w:val="baseline"/>
                      <w:lang w:val="en-US" w:eastAsia="zh-CN"/>
                    </w:rPr>
                    <w:t>（处理能力）</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lang w:val="en-US" w:eastAsia="zh-CN"/>
                    </w:rPr>
                    <w:t>kg/h</w:t>
                  </w:r>
                  <w:r>
                    <w:rPr>
                      <w:rFonts w:hint="eastAsia" w:ascii="Times New Roman" w:hAnsi="Times New Roman" w:eastAsia="宋体" w:cs="Times New Roman"/>
                      <w:b w:val="0"/>
                      <w:bCs w:val="0"/>
                      <w:color w:val="auto"/>
                      <w:kern w:val="0"/>
                      <w:sz w:val="21"/>
                      <w:szCs w:val="21"/>
                      <w:highlight w:val="none"/>
                      <w:vertAlign w:val="baseline"/>
                      <w:lang w:val="en-US" w:eastAsia="zh-CN"/>
                    </w:rPr>
                    <w:t>（处理能力）</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5</w:t>
                  </w:r>
                  <w:r>
                    <w:rPr>
                      <w:rFonts w:hint="eastAsia" w:ascii="Times New Roman" w:hAnsi="Times New Roman" w:eastAsia="宋体" w:cs="Times New Roman"/>
                      <w:color w:val="auto"/>
                      <w:szCs w:val="21"/>
                      <w:highlight w:val="none"/>
                      <w:lang w:val="en-US" w:eastAsia="zh-CN"/>
                    </w:rPr>
                    <w:t>kg/h</w:t>
                  </w:r>
                  <w:r>
                    <w:rPr>
                      <w:rFonts w:hint="eastAsia" w:ascii="Times New Roman" w:hAnsi="Times New Roman" w:eastAsia="宋体" w:cs="Times New Roman"/>
                      <w:b w:val="0"/>
                      <w:bCs w:val="0"/>
                      <w:color w:val="auto"/>
                      <w:kern w:val="0"/>
                      <w:sz w:val="21"/>
                      <w:szCs w:val="21"/>
                      <w:highlight w:val="none"/>
                      <w:vertAlign w:val="baseline"/>
                      <w:lang w:val="en-US" w:eastAsia="zh-CN"/>
                    </w:rPr>
                    <w:t>（处理能力）</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40</w:t>
                  </w:r>
                  <w:r>
                    <w:rPr>
                      <w:rFonts w:hint="eastAsia" w:ascii="Times New Roman" w:hAnsi="Times New Roman" w:eastAsia="宋体" w:cs="Times New Roman"/>
                      <w:color w:val="auto"/>
                      <w:szCs w:val="21"/>
                      <w:highlight w:val="none"/>
                      <w:lang w:val="en-US" w:eastAsia="zh-CN"/>
                    </w:rPr>
                    <w:t>kg/h</w:t>
                  </w:r>
                  <w:r>
                    <w:rPr>
                      <w:rFonts w:hint="eastAsia" w:ascii="Times New Roman" w:hAnsi="Times New Roman" w:eastAsia="宋体" w:cs="Times New Roman"/>
                      <w:b w:val="0"/>
                      <w:bCs w:val="0"/>
                      <w:color w:val="auto"/>
                      <w:kern w:val="0"/>
                      <w:sz w:val="21"/>
                      <w:szCs w:val="21"/>
                      <w:highlight w:val="none"/>
                      <w:vertAlign w:val="baseline"/>
                      <w:lang w:val="en-US" w:eastAsia="zh-CN"/>
                    </w:rPr>
                    <w:t>（处理能力）</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szCs w:val="21"/>
                      <w:highlight w:val="none"/>
                      <w:lang w:val="en-US" w:eastAsia="zh-CN"/>
                    </w:rPr>
                    <w:t>40</w:t>
                  </w:r>
                  <w:r>
                    <w:rPr>
                      <w:rFonts w:hint="eastAsia" w:ascii="Times New Roman" w:hAnsi="Times New Roman" w:eastAsia="宋体" w:cs="Times New Roman"/>
                      <w:color w:val="auto"/>
                      <w:szCs w:val="21"/>
                      <w:highlight w:val="none"/>
                      <w:lang w:val="en-US" w:eastAsia="zh-CN"/>
                    </w:rPr>
                    <w:t>kg/h</w:t>
                  </w:r>
                  <w:r>
                    <w:rPr>
                      <w:rFonts w:hint="eastAsia" w:ascii="Times New Roman" w:hAnsi="Times New Roman" w:eastAsia="宋体" w:cs="Times New Roman"/>
                      <w:b w:val="0"/>
                      <w:bCs w:val="0"/>
                      <w:color w:val="auto"/>
                      <w:kern w:val="0"/>
                      <w:sz w:val="21"/>
                      <w:szCs w:val="21"/>
                      <w:highlight w:val="none"/>
                      <w:vertAlign w:val="baseline"/>
                      <w:lang w:val="en-US" w:eastAsia="zh-CN"/>
                    </w:rPr>
                    <w:t>（处理能力）</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年工作时间</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i w:val="0"/>
                      <w:iCs w:val="0"/>
                      <w:snapToGrid w:val="0"/>
                      <w:color w:val="auto"/>
                      <w:kern w:val="0"/>
                      <w:sz w:val="21"/>
                      <w:szCs w:val="21"/>
                      <w:u w:val="none"/>
                      <w:lang w:val="en-US" w:eastAsia="zh-CN" w:bidi="ar"/>
                    </w:rPr>
                    <w:t>2400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h</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i w:val="0"/>
                      <w:iCs w:val="0"/>
                      <w:snapToGrid w:val="0"/>
                      <w:color w:val="auto"/>
                      <w:kern w:val="0"/>
                      <w:sz w:val="21"/>
                      <w:szCs w:val="21"/>
                      <w:u w:val="none"/>
                      <w:lang w:val="en-US" w:eastAsia="zh-CN" w:bidi="ar"/>
                    </w:rPr>
                    <w:t>4500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h</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eastAsia="宋体" w:cs="Times New Roman"/>
                      <w:b w:val="0"/>
                      <w:bCs w:val="0"/>
                      <w:i w:val="0"/>
                      <w:iCs w:val="0"/>
                      <w:snapToGrid w:val="0"/>
                      <w:color w:val="auto"/>
                      <w:kern w:val="0"/>
                      <w:sz w:val="21"/>
                      <w:szCs w:val="21"/>
                      <w:u w:val="none"/>
                      <w:lang w:val="en-US" w:eastAsia="zh-CN" w:bidi="ar"/>
                    </w:rPr>
                    <w:t>4500</w:t>
                  </w:r>
                  <w:r>
                    <w:rPr>
                      <w:rFonts w:hint="eastAsia" w:ascii="Times New Roman" w:hAnsi="Times New Roman" w:eastAsia="宋体" w:cs="Times New Roman"/>
                      <w:b w:val="0"/>
                      <w:bCs w:val="0"/>
                      <w:i w:val="0"/>
                      <w:iCs w:val="0"/>
                      <w:snapToGrid w:val="0"/>
                      <w:color w:val="auto"/>
                      <w:kern w:val="0"/>
                      <w:sz w:val="21"/>
                      <w:szCs w:val="21"/>
                      <w:u w:val="none"/>
                      <w:lang w:val="en-US" w:eastAsia="zh-CN" w:bidi="ar"/>
                    </w:rPr>
                    <w:t>h</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eastAsia" w:eastAsia="宋体" w:cs="Times New Roman"/>
                      <w:b w:val="0"/>
                      <w:bCs w:val="0"/>
                      <w:i w:val="0"/>
                      <w:iCs w:val="0"/>
                      <w:snapToGrid w:val="0"/>
                      <w:color w:val="auto"/>
                      <w:kern w:val="0"/>
                      <w:sz w:val="21"/>
                      <w:szCs w:val="21"/>
                      <w:u w:val="none"/>
                      <w:lang w:val="en-US" w:eastAsia="zh-CN" w:bidi="ar"/>
                    </w:rPr>
                    <w:t>200h</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i w:val="0"/>
                      <w:iCs w:val="0"/>
                      <w:snapToGrid w:val="0"/>
                      <w:color w:val="auto"/>
                      <w:kern w:val="0"/>
                      <w:sz w:val="21"/>
                      <w:szCs w:val="21"/>
                      <w:u w:val="none"/>
                      <w:lang w:val="en-US" w:eastAsia="zh-CN" w:bidi="ar"/>
                    </w:rPr>
                    <w:t>200h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可达</w:t>
                  </w:r>
                  <w:r>
                    <w:rPr>
                      <w:rFonts w:hint="eastAsia" w:eastAsia="宋体" w:cs="Times New Roman"/>
                      <w:b/>
                      <w:bCs/>
                      <w:color w:val="auto"/>
                      <w:kern w:val="0"/>
                      <w:sz w:val="21"/>
                      <w:szCs w:val="21"/>
                      <w:highlight w:val="none"/>
                      <w:vertAlign w:val="baseline"/>
                      <w:lang w:val="en-US" w:eastAsia="zh-CN"/>
                    </w:rPr>
                    <w:t>处理能力</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360</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144</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18</w:t>
                  </w:r>
                  <w:r>
                    <w:rPr>
                      <w:rFonts w:hint="eastAsia" w:ascii="Times New Roman" w:hAnsi="Times New Roman" w:eastAsia="宋体" w:cs="Times New Roman"/>
                      <w:b w:val="0"/>
                      <w:bCs w:val="0"/>
                      <w:color w:val="auto"/>
                      <w:kern w:val="0"/>
                      <w:sz w:val="21"/>
                      <w:szCs w:val="21"/>
                      <w:highlight w:val="none"/>
                      <w:vertAlign w:val="baseline"/>
                      <w:lang w:val="en-US" w:eastAsia="zh-CN"/>
                    </w:rPr>
                    <w:t>0t/a</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8</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c>
                <w:tcPr>
                  <w:tcW w:w="7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8</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环评设计</w:t>
                  </w:r>
                  <w:r>
                    <w:rPr>
                      <w:rFonts w:hint="eastAsia" w:eastAsia="宋体" w:cs="Times New Roman"/>
                      <w:b/>
                      <w:bCs/>
                      <w:color w:val="auto"/>
                      <w:kern w:val="0"/>
                      <w:sz w:val="21"/>
                      <w:szCs w:val="21"/>
                      <w:highlight w:val="none"/>
                      <w:vertAlign w:val="baseline"/>
                      <w:lang w:val="en-US" w:eastAsia="zh-CN"/>
                    </w:rPr>
                    <w:t>处理能力</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303</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c>
                <w:tcPr>
                  <w:tcW w:w="2013"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303</w:t>
                  </w:r>
                  <w:r>
                    <w:rPr>
                      <w:rFonts w:hint="eastAsia" w:ascii="Times New Roman" w:hAnsi="Times New Roman" w:eastAsia="宋体" w:cs="Times New Roman"/>
                      <w:b w:val="0"/>
                      <w:bCs w:val="0"/>
                      <w:color w:val="auto"/>
                      <w:kern w:val="0"/>
                      <w:sz w:val="21"/>
                      <w:szCs w:val="21"/>
                      <w:highlight w:val="none"/>
                      <w:vertAlign w:val="baseline"/>
                      <w:lang w:val="en-US" w:eastAsia="zh-CN"/>
                    </w:rPr>
                    <w:t>t/a</w:t>
                  </w:r>
                </w:p>
              </w:tc>
              <w:tc>
                <w:tcPr>
                  <w:tcW w:w="1507"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15.15t/a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产能是否匹配</w:t>
                  </w:r>
                </w:p>
              </w:tc>
              <w:tc>
                <w:tcPr>
                  <w:tcW w:w="6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是</w:t>
                  </w:r>
                </w:p>
              </w:tc>
              <w:tc>
                <w:tcPr>
                  <w:tcW w:w="2013"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是</w:t>
                  </w:r>
                </w:p>
              </w:tc>
              <w:tc>
                <w:tcPr>
                  <w:tcW w:w="1507"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b w:val="0"/>
                      <w:bCs w:val="0"/>
                      <w:color w:val="auto"/>
                      <w:kern w:val="0"/>
                      <w:sz w:val="21"/>
                      <w:szCs w:val="21"/>
                      <w:highlight w:val="none"/>
                      <w:vertAlign w:val="baseline"/>
                      <w:lang w:val="en-US" w:eastAsia="zh-CN"/>
                    </w:rPr>
                    <w:t>是</w:t>
                  </w:r>
                </w:p>
              </w:tc>
            </w:tr>
          </w:tbl>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firstLine="480" w:firstLineChars="200"/>
              <w:textAlignment w:val="auto"/>
              <w:rPr>
                <w:rFonts w:ascii="宋体" w:hAnsi="宋体" w:cs="宋体"/>
                <w:b/>
                <w:bCs/>
                <w:color w:val="auto"/>
                <w:kern w:val="0"/>
                <w:sz w:val="24"/>
              </w:rPr>
            </w:pPr>
            <w:r>
              <w:rPr>
                <w:rFonts w:hint="eastAsia"/>
                <w:bCs/>
                <w:color w:val="auto"/>
                <w:sz w:val="24"/>
              </w:rPr>
              <w:t>注：本项目根据所需破碎物料的颜色深浅分别使用不同破碎机进行破碎。</w:t>
            </w:r>
          </w:p>
          <w:p>
            <w:pPr>
              <w:autoSpaceDE w:val="0"/>
              <w:autoSpaceDN w:val="0"/>
              <w:adjustRightInd w:val="0"/>
              <w:snapToGrid w:val="0"/>
              <w:spacing w:before="120" w:beforeLines="50" w:line="360" w:lineRule="auto"/>
              <w:ind w:firstLine="482" w:firstLineChars="200"/>
              <w:rPr>
                <w:rFonts w:ascii="宋体" w:hAnsi="宋体" w:cs="宋体"/>
                <w:b/>
                <w:bCs/>
                <w:color w:val="auto"/>
                <w:kern w:val="0"/>
                <w:sz w:val="24"/>
              </w:rPr>
            </w:pPr>
            <w:r>
              <w:rPr>
                <w:rFonts w:hint="eastAsia" w:ascii="宋体" w:hAnsi="宋体" w:cs="宋体"/>
                <w:b/>
                <w:bCs/>
                <w:color w:val="auto"/>
                <w:kern w:val="0"/>
                <w:sz w:val="24"/>
                <w:lang w:val="en-US" w:eastAsia="zh-CN"/>
              </w:rPr>
              <w:t>六</w:t>
            </w:r>
            <w:r>
              <w:rPr>
                <w:rFonts w:hint="eastAsia" w:ascii="宋体" w:hAnsi="宋体" w:cs="宋体"/>
                <w:b/>
                <w:bCs/>
                <w:color w:val="auto"/>
                <w:kern w:val="0"/>
                <w:sz w:val="24"/>
              </w:rPr>
              <w:t>、主要原辅材料和能源消耗</w:t>
            </w:r>
          </w:p>
          <w:p>
            <w:pPr>
              <w:autoSpaceDE w:val="0"/>
              <w:autoSpaceDN w:val="0"/>
              <w:adjustRightInd w:val="0"/>
              <w:snapToGrid w:val="0"/>
              <w:spacing w:line="360" w:lineRule="auto"/>
              <w:ind w:firstLine="480" w:firstLineChars="200"/>
              <w:rPr>
                <w:rFonts w:ascii="宋体" w:hAnsi="宋体" w:cs="宋体"/>
                <w:b/>
                <w:bCs/>
                <w:color w:val="auto"/>
                <w:kern w:val="0"/>
                <w:sz w:val="24"/>
              </w:rPr>
            </w:pPr>
            <w:r>
              <w:rPr>
                <w:rFonts w:hint="eastAsia" w:ascii="宋体" w:hAnsi="宋体" w:cs="宋体"/>
                <w:bCs/>
                <w:color w:val="auto"/>
                <w:sz w:val="24"/>
              </w:rPr>
              <w:t>根据建设单位提供，</w:t>
            </w:r>
            <w:r>
              <w:rPr>
                <w:rFonts w:hint="eastAsia" w:ascii="宋体" w:hAnsi="宋体" w:cs="宋体"/>
                <w:color w:val="auto"/>
                <w:kern w:val="0"/>
                <w:sz w:val="24"/>
              </w:rPr>
              <w:t>项目主要原辅材料和能源消耗见下表。</w:t>
            </w:r>
          </w:p>
          <w:p>
            <w:pPr>
              <w:pStyle w:val="13"/>
              <w:adjustRightInd w:val="0"/>
              <w:snapToGrid w:val="0"/>
              <w:rPr>
                <w:rFonts w:ascii="Times New Roman" w:hAnsi="Times New Roman"/>
                <w:color w:val="auto"/>
                <w:szCs w:val="24"/>
              </w:rPr>
            </w:pPr>
            <w:r>
              <w:rPr>
                <w:rFonts w:ascii="Times New Roman" w:hAnsi="Times New Roman"/>
                <w:color w:val="auto"/>
                <w:szCs w:val="24"/>
              </w:rPr>
              <w:t>表2-</w:t>
            </w:r>
            <w:r>
              <w:rPr>
                <w:rFonts w:hint="eastAsia" w:ascii="Times New Roman" w:hAnsi="Times New Roman"/>
                <w:color w:val="auto"/>
                <w:szCs w:val="24"/>
                <w:lang w:val="en-US" w:eastAsia="zh-CN"/>
              </w:rPr>
              <w:t>8</w:t>
            </w:r>
            <w:r>
              <w:rPr>
                <w:rFonts w:ascii="Times New Roman" w:hAnsi="Times New Roman"/>
                <w:color w:val="auto"/>
                <w:szCs w:val="24"/>
              </w:rPr>
              <w:t xml:space="preserve">  项目原辅材料、能耗指标</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73"/>
              <w:gridCol w:w="1195"/>
              <w:gridCol w:w="1134"/>
              <w:gridCol w:w="1336"/>
              <w:gridCol w:w="854"/>
              <w:gridCol w:w="1100"/>
              <w:gridCol w:w="1211"/>
              <w:gridCol w:w="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序号</w:t>
                  </w:r>
                </w:p>
              </w:tc>
              <w:tc>
                <w:tcPr>
                  <w:tcW w:w="376"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类别</w:t>
                  </w:r>
                </w:p>
              </w:tc>
              <w:tc>
                <w:tcPr>
                  <w:tcW w:w="666"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材料名称</w:t>
                  </w:r>
                </w:p>
              </w:tc>
              <w:tc>
                <w:tcPr>
                  <w:tcW w:w="632"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年用量</w:t>
                  </w:r>
                </w:p>
              </w:tc>
              <w:tc>
                <w:tcPr>
                  <w:tcW w:w="745"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最大贮存量</w:t>
                  </w:r>
                </w:p>
              </w:tc>
              <w:tc>
                <w:tcPr>
                  <w:tcW w:w="477"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单位</w:t>
                  </w:r>
                </w:p>
              </w:tc>
              <w:tc>
                <w:tcPr>
                  <w:tcW w:w="614"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包装规格</w:t>
                  </w:r>
                </w:p>
              </w:tc>
              <w:tc>
                <w:tcPr>
                  <w:tcW w:w="675"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形态</w:t>
                  </w:r>
                </w:p>
              </w:tc>
              <w:tc>
                <w:tcPr>
                  <w:tcW w:w="433" w:type="pct"/>
                  <w:vAlign w:val="center"/>
                </w:tcPr>
                <w:p>
                  <w:pPr>
                    <w:autoSpaceDE w:val="0"/>
                    <w:autoSpaceDN w:val="0"/>
                    <w:adjustRightInd w:val="0"/>
                    <w:snapToGrid w:val="0"/>
                    <w:jc w:val="center"/>
                    <w:rPr>
                      <w:b/>
                      <w:bCs/>
                      <w:snapToGrid w:val="0"/>
                      <w:color w:val="auto"/>
                      <w:kern w:val="0"/>
                      <w:szCs w:val="21"/>
                    </w:rPr>
                  </w:pPr>
                  <w:r>
                    <w:rPr>
                      <w:b/>
                      <w:bCs/>
                      <w:snapToGrid w:val="0"/>
                      <w:color w:val="auto"/>
                      <w:kern w:val="0"/>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1</w:t>
                  </w:r>
                </w:p>
              </w:tc>
              <w:tc>
                <w:tcPr>
                  <w:tcW w:w="376" w:type="pct"/>
                  <w:vMerge w:val="restart"/>
                  <w:vAlign w:val="center"/>
                </w:tcPr>
                <w:p>
                  <w:pPr>
                    <w:autoSpaceDE w:val="0"/>
                    <w:autoSpaceDN w:val="0"/>
                    <w:adjustRightInd w:val="0"/>
                    <w:snapToGrid w:val="0"/>
                    <w:jc w:val="center"/>
                    <w:rPr>
                      <w:snapToGrid w:val="0"/>
                      <w:color w:val="auto"/>
                      <w:kern w:val="0"/>
                      <w:szCs w:val="21"/>
                    </w:rPr>
                  </w:pPr>
                  <w:r>
                    <w:rPr>
                      <w:snapToGrid w:val="0"/>
                      <w:color w:val="auto"/>
                      <w:kern w:val="0"/>
                      <w:szCs w:val="21"/>
                    </w:rPr>
                    <w:t>原辅材料</w:t>
                  </w:r>
                </w:p>
              </w:tc>
              <w:tc>
                <w:tcPr>
                  <w:tcW w:w="666" w:type="pct"/>
                  <w:vAlign w:val="center"/>
                </w:tcPr>
                <w:p>
                  <w:pPr>
                    <w:jc w:val="center"/>
                    <w:rPr>
                      <w:color w:val="auto"/>
                      <w:szCs w:val="21"/>
                    </w:rPr>
                  </w:pPr>
                  <w:r>
                    <w:rPr>
                      <w:color w:val="auto"/>
                      <w:szCs w:val="21"/>
                    </w:rPr>
                    <w:t>PP颗粒</w:t>
                  </w:r>
                </w:p>
              </w:tc>
              <w:tc>
                <w:tcPr>
                  <w:tcW w:w="632" w:type="pct"/>
                  <w:vAlign w:val="center"/>
                </w:tcPr>
                <w:p>
                  <w:pPr>
                    <w:jc w:val="center"/>
                    <w:rPr>
                      <w:color w:val="auto"/>
                      <w:szCs w:val="21"/>
                    </w:rPr>
                  </w:pPr>
                  <w:r>
                    <w:rPr>
                      <w:color w:val="auto"/>
                      <w:szCs w:val="21"/>
                    </w:rPr>
                    <w:t>300</w:t>
                  </w:r>
                </w:p>
              </w:tc>
              <w:tc>
                <w:tcPr>
                  <w:tcW w:w="745" w:type="pct"/>
                  <w:vAlign w:val="center"/>
                </w:tcPr>
                <w:p>
                  <w:pPr>
                    <w:adjustRightInd w:val="0"/>
                    <w:snapToGrid w:val="0"/>
                    <w:jc w:val="center"/>
                    <w:rPr>
                      <w:snapToGrid w:val="0"/>
                      <w:color w:val="auto"/>
                      <w:kern w:val="0"/>
                      <w:szCs w:val="21"/>
                    </w:rPr>
                  </w:pPr>
                  <w:r>
                    <w:rPr>
                      <w:snapToGrid w:val="0"/>
                      <w:color w:val="auto"/>
                      <w:kern w:val="0"/>
                      <w:szCs w:val="21"/>
                    </w:rPr>
                    <w:t>30</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t/a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25kg/袋</w:t>
                  </w:r>
                </w:p>
              </w:tc>
              <w:tc>
                <w:tcPr>
                  <w:tcW w:w="675" w:type="pct"/>
                  <w:vAlign w:val="center"/>
                </w:tcPr>
                <w:p>
                  <w:pPr>
                    <w:adjustRightInd w:val="0"/>
                    <w:snapToGrid w:val="0"/>
                    <w:jc w:val="center"/>
                    <w:rPr>
                      <w:snapToGrid w:val="0"/>
                      <w:color w:val="auto"/>
                      <w:kern w:val="0"/>
                      <w:szCs w:val="21"/>
                    </w:rPr>
                  </w:pPr>
                  <w:r>
                    <w:rPr>
                      <w:snapToGrid w:val="0"/>
                      <w:color w:val="auto"/>
                      <w:kern w:val="0"/>
                      <w:szCs w:val="21"/>
                    </w:rPr>
                    <w:t>固态，颗粒状</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bookmarkStart w:id="2" w:name="OLE_LINK3" w:colFirst="3" w:colLast="4"/>
                  <w:r>
                    <w:rPr>
                      <w:snapToGrid w:val="0"/>
                      <w:color w:val="auto"/>
                      <w:kern w:val="0"/>
                      <w:szCs w:val="21"/>
                    </w:rPr>
                    <w:t>2</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color w:val="auto"/>
                      <w:szCs w:val="21"/>
                    </w:rPr>
                    <w:t>色母粒子</w:t>
                  </w:r>
                </w:p>
              </w:tc>
              <w:tc>
                <w:tcPr>
                  <w:tcW w:w="632" w:type="pct"/>
                  <w:vAlign w:val="center"/>
                </w:tcPr>
                <w:p>
                  <w:pPr>
                    <w:jc w:val="center"/>
                    <w:rPr>
                      <w:color w:val="auto"/>
                      <w:szCs w:val="21"/>
                    </w:rPr>
                  </w:pPr>
                  <w:r>
                    <w:rPr>
                      <w:color w:val="auto"/>
                      <w:szCs w:val="21"/>
                    </w:rPr>
                    <w:t>3</w:t>
                  </w:r>
                </w:p>
              </w:tc>
              <w:tc>
                <w:tcPr>
                  <w:tcW w:w="745" w:type="pct"/>
                  <w:vAlign w:val="center"/>
                </w:tcPr>
                <w:p>
                  <w:pPr>
                    <w:adjustRightInd w:val="0"/>
                    <w:snapToGrid w:val="0"/>
                    <w:jc w:val="center"/>
                    <w:rPr>
                      <w:snapToGrid w:val="0"/>
                      <w:color w:val="auto"/>
                      <w:kern w:val="0"/>
                      <w:szCs w:val="21"/>
                    </w:rPr>
                  </w:pPr>
                  <w:r>
                    <w:rPr>
                      <w:snapToGrid w:val="0"/>
                      <w:color w:val="auto"/>
                      <w:kern w:val="0"/>
                      <w:szCs w:val="21"/>
                    </w:rPr>
                    <w:t>0.5</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t/a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25kg/袋</w:t>
                  </w:r>
                </w:p>
              </w:tc>
              <w:tc>
                <w:tcPr>
                  <w:tcW w:w="675" w:type="pct"/>
                  <w:vAlign w:val="center"/>
                </w:tcPr>
                <w:p>
                  <w:pPr>
                    <w:adjustRightInd w:val="0"/>
                    <w:snapToGrid w:val="0"/>
                    <w:jc w:val="center"/>
                    <w:rPr>
                      <w:snapToGrid w:val="0"/>
                      <w:color w:val="auto"/>
                      <w:kern w:val="0"/>
                      <w:szCs w:val="21"/>
                    </w:rPr>
                  </w:pPr>
                  <w:r>
                    <w:rPr>
                      <w:snapToGrid w:val="0"/>
                      <w:color w:val="auto"/>
                      <w:kern w:val="0"/>
                      <w:szCs w:val="21"/>
                    </w:rPr>
                    <w:t>固态，颗粒状</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3</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color w:val="auto"/>
                      <w:szCs w:val="21"/>
                    </w:rPr>
                    <w:t>玻璃内胆</w:t>
                  </w:r>
                </w:p>
              </w:tc>
              <w:tc>
                <w:tcPr>
                  <w:tcW w:w="632" w:type="pct"/>
                  <w:vAlign w:val="center"/>
                </w:tcPr>
                <w:p>
                  <w:pPr>
                    <w:jc w:val="center"/>
                    <w:rPr>
                      <w:color w:val="auto"/>
                      <w:szCs w:val="21"/>
                    </w:rPr>
                  </w:pPr>
                  <w:r>
                    <w:rPr>
                      <w:color w:val="auto"/>
                      <w:szCs w:val="21"/>
                    </w:rPr>
                    <w:t>200</w:t>
                  </w:r>
                  <w:r>
                    <w:rPr>
                      <w:rFonts w:hint="eastAsia"/>
                      <w:color w:val="auto"/>
                      <w:szCs w:val="21"/>
                    </w:rPr>
                    <w:t>.1</w:t>
                  </w:r>
                  <w:r>
                    <w:rPr>
                      <w:color w:val="auto"/>
                      <w:szCs w:val="21"/>
                    </w:rPr>
                    <w:t>万</w:t>
                  </w:r>
                </w:p>
              </w:tc>
              <w:tc>
                <w:tcPr>
                  <w:tcW w:w="745" w:type="pct"/>
                  <w:vAlign w:val="center"/>
                </w:tcPr>
                <w:p>
                  <w:pPr>
                    <w:adjustRightInd w:val="0"/>
                    <w:snapToGrid w:val="0"/>
                    <w:jc w:val="center"/>
                    <w:rPr>
                      <w:snapToGrid w:val="0"/>
                      <w:color w:val="auto"/>
                      <w:kern w:val="0"/>
                      <w:szCs w:val="21"/>
                    </w:rPr>
                  </w:pPr>
                  <w:r>
                    <w:rPr>
                      <w:snapToGrid w:val="0"/>
                      <w:color w:val="auto"/>
                      <w:kern w:val="0"/>
                      <w:szCs w:val="21"/>
                    </w:rPr>
                    <w:t>5万</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只/a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4</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color w:val="auto"/>
                      <w:szCs w:val="21"/>
                    </w:rPr>
                    <w:t>智能显示屏</w:t>
                  </w:r>
                </w:p>
              </w:tc>
              <w:tc>
                <w:tcPr>
                  <w:tcW w:w="632" w:type="pct"/>
                  <w:vAlign w:val="center"/>
                </w:tcPr>
                <w:p>
                  <w:pPr>
                    <w:jc w:val="center"/>
                    <w:rPr>
                      <w:color w:val="auto"/>
                      <w:szCs w:val="21"/>
                    </w:rPr>
                  </w:pPr>
                  <w:r>
                    <w:rPr>
                      <w:color w:val="auto"/>
                      <w:szCs w:val="21"/>
                    </w:rPr>
                    <w:t>15</w:t>
                  </w:r>
                  <w:r>
                    <w:rPr>
                      <w:rFonts w:hint="eastAsia"/>
                      <w:color w:val="auto"/>
                      <w:szCs w:val="21"/>
                    </w:rPr>
                    <w:t>.05</w:t>
                  </w:r>
                  <w:r>
                    <w:rPr>
                      <w:color w:val="auto"/>
                      <w:szCs w:val="21"/>
                    </w:rPr>
                    <w:t>万</w:t>
                  </w:r>
                </w:p>
              </w:tc>
              <w:tc>
                <w:tcPr>
                  <w:tcW w:w="745" w:type="pct"/>
                  <w:vAlign w:val="center"/>
                </w:tcPr>
                <w:p>
                  <w:pPr>
                    <w:adjustRightInd w:val="0"/>
                    <w:snapToGrid w:val="0"/>
                    <w:jc w:val="center"/>
                    <w:rPr>
                      <w:snapToGrid w:val="0"/>
                      <w:color w:val="auto"/>
                      <w:kern w:val="0"/>
                      <w:szCs w:val="21"/>
                    </w:rPr>
                  </w:pPr>
                  <w:r>
                    <w:rPr>
                      <w:snapToGrid w:val="0"/>
                      <w:color w:val="auto"/>
                      <w:kern w:val="0"/>
                      <w:szCs w:val="21"/>
                    </w:rPr>
                    <w:t>1万</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个/a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5</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color w:val="auto"/>
                      <w:szCs w:val="21"/>
                    </w:rPr>
                    <w:t>热转印膜</w:t>
                  </w:r>
                </w:p>
              </w:tc>
              <w:tc>
                <w:tcPr>
                  <w:tcW w:w="632" w:type="pct"/>
                  <w:vAlign w:val="center"/>
                </w:tcPr>
                <w:p>
                  <w:pPr>
                    <w:jc w:val="center"/>
                    <w:rPr>
                      <w:color w:val="auto"/>
                      <w:szCs w:val="21"/>
                    </w:rPr>
                  </w:pPr>
                  <w:r>
                    <w:rPr>
                      <w:color w:val="auto"/>
                      <w:szCs w:val="21"/>
                    </w:rPr>
                    <w:t>800</w:t>
                  </w:r>
                </w:p>
              </w:tc>
              <w:tc>
                <w:tcPr>
                  <w:tcW w:w="745" w:type="pct"/>
                  <w:vAlign w:val="center"/>
                </w:tcPr>
                <w:p>
                  <w:pPr>
                    <w:adjustRightInd w:val="0"/>
                    <w:snapToGrid w:val="0"/>
                    <w:jc w:val="center"/>
                    <w:rPr>
                      <w:snapToGrid w:val="0"/>
                      <w:color w:val="auto"/>
                      <w:kern w:val="0"/>
                      <w:szCs w:val="21"/>
                    </w:rPr>
                  </w:pPr>
                  <w:r>
                    <w:rPr>
                      <w:snapToGrid w:val="0"/>
                      <w:color w:val="auto"/>
                      <w:kern w:val="0"/>
                      <w:szCs w:val="21"/>
                    </w:rPr>
                    <w:t>80</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6</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rFonts w:hint="eastAsia"/>
                      <w:color w:val="auto"/>
                      <w:szCs w:val="21"/>
                    </w:rPr>
                    <w:t>吊牌</w:t>
                  </w:r>
                </w:p>
              </w:tc>
              <w:tc>
                <w:tcPr>
                  <w:tcW w:w="632" w:type="pct"/>
                  <w:vAlign w:val="center"/>
                </w:tcPr>
                <w:p>
                  <w:pPr>
                    <w:jc w:val="center"/>
                    <w:rPr>
                      <w:color w:val="auto"/>
                      <w:szCs w:val="21"/>
                    </w:rPr>
                  </w:pPr>
                  <w:r>
                    <w:rPr>
                      <w:rFonts w:hint="eastAsia"/>
                      <w:color w:val="auto"/>
                      <w:szCs w:val="21"/>
                    </w:rPr>
                    <w:t>120万</w:t>
                  </w:r>
                </w:p>
              </w:tc>
              <w:tc>
                <w:tcPr>
                  <w:tcW w:w="745" w:type="pct"/>
                  <w:vAlign w:val="center"/>
                </w:tcPr>
                <w:p>
                  <w:pPr>
                    <w:adjustRightInd w:val="0"/>
                    <w:snapToGrid w:val="0"/>
                    <w:jc w:val="center"/>
                    <w:rPr>
                      <w:snapToGrid w:val="0"/>
                      <w:color w:val="auto"/>
                      <w:kern w:val="0"/>
                      <w:szCs w:val="21"/>
                    </w:rPr>
                  </w:pPr>
                  <w:r>
                    <w:rPr>
                      <w:rFonts w:hint="eastAsia"/>
                      <w:snapToGrid w:val="0"/>
                      <w:color w:val="auto"/>
                      <w:kern w:val="0"/>
                      <w:szCs w:val="21"/>
                    </w:rPr>
                    <w:t>10万</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个/a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7</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rFonts w:hint="eastAsia"/>
                      <w:color w:val="auto"/>
                      <w:szCs w:val="21"/>
                    </w:rPr>
                    <w:t>标签贴纸</w:t>
                  </w:r>
                </w:p>
              </w:tc>
              <w:tc>
                <w:tcPr>
                  <w:tcW w:w="632" w:type="pct"/>
                  <w:vAlign w:val="center"/>
                </w:tcPr>
                <w:p>
                  <w:pPr>
                    <w:jc w:val="center"/>
                    <w:rPr>
                      <w:color w:val="auto"/>
                      <w:szCs w:val="21"/>
                    </w:rPr>
                  </w:pPr>
                  <w:r>
                    <w:rPr>
                      <w:rFonts w:hint="eastAsia"/>
                      <w:color w:val="auto"/>
                      <w:szCs w:val="21"/>
                    </w:rPr>
                    <w:t>70万</w:t>
                  </w:r>
                </w:p>
              </w:tc>
              <w:tc>
                <w:tcPr>
                  <w:tcW w:w="745" w:type="pct"/>
                  <w:vAlign w:val="center"/>
                </w:tcPr>
                <w:p>
                  <w:pPr>
                    <w:adjustRightInd w:val="0"/>
                    <w:snapToGrid w:val="0"/>
                    <w:jc w:val="center"/>
                    <w:rPr>
                      <w:snapToGrid w:val="0"/>
                      <w:color w:val="auto"/>
                      <w:kern w:val="0"/>
                      <w:szCs w:val="21"/>
                    </w:rPr>
                  </w:pPr>
                  <w:r>
                    <w:rPr>
                      <w:rFonts w:hint="eastAsia"/>
                      <w:snapToGrid w:val="0"/>
                      <w:color w:val="auto"/>
                      <w:kern w:val="0"/>
                      <w:szCs w:val="21"/>
                    </w:rPr>
                    <w:t>5万</w:t>
                  </w:r>
                </w:p>
              </w:tc>
              <w:tc>
                <w:tcPr>
                  <w:tcW w:w="477" w:type="pct"/>
                  <w:vAlign w:val="center"/>
                </w:tcPr>
                <w:p>
                  <w:pPr>
                    <w:autoSpaceDE w:val="0"/>
                    <w:autoSpaceDN w:val="0"/>
                    <w:adjustRightInd w:val="0"/>
                    <w:snapToGrid w:val="0"/>
                    <w:jc w:val="center"/>
                    <w:rPr>
                      <w:snapToGrid w:val="0"/>
                      <w:color w:val="auto"/>
                      <w:kern w:val="0"/>
                      <w:szCs w:val="21"/>
                    </w:rPr>
                  </w:pPr>
                  <w:r>
                    <w:rPr>
                      <w:rFonts w:hint="eastAsia"/>
                      <w:snapToGrid w:val="0"/>
                      <w:color w:val="auto"/>
                      <w:kern w:val="0"/>
                      <w:szCs w:val="21"/>
                    </w:rPr>
                    <w:t>片</w:t>
                  </w:r>
                  <w:r>
                    <w:rPr>
                      <w:snapToGrid w:val="0"/>
                      <w:color w:val="auto"/>
                      <w:kern w:val="0"/>
                      <w:szCs w:val="21"/>
                    </w:rPr>
                    <w:t>/a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rFonts w:hint="eastAsia"/>
                      <w:snapToGrid w:val="0"/>
                      <w:color w:val="auto"/>
                      <w:kern w:val="0"/>
                      <w:szCs w:val="21"/>
                    </w:rPr>
                    <w:t>8</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jc w:val="center"/>
                    <w:rPr>
                      <w:color w:val="auto"/>
                      <w:szCs w:val="21"/>
                    </w:rPr>
                  </w:pPr>
                  <w:r>
                    <w:rPr>
                      <w:rFonts w:hint="eastAsia"/>
                      <w:color w:val="auto"/>
                      <w:szCs w:val="21"/>
                    </w:rPr>
                    <w:t>模具</w:t>
                  </w:r>
                </w:p>
              </w:tc>
              <w:tc>
                <w:tcPr>
                  <w:tcW w:w="632" w:type="pct"/>
                  <w:vAlign w:val="center"/>
                </w:tcPr>
                <w:p>
                  <w:pPr>
                    <w:jc w:val="center"/>
                    <w:rPr>
                      <w:color w:val="auto"/>
                      <w:szCs w:val="21"/>
                    </w:rPr>
                  </w:pPr>
                  <w:r>
                    <w:rPr>
                      <w:rFonts w:hint="eastAsia"/>
                      <w:color w:val="auto"/>
                      <w:szCs w:val="21"/>
                    </w:rPr>
                    <w:t>200</w:t>
                  </w:r>
                </w:p>
              </w:tc>
              <w:tc>
                <w:tcPr>
                  <w:tcW w:w="745" w:type="pct"/>
                  <w:vAlign w:val="center"/>
                </w:tcPr>
                <w:p>
                  <w:pPr>
                    <w:adjustRightInd w:val="0"/>
                    <w:snapToGrid w:val="0"/>
                    <w:jc w:val="center"/>
                    <w:rPr>
                      <w:snapToGrid w:val="0"/>
                      <w:color w:val="auto"/>
                      <w:kern w:val="0"/>
                      <w:szCs w:val="21"/>
                    </w:rPr>
                  </w:pPr>
                  <w:r>
                    <w:rPr>
                      <w:rFonts w:hint="eastAsia"/>
                      <w:snapToGrid w:val="0"/>
                      <w:color w:val="auto"/>
                      <w:kern w:val="0"/>
                      <w:szCs w:val="21"/>
                    </w:rPr>
                    <w:t>200</w:t>
                  </w:r>
                </w:p>
              </w:tc>
              <w:tc>
                <w:tcPr>
                  <w:tcW w:w="477" w:type="pct"/>
                  <w:vAlign w:val="center"/>
                </w:tcPr>
                <w:p>
                  <w:pPr>
                    <w:autoSpaceDE w:val="0"/>
                    <w:autoSpaceDN w:val="0"/>
                    <w:adjustRightInd w:val="0"/>
                    <w:snapToGrid w:val="0"/>
                    <w:jc w:val="center"/>
                    <w:rPr>
                      <w:snapToGrid w:val="0"/>
                      <w:color w:val="auto"/>
                      <w:kern w:val="0"/>
                      <w:szCs w:val="21"/>
                    </w:rPr>
                  </w:pPr>
                  <w:r>
                    <w:rPr>
                      <w:rFonts w:hint="eastAsia"/>
                      <w:snapToGrid w:val="0"/>
                      <w:color w:val="auto"/>
                      <w:kern w:val="0"/>
                      <w:szCs w:val="21"/>
                    </w:rPr>
                    <w:t>套/a</w:t>
                  </w:r>
                </w:p>
              </w:tc>
              <w:tc>
                <w:tcPr>
                  <w:tcW w:w="614" w:type="pct"/>
                  <w:vAlign w:val="center"/>
                </w:tcPr>
                <w:p>
                  <w:pPr>
                    <w:widowControl/>
                    <w:adjustRightInd w:val="0"/>
                    <w:snapToGrid w:val="0"/>
                    <w:jc w:val="center"/>
                    <w:textAlignment w:val="center"/>
                    <w:rPr>
                      <w:snapToGrid w:val="0"/>
                      <w:color w:val="auto"/>
                      <w:kern w:val="0"/>
                      <w:szCs w:val="21"/>
                    </w:rPr>
                  </w:pPr>
                  <w:r>
                    <w:rPr>
                      <w:snapToGrid w:val="0"/>
                      <w:color w:val="auto"/>
                      <w:kern w:val="0"/>
                      <w:szCs w:val="21"/>
                      <w:lang w:bidi="ar"/>
                    </w:rPr>
                    <w:t>/</w:t>
                  </w:r>
                </w:p>
              </w:tc>
              <w:tc>
                <w:tcPr>
                  <w:tcW w:w="675" w:type="pct"/>
                  <w:vAlign w:val="center"/>
                </w:tcPr>
                <w:p>
                  <w:pPr>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外购</w:t>
                  </w:r>
                </w:p>
              </w:tc>
            </w:tr>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rFonts w:hint="eastAsia"/>
                      <w:snapToGrid w:val="0"/>
                      <w:color w:val="auto"/>
                      <w:kern w:val="0"/>
                      <w:szCs w:val="21"/>
                    </w:rPr>
                    <w:t>9</w:t>
                  </w:r>
                </w:p>
              </w:tc>
              <w:tc>
                <w:tcPr>
                  <w:tcW w:w="376" w:type="pct"/>
                  <w:vMerge w:val="restart"/>
                  <w:vAlign w:val="center"/>
                </w:tcPr>
                <w:p>
                  <w:pPr>
                    <w:autoSpaceDE w:val="0"/>
                    <w:autoSpaceDN w:val="0"/>
                    <w:adjustRightInd w:val="0"/>
                    <w:snapToGrid w:val="0"/>
                    <w:jc w:val="center"/>
                    <w:rPr>
                      <w:snapToGrid w:val="0"/>
                      <w:color w:val="auto"/>
                      <w:kern w:val="0"/>
                      <w:szCs w:val="21"/>
                    </w:rPr>
                  </w:pPr>
                  <w:r>
                    <w:rPr>
                      <w:snapToGrid w:val="0"/>
                      <w:color w:val="auto"/>
                      <w:kern w:val="0"/>
                      <w:szCs w:val="21"/>
                    </w:rPr>
                    <w:t>能源</w:t>
                  </w:r>
                </w:p>
              </w:tc>
              <w:tc>
                <w:tcPr>
                  <w:tcW w:w="666"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电</w:t>
                  </w:r>
                </w:p>
              </w:tc>
              <w:tc>
                <w:tcPr>
                  <w:tcW w:w="632"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150万</w:t>
                  </w:r>
                </w:p>
              </w:tc>
              <w:tc>
                <w:tcPr>
                  <w:tcW w:w="745"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kW·h/a</w:t>
                  </w:r>
                </w:p>
              </w:tc>
              <w:tc>
                <w:tcPr>
                  <w:tcW w:w="614"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w:t>
                  </w:r>
                </w:p>
              </w:tc>
              <w:tc>
                <w:tcPr>
                  <w:tcW w:w="675"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8" w:type="pct"/>
                  <w:vAlign w:val="center"/>
                </w:tcPr>
                <w:p>
                  <w:pPr>
                    <w:autoSpaceDE w:val="0"/>
                    <w:autoSpaceDN w:val="0"/>
                    <w:adjustRightInd w:val="0"/>
                    <w:snapToGrid w:val="0"/>
                    <w:jc w:val="center"/>
                    <w:rPr>
                      <w:snapToGrid w:val="0"/>
                      <w:color w:val="auto"/>
                      <w:kern w:val="0"/>
                      <w:szCs w:val="21"/>
                    </w:rPr>
                  </w:pPr>
                  <w:r>
                    <w:rPr>
                      <w:rFonts w:hint="eastAsia"/>
                      <w:snapToGrid w:val="0"/>
                      <w:color w:val="auto"/>
                      <w:kern w:val="0"/>
                      <w:szCs w:val="21"/>
                    </w:rPr>
                    <w:t>10</w:t>
                  </w:r>
                </w:p>
              </w:tc>
              <w:tc>
                <w:tcPr>
                  <w:tcW w:w="376" w:type="pct"/>
                  <w:vMerge w:val="continue"/>
                  <w:vAlign w:val="center"/>
                </w:tcPr>
                <w:p>
                  <w:pPr>
                    <w:autoSpaceDE w:val="0"/>
                    <w:autoSpaceDN w:val="0"/>
                    <w:adjustRightInd w:val="0"/>
                    <w:snapToGrid w:val="0"/>
                    <w:jc w:val="center"/>
                    <w:rPr>
                      <w:snapToGrid w:val="0"/>
                      <w:color w:val="auto"/>
                      <w:kern w:val="0"/>
                      <w:szCs w:val="21"/>
                    </w:rPr>
                  </w:pPr>
                </w:p>
              </w:tc>
              <w:tc>
                <w:tcPr>
                  <w:tcW w:w="666" w:type="pct"/>
                  <w:vAlign w:val="center"/>
                </w:tcPr>
                <w:p>
                  <w:pPr>
                    <w:adjustRightInd w:val="0"/>
                    <w:snapToGrid w:val="0"/>
                    <w:jc w:val="center"/>
                    <w:rPr>
                      <w:snapToGrid w:val="0"/>
                      <w:color w:val="auto"/>
                      <w:kern w:val="0"/>
                      <w:szCs w:val="21"/>
                    </w:rPr>
                  </w:pPr>
                  <w:r>
                    <w:rPr>
                      <w:snapToGrid w:val="0"/>
                      <w:color w:val="auto"/>
                      <w:kern w:val="0"/>
                      <w:szCs w:val="21"/>
                    </w:rPr>
                    <w:t>水</w:t>
                  </w:r>
                </w:p>
              </w:tc>
              <w:tc>
                <w:tcPr>
                  <w:tcW w:w="632" w:type="pct"/>
                  <w:vAlign w:val="center"/>
                </w:tcPr>
                <w:p>
                  <w:pPr>
                    <w:adjustRightInd w:val="0"/>
                    <w:snapToGrid w:val="0"/>
                    <w:jc w:val="center"/>
                    <w:rPr>
                      <w:snapToGrid w:val="0"/>
                      <w:color w:val="auto"/>
                      <w:kern w:val="0"/>
                      <w:szCs w:val="21"/>
                    </w:rPr>
                  </w:pPr>
                  <w:r>
                    <w:rPr>
                      <w:rFonts w:hint="eastAsia"/>
                      <w:snapToGrid w:val="0"/>
                      <w:color w:val="auto"/>
                      <w:kern w:val="0"/>
                      <w:szCs w:val="21"/>
                    </w:rPr>
                    <w:t>550</w:t>
                  </w:r>
                </w:p>
              </w:tc>
              <w:tc>
                <w:tcPr>
                  <w:tcW w:w="745" w:type="pct"/>
                  <w:vAlign w:val="center"/>
                </w:tcPr>
                <w:p>
                  <w:pPr>
                    <w:adjustRightInd w:val="0"/>
                    <w:snapToGrid w:val="0"/>
                    <w:jc w:val="center"/>
                    <w:rPr>
                      <w:snapToGrid w:val="0"/>
                      <w:color w:val="auto"/>
                      <w:kern w:val="0"/>
                      <w:szCs w:val="21"/>
                    </w:rPr>
                  </w:pPr>
                  <w:r>
                    <w:rPr>
                      <w:snapToGrid w:val="0"/>
                      <w:color w:val="auto"/>
                      <w:kern w:val="0"/>
                      <w:szCs w:val="21"/>
                    </w:rPr>
                    <w:t>/</w:t>
                  </w:r>
                </w:p>
              </w:tc>
              <w:tc>
                <w:tcPr>
                  <w:tcW w:w="477"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t/a</w:t>
                  </w:r>
                </w:p>
              </w:tc>
              <w:tc>
                <w:tcPr>
                  <w:tcW w:w="614"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w:t>
                  </w:r>
                </w:p>
              </w:tc>
              <w:tc>
                <w:tcPr>
                  <w:tcW w:w="675"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w:t>
                  </w:r>
                </w:p>
              </w:tc>
              <w:tc>
                <w:tcPr>
                  <w:tcW w:w="433" w:type="pct"/>
                  <w:vAlign w:val="center"/>
                </w:tcPr>
                <w:p>
                  <w:pPr>
                    <w:autoSpaceDE w:val="0"/>
                    <w:autoSpaceDN w:val="0"/>
                    <w:adjustRightInd w:val="0"/>
                    <w:snapToGrid w:val="0"/>
                    <w:jc w:val="center"/>
                    <w:rPr>
                      <w:snapToGrid w:val="0"/>
                      <w:color w:val="auto"/>
                      <w:kern w:val="0"/>
                      <w:szCs w:val="21"/>
                    </w:rPr>
                  </w:pPr>
                  <w:r>
                    <w:rPr>
                      <w:snapToGrid w:val="0"/>
                      <w:color w:val="auto"/>
                      <w:kern w:val="0"/>
                      <w:szCs w:val="21"/>
                    </w:rPr>
                    <w:t>供水管网</w:t>
                  </w:r>
                </w:p>
              </w:tc>
            </w:tr>
          </w:tbl>
          <w:p>
            <w:pPr>
              <w:pStyle w:val="85"/>
              <w:spacing w:before="120" w:beforeLines="50" w:line="240" w:lineRule="auto"/>
              <w:ind w:firstLine="480" w:firstLineChars="200"/>
              <w:jc w:val="both"/>
              <w:rPr>
                <w:b w:val="0"/>
                <w:bCs/>
                <w:color w:val="auto"/>
                <w:sz w:val="24"/>
              </w:rPr>
            </w:pPr>
            <w:r>
              <w:rPr>
                <w:rFonts w:hint="eastAsia"/>
                <w:b w:val="0"/>
                <w:bCs/>
                <w:color w:val="auto"/>
                <w:sz w:val="24"/>
              </w:rPr>
              <w:t>注：本项目所使用的PP颗粒为新料，不使用废塑料。</w:t>
            </w:r>
          </w:p>
          <w:p>
            <w:pPr>
              <w:pStyle w:val="85"/>
              <w:spacing w:before="120" w:beforeLines="50" w:line="240" w:lineRule="auto"/>
              <w:rPr>
                <w:color w:val="auto"/>
                <w:sz w:val="24"/>
              </w:rPr>
            </w:pPr>
            <w:r>
              <w:rPr>
                <w:color w:val="auto"/>
                <w:sz w:val="24"/>
              </w:rPr>
              <w:t>表2-</w:t>
            </w:r>
            <w:r>
              <w:rPr>
                <w:rFonts w:hint="eastAsia"/>
                <w:color w:val="auto"/>
                <w:sz w:val="24"/>
                <w:lang w:val="en-US" w:eastAsia="zh-CN"/>
              </w:rPr>
              <w:t>9</w:t>
            </w:r>
            <w:r>
              <w:rPr>
                <w:rFonts w:hint="eastAsia"/>
                <w:color w:val="auto"/>
                <w:sz w:val="24"/>
              </w:rPr>
              <w:t xml:space="preserve"> </w:t>
            </w:r>
            <w:r>
              <w:rPr>
                <w:color w:val="auto"/>
                <w:sz w:val="24"/>
              </w:rPr>
              <w:t xml:space="preserve"> 主要原辅材料理化性质</w:t>
            </w:r>
          </w:p>
          <w:tbl>
            <w:tblPr>
              <w:tblStyle w:val="71"/>
              <w:tblW w:w="4997"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797"/>
              <w:gridCol w:w="1086"/>
              <w:gridCol w:w="707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5"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auto"/>
                      <w:kern w:val="0"/>
                      <w:szCs w:val="21"/>
                      <w:lang w:eastAsia="en-US"/>
                    </w:rPr>
                  </w:pPr>
                  <w:r>
                    <w:rPr>
                      <w:rFonts w:hint="default" w:ascii="Times New Roman" w:hAnsi="Times New Roman" w:eastAsia="宋体" w:cs="Times New Roman"/>
                      <w:b/>
                      <w:bCs/>
                      <w:snapToGrid w:val="0"/>
                      <w:color w:val="auto"/>
                      <w:kern w:val="0"/>
                      <w:szCs w:val="21"/>
                      <w:lang w:eastAsia="en-US"/>
                    </w:rPr>
                    <w:t>序号</w:t>
                  </w:r>
                </w:p>
              </w:tc>
              <w:tc>
                <w:tcPr>
                  <w:tcW w:w="606"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auto"/>
                      <w:kern w:val="0"/>
                      <w:szCs w:val="21"/>
                      <w:lang w:eastAsia="en-US"/>
                    </w:rPr>
                  </w:pPr>
                  <w:r>
                    <w:rPr>
                      <w:rFonts w:hint="default" w:ascii="Times New Roman" w:hAnsi="Times New Roman" w:eastAsia="宋体" w:cs="Times New Roman"/>
                      <w:b/>
                      <w:bCs/>
                      <w:snapToGrid w:val="0"/>
                      <w:color w:val="auto"/>
                      <w:kern w:val="0"/>
                      <w:szCs w:val="21"/>
                      <w:lang w:eastAsia="en-US"/>
                    </w:rPr>
                    <w:t>名称</w:t>
                  </w:r>
                </w:p>
              </w:tc>
              <w:tc>
                <w:tcPr>
                  <w:tcW w:w="3948"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auto"/>
                      <w:kern w:val="0"/>
                      <w:szCs w:val="21"/>
                      <w:lang w:eastAsia="en-US"/>
                    </w:rPr>
                  </w:pPr>
                  <w:r>
                    <w:rPr>
                      <w:rFonts w:hint="default" w:ascii="Times New Roman" w:hAnsi="Times New Roman" w:eastAsia="宋体" w:cs="Times New Roman"/>
                      <w:b/>
                      <w:bCs/>
                      <w:snapToGrid w:val="0"/>
                      <w:color w:val="auto"/>
                      <w:kern w:val="0"/>
                      <w:szCs w:val="21"/>
                      <w:lang w:eastAsia="en-US"/>
                    </w:rPr>
                    <w:t>理化特性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5"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Cs w:val="21"/>
                      <w:lang w:eastAsia="en-US"/>
                    </w:rPr>
                  </w:pPr>
                  <w:r>
                    <w:rPr>
                      <w:rFonts w:hint="default" w:ascii="Times New Roman" w:hAnsi="Times New Roman" w:eastAsia="宋体" w:cs="Times New Roman"/>
                      <w:snapToGrid w:val="0"/>
                      <w:color w:val="auto"/>
                      <w:kern w:val="0"/>
                      <w:szCs w:val="21"/>
                      <w:lang w:eastAsia="en-US"/>
                    </w:rPr>
                    <w:t>1</w:t>
                  </w:r>
                </w:p>
              </w:tc>
              <w:tc>
                <w:tcPr>
                  <w:tcW w:w="606" w:type="pct"/>
                  <w:tcBorders>
                    <w:tl2br w:val="nil"/>
                    <w:tr2bl w:val="nil"/>
                  </w:tcBorders>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val="en-US" w:eastAsia="zh-CN"/>
                    </w:rPr>
                    <w:t>PP颗粒</w:t>
                  </w:r>
                </w:p>
              </w:tc>
              <w:tc>
                <w:tcPr>
                  <w:tcW w:w="3948" w:type="pct"/>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kern w:val="2"/>
                      <w:sz w:val="21"/>
                      <w:szCs w:val="21"/>
                      <w:highlight w:val="none"/>
                      <w:shd w:val="clear" w:color="auto" w:fill="FFFFFF"/>
                      <w:lang w:val="en-US" w:eastAsia="en-US" w:bidi="ar-SA"/>
                    </w:rPr>
                  </w:pPr>
                  <w:r>
                    <w:rPr>
                      <w:rStyle w:val="31"/>
                      <w:rFonts w:ascii="Arial" w:hAnsi="Arial" w:eastAsia="Arial" w:cs="Arial"/>
                      <w:b w:val="0"/>
                      <w:bCs w:val="0"/>
                      <w:i w:val="0"/>
                      <w:iCs w:val="0"/>
                      <w:caps w:val="0"/>
                      <w:color w:val="auto"/>
                      <w:spacing w:val="0"/>
                      <w:sz w:val="21"/>
                      <w:szCs w:val="21"/>
                    </w:rPr>
                    <w:t>聚丙烯颗粒</w:t>
                  </w:r>
                  <w:r>
                    <w:rPr>
                      <w:rFonts w:hint="default" w:ascii="Times New Roman" w:hAnsi="Times New Roman" w:eastAsia="宋体" w:cs="Times New Roman"/>
                      <w:b w:val="0"/>
                      <w:bCs w:val="0"/>
                      <w:color w:val="auto"/>
                    </w:rPr>
                    <w:t>无嗅、无味、无毒</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优异的力学性能，包括拉伸强度、压缩强度和硬度，突出的刚性和耐弯曲疲劳性能，低温下冲击强度较差</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拉伸强度一般21-39兆帕；弯曲强度42-56兆帕，压缩强度39-56兆帕，断裂伸长率200</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~400</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rPr>
                    <w:t>，缺口冲击强度2.2-5kJ/m</w:t>
                  </w:r>
                  <w:r>
                    <w:rPr>
                      <w:rFonts w:hint="default" w:ascii="Times New Roman" w:hAnsi="Times New Roman" w:eastAsia="宋体" w:cs="Times New Roman"/>
                      <w:b w:val="0"/>
                      <w:bCs w:val="0"/>
                      <w:color w:val="auto"/>
                      <w:vertAlign w:val="superscript"/>
                    </w:rPr>
                    <w:t>2</w:t>
                  </w:r>
                  <w:r>
                    <w:rPr>
                      <w:rFonts w:hint="default" w:ascii="Times New Roman" w:hAnsi="Times New Roman" w:eastAsia="宋体" w:cs="Times New Roman"/>
                      <w:b w:val="0"/>
                      <w:bCs w:val="0"/>
                      <w:color w:val="auto"/>
                    </w:rPr>
                    <w:t>，低温缺口冲击强度1-2kJ/m</w:t>
                  </w:r>
                  <w:r>
                    <w:rPr>
                      <w:rFonts w:hint="default" w:ascii="Times New Roman" w:hAnsi="Times New Roman" w:eastAsia="宋体" w:cs="Times New Roman"/>
                      <w:b w:val="0"/>
                      <w:bCs w:val="0"/>
                      <w:color w:val="auto"/>
                      <w:vertAlign w:val="superscript"/>
                    </w:rPr>
                    <w:t>2</w:t>
                  </w:r>
                  <w:r>
                    <w:rPr>
                      <w:rFonts w:hint="default" w:ascii="Times New Roman" w:hAnsi="Times New Roman" w:eastAsia="宋体" w:cs="Times New Roman"/>
                      <w:b w:val="0"/>
                      <w:bCs w:val="0"/>
                      <w:color w:val="auto"/>
                    </w:rPr>
                    <w:t>。</w:t>
                  </w:r>
                  <w:r>
                    <w:rPr>
                      <w:rFonts w:hint="eastAsia" w:cs="Times New Roman"/>
                      <w:b w:val="0"/>
                      <w:bCs w:val="0"/>
                      <w:color w:val="auto"/>
                      <w:lang w:val="en-US" w:eastAsia="zh-CN"/>
                    </w:rPr>
                    <w:t>密度约0.91g/cm</w:t>
                  </w:r>
                  <w:r>
                    <w:rPr>
                      <w:rFonts w:hint="eastAsia" w:cs="Times New Roman"/>
                      <w:b w:val="0"/>
                      <w:bCs w:val="0"/>
                      <w:color w:val="auto"/>
                      <w:vertAlign w:val="superscript"/>
                      <w:lang w:val="en-US" w:eastAsia="zh-CN"/>
                    </w:rPr>
                    <w:t>3</w:t>
                  </w:r>
                  <w:r>
                    <w:rPr>
                      <w:rFonts w:hint="default" w:ascii="Times New Roman" w:hAnsi="Times New Roman" w:eastAsia="宋体" w:cs="Times New Roman"/>
                      <w:b w:val="0"/>
                      <w:bCs w:val="0"/>
                      <w:color w:val="auto"/>
                    </w:rPr>
                    <w:t>，洛氏硬度R95~105；耐热性良好，连续使用温度可达110-120℃；化学稳定性好，除强氧化剂外，与大多数化学药品不发生作用；耐水性特别好；电性能优异，耐高频电绝缘件好，在潮湿环境中也具有良好的电绝缘性</w:t>
                  </w:r>
                  <w:r>
                    <w:rPr>
                      <w:rFonts w:hint="eastAsia"/>
                      <w:b w:val="0"/>
                      <w:bCs w:val="0"/>
                      <w:color w:val="auto"/>
                      <w:szCs w:val="21"/>
                      <w:highlight w:val="none"/>
                      <w:shd w:val="clear" w:color="auto" w:fill="FFFFFF"/>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5"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Cs w:val="21"/>
                      <w:lang w:eastAsia="en-US"/>
                    </w:rPr>
                  </w:pPr>
                  <w:r>
                    <w:rPr>
                      <w:rFonts w:hint="default" w:ascii="Times New Roman" w:hAnsi="Times New Roman" w:eastAsia="宋体" w:cs="Times New Roman"/>
                      <w:snapToGrid w:val="0"/>
                      <w:color w:val="auto"/>
                      <w:kern w:val="0"/>
                      <w:szCs w:val="21"/>
                      <w:lang w:eastAsia="en-US"/>
                    </w:rPr>
                    <w:t>2</w:t>
                  </w:r>
                </w:p>
              </w:tc>
              <w:tc>
                <w:tcPr>
                  <w:tcW w:w="606" w:type="pct"/>
                  <w:tcBorders>
                    <w:tl2br w:val="nil"/>
                    <w:tr2bl w:val="nil"/>
                  </w:tcBorders>
                  <w:vAlign w:val="center"/>
                </w:tcPr>
                <w:p>
                  <w:pPr>
                    <w:adjustRightInd w:val="0"/>
                    <w:snapToGrid w:val="0"/>
                    <w:jc w:val="center"/>
                    <w:rPr>
                      <w:rFonts w:hint="eastAsia" w:ascii="Times New Roman" w:hAnsi="Times New Roman" w:eastAsia="宋体" w:cs="Times New Roman"/>
                      <w:snapToGrid w:val="0"/>
                      <w:color w:val="auto"/>
                      <w:kern w:val="0"/>
                      <w:szCs w:val="21"/>
                      <w:lang w:eastAsia="zh-CN"/>
                    </w:rPr>
                  </w:pPr>
                  <w:r>
                    <w:rPr>
                      <w:rFonts w:hint="eastAsia" w:cs="Times New Roman"/>
                      <w:snapToGrid w:val="0"/>
                      <w:color w:val="auto"/>
                      <w:kern w:val="0"/>
                      <w:szCs w:val="21"/>
                      <w:lang w:val="en-US" w:eastAsia="zh-CN"/>
                    </w:rPr>
                    <w:t>色母粒子</w:t>
                  </w:r>
                </w:p>
              </w:tc>
              <w:tc>
                <w:tcPr>
                  <w:tcW w:w="3948"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0"/>
                      <w:szCs w:val="21"/>
                      <w:lang w:eastAsia="en-US"/>
                    </w:rPr>
                  </w:pPr>
                  <w:r>
                    <w:rPr>
                      <w:color w:val="auto"/>
                      <w:kern w:val="0"/>
                      <w:szCs w:val="21"/>
                      <w:highlight w:val="none"/>
                    </w:rPr>
                    <w:t>色母是一种新型高分子材料专用着色剂，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r>
                    <w:rPr>
                      <w:rFonts w:hint="default" w:ascii="Times New Roman" w:hAnsi="Times New Roman" w:eastAsia="宋体" w:cs="Times New Roman"/>
                      <w:snapToGrid w:val="0"/>
                      <w:color w:val="auto"/>
                      <w:kern w:val="0"/>
                      <w:szCs w:val="21"/>
                      <w:lang w:eastAsia="en-US"/>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5" w:type="pct"/>
                  <w:tcBorders>
                    <w:tl2br w:val="nil"/>
                    <w:tr2bl w:val="nil"/>
                  </w:tcBorders>
                  <w:vAlign w:val="center"/>
                </w:tcPr>
                <w:p>
                  <w:pPr>
                    <w:adjustRightInd w:val="0"/>
                    <w:snapToGrid w:val="0"/>
                    <w:jc w:val="center"/>
                    <w:rPr>
                      <w:rFonts w:hint="eastAsia"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3</w:t>
                  </w:r>
                </w:p>
              </w:tc>
              <w:tc>
                <w:tcPr>
                  <w:tcW w:w="606" w:type="pct"/>
                  <w:tcBorders>
                    <w:tl2br w:val="nil"/>
                    <w:tr2bl w:val="nil"/>
                  </w:tcBorders>
                  <w:vAlign w:val="center"/>
                </w:tcPr>
                <w:p>
                  <w:pPr>
                    <w:adjustRightInd w:val="0"/>
                    <w:snapToGrid w:val="0"/>
                    <w:jc w:val="center"/>
                    <w:rPr>
                      <w:rFonts w:hint="default" w:cs="Times New Roman"/>
                      <w:snapToGrid w:val="0"/>
                      <w:color w:val="auto"/>
                      <w:kern w:val="0"/>
                      <w:szCs w:val="21"/>
                      <w:lang w:val="en-US" w:eastAsia="zh-CN"/>
                    </w:rPr>
                  </w:pPr>
                  <w:r>
                    <w:rPr>
                      <w:rFonts w:hint="eastAsia" w:cs="Times New Roman"/>
                      <w:snapToGrid w:val="0"/>
                      <w:color w:val="auto"/>
                      <w:kern w:val="0"/>
                      <w:szCs w:val="21"/>
                      <w:lang w:val="en-US" w:eastAsia="zh-CN"/>
                    </w:rPr>
                    <w:t>热转印膜</w:t>
                  </w:r>
                </w:p>
              </w:tc>
              <w:tc>
                <w:tcPr>
                  <w:tcW w:w="3948" w:type="pct"/>
                  <w:tcBorders>
                    <w:tl2br w:val="nil"/>
                    <w:tr2bl w:val="nil"/>
                  </w:tcBorders>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热转印膜主要由基底层（PET薄膜）、图案层（油墨图案）等组成，图案层的油墨为水性油墨，主要成分为水性树脂30-45%、有机硅助剂3-8%、无机颜料0-15%、水35-50%，</w:t>
                  </w:r>
                  <w:r>
                    <w:rPr>
                      <w:rFonts w:hint="eastAsia"/>
                      <w:color w:val="auto"/>
                      <w:kern w:val="0"/>
                      <w:szCs w:val="21"/>
                    </w:rPr>
                    <w:t>气味：微香，密度：1.0~1.1。</w:t>
                  </w:r>
                  <w:r>
                    <w:rPr>
                      <w:color w:val="auto"/>
                      <w:kern w:val="0"/>
                      <w:szCs w:val="21"/>
                    </w:rPr>
                    <w:t>微量残留气体在通风不良的地方可能会刺激眼睛、鼻粘膜、呼吸道等产生头痛及恶心的症状，长时间皮肤接触可能会引起局部红斑，直接接触会刺激到眼睛</w:t>
                  </w:r>
                  <w:r>
                    <w:rPr>
                      <w:rFonts w:hint="eastAsia"/>
                      <w:color w:val="auto"/>
                      <w:kern w:val="0"/>
                      <w:szCs w:val="21"/>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20" w:beforeLines="50" w:line="360" w:lineRule="auto"/>
              <w:ind w:firstLine="482" w:firstLineChars="200"/>
              <w:textAlignment w:val="auto"/>
              <w:rPr>
                <w:rFonts w:ascii="宋体" w:hAnsi="宋体" w:cs="宋体"/>
                <w:b/>
                <w:bCs/>
                <w:color w:val="auto"/>
                <w:kern w:val="0"/>
                <w:sz w:val="24"/>
              </w:rPr>
            </w:pPr>
            <w:r>
              <w:rPr>
                <w:rFonts w:hint="eastAsia" w:ascii="宋体" w:hAnsi="宋体" w:cs="宋体"/>
                <w:b/>
                <w:bCs/>
                <w:color w:val="auto"/>
                <w:kern w:val="0"/>
                <w:sz w:val="24"/>
                <w:lang w:val="en-US" w:eastAsia="zh-CN"/>
              </w:rPr>
              <w:t>七、</w:t>
            </w:r>
            <w:r>
              <w:rPr>
                <w:rFonts w:hint="eastAsia" w:ascii="宋体" w:hAnsi="宋体" w:cs="宋体"/>
                <w:b/>
                <w:bCs/>
                <w:color w:val="auto"/>
                <w:kern w:val="0"/>
                <w:sz w:val="24"/>
              </w:rPr>
              <w:t>劳动定员</w:t>
            </w:r>
          </w:p>
          <w:p>
            <w:pPr>
              <w:autoSpaceDE w:val="0"/>
              <w:autoSpaceDN w:val="0"/>
              <w:adjustRightInd w:val="0"/>
              <w:snapToGrid w:val="0"/>
              <w:spacing w:line="360" w:lineRule="auto"/>
              <w:ind w:firstLine="480" w:firstLineChars="200"/>
              <w:rPr>
                <w:bCs/>
                <w:color w:val="auto"/>
                <w:kern w:val="0"/>
                <w:sz w:val="24"/>
              </w:rPr>
            </w:pPr>
            <w:r>
              <w:rPr>
                <w:bCs/>
                <w:color w:val="auto"/>
                <w:kern w:val="0"/>
                <w:sz w:val="24"/>
              </w:rPr>
              <w:t>项目总定员为</w:t>
            </w:r>
            <w:r>
              <w:rPr>
                <w:rFonts w:hint="eastAsia"/>
                <w:bCs/>
                <w:color w:val="auto"/>
                <w:kern w:val="0"/>
                <w:sz w:val="24"/>
              </w:rPr>
              <w:t>30人</w:t>
            </w:r>
            <w:r>
              <w:rPr>
                <w:bCs/>
                <w:color w:val="auto"/>
                <w:kern w:val="0"/>
                <w:sz w:val="24"/>
              </w:rPr>
              <w:t>，年工作时间为300天，实行</w:t>
            </w:r>
            <w:r>
              <w:rPr>
                <w:rFonts w:hint="eastAsia"/>
                <w:bCs/>
                <w:color w:val="auto"/>
                <w:kern w:val="0"/>
                <w:sz w:val="24"/>
              </w:rPr>
              <w:t>2</w:t>
            </w:r>
            <w:r>
              <w:rPr>
                <w:bCs/>
                <w:color w:val="auto"/>
                <w:kern w:val="0"/>
                <w:sz w:val="24"/>
              </w:rPr>
              <w:t>班制，每班工作8小时。</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ascii="宋体" w:hAnsi="宋体" w:cs="宋体"/>
                <w:b/>
                <w:bCs/>
                <w:color w:val="auto"/>
                <w:kern w:val="0"/>
                <w:sz w:val="24"/>
              </w:rPr>
            </w:pPr>
            <w:r>
              <w:rPr>
                <w:rFonts w:hint="eastAsia" w:ascii="宋体" w:hAnsi="宋体" w:cs="宋体"/>
                <w:b/>
                <w:bCs/>
                <w:color w:val="auto"/>
                <w:kern w:val="0"/>
                <w:sz w:val="24"/>
                <w:lang w:val="en-US" w:eastAsia="zh-CN"/>
              </w:rPr>
              <w:t>八、</w:t>
            </w:r>
            <w:r>
              <w:rPr>
                <w:rFonts w:hint="eastAsia" w:ascii="宋体" w:hAnsi="宋体" w:cs="宋体"/>
                <w:b/>
                <w:bCs/>
                <w:color w:val="auto"/>
                <w:kern w:val="0"/>
                <w:sz w:val="24"/>
              </w:rPr>
              <w:t>公用工程</w:t>
            </w:r>
          </w:p>
          <w:p>
            <w:pPr>
              <w:adjustRightInd w:val="0"/>
              <w:snapToGrid w:val="0"/>
              <w:spacing w:line="360" w:lineRule="auto"/>
              <w:ind w:firstLine="482" w:firstLineChars="200"/>
              <w:rPr>
                <w:b/>
                <w:bCs/>
                <w:color w:val="auto"/>
                <w:sz w:val="24"/>
              </w:rPr>
            </w:pPr>
            <w:r>
              <w:rPr>
                <w:rFonts w:hint="eastAsia"/>
                <w:b/>
                <w:bCs/>
                <w:color w:val="auto"/>
                <w:sz w:val="24"/>
              </w:rPr>
              <w:t>1、</w:t>
            </w:r>
            <w:r>
              <w:rPr>
                <w:b/>
                <w:bCs/>
                <w:color w:val="auto"/>
                <w:sz w:val="24"/>
              </w:rPr>
              <w:t>给水</w:t>
            </w:r>
          </w:p>
          <w:p>
            <w:pPr>
              <w:adjustRightInd w:val="0"/>
              <w:snapToGrid w:val="0"/>
              <w:spacing w:line="360" w:lineRule="auto"/>
              <w:ind w:firstLine="480" w:firstLineChars="200"/>
              <w:rPr>
                <w:color w:val="auto"/>
                <w:sz w:val="24"/>
              </w:rPr>
            </w:pPr>
            <w:r>
              <w:rPr>
                <w:color w:val="auto"/>
                <w:sz w:val="24"/>
              </w:rPr>
              <w:t>项目用水由当地自来水管网供给。</w:t>
            </w:r>
          </w:p>
          <w:p>
            <w:pPr>
              <w:pStyle w:val="20"/>
              <w:adjustRightInd w:val="0"/>
              <w:snapToGrid w:val="0"/>
              <w:spacing w:before="120" w:beforeLines="50" w:line="360" w:lineRule="auto"/>
              <w:ind w:firstLine="480"/>
              <w:rPr>
                <w:rFonts w:ascii="Times New Roman" w:hAnsi="Times New Roman"/>
                <w:color w:val="auto"/>
                <w:sz w:val="24"/>
                <w:szCs w:val="24"/>
              </w:rPr>
            </w:pPr>
            <w:r>
              <w:rPr>
                <w:rFonts w:hint="eastAsia" w:ascii="Times New Roman" w:hAnsi="Times New Roman"/>
                <w:color w:val="auto"/>
                <w:sz w:val="24"/>
                <w:szCs w:val="24"/>
              </w:rPr>
              <w:t>（1）</w:t>
            </w:r>
            <w:r>
              <w:rPr>
                <w:rFonts w:ascii="Times New Roman" w:hAnsi="Times New Roman"/>
                <w:color w:val="auto"/>
                <w:sz w:val="24"/>
                <w:szCs w:val="24"/>
              </w:rPr>
              <w:t>生活用水</w:t>
            </w:r>
          </w:p>
          <w:p>
            <w:pPr>
              <w:pStyle w:val="20"/>
              <w:adjustRightInd w:val="0"/>
              <w:snapToGrid w:val="0"/>
              <w:spacing w:line="360" w:lineRule="auto"/>
              <w:ind w:firstLine="480"/>
              <w:rPr>
                <w:rFonts w:ascii="Times New Roman" w:hAnsi="Times New Roman"/>
                <w:color w:val="auto"/>
                <w:sz w:val="24"/>
                <w:szCs w:val="24"/>
              </w:rPr>
            </w:pPr>
            <w:r>
              <w:rPr>
                <w:rFonts w:ascii="Times New Roman" w:hAnsi="Times New Roman"/>
                <w:color w:val="auto"/>
                <w:sz w:val="24"/>
                <w:szCs w:val="24"/>
              </w:rPr>
              <w:t>生活用水主要来自员工办公生活，项目劳动定员</w:t>
            </w:r>
            <w:r>
              <w:rPr>
                <w:rFonts w:hint="eastAsia" w:ascii="Times New Roman" w:hAnsi="Times New Roman"/>
                <w:color w:val="auto"/>
                <w:sz w:val="24"/>
                <w:szCs w:val="24"/>
              </w:rPr>
              <w:t>30人</w:t>
            </w:r>
            <w:r>
              <w:rPr>
                <w:rFonts w:ascii="Times New Roman" w:hAnsi="Times New Roman"/>
                <w:color w:val="auto"/>
                <w:sz w:val="24"/>
                <w:szCs w:val="24"/>
              </w:rPr>
              <w:t>，</w:t>
            </w:r>
            <w:r>
              <w:rPr>
                <w:rFonts w:hint="eastAsia" w:ascii="Times New Roman" w:hAnsi="Times New Roman"/>
                <w:color w:val="auto"/>
                <w:sz w:val="24"/>
                <w:szCs w:val="24"/>
              </w:rPr>
              <w:t>不提供食宿</w:t>
            </w:r>
            <w:r>
              <w:rPr>
                <w:rFonts w:ascii="Times New Roman" w:hAnsi="Times New Roman"/>
                <w:color w:val="auto"/>
                <w:sz w:val="24"/>
                <w:szCs w:val="24"/>
              </w:rPr>
              <w:t>，根据</w:t>
            </w:r>
            <w:r>
              <w:rPr>
                <w:rFonts w:hint="eastAsia" w:ascii="Times New Roman" w:hAnsi="Times New Roman"/>
                <w:color w:val="auto"/>
                <w:sz w:val="24"/>
                <w:szCs w:val="24"/>
              </w:rPr>
              <w:t>《安徽省行业用水定额》（DB34/T 679-2025）</w:t>
            </w:r>
            <w:r>
              <w:rPr>
                <w:rFonts w:ascii="Times New Roman" w:hAnsi="Times New Roman"/>
                <w:color w:val="auto"/>
                <w:sz w:val="24"/>
                <w:szCs w:val="24"/>
              </w:rPr>
              <w:t>，员工生活用水按15m³/人·a计，用水量为</w:t>
            </w:r>
            <w:r>
              <w:rPr>
                <w:rFonts w:hint="eastAsia" w:ascii="Times New Roman" w:hAnsi="Times New Roman"/>
                <w:color w:val="auto"/>
                <w:sz w:val="24"/>
                <w:szCs w:val="24"/>
              </w:rPr>
              <w:t>1.5t/d</w:t>
            </w:r>
            <w:r>
              <w:rPr>
                <w:rFonts w:ascii="Times New Roman" w:hAnsi="Times New Roman"/>
                <w:color w:val="auto"/>
                <w:sz w:val="24"/>
                <w:szCs w:val="24"/>
              </w:rPr>
              <w:t>，</w:t>
            </w:r>
            <w:r>
              <w:rPr>
                <w:rFonts w:hint="eastAsia" w:ascii="Times New Roman" w:hAnsi="Times New Roman"/>
                <w:color w:val="auto"/>
                <w:sz w:val="24"/>
                <w:szCs w:val="24"/>
              </w:rPr>
              <w:t>450t/a（全年按300天计）</w:t>
            </w:r>
            <w:r>
              <w:rPr>
                <w:rFonts w:ascii="Times New Roman" w:hAnsi="Times New Roman"/>
                <w:color w:val="auto"/>
                <w:sz w:val="24"/>
                <w:szCs w:val="24"/>
              </w:rPr>
              <w:t>。</w:t>
            </w:r>
          </w:p>
          <w:p>
            <w:pPr>
              <w:pStyle w:val="20"/>
              <w:adjustRightInd w:val="0"/>
              <w:snapToGri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（2）循环冷却用水</w:t>
            </w:r>
          </w:p>
          <w:p>
            <w:pPr>
              <w:pStyle w:val="20"/>
              <w:adjustRightInd w:val="0"/>
              <w:snapToGri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本项目注塑过程采用水进行间接冷却，冷却水循环使用，一年排放一次。设置有2台水泵，一个水箱（4</w:t>
            </w:r>
            <w:r>
              <w:rPr>
                <w:rFonts w:ascii="Times New Roman" w:hAnsi="Times New Roman"/>
                <w:color w:val="auto"/>
                <w:sz w:val="24"/>
                <w:szCs w:val="24"/>
              </w:rPr>
              <w:t>m³</w:t>
            </w:r>
            <w:r>
              <w:rPr>
                <w:rFonts w:hint="eastAsia" w:ascii="Times New Roman" w:hAnsi="Times New Roman"/>
                <w:color w:val="auto"/>
                <w:sz w:val="24"/>
                <w:szCs w:val="24"/>
              </w:rPr>
              <w:t>），单台水泵循环量为1m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/h，日补充水量约为循环量的1%，则循环水每年补水量约100m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/a（0.333t/d）。</w:t>
            </w:r>
          </w:p>
          <w:p>
            <w:pPr>
              <w:adjustRightInd w:val="0"/>
              <w:snapToGrid w:val="0"/>
              <w:spacing w:line="360" w:lineRule="auto"/>
              <w:ind w:firstLine="482" w:firstLineChars="200"/>
              <w:rPr>
                <w:rFonts w:ascii="宋体" w:hAnsi="宋体" w:cs="宋体"/>
                <w:b/>
                <w:bCs/>
                <w:color w:val="auto"/>
                <w:sz w:val="24"/>
              </w:rPr>
            </w:pPr>
            <w:r>
              <w:rPr>
                <w:rFonts w:hint="eastAsia" w:ascii="宋体" w:hAnsi="宋体" w:cs="宋体"/>
                <w:b/>
                <w:bCs/>
                <w:color w:val="auto"/>
                <w:sz w:val="24"/>
              </w:rPr>
              <w:t>2、排水</w:t>
            </w:r>
          </w:p>
          <w:p>
            <w:pPr>
              <w:pStyle w:val="20"/>
              <w:adjustRightInd w:val="0"/>
              <w:snapToGri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项目排水采用雨污分流制。本项目废水为生活污水、冷却废水，生活污水经化粪池收集后与冷却废水一同接管至</w:t>
            </w:r>
            <w:r>
              <w:rPr>
                <w:rFonts w:hint="eastAsia" w:ascii="Times New Roman" w:hAnsi="Times New Roman"/>
                <w:color w:val="auto"/>
                <w:sz w:val="24"/>
                <w:szCs w:val="24"/>
                <w:lang w:eastAsia="zh-CN"/>
              </w:rPr>
              <w:t>蚌埠铜陵现代产业园污水处理厂</w:t>
            </w:r>
            <w:r>
              <w:rPr>
                <w:rFonts w:hint="eastAsia" w:ascii="Times New Roman" w:hAnsi="Times New Roman"/>
                <w:color w:val="auto"/>
                <w:sz w:val="24"/>
                <w:szCs w:val="24"/>
              </w:rPr>
              <w:t>处理最终排入北淝河。</w:t>
            </w:r>
          </w:p>
          <w:p>
            <w:pPr>
              <w:pStyle w:val="20"/>
              <w:numPr>
                <w:ilvl w:val="0"/>
                <w:numId w:val="3"/>
              </w:numPr>
              <w:adjustRightInd w:val="0"/>
              <w:snapToGrid w:val="0"/>
              <w:spacing w:line="360" w:lineRule="auto"/>
              <w:ind w:firstLine="480"/>
              <w:rPr>
                <w:rFonts w:ascii="Times New Roman" w:hAnsi="Times New Roman"/>
                <w:color w:val="auto"/>
                <w:sz w:val="24"/>
                <w:szCs w:val="24"/>
              </w:rPr>
            </w:pPr>
            <w:r>
              <w:rPr>
                <w:rFonts w:ascii="Times New Roman" w:hAnsi="Times New Roman"/>
                <w:color w:val="auto"/>
                <w:sz w:val="24"/>
                <w:szCs w:val="24"/>
              </w:rPr>
              <w:t>生活污水</w:t>
            </w:r>
          </w:p>
          <w:p>
            <w:pPr>
              <w:pStyle w:val="10"/>
              <w:adjustRightInd w:val="0"/>
              <w:snapToGrid w:val="0"/>
              <w:spacing w:after="0" w:line="360" w:lineRule="auto"/>
              <w:ind w:left="0" w:leftChars="0" w:firstLine="480"/>
              <w:rPr>
                <w:color w:val="auto"/>
                <w:kern w:val="2"/>
                <w:szCs w:val="24"/>
              </w:rPr>
            </w:pPr>
            <w:r>
              <w:rPr>
                <w:rFonts w:hint="eastAsia"/>
                <w:color w:val="auto"/>
                <w:kern w:val="2"/>
                <w:szCs w:val="24"/>
              </w:rPr>
              <w:t>本项目生活用水量为450t/a（1.5t/d），生活污水排放系数取0.8，则生活污水产生量为360t/a（1.2t/a），生活污水经化粪池收集后接管至</w:t>
            </w:r>
            <w:r>
              <w:rPr>
                <w:rFonts w:hint="eastAsia"/>
                <w:color w:val="auto"/>
                <w:kern w:val="2"/>
                <w:szCs w:val="24"/>
                <w:lang w:eastAsia="zh-CN"/>
              </w:rPr>
              <w:t>蚌埠铜陵现代产业园污水处理厂</w:t>
            </w:r>
            <w:r>
              <w:rPr>
                <w:rFonts w:hint="eastAsia"/>
                <w:color w:val="auto"/>
                <w:kern w:val="2"/>
                <w:szCs w:val="24"/>
              </w:rPr>
              <w:t>处理最终排入北淝河。</w:t>
            </w:r>
          </w:p>
          <w:p>
            <w:pPr>
              <w:pStyle w:val="20"/>
              <w:numPr>
                <w:ilvl w:val="0"/>
                <w:numId w:val="3"/>
              </w:numPr>
              <w:adjustRightInd w:val="0"/>
              <w:snapToGrid w:val="0"/>
              <w:spacing w:line="360" w:lineRule="auto"/>
              <w:ind w:firstLine="480"/>
              <w:rPr>
                <w:rFonts w:ascii="Times New Roman" w:hAnsi="Times New Roman"/>
                <w:color w:val="auto"/>
                <w:sz w:val="24"/>
                <w:szCs w:val="24"/>
              </w:rPr>
            </w:pPr>
            <w:r>
              <w:rPr>
                <w:rFonts w:ascii="Times New Roman" w:hAnsi="Times New Roman"/>
                <w:color w:val="auto"/>
                <w:sz w:val="24"/>
                <w:szCs w:val="24"/>
              </w:rPr>
              <w:t>冷却废水</w:t>
            </w:r>
          </w:p>
          <w:p>
            <w:pPr>
              <w:pStyle w:val="10"/>
              <w:adjustRightInd w:val="0"/>
              <w:snapToGrid w:val="0"/>
              <w:spacing w:after="0" w:line="360" w:lineRule="auto"/>
              <w:ind w:left="0" w:leftChars="0" w:firstLine="480"/>
              <w:rPr>
                <w:color w:val="auto"/>
                <w:szCs w:val="24"/>
              </w:rPr>
            </w:pPr>
            <w:r>
              <w:rPr>
                <w:rFonts w:hint="eastAsia"/>
                <w:color w:val="auto"/>
                <w:szCs w:val="24"/>
              </w:rPr>
              <w:t>本项目注塑过程冷却水循环使用，一年排放一次，水箱容积为4m³，故冷却废水产生量为</w:t>
            </w:r>
            <w:r>
              <w:rPr>
                <w:rFonts w:hint="eastAsia"/>
                <w:color w:val="auto"/>
                <w:kern w:val="2"/>
                <w:szCs w:val="24"/>
              </w:rPr>
              <w:t>4m</w:t>
            </w:r>
            <w:r>
              <w:rPr>
                <w:rFonts w:hint="eastAsia"/>
                <w:color w:val="auto"/>
                <w:kern w:val="2"/>
                <w:szCs w:val="24"/>
                <w:vertAlign w:val="superscript"/>
              </w:rPr>
              <w:t>3</w:t>
            </w:r>
            <w:r>
              <w:rPr>
                <w:rFonts w:hint="eastAsia"/>
                <w:color w:val="auto"/>
                <w:kern w:val="2"/>
                <w:szCs w:val="24"/>
              </w:rPr>
              <w:t>/a（0.013</w:t>
            </w:r>
            <w:r>
              <w:rPr>
                <w:rFonts w:hint="eastAsia"/>
                <w:color w:val="auto"/>
                <w:szCs w:val="24"/>
              </w:rPr>
              <w:t>t/d</w:t>
            </w:r>
            <w:r>
              <w:rPr>
                <w:rFonts w:hint="eastAsia"/>
                <w:color w:val="auto"/>
                <w:kern w:val="2"/>
                <w:szCs w:val="24"/>
              </w:rPr>
              <w:t>）</w:t>
            </w:r>
            <w:r>
              <w:rPr>
                <w:color w:val="auto"/>
                <w:szCs w:val="24"/>
              </w:rPr>
              <w:t>。</w:t>
            </w:r>
          </w:p>
          <w:p>
            <w:pPr>
              <w:keepNext w:val="0"/>
              <w:keepLines w:val="0"/>
              <w:pageBreakBefore w:val="0"/>
              <w:widowControl w:val="0"/>
              <w:tabs>
                <w:tab w:val="left" w:pos="1275"/>
              </w:tabs>
              <w:kinsoku/>
              <w:wordWrap/>
              <w:overflowPunct/>
              <w:topLinePunct w:val="0"/>
              <w:autoSpaceDE/>
              <w:autoSpaceDN/>
              <w:bidi w:val="0"/>
              <w:adjustRightInd w:val="0"/>
              <w:snapToGrid w:val="0"/>
              <w:spacing w:line="240" w:lineRule="auto"/>
              <w:jc w:val="center"/>
              <w:textAlignment w:val="auto"/>
              <w:rPr>
                <w:b/>
                <w:bCs/>
                <w:color w:val="auto"/>
                <w:sz w:val="24"/>
              </w:rPr>
            </w:pPr>
            <w:bookmarkStart w:id="8" w:name="_GoBack"/>
            <w:r>
              <w:rPr>
                <w:b/>
                <w:bCs/>
                <w:color w:val="auto"/>
                <w:sz w:val="24"/>
              </w:rPr>
              <w:object>
                <v:shape id="_x0000_i1025" o:spt="75" alt="" type="#_x0000_t75" style="height:140.6pt;width:363.4pt;" o:ole="t" filled="f" o:preferrelative="f"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bookmarkEnd w:id="8"/>
          </w:p>
          <w:p>
            <w:pPr>
              <w:keepNext w:val="0"/>
              <w:keepLines w:val="0"/>
              <w:pageBreakBefore w:val="0"/>
              <w:widowControl w:val="0"/>
              <w:tabs>
                <w:tab w:val="left" w:pos="1275"/>
              </w:tabs>
              <w:kinsoku/>
              <w:wordWrap/>
              <w:overflowPunct/>
              <w:topLinePunct w:val="0"/>
              <w:autoSpaceDE/>
              <w:autoSpaceDN/>
              <w:bidi w:val="0"/>
              <w:adjustRightInd w:val="0"/>
              <w:snapToGrid w:val="0"/>
              <w:spacing w:line="240" w:lineRule="auto"/>
              <w:jc w:val="center"/>
              <w:textAlignment w:val="auto"/>
              <w:rPr>
                <w:bCs/>
                <w:color w:val="auto"/>
                <w:sz w:val="24"/>
              </w:rPr>
            </w:pPr>
            <w:r>
              <w:rPr>
                <w:b/>
                <w:bCs/>
                <w:color w:val="auto"/>
                <w:sz w:val="24"/>
              </w:rPr>
              <w:t>图2-</w:t>
            </w:r>
            <w:r>
              <w:rPr>
                <w:rFonts w:hint="eastAsia"/>
                <w:b/>
                <w:bCs/>
                <w:color w:val="auto"/>
                <w:sz w:val="24"/>
              </w:rPr>
              <w:t>1</w:t>
            </w:r>
            <w:r>
              <w:rPr>
                <w:b/>
                <w:bCs/>
                <w:color w:val="auto"/>
                <w:sz w:val="24"/>
              </w:rPr>
              <w:t xml:space="preserve">  项目用水平衡图（单位：t/</w:t>
            </w:r>
            <w:r>
              <w:rPr>
                <w:rFonts w:hint="eastAsia"/>
                <w:b/>
                <w:bCs/>
                <w:color w:val="auto"/>
                <w:sz w:val="24"/>
              </w:rPr>
              <w:t>d</w:t>
            </w:r>
            <w:r>
              <w:rPr>
                <w:b/>
                <w:bCs/>
                <w:color w:val="auto"/>
                <w:sz w:val="24"/>
              </w:rPr>
              <w:t>）</w:t>
            </w:r>
          </w:p>
          <w:p>
            <w:pPr>
              <w:keepNext w:val="0"/>
              <w:keepLines w:val="0"/>
              <w:pageBreakBefore w:val="0"/>
              <w:widowControl w:val="0"/>
              <w:kinsoku/>
              <w:wordWrap/>
              <w:overflowPunct/>
              <w:autoSpaceDE/>
              <w:autoSpaceDN/>
              <w:bidi w:val="0"/>
              <w:adjustRightInd w:val="0"/>
              <w:snapToGrid w:val="0"/>
              <w:spacing w:line="336" w:lineRule="auto"/>
              <w:ind w:firstLine="482" w:firstLineChars="200"/>
              <w:textAlignment w:val="auto"/>
              <w:rPr>
                <w:rFonts w:ascii="宋体" w:hAnsi="宋体" w:cs="宋体"/>
                <w:b/>
                <w:bCs/>
                <w:color w:val="auto"/>
                <w:sz w:val="24"/>
              </w:rPr>
            </w:pPr>
            <w:r>
              <w:rPr>
                <w:rFonts w:hint="eastAsia" w:ascii="宋体" w:hAnsi="宋体" w:cs="宋体"/>
                <w:b/>
                <w:bCs/>
                <w:color w:val="auto"/>
                <w:sz w:val="24"/>
              </w:rPr>
              <w:t>3、供电</w:t>
            </w:r>
          </w:p>
          <w:p>
            <w:pPr>
              <w:pStyle w:val="75"/>
              <w:keepNext w:val="0"/>
              <w:keepLines w:val="0"/>
              <w:pageBreakBefore w:val="0"/>
              <w:widowControl w:val="0"/>
              <w:kinsoku/>
              <w:wordWrap/>
              <w:overflowPunct/>
              <w:topLinePunct/>
              <w:autoSpaceDE/>
              <w:autoSpaceDN/>
              <w:bidi w:val="0"/>
              <w:adjustRightInd w:val="0"/>
              <w:snapToGrid w:val="0"/>
              <w:spacing w:line="336" w:lineRule="auto"/>
              <w:ind w:firstLine="480"/>
              <w:textAlignment w:val="auto"/>
              <w:rPr>
                <w:rFonts w:cs="Times New Roman"/>
                <w:snapToGrid w:val="0"/>
                <w:color w:val="auto"/>
                <w:kern w:val="0"/>
                <w:sz w:val="24"/>
              </w:rPr>
            </w:pPr>
            <w:r>
              <w:rPr>
                <w:rFonts w:cs="Times New Roman"/>
                <w:b w:val="0"/>
                <w:bCs w:val="0"/>
                <w:color w:val="auto"/>
                <w:sz w:val="24"/>
              </w:rPr>
              <w:t>项目用电来自当地市政电网，经配电房变压后供各路用电系统使用，</w:t>
            </w:r>
            <w:r>
              <w:rPr>
                <w:rFonts w:hint="eastAsia" w:cs="Times New Roman"/>
                <w:b w:val="0"/>
                <w:bCs w:val="0"/>
                <w:color w:val="auto"/>
                <w:sz w:val="24"/>
              </w:rPr>
              <w:t>用</w:t>
            </w:r>
            <w:r>
              <w:rPr>
                <w:rFonts w:cs="Times New Roman"/>
                <w:b w:val="0"/>
                <w:bCs w:val="0"/>
                <w:color w:val="auto"/>
                <w:sz w:val="24"/>
              </w:rPr>
              <w:t>电量为</w:t>
            </w:r>
            <w:r>
              <w:rPr>
                <w:rFonts w:hint="eastAsia" w:cs="Times New Roman"/>
                <w:b w:val="0"/>
                <w:bCs w:val="0"/>
                <w:color w:val="auto"/>
                <w:sz w:val="24"/>
              </w:rPr>
              <w:t>150万</w:t>
            </w:r>
            <w:r>
              <w:rPr>
                <w:rFonts w:cs="Times New Roman"/>
                <w:b w:val="0"/>
                <w:bCs w:val="0"/>
                <w:color w:val="auto"/>
                <w:sz w:val="24"/>
              </w:rPr>
              <w:t>kW·h/a。</w:t>
            </w:r>
          </w:p>
          <w:p>
            <w:pPr>
              <w:pStyle w:val="75"/>
              <w:keepNext w:val="0"/>
              <w:keepLines w:val="0"/>
              <w:pageBreakBefore w:val="0"/>
              <w:widowControl w:val="0"/>
              <w:kinsoku/>
              <w:wordWrap/>
              <w:overflowPunct/>
              <w:topLinePunct/>
              <w:autoSpaceDE/>
              <w:autoSpaceDN/>
              <w:bidi w:val="0"/>
              <w:adjustRightInd w:val="0"/>
              <w:snapToGrid w:val="0"/>
              <w:spacing w:before="120" w:beforeLines="50" w:line="336" w:lineRule="auto"/>
              <w:textAlignment w:val="auto"/>
              <w:rPr>
                <w:rFonts w:cs="Times New Roman"/>
                <w:snapToGrid w:val="0"/>
                <w:color w:val="auto"/>
                <w:kern w:val="0"/>
                <w:sz w:val="24"/>
              </w:rPr>
            </w:pPr>
            <w:r>
              <w:rPr>
                <w:rFonts w:hint="eastAsia" w:cs="Times New Roman"/>
                <w:snapToGrid w:val="0"/>
                <w:color w:val="auto"/>
                <w:kern w:val="0"/>
                <w:sz w:val="24"/>
                <w:lang w:val="en-US" w:eastAsia="zh-CN"/>
              </w:rPr>
              <w:t>九</w:t>
            </w:r>
            <w:r>
              <w:rPr>
                <w:rFonts w:cs="Times New Roman"/>
                <w:snapToGrid w:val="0"/>
                <w:color w:val="auto"/>
                <w:kern w:val="0"/>
                <w:sz w:val="24"/>
              </w:rPr>
              <w:t>、厂区平面布置</w:t>
            </w:r>
          </w:p>
          <w:p>
            <w:pPr>
              <w:keepNext w:val="0"/>
              <w:keepLines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ascii="宋体" w:hAnsi="宋体" w:cs="宋体"/>
                <w:bCs/>
                <w:color w:val="auto"/>
                <w:sz w:val="24"/>
              </w:rPr>
            </w:pPr>
            <w:r>
              <w:rPr>
                <w:color w:val="auto"/>
                <w:sz w:val="24"/>
              </w:rPr>
              <w:t>根据项目功能要求和场地地形，项目出入口设置在</w:t>
            </w:r>
            <w:r>
              <w:rPr>
                <w:rFonts w:hint="eastAsia"/>
                <w:color w:val="auto"/>
                <w:sz w:val="24"/>
              </w:rPr>
              <w:t>厂房南侧</w:t>
            </w:r>
            <w:r>
              <w:rPr>
                <w:color w:val="auto"/>
                <w:sz w:val="24"/>
              </w:rPr>
              <w:t>。</w:t>
            </w:r>
            <w:r>
              <w:rPr>
                <w:rFonts w:hint="eastAsia"/>
                <w:color w:val="auto"/>
                <w:sz w:val="24"/>
              </w:rPr>
              <w:t>本项目生产厂房整体呈长方形，按功能主要划分为生产车间、办公室、料房、半成品、成品暂存区等。生产车间位于厂房北侧，办公室位于厂房南侧中部，料房位于厂房东北角，半成品、成品暂存区位于厂房南侧，</w:t>
            </w:r>
            <w:r>
              <w:rPr>
                <w:rStyle w:val="73"/>
                <w:rFonts w:hint="eastAsia" w:cs="Times New Roman"/>
                <w:snapToGrid w:val="0"/>
                <w:color w:val="auto"/>
                <w:sz w:val="24"/>
              </w:rPr>
              <w:t>厂房</w:t>
            </w:r>
            <w:r>
              <w:rPr>
                <w:rStyle w:val="73"/>
                <w:rFonts w:cs="Times New Roman"/>
                <w:snapToGrid w:val="0"/>
                <w:color w:val="auto"/>
                <w:sz w:val="24"/>
              </w:rPr>
              <w:t>内部明确各生产区位置、设置人车通道，满足生产、人流、物流分离，互不交叉干扰的原则</w:t>
            </w:r>
            <w:r>
              <w:rPr>
                <w:rStyle w:val="73"/>
                <w:rFonts w:hint="eastAsia" w:cs="Times New Roman"/>
                <w:snapToGrid w:val="0"/>
                <w:color w:val="auto"/>
                <w:sz w:val="24"/>
              </w:rPr>
              <w:t>（详见附图）</w:t>
            </w:r>
            <w:r>
              <w:rPr>
                <w:rStyle w:val="73"/>
                <w:rFonts w:cs="Times New Roman"/>
                <w:snapToGrid w:val="0"/>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bCs/>
                <w:color w:val="auto"/>
                <w:szCs w:val="24"/>
              </w:rPr>
            </w:pPr>
            <w:r>
              <w:rPr>
                <w:rFonts w:hint="eastAsia" w:cs="宋体"/>
                <w:b/>
                <w:bCs/>
                <w:color w:val="auto"/>
                <w:szCs w:val="24"/>
              </w:rPr>
              <w:t>工艺流程和产排污环节</w:t>
            </w:r>
          </w:p>
        </w:tc>
        <w:tc>
          <w:tcPr>
            <w:tcW w:w="9176" w:type="dxa"/>
          </w:tcPr>
          <w:p>
            <w:pPr>
              <w:adjustRightInd w:val="0"/>
              <w:spacing w:before="120" w:beforeLines="50" w:line="336" w:lineRule="auto"/>
              <w:ind w:firstLine="482" w:firstLineChars="200"/>
              <w:jc w:val="left"/>
              <w:rPr>
                <w:rFonts w:ascii="宋体" w:hAnsi="宋体" w:cs="宋体"/>
                <w:b/>
                <w:bCs/>
                <w:color w:val="auto"/>
                <w:sz w:val="24"/>
              </w:rPr>
            </w:pPr>
            <w:r>
              <w:rPr>
                <w:rFonts w:hint="eastAsia" w:ascii="宋体" w:hAnsi="宋体" w:cs="宋体"/>
                <w:b/>
                <w:bCs/>
                <w:color w:val="auto"/>
                <w:sz w:val="24"/>
              </w:rPr>
              <w:t>1、项目生产工艺流程</w:t>
            </w:r>
          </w:p>
          <w:p>
            <w:pPr>
              <w:adjustRightInd w:val="0"/>
              <w:snapToGrid w:val="0"/>
              <w:spacing w:line="336" w:lineRule="auto"/>
              <w:ind w:firstLine="482" w:firstLineChars="200"/>
              <w:rPr>
                <w:rFonts w:ascii="宋体" w:hAnsi="宋体" w:cs="宋体"/>
                <w:b/>
                <w:bCs/>
                <w:color w:val="auto"/>
                <w:sz w:val="24"/>
              </w:rPr>
            </w:pPr>
            <w:r>
              <w:rPr>
                <w:rFonts w:hint="eastAsia" w:ascii="宋体" w:hAnsi="宋体" w:cs="宋体"/>
                <w:b/>
                <w:bCs/>
                <w:color w:val="auto"/>
                <w:sz w:val="24"/>
              </w:rPr>
              <w:t>项目生产工艺流程图及产污节点，见下图：</w:t>
            </w:r>
          </w:p>
          <w:p>
            <w:pPr>
              <w:pStyle w:val="50"/>
              <w:tabs>
                <w:tab w:val="center" w:pos="4561"/>
                <w:tab w:val="left" w:pos="8178"/>
              </w:tabs>
              <w:adjustRightInd w:val="0"/>
              <w:snapToGrid w:val="0"/>
              <w:spacing w:line="240" w:lineRule="auto"/>
              <w:ind w:firstLine="0" w:firstLineChars="0"/>
              <w:jc w:val="center"/>
              <w:rPr>
                <w:rFonts w:ascii="宋体" w:hAnsi="宋体" w:cs="宋体"/>
                <w:color w:val="auto"/>
              </w:rPr>
            </w:pPr>
            <w:r>
              <w:rPr>
                <w:rFonts w:ascii="宋体" w:hAnsi="宋体" w:cs="宋体"/>
                <w:color w:val="auto"/>
              </w:rPr>
              <w:object>
                <v:shape id="_x0000_i1026" o:spt="75" type="#_x0000_t75" style="height:282.6pt;width:215.15pt;" o:ole="t" filled="f" o:preferrelative="f"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pPr>
              <w:pStyle w:val="50"/>
              <w:tabs>
                <w:tab w:val="center" w:pos="4561"/>
                <w:tab w:val="left" w:pos="8178"/>
              </w:tabs>
              <w:adjustRightInd w:val="0"/>
              <w:snapToGrid w:val="0"/>
              <w:spacing w:line="240" w:lineRule="auto"/>
              <w:ind w:firstLine="0" w:firstLineChars="0"/>
              <w:jc w:val="center"/>
              <w:rPr>
                <w:b/>
                <w:color w:val="auto"/>
              </w:rPr>
            </w:pPr>
            <w:r>
              <w:rPr>
                <w:b/>
                <w:color w:val="auto"/>
              </w:rPr>
              <w:t>图2-</w:t>
            </w:r>
            <w:r>
              <w:rPr>
                <w:rFonts w:hint="eastAsia"/>
                <w:b/>
                <w:color w:val="auto"/>
              </w:rPr>
              <w:t>2</w:t>
            </w:r>
            <w:r>
              <w:rPr>
                <w:b/>
                <w:color w:val="auto"/>
              </w:rPr>
              <w:t xml:space="preserve">  生产工艺及产污节点</w:t>
            </w:r>
            <w:r>
              <w:rPr>
                <w:rFonts w:hint="eastAsia"/>
                <w:b/>
                <w:color w:val="auto"/>
                <w:lang w:val="en-US" w:eastAsia="zh-CN"/>
              </w:rPr>
              <w:t>图</w:t>
            </w:r>
            <w:r>
              <w:rPr>
                <w:b/>
                <w:color w:val="auto"/>
              </w:rPr>
              <w:t>（G-废气 S-固废</w:t>
            </w:r>
            <w:r>
              <w:rPr>
                <w:rFonts w:hint="eastAsia"/>
                <w:b/>
                <w:color w:val="auto"/>
              </w:rPr>
              <w:t xml:space="preserve"> N</w:t>
            </w:r>
            <w:r>
              <w:rPr>
                <w:b/>
                <w:color w:val="auto"/>
              </w:rPr>
              <w:t>-</w:t>
            </w:r>
            <w:r>
              <w:rPr>
                <w:rFonts w:hint="eastAsia"/>
                <w:b/>
                <w:color w:val="auto"/>
              </w:rPr>
              <w:t>噪声</w:t>
            </w:r>
            <w:r>
              <w:rPr>
                <w:b/>
                <w:color w:val="auto"/>
              </w:rPr>
              <w:t>）</w:t>
            </w:r>
          </w:p>
          <w:p>
            <w:pPr>
              <w:adjustRightInd w:val="0"/>
              <w:snapToGrid w:val="0"/>
              <w:spacing w:before="120" w:beforeLines="50" w:line="360" w:lineRule="auto"/>
              <w:ind w:firstLine="482" w:firstLineChars="200"/>
              <w:rPr>
                <w:b/>
                <w:bCs/>
                <w:color w:val="auto"/>
                <w:sz w:val="24"/>
              </w:rPr>
            </w:pPr>
            <w:r>
              <w:rPr>
                <w:b/>
                <w:bCs/>
                <w:color w:val="auto"/>
                <w:sz w:val="24"/>
              </w:rPr>
              <w:t>生产工艺流程和产污节点说明：</w:t>
            </w:r>
          </w:p>
          <w:p>
            <w:pPr>
              <w:widowControl/>
              <w:wordWrap w:val="0"/>
              <w:autoSpaceDE w:val="0"/>
              <w:autoSpaceDN w:val="0"/>
              <w:adjustRightInd w:val="0"/>
              <w:snapToGrid w:val="0"/>
              <w:spacing w:line="360" w:lineRule="auto"/>
              <w:ind w:firstLine="480" w:firstLineChars="200"/>
              <w:jc w:val="left"/>
              <w:textAlignment w:val="baseline"/>
              <w:rPr>
                <w:snapToGrid w:val="0"/>
                <w:color w:val="auto"/>
                <w:kern w:val="0"/>
                <w:sz w:val="24"/>
              </w:rPr>
            </w:pPr>
            <w:r>
              <w:rPr>
                <w:rFonts w:hint="eastAsia"/>
                <w:snapToGrid w:val="0"/>
                <w:color w:val="auto"/>
                <w:kern w:val="0"/>
                <w:sz w:val="24"/>
              </w:rPr>
              <w:t>（</w:t>
            </w:r>
            <w:r>
              <w:rPr>
                <w:snapToGrid w:val="0"/>
                <w:color w:val="auto"/>
                <w:kern w:val="0"/>
                <w:sz w:val="24"/>
              </w:rPr>
              <w:t>1</w:t>
            </w:r>
            <w:r>
              <w:rPr>
                <w:rFonts w:hint="eastAsia"/>
                <w:snapToGrid w:val="0"/>
                <w:color w:val="auto"/>
                <w:kern w:val="0"/>
                <w:sz w:val="24"/>
              </w:rPr>
              <w:t>）</w:t>
            </w:r>
            <w:r>
              <w:rPr>
                <w:snapToGrid w:val="0"/>
                <w:color w:val="auto"/>
                <w:kern w:val="0"/>
                <w:sz w:val="24"/>
              </w:rPr>
              <w:t>称重</w:t>
            </w:r>
          </w:p>
          <w:p>
            <w:pPr>
              <w:widowControl/>
              <w:wordWrap w:val="0"/>
              <w:autoSpaceDE w:val="0"/>
              <w:autoSpaceDN w:val="0"/>
              <w:adjustRightInd w:val="0"/>
              <w:snapToGrid w:val="0"/>
              <w:spacing w:line="360" w:lineRule="auto"/>
              <w:ind w:firstLine="480" w:firstLineChars="200"/>
              <w:jc w:val="left"/>
              <w:textAlignment w:val="baseline"/>
              <w:rPr>
                <w:snapToGrid w:val="0"/>
                <w:color w:val="auto"/>
                <w:kern w:val="0"/>
                <w:sz w:val="24"/>
              </w:rPr>
            </w:pPr>
            <w:r>
              <w:rPr>
                <w:rFonts w:hint="eastAsia"/>
                <w:snapToGrid w:val="0"/>
                <w:color w:val="auto"/>
                <w:kern w:val="0"/>
                <w:sz w:val="24"/>
              </w:rPr>
              <w:t>使用电子秤对PP颗粒、色母粒子按照产品所需比例进行称重，PP颗粒和色母粒子均为颗粒状，称重过程中不产生粉尘。</w:t>
            </w:r>
          </w:p>
          <w:p>
            <w:pPr>
              <w:widowControl/>
              <w:wordWrap w:val="0"/>
              <w:autoSpaceDE w:val="0"/>
              <w:autoSpaceDN w:val="0"/>
              <w:adjustRightInd w:val="0"/>
              <w:snapToGrid w:val="0"/>
              <w:spacing w:line="360" w:lineRule="auto"/>
              <w:ind w:firstLine="480" w:firstLineChars="200"/>
              <w:jc w:val="left"/>
              <w:textAlignment w:val="baseline"/>
              <w:rPr>
                <w:snapToGrid w:val="0"/>
                <w:color w:val="auto"/>
                <w:kern w:val="0"/>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称重</w:t>
            </w:r>
            <w:r>
              <w:rPr>
                <w:bCs/>
                <w:snapToGrid w:val="0"/>
                <w:color w:val="auto"/>
                <w:kern w:val="0"/>
                <w:sz w:val="24"/>
              </w:rPr>
              <w:t>过程产生</w:t>
            </w:r>
            <w:r>
              <w:rPr>
                <w:rFonts w:hint="eastAsia"/>
                <w:bCs/>
                <w:snapToGrid w:val="0"/>
                <w:color w:val="auto"/>
                <w:kern w:val="0"/>
                <w:sz w:val="24"/>
              </w:rPr>
              <w:t>废包装材料S1、</w:t>
            </w:r>
            <w:r>
              <w:rPr>
                <w:bCs/>
                <w:snapToGrid w:val="0"/>
                <w:color w:val="auto"/>
                <w:kern w:val="0"/>
                <w:sz w:val="24"/>
              </w:rPr>
              <w:t>噪声</w:t>
            </w:r>
            <w:r>
              <w:rPr>
                <w:rFonts w:hint="eastAsia"/>
                <w:bCs/>
                <w:snapToGrid w:val="0"/>
                <w:color w:val="auto"/>
                <w:kern w:val="0"/>
                <w:sz w:val="24"/>
              </w:rPr>
              <w:t>N</w:t>
            </w:r>
            <w:r>
              <w:rPr>
                <w:bCs/>
                <w:snapToGrid w:val="0"/>
                <w:color w:val="auto"/>
                <w:kern w:val="0"/>
                <w:sz w:val="24"/>
              </w:rPr>
              <w:t>。</w:t>
            </w:r>
          </w:p>
          <w:p>
            <w:pPr>
              <w:widowControl/>
              <w:wordWrap w:val="0"/>
              <w:autoSpaceDE w:val="0"/>
              <w:autoSpaceDN w:val="0"/>
              <w:adjustRightInd w:val="0"/>
              <w:snapToGrid w:val="0"/>
              <w:spacing w:line="360" w:lineRule="auto"/>
              <w:ind w:firstLine="480" w:firstLineChars="200"/>
              <w:jc w:val="left"/>
              <w:textAlignment w:val="baseline"/>
              <w:rPr>
                <w:snapToGrid w:val="0"/>
                <w:color w:val="auto"/>
                <w:kern w:val="0"/>
                <w:sz w:val="24"/>
              </w:rPr>
            </w:pPr>
            <w:r>
              <w:rPr>
                <w:rFonts w:hint="eastAsia"/>
                <w:snapToGrid w:val="0"/>
                <w:color w:val="auto"/>
                <w:kern w:val="0"/>
                <w:sz w:val="24"/>
              </w:rPr>
              <w:t>（2）</w:t>
            </w:r>
            <w:r>
              <w:rPr>
                <w:snapToGrid w:val="0"/>
                <w:color w:val="auto"/>
                <w:kern w:val="0"/>
                <w:sz w:val="24"/>
              </w:rPr>
              <w:t>混合</w:t>
            </w:r>
          </w:p>
          <w:p>
            <w:pPr>
              <w:widowControl/>
              <w:wordWrap w:val="0"/>
              <w:autoSpaceDE w:val="0"/>
              <w:autoSpaceDN w:val="0"/>
              <w:adjustRightInd w:val="0"/>
              <w:snapToGrid w:val="0"/>
              <w:spacing w:before="120" w:beforeLines="50" w:line="336" w:lineRule="auto"/>
              <w:ind w:firstLine="480" w:firstLineChars="200"/>
              <w:jc w:val="left"/>
              <w:textAlignment w:val="baseline"/>
              <w:rPr>
                <w:snapToGrid w:val="0"/>
                <w:color w:val="auto"/>
                <w:kern w:val="0"/>
                <w:sz w:val="24"/>
              </w:rPr>
            </w:pPr>
            <w:r>
              <w:rPr>
                <w:rFonts w:hint="eastAsia"/>
                <w:snapToGrid w:val="0"/>
                <w:color w:val="auto"/>
                <w:kern w:val="0"/>
                <w:sz w:val="24"/>
              </w:rPr>
              <w:t>将按比例称重好的PP颗粒、色母粒子投入混料机中进行搅拌混合，</w:t>
            </w:r>
            <w:r>
              <w:rPr>
                <w:snapToGrid w:val="0"/>
                <w:color w:val="auto"/>
                <w:kern w:val="0"/>
                <w:sz w:val="24"/>
              </w:rPr>
              <w:t>启动</w:t>
            </w:r>
            <w:r>
              <w:rPr>
                <w:rFonts w:hint="eastAsia"/>
                <w:snapToGrid w:val="0"/>
                <w:color w:val="auto"/>
                <w:kern w:val="0"/>
                <w:sz w:val="24"/>
              </w:rPr>
              <w:t>混料机</w:t>
            </w:r>
            <w:r>
              <w:rPr>
                <w:snapToGrid w:val="0"/>
                <w:color w:val="auto"/>
                <w:kern w:val="0"/>
                <w:sz w:val="24"/>
              </w:rPr>
              <w:t>前，需关闭</w:t>
            </w:r>
            <w:r>
              <w:rPr>
                <w:rFonts w:hint="eastAsia"/>
                <w:snapToGrid w:val="0"/>
                <w:color w:val="auto"/>
                <w:kern w:val="0"/>
                <w:sz w:val="24"/>
              </w:rPr>
              <w:t>混料机</w:t>
            </w:r>
            <w:r>
              <w:rPr>
                <w:snapToGrid w:val="0"/>
                <w:color w:val="auto"/>
                <w:kern w:val="0"/>
                <w:sz w:val="24"/>
              </w:rPr>
              <w:t>上方封盖，</w:t>
            </w:r>
            <w:r>
              <w:rPr>
                <w:rFonts w:hint="eastAsia"/>
                <w:snapToGrid w:val="0"/>
                <w:color w:val="auto"/>
                <w:kern w:val="0"/>
                <w:sz w:val="24"/>
              </w:rPr>
              <w:t>混料机</w:t>
            </w:r>
            <w:r>
              <w:rPr>
                <w:snapToGrid w:val="0"/>
                <w:color w:val="auto"/>
                <w:kern w:val="0"/>
                <w:sz w:val="24"/>
              </w:rPr>
              <w:t>内搅拌器旋转搅拌物料，使物料混合均匀，混合过程为设备内密封作业</w:t>
            </w:r>
            <w:r>
              <w:rPr>
                <w:rFonts w:hint="eastAsia"/>
                <w:snapToGrid w:val="0"/>
                <w:color w:val="auto"/>
                <w:kern w:val="0"/>
                <w:sz w:val="24"/>
              </w:rPr>
              <w:t>且PP颗粒和色母粒子均为颗粒状，</w:t>
            </w:r>
            <w:r>
              <w:rPr>
                <w:snapToGrid w:val="0"/>
                <w:color w:val="auto"/>
                <w:kern w:val="0"/>
                <w:sz w:val="24"/>
              </w:rPr>
              <w:t>混合</w:t>
            </w:r>
            <w:r>
              <w:rPr>
                <w:rFonts w:hint="eastAsia"/>
                <w:snapToGrid w:val="0"/>
                <w:color w:val="auto"/>
                <w:kern w:val="0"/>
                <w:sz w:val="24"/>
              </w:rPr>
              <w:t>过程</w:t>
            </w:r>
            <w:r>
              <w:rPr>
                <w:snapToGrid w:val="0"/>
                <w:color w:val="auto"/>
                <w:kern w:val="0"/>
                <w:sz w:val="24"/>
              </w:rPr>
              <w:t>不产生粉尘。</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混合</w:t>
            </w:r>
            <w:r>
              <w:rPr>
                <w:bCs/>
                <w:snapToGrid w:val="0"/>
                <w:color w:val="auto"/>
                <w:kern w:val="0"/>
                <w:sz w:val="24"/>
              </w:rPr>
              <w:t>过程产生</w:t>
            </w:r>
            <w:r>
              <w:rPr>
                <w:rFonts w:hint="eastAsia"/>
                <w:bCs/>
                <w:snapToGrid w:val="0"/>
                <w:color w:val="auto"/>
                <w:kern w:val="0"/>
                <w:sz w:val="24"/>
              </w:rPr>
              <w:t>废包装材料S2、</w:t>
            </w:r>
            <w:r>
              <w:rPr>
                <w:bCs/>
                <w:snapToGrid w:val="0"/>
                <w:color w:val="auto"/>
                <w:kern w:val="0"/>
                <w:sz w:val="24"/>
              </w:rPr>
              <w:t>噪声</w:t>
            </w:r>
            <w:r>
              <w:rPr>
                <w:rFonts w:hint="eastAsia"/>
                <w:bCs/>
                <w:snapToGrid w:val="0"/>
                <w:color w:val="auto"/>
                <w:kern w:val="0"/>
                <w:sz w:val="24"/>
              </w:rPr>
              <w:t>N</w:t>
            </w:r>
            <w:r>
              <w:rPr>
                <w:bCs/>
                <w:snapToGrid w:val="0"/>
                <w:color w:val="auto"/>
                <w:kern w:val="0"/>
                <w:sz w:val="24"/>
              </w:rPr>
              <w:t>。</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w:t>
            </w:r>
            <w:r>
              <w:rPr>
                <w:snapToGrid w:val="0"/>
                <w:color w:val="auto"/>
                <w:kern w:val="0"/>
                <w:sz w:val="24"/>
              </w:rPr>
              <w:t>3</w:t>
            </w:r>
            <w:r>
              <w:rPr>
                <w:rFonts w:hint="eastAsia"/>
                <w:snapToGrid w:val="0"/>
                <w:color w:val="auto"/>
                <w:kern w:val="0"/>
                <w:sz w:val="24"/>
              </w:rPr>
              <w:t>）注塑</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bCs/>
                <w:color w:val="auto"/>
                <w:sz w:val="24"/>
              </w:rPr>
              <w:t>将原材料投入注塑机料斗，通过螺杆的转动将塑料粒子原料输送至机筒的前端，之后加热器将对筒内的塑料原料进行加热，加热方式为电加热，加热温度为180~200℃，使塑料粒子成为熔融状态，之后进入模具</w:t>
            </w:r>
            <w:r>
              <w:rPr>
                <w:rFonts w:hint="eastAsia"/>
                <w:bCs/>
                <w:color w:val="auto"/>
                <w:sz w:val="24"/>
              </w:rPr>
              <w:t>中</w:t>
            </w:r>
            <w:r>
              <w:rPr>
                <w:bCs/>
                <w:color w:val="auto"/>
                <w:sz w:val="24"/>
              </w:rPr>
              <w:t>成型</w:t>
            </w:r>
            <w:r>
              <w:rPr>
                <w:rFonts w:hint="eastAsia"/>
                <w:bCs/>
                <w:color w:val="auto"/>
                <w:sz w:val="24"/>
              </w:rPr>
              <w:t>，使之成为智能显温保温壶壶盖、壶身、壶底（塑料外壳）</w:t>
            </w:r>
            <w:r>
              <w:rPr>
                <w:bCs/>
                <w:color w:val="auto"/>
                <w:sz w:val="24"/>
              </w:rPr>
              <w:t>。</w:t>
            </w:r>
            <w:r>
              <w:rPr>
                <w:rFonts w:hint="eastAsia"/>
                <w:bCs/>
                <w:color w:val="auto"/>
                <w:sz w:val="24"/>
              </w:rPr>
              <w:t>成型过程</w:t>
            </w:r>
            <w:r>
              <w:rPr>
                <w:snapToGrid w:val="0"/>
                <w:color w:val="auto"/>
                <w:kern w:val="0"/>
                <w:sz w:val="24"/>
              </w:rPr>
              <w:t>采用水冷，为间接冷却，冷却水不直接与原料接触，冷却水循环使用</w:t>
            </w:r>
            <w:r>
              <w:rPr>
                <w:rFonts w:hint="eastAsia"/>
                <w:snapToGrid w:val="0"/>
                <w:color w:val="auto"/>
                <w:kern w:val="0"/>
                <w:sz w:val="24"/>
              </w:rPr>
              <w:t>，一年排放一次</w:t>
            </w:r>
            <w:r>
              <w:rPr>
                <w:snapToGrid w:val="0"/>
                <w:color w:val="auto"/>
                <w:kern w:val="0"/>
                <w:sz w:val="24"/>
              </w:rPr>
              <w:t>。</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注塑</w:t>
            </w:r>
            <w:r>
              <w:rPr>
                <w:bCs/>
                <w:snapToGrid w:val="0"/>
                <w:color w:val="auto"/>
                <w:kern w:val="0"/>
                <w:sz w:val="24"/>
              </w:rPr>
              <w:t>过程产生</w:t>
            </w:r>
            <w:r>
              <w:rPr>
                <w:rFonts w:hint="eastAsia"/>
                <w:bCs/>
                <w:snapToGrid w:val="0"/>
                <w:color w:val="auto"/>
                <w:kern w:val="0"/>
                <w:sz w:val="24"/>
              </w:rPr>
              <w:t>注塑废气G1</w:t>
            </w:r>
            <w:r>
              <w:rPr>
                <w:bCs/>
                <w:snapToGrid w:val="0"/>
                <w:color w:val="auto"/>
                <w:kern w:val="0"/>
                <w:sz w:val="24"/>
              </w:rPr>
              <w:t>、</w:t>
            </w:r>
            <w:r>
              <w:rPr>
                <w:rFonts w:hint="eastAsia"/>
                <w:bCs/>
                <w:snapToGrid w:val="0"/>
                <w:color w:val="auto"/>
                <w:kern w:val="0"/>
                <w:sz w:val="24"/>
              </w:rPr>
              <w:t>冷却废水W1、边角料S3、不合格品S4、</w:t>
            </w:r>
            <w:r>
              <w:rPr>
                <w:bCs/>
                <w:snapToGrid w:val="0"/>
                <w:color w:val="auto"/>
                <w:kern w:val="0"/>
                <w:sz w:val="24"/>
              </w:rPr>
              <w:t>噪声</w:t>
            </w:r>
            <w:r>
              <w:rPr>
                <w:rFonts w:hint="eastAsia"/>
                <w:bCs/>
                <w:snapToGrid w:val="0"/>
                <w:color w:val="auto"/>
                <w:kern w:val="0"/>
                <w:sz w:val="24"/>
              </w:rPr>
              <w:t>N</w:t>
            </w:r>
            <w:r>
              <w:rPr>
                <w:bCs/>
                <w:snapToGrid w:val="0"/>
                <w:color w:val="auto"/>
                <w:kern w:val="0"/>
                <w:sz w:val="24"/>
              </w:rPr>
              <w:t>。</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w:t>
            </w:r>
            <w:r>
              <w:rPr>
                <w:snapToGrid w:val="0"/>
                <w:color w:val="auto"/>
                <w:kern w:val="0"/>
                <w:sz w:val="24"/>
              </w:rPr>
              <w:t>4</w:t>
            </w:r>
            <w:r>
              <w:rPr>
                <w:rFonts w:hint="eastAsia"/>
                <w:snapToGrid w:val="0"/>
                <w:color w:val="auto"/>
                <w:kern w:val="0"/>
                <w:sz w:val="24"/>
              </w:rPr>
              <w:t>）破碎</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注塑过程中产生的边角料、不合格品通过破碎机进行破碎，破碎成原料的颗粒状</w:t>
            </w:r>
            <w:r>
              <w:rPr>
                <w:snapToGrid w:val="0"/>
                <w:color w:val="auto"/>
                <w:kern w:val="0"/>
                <w:sz w:val="24"/>
              </w:rPr>
              <w:t>。</w:t>
            </w:r>
            <w:r>
              <w:rPr>
                <w:rFonts w:hint="eastAsia"/>
                <w:snapToGrid w:val="0"/>
                <w:color w:val="auto"/>
                <w:kern w:val="0"/>
                <w:sz w:val="24"/>
              </w:rPr>
              <w:t>破碎于单独的密闭破碎间进行，并</w:t>
            </w:r>
            <w:r>
              <w:rPr>
                <w:rFonts w:hint="eastAsia"/>
                <w:color w:val="auto"/>
                <w:sz w:val="24"/>
              </w:rPr>
              <w:t>要求进行破碎作业时加盖封闭，作业结束先静置一段时间后再开盖。</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破碎</w:t>
            </w:r>
            <w:r>
              <w:rPr>
                <w:bCs/>
                <w:snapToGrid w:val="0"/>
                <w:color w:val="auto"/>
                <w:kern w:val="0"/>
                <w:sz w:val="24"/>
              </w:rPr>
              <w:t>过程产生</w:t>
            </w:r>
            <w:r>
              <w:rPr>
                <w:rFonts w:hint="eastAsia"/>
                <w:bCs/>
                <w:snapToGrid w:val="0"/>
                <w:color w:val="auto"/>
                <w:kern w:val="0"/>
                <w:sz w:val="24"/>
              </w:rPr>
              <w:t>破碎粉尘G2、</w:t>
            </w:r>
            <w:r>
              <w:rPr>
                <w:bCs/>
                <w:snapToGrid w:val="0"/>
                <w:color w:val="auto"/>
                <w:kern w:val="0"/>
                <w:sz w:val="24"/>
              </w:rPr>
              <w:t>噪声</w:t>
            </w:r>
            <w:r>
              <w:rPr>
                <w:rFonts w:hint="eastAsia"/>
                <w:bCs/>
                <w:snapToGrid w:val="0"/>
                <w:color w:val="auto"/>
                <w:kern w:val="0"/>
                <w:sz w:val="24"/>
              </w:rPr>
              <w:t>N</w:t>
            </w:r>
            <w:r>
              <w:rPr>
                <w:bCs/>
                <w:snapToGrid w:val="0"/>
                <w:color w:val="auto"/>
                <w:kern w:val="0"/>
                <w:sz w:val="24"/>
              </w:rPr>
              <w:t>。</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w:t>
            </w:r>
            <w:r>
              <w:rPr>
                <w:snapToGrid w:val="0"/>
                <w:color w:val="auto"/>
                <w:kern w:val="0"/>
                <w:sz w:val="24"/>
              </w:rPr>
              <w:t>5</w:t>
            </w:r>
            <w:r>
              <w:rPr>
                <w:rFonts w:hint="eastAsia"/>
                <w:snapToGrid w:val="0"/>
                <w:color w:val="auto"/>
                <w:kern w:val="0"/>
                <w:sz w:val="24"/>
              </w:rPr>
              <w:t>）热转印</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lang w:val="en-US" w:eastAsia="zh-CN"/>
              </w:rPr>
              <w:t>根据客户对产品的需要，约10万只注塑成型后的塑料外壳需使用印花机进行转印商标图案，印花机采用热转印工艺</w:t>
            </w:r>
            <w:r>
              <w:rPr>
                <w:rFonts w:hint="default" w:ascii="Times New Roman" w:hAnsi="Times New Roman" w:cs="Times New Roman"/>
                <w:snapToGrid w:val="0"/>
                <w:color w:val="auto"/>
                <w:kern w:val="0"/>
                <w:sz w:val="24"/>
                <w:lang w:val="en-US" w:eastAsia="zh-CN"/>
              </w:rPr>
              <w:t>，通过</w:t>
            </w:r>
            <w:r>
              <w:rPr>
                <w:rFonts w:hint="eastAsia" w:cs="Times New Roman"/>
                <w:snapToGrid w:val="0"/>
                <w:color w:val="auto"/>
                <w:kern w:val="0"/>
                <w:sz w:val="24"/>
                <w:lang w:val="en-US" w:eastAsia="zh-CN"/>
              </w:rPr>
              <w:t>加热、加压</w:t>
            </w:r>
            <w:r>
              <w:rPr>
                <w:rFonts w:hint="default" w:ascii="Times New Roman" w:hAnsi="Times New Roman" w:cs="Times New Roman"/>
                <w:snapToGrid w:val="0"/>
                <w:color w:val="auto"/>
                <w:kern w:val="0"/>
                <w:sz w:val="24"/>
                <w:lang w:val="en-US" w:eastAsia="zh-CN"/>
              </w:rPr>
              <w:t>将</w:t>
            </w:r>
            <w:r>
              <w:rPr>
                <w:rFonts w:hint="eastAsia" w:ascii="Times New Roman" w:hAnsi="Times New Roman" w:cs="Times New Roman"/>
                <w:snapToGrid w:val="0"/>
                <w:color w:val="auto"/>
                <w:kern w:val="0"/>
                <w:sz w:val="24"/>
                <w:lang w:val="en-US" w:eastAsia="zh-CN"/>
              </w:rPr>
              <w:t>热转印膜</w:t>
            </w:r>
            <w:r>
              <w:rPr>
                <w:rFonts w:hint="default" w:ascii="Times New Roman" w:hAnsi="Times New Roman" w:cs="Times New Roman"/>
                <w:snapToGrid w:val="0"/>
                <w:color w:val="auto"/>
                <w:kern w:val="0"/>
                <w:sz w:val="24"/>
                <w:lang w:val="en-US" w:eastAsia="zh-CN"/>
              </w:rPr>
              <w:t>上的</w:t>
            </w:r>
            <w:r>
              <w:rPr>
                <w:rFonts w:hint="eastAsia" w:cs="Times New Roman"/>
                <w:snapToGrid w:val="0"/>
                <w:color w:val="auto"/>
                <w:kern w:val="0"/>
                <w:sz w:val="24"/>
                <w:lang w:val="en-US" w:eastAsia="zh-CN"/>
              </w:rPr>
              <w:t>油墨</w:t>
            </w:r>
            <w:r>
              <w:rPr>
                <w:rFonts w:hint="default" w:ascii="Times New Roman" w:hAnsi="Times New Roman" w:cs="Times New Roman"/>
                <w:snapToGrid w:val="0"/>
                <w:color w:val="auto"/>
                <w:kern w:val="0"/>
                <w:sz w:val="24"/>
                <w:lang w:val="en-US" w:eastAsia="zh-CN"/>
              </w:rPr>
              <w:t>图案热压至塑料外壳上，加热采用电加热，温度为</w:t>
            </w:r>
            <w:r>
              <w:rPr>
                <w:rFonts w:hint="default" w:ascii="Times New Roman" w:hAnsi="Times New Roman" w:cs="Times New Roman"/>
                <w:bCs/>
                <w:color w:val="auto"/>
                <w:sz w:val="24"/>
                <w:highlight w:val="none"/>
                <w:lang w:val="en-US" w:eastAsia="zh-CN"/>
              </w:rPr>
              <w:t>120~13</w:t>
            </w:r>
            <w:r>
              <w:rPr>
                <w:rFonts w:hint="default" w:ascii="Times New Roman" w:hAnsi="Times New Roman" w:cs="Times New Roman"/>
                <w:bCs/>
                <w:color w:val="auto"/>
                <w:sz w:val="24"/>
                <w:highlight w:val="none"/>
              </w:rPr>
              <w:t>0℃</w:t>
            </w:r>
            <w:r>
              <w:rPr>
                <w:snapToGrid w:val="0"/>
                <w:color w:val="auto"/>
                <w:kern w:val="0"/>
                <w:sz w:val="24"/>
              </w:rPr>
              <w:t>。</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热转印</w:t>
            </w:r>
            <w:r>
              <w:rPr>
                <w:bCs/>
                <w:snapToGrid w:val="0"/>
                <w:color w:val="auto"/>
                <w:kern w:val="0"/>
                <w:sz w:val="24"/>
              </w:rPr>
              <w:t>过程产生</w:t>
            </w:r>
            <w:r>
              <w:rPr>
                <w:rFonts w:hint="eastAsia"/>
                <w:bCs/>
                <w:snapToGrid w:val="0"/>
                <w:color w:val="auto"/>
                <w:kern w:val="0"/>
                <w:sz w:val="24"/>
              </w:rPr>
              <w:t>热转印废气G3、废热转印膜S5、</w:t>
            </w:r>
            <w:r>
              <w:rPr>
                <w:bCs/>
                <w:snapToGrid w:val="0"/>
                <w:color w:val="auto"/>
                <w:kern w:val="0"/>
                <w:sz w:val="24"/>
              </w:rPr>
              <w:t>噪声</w:t>
            </w:r>
            <w:r>
              <w:rPr>
                <w:rFonts w:hint="eastAsia"/>
                <w:bCs/>
                <w:snapToGrid w:val="0"/>
                <w:color w:val="auto"/>
                <w:kern w:val="0"/>
                <w:sz w:val="24"/>
              </w:rPr>
              <w:t>N</w:t>
            </w:r>
            <w:r>
              <w:rPr>
                <w:bCs/>
                <w:snapToGrid w:val="0"/>
                <w:color w:val="auto"/>
                <w:kern w:val="0"/>
                <w:sz w:val="24"/>
              </w:rPr>
              <w:t>。</w:t>
            </w:r>
          </w:p>
          <w:p>
            <w:pPr>
              <w:widowControl/>
              <w:numPr>
                <w:ilvl w:val="0"/>
                <w:numId w:val="4"/>
              </w:numPr>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组装</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将生产的壶盖、壶身、壶底与外购的玻璃内胆、智能显示屏通过卡扣组装、旋入式组装的方式进行组装形成成品。其中玻璃内胆、智能显示屏可能由于人工操作失误及其质量问题产生废品。</w:t>
            </w:r>
          </w:p>
          <w:p>
            <w:pPr>
              <w:pStyle w:val="2"/>
              <w:numPr>
                <w:ilvl w:val="1"/>
                <w:numId w:val="0"/>
              </w:numPr>
              <w:spacing w:after="0" w:line="336" w:lineRule="auto"/>
              <w:ind w:firstLine="480" w:firstLineChars="200"/>
              <w:jc w:val="both"/>
              <w:rPr>
                <w:color w:val="auto"/>
              </w:rPr>
            </w:pPr>
            <w:r>
              <w:rPr>
                <w:snapToGrid w:val="0"/>
                <w:color w:val="auto"/>
                <w:kern w:val="0"/>
              </w:rPr>
              <w:t>产污节点</w:t>
            </w:r>
            <w:r>
              <w:rPr>
                <w:rFonts w:hint="eastAsia"/>
                <w:snapToGrid w:val="0"/>
                <w:color w:val="auto"/>
                <w:kern w:val="0"/>
              </w:rPr>
              <w:t>：组装</w:t>
            </w:r>
            <w:r>
              <w:rPr>
                <w:snapToGrid w:val="0"/>
                <w:color w:val="auto"/>
                <w:kern w:val="0"/>
              </w:rPr>
              <w:t>过程产生</w:t>
            </w:r>
            <w:r>
              <w:rPr>
                <w:rFonts w:hint="eastAsia"/>
                <w:snapToGrid w:val="0"/>
                <w:color w:val="auto"/>
                <w:kern w:val="0"/>
              </w:rPr>
              <w:t>废玻璃内胆S6、废智能显示屏S7、</w:t>
            </w:r>
            <w:r>
              <w:rPr>
                <w:snapToGrid w:val="0"/>
                <w:color w:val="auto"/>
                <w:kern w:val="0"/>
              </w:rPr>
              <w:t>噪声</w:t>
            </w:r>
            <w:r>
              <w:rPr>
                <w:rFonts w:hint="eastAsia"/>
                <w:snapToGrid w:val="0"/>
                <w:color w:val="auto"/>
                <w:kern w:val="0"/>
              </w:rPr>
              <w:t>N</w:t>
            </w:r>
            <w:r>
              <w:rPr>
                <w:snapToGrid w:val="0"/>
                <w:color w:val="auto"/>
                <w:kern w:val="0"/>
              </w:rPr>
              <w:t>。</w:t>
            </w:r>
          </w:p>
          <w:p>
            <w:pPr>
              <w:widowControl/>
              <w:numPr>
                <w:ilvl w:val="0"/>
                <w:numId w:val="4"/>
              </w:numPr>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snapToGrid w:val="0"/>
                <w:color w:val="auto"/>
                <w:kern w:val="0"/>
                <w:sz w:val="24"/>
              </w:rPr>
              <w:t>包装</w:t>
            </w:r>
          </w:p>
          <w:p>
            <w:pPr>
              <w:widowControl/>
              <w:wordWrap w:val="0"/>
              <w:autoSpaceDE w:val="0"/>
              <w:autoSpaceDN w:val="0"/>
              <w:adjustRightInd w:val="0"/>
              <w:snapToGrid w:val="0"/>
              <w:spacing w:line="336" w:lineRule="auto"/>
              <w:ind w:firstLine="480" w:firstLineChars="200"/>
              <w:jc w:val="left"/>
              <w:textAlignment w:val="baseline"/>
              <w:rPr>
                <w:snapToGrid w:val="0"/>
                <w:color w:val="auto"/>
                <w:kern w:val="0"/>
                <w:sz w:val="24"/>
              </w:rPr>
            </w:pPr>
            <w:r>
              <w:rPr>
                <w:rFonts w:hint="eastAsia"/>
                <w:snapToGrid w:val="0"/>
                <w:color w:val="auto"/>
                <w:kern w:val="0"/>
                <w:sz w:val="24"/>
              </w:rPr>
              <w:t>组装完成</w:t>
            </w:r>
            <w:r>
              <w:rPr>
                <w:snapToGrid w:val="0"/>
                <w:color w:val="auto"/>
                <w:kern w:val="0"/>
                <w:sz w:val="24"/>
              </w:rPr>
              <w:t>的成品</w:t>
            </w:r>
            <w:r>
              <w:rPr>
                <w:rFonts w:hint="eastAsia"/>
                <w:snapToGrid w:val="0"/>
                <w:color w:val="auto"/>
                <w:kern w:val="0"/>
                <w:sz w:val="24"/>
              </w:rPr>
              <w:t>由人工进行挂吊牌和贴标签贴纸并进行包装，其中约120万只智能显温保温壶需挂吊牌，约70万只智能显温保温壶需贴标签贴纸。产品</w:t>
            </w:r>
            <w:r>
              <w:rPr>
                <w:snapToGrid w:val="0"/>
                <w:color w:val="auto"/>
                <w:kern w:val="0"/>
                <w:sz w:val="24"/>
              </w:rPr>
              <w:t>经包装后入库待售。</w:t>
            </w:r>
          </w:p>
          <w:p>
            <w:pPr>
              <w:adjustRightInd w:val="0"/>
              <w:snapToGrid w:val="0"/>
              <w:spacing w:line="336" w:lineRule="auto"/>
              <w:ind w:firstLine="480" w:firstLineChars="200"/>
              <w:rPr>
                <w:bCs/>
                <w:color w:val="auto"/>
                <w:sz w:val="24"/>
              </w:rPr>
            </w:pPr>
            <w:r>
              <w:rPr>
                <w:bCs/>
                <w:snapToGrid w:val="0"/>
                <w:color w:val="auto"/>
                <w:kern w:val="0"/>
                <w:sz w:val="24"/>
              </w:rPr>
              <w:t>产污节点</w:t>
            </w:r>
            <w:r>
              <w:rPr>
                <w:rFonts w:hint="eastAsia"/>
                <w:snapToGrid w:val="0"/>
                <w:color w:val="auto"/>
                <w:kern w:val="0"/>
                <w:sz w:val="24"/>
              </w:rPr>
              <w:t>：</w:t>
            </w:r>
            <w:r>
              <w:rPr>
                <w:rFonts w:hint="eastAsia"/>
                <w:bCs/>
                <w:snapToGrid w:val="0"/>
                <w:color w:val="auto"/>
                <w:kern w:val="0"/>
                <w:sz w:val="24"/>
              </w:rPr>
              <w:t>包装过程中产生</w:t>
            </w:r>
            <w:r>
              <w:rPr>
                <w:snapToGrid w:val="0"/>
                <w:color w:val="auto"/>
                <w:kern w:val="0"/>
                <w:sz w:val="24"/>
              </w:rPr>
              <w:t>废包装材料</w:t>
            </w:r>
            <w:r>
              <w:rPr>
                <w:rFonts w:hint="eastAsia"/>
                <w:snapToGrid w:val="0"/>
                <w:color w:val="auto"/>
                <w:kern w:val="0"/>
                <w:sz w:val="24"/>
              </w:rPr>
              <w:t>S8、噪声N</w:t>
            </w:r>
            <w:r>
              <w:rPr>
                <w:rFonts w:hint="eastAsia"/>
                <w:bCs/>
                <w:color w:val="auto"/>
                <w:sz w:val="24"/>
              </w:rPr>
              <w:t>。</w:t>
            </w:r>
          </w:p>
          <w:p>
            <w:pPr>
              <w:topLinePunct/>
              <w:adjustRightInd w:val="0"/>
              <w:snapToGrid w:val="0"/>
              <w:spacing w:before="120" w:beforeLines="50" w:line="360" w:lineRule="auto"/>
              <w:ind w:firstLine="482" w:firstLineChars="200"/>
              <w:rPr>
                <w:rFonts w:cs="宋体"/>
                <w:b/>
                <w:bCs/>
                <w:color w:val="auto"/>
                <w:sz w:val="24"/>
              </w:rPr>
            </w:pPr>
            <w:r>
              <w:rPr>
                <w:rFonts w:hint="eastAsia" w:ascii="宋体" w:hAnsi="宋体" w:cs="宋体"/>
                <w:b/>
                <w:bCs/>
                <w:color w:val="auto"/>
                <w:sz w:val="24"/>
              </w:rPr>
              <w:t>模具维护、维修工艺见下图：</w:t>
            </w:r>
          </w:p>
          <w:p>
            <w:pPr>
              <w:adjustRightInd w:val="0"/>
              <w:snapToGrid w:val="0"/>
              <w:jc w:val="center"/>
              <w:rPr>
                <w:b/>
                <w:bCs/>
                <w:color w:val="auto"/>
                <w:sz w:val="24"/>
              </w:rPr>
            </w:pPr>
            <w:r>
              <w:rPr>
                <w:b/>
                <w:bCs/>
                <w:color w:val="auto"/>
                <w:sz w:val="24"/>
              </w:rPr>
              <w:object>
                <v:shape id="_x0000_i1027" o:spt="75" type="#_x0000_t75" style="height:118.2pt;width:194.25pt;" o:ole="t" filled="f" o:preferrelative="f" stroked="f" coordsize="21600,21600">
                  <v:path/>
                  <v:fill on="f" focussize="0,0"/>
                  <v:stroke on="f" joinstyle="miter"/>
                  <v:imagedata r:id="rId16" o:title=""/>
                  <o:lock v:ext="edit" aspectratio="t"/>
                  <w10:wrap type="none"/>
                  <w10:anchorlock/>
                </v:shape>
                <o:OLEObject Type="Embed" ProgID="Visio.Drawing.11" ShapeID="_x0000_i1027" DrawAspect="Content" ObjectID="_1468075727" r:id="rId15">
                  <o:LockedField>false</o:LockedField>
                </o:OLEObject>
              </w:object>
            </w:r>
          </w:p>
          <w:p>
            <w:pPr>
              <w:pStyle w:val="17"/>
              <w:snapToGrid w:val="0"/>
              <w:spacing w:before="0" w:line="240" w:lineRule="auto"/>
              <w:jc w:val="center"/>
              <w:rPr>
                <w:rFonts w:hint="default" w:ascii="Times New Roman" w:hAnsi="Times New Roman" w:eastAsia="宋体"/>
                <w:color w:val="auto"/>
                <w:sz w:val="24"/>
                <w:szCs w:val="24"/>
                <w:lang w:val="en-US" w:eastAsia="zh-CN"/>
              </w:rPr>
            </w:pPr>
            <w:r>
              <w:rPr>
                <w:rFonts w:ascii="Times New Roman" w:hAnsi="Times New Roman"/>
                <w:b/>
                <w:color w:val="auto"/>
                <w:sz w:val="24"/>
                <w:szCs w:val="24"/>
              </w:rPr>
              <w:t>图2-</w:t>
            </w:r>
            <w:r>
              <w:rPr>
                <w:rFonts w:hint="eastAsia" w:ascii="Times New Roman" w:hAnsi="Times New Roman"/>
                <w:b/>
                <w:color w:val="auto"/>
                <w:sz w:val="24"/>
                <w:szCs w:val="24"/>
                <w:lang w:val="en-US" w:eastAsia="zh-CN"/>
              </w:rPr>
              <w:t>3</w:t>
            </w:r>
            <w:r>
              <w:rPr>
                <w:rFonts w:ascii="Times New Roman" w:hAnsi="Times New Roman"/>
                <w:b/>
                <w:color w:val="auto"/>
                <w:sz w:val="24"/>
                <w:szCs w:val="24"/>
              </w:rPr>
              <w:t xml:space="preserve">  </w:t>
            </w:r>
            <w:r>
              <w:rPr>
                <w:rFonts w:hint="eastAsia" w:ascii="宋体" w:hAnsi="宋体" w:cs="宋体"/>
                <w:b/>
                <w:bCs/>
                <w:color w:val="auto"/>
                <w:sz w:val="24"/>
              </w:rPr>
              <w:t>模具维护、维修</w:t>
            </w:r>
            <w:r>
              <w:rPr>
                <w:rFonts w:hint="eastAsia" w:ascii="宋体" w:hAnsi="宋体" w:cs="宋体"/>
                <w:b/>
                <w:bCs/>
                <w:color w:val="auto"/>
                <w:sz w:val="24"/>
                <w:lang w:val="en-US" w:eastAsia="zh-CN"/>
              </w:rPr>
              <w:t>工艺图</w:t>
            </w:r>
          </w:p>
          <w:p>
            <w:pPr>
              <w:topLinePunct/>
              <w:adjustRightInd w:val="0"/>
              <w:snapToGrid w:val="0"/>
              <w:spacing w:before="120" w:beforeLines="50" w:line="360" w:lineRule="auto"/>
              <w:ind w:firstLine="482" w:firstLineChars="200"/>
              <w:rPr>
                <w:rFonts w:cs="宋体"/>
                <w:b/>
                <w:bCs/>
                <w:color w:val="auto"/>
                <w:sz w:val="24"/>
              </w:rPr>
            </w:pPr>
            <w:r>
              <w:rPr>
                <w:rFonts w:hint="eastAsia" w:cs="宋体"/>
                <w:b/>
                <w:bCs/>
                <w:color w:val="auto"/>
                <w:sz w:val="24"/>
              </w:rPr>
              <w:t>模具维护、维修工艺说明：</w:t>
            </w:r>
          </w:p>
          <w:p>
            <w:pPr>
              <w:topLinePunct/>
              <w:adjustRightInd w:val="0"/>
              <w:snapToGrid w:val="0"/>
              <w:spacing w:line="360" w:lineRule="auto"/>
              <w:ind w:firstLine="480" w:firstLineChars="200"/>
              <w:rPr>
                <w:rFonts w:cs="宋体"/>
                <w:color w:val="auto"/>
                <w:sz w:val="24"/>
              </w:rPr>
            </w:pPr>
            <w:r>
              <w:rPr>
                <w:rFonts w:hint="eastAsia" w:cs="宋体"/>
                <w:color w:val="auto"/>
                <w:sz w:val="24"/>
              </w:rPr>
              <w:t>项目模具在使用一段时间后需进行维护，需维护的模具统一运送至外部企业，由外部企业对模具的导柱、滑块、顶针、顶块等位置进行涂抹模具专用润滑油进行维护。部分模具在使用过程中会造成损坏，损坏的模具由外部企业进行机加工维修。</w:t>
            </w:r>
          </w:p>
          <w:p>
            <w:pPr>
              <w:topLinePunct/>
              <w:adjustRightInd w:val="0"/>
              <w:snapToGrid w:val="0"/>
              <w:spacing w:line="360" w:lineRule="auto"/>
              <w:ind w:firstLine="482" w:firstLineChars="200"/>
              <w:rPr>
                <w:rFonts w:cs="宋体"/>
                <w:b/>
                <w:bCs/>
                <w:color w:val="auto"/>
                <w:sz w:val="24"/>
              </w:rPr>
            </w:pPr>
            <w:r>
              <w:rPr>
                <w:rFonts w:hint="eastAsia" w:cs="宋体"/>
                <w:b/>
                <w:bCs/>
                <w:color w:val="auto"/>
                <w:sz w:val="24"/>
              </w:rPr>
              <w:t>2、主要产污环节及污染物</w:t>
            </w:r>
          </w:p>
          <w:p>
            <w:pPr>
              <w:topLinePunct/>
              <w:adjustRightInd w:val="0"/>
              <w:snapToGrid w:val="0"/>
              <w:spacing w:line="360" w:lineRule="auto"/>
              <w:ind w:firstLine="480" w:firstLineChars="200"/>
              <w:rPr>
                <w:b/>
                <w:color w:val="auto"/>
                <w:sz w:val="24"/>
              </w:rPr>
            </w:pPr>
            <w:r>
              <w:rPr>
                <w:rFonts w:hint="eastAsia" w:cs="宋体"/>
                <w:color w:val="auto"/>
                <w:kern w:val="0"/>
                <w:sz w:val="24"/>
                <w:lang w:bidi="ar"/>
              </w:rPr>
              <w:t>项目主要产污环节及污染物情况，见下表。</w:t>
            </w:r>
          </w:p>
          <w:p>
            <w:pPr>
              <w:topLinePunct/>
              <w:adjustRightInd w:val="0"/>
              <w:snapToGrid w:val="0"/>
              <w:jc w:val="center"/>
              <w:rPr>
                <w:b/>
                <w:color w:val="auto"/>
                <w:sz w:val="24"/>
              </w:rPr>
            </w:pPr>
            <w:r>
              <w:rPr>
                <w:rFonts w:hint="eastAsia"/>
                <w:b/>
                <w:color w:val="auto"/>
                <w:sz w:val="24"/>
              </w:rPr>
              <w:t>表2-</w:t>
            </w:r>
            <w:r>
              <w:rPr>
                <w:rFonts w:hint="eastAsia"/>
                <w:b/>
                <w:color w:val="auto"/>
                <w:sz w:val="24"/>
                <w:lang w:val="en-US" w:eastAsia="zh-CN"/>
              </w:rPr>
              <w:t>10</w:t>
            </w:r>
            <w:r>
              <w:rPr>
                <w:rFonts w:hint="eastAsia"/>
                <w:b/>
                <w:color w:val="auto"/>
                <w:sz w:val="24"/>
              </w:rPr>
              <w:t xml:space="preserve">  项目主要产污环节及污染物一览表</w:t>
            </w:r>
          </w:p>
          <w:tbl>
            <w:tblPr>
              <w:tblStyle w:val="28"/>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1"/>
              <w:gridCol w:w="375"/>
              <w:gridCol w:w="1170"/>
              <w:gridCol w:w="1525"/>
              <w:gridCol w:w="1665"/>
              <w:gridCol w:w="3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Align w:val="center"/>
                </w:tcPr>
                <w:p>
                  <w:pPr>
                    <w:pStyle w:val="74"/>
                    <w:topLinePunct/>
                    <w:rPr>
                      <w:rFonts w:hint="default"/>
                      <w:color w:val="auto"/>
                    </w:rPr>
                  </w:pPr>
                  <w:r>
                    <w:rPr>
                      <w:color w:val="auto"/>
                    </w:rPr>
                    <w:t>类别</w:t>
                  </w:r>
                </w:p>
              </w:tc>
              <w:tc>
                <w:tcPr>
                  <w:tcW w:w="1545" w:type="dxa"/>
                  <w:gridSpan w:val="2"/>
                  <w:vAlign w:val="center"/>
                </w:tcPr>
                <w:p>
                  <w:pPr>
                    <w:pStyle w:val="74"/>
                    <w:topLinePunct/>
                    <w:rPr>
                      <w:rFonts w:hint="default"/>
                      <w:color w:val="auto"/>
                    </w:rPr>
                  </w:pPr>
                  <w:r>
                    <w:rPr>
                      <w:color w:val="auto"/>
                    </w:rPr>
                    <w:t>名称</w:t>
                  </w:r>
                </w:p>
              </w:tc>
              <w:tc>
                <w:tcPr>
                  <w:tcW w:w="1525" w:type="dxa"/>
                  <w:vAlign w:val="center"/>
                </w:tcPr>
                <w:p>
                  <w:pPr>
                    <w:pStyle w:val="74"/>
                    <w:topLinePunct/>
                    <w:rPr>
                      <w:rFonts w:hint="default"/>
                      <w:color w:val="auto"/>
                    </w:rPr>
                  </w:pPr>
                  <w:r>
                    <w:rPr>
                      <w:color w:val="auto"/>
                    </w:rPr>
                    <w:t>产污环节</w:t>
                  </w:r>
                </w:p>
              </w:tc>
              <w:tc>
                <w:tcPr>
                  <w:tcW w:w="1665" w:type="dxa"/>
                  <w:vAlign w:val="center"/>
                </w:tcPr>
                <w:p>
                  <w:pPr>
                    <w:pStyle w:val="74"/>
                    <w:topLinePunct/>
                    <w:rPr>
                      <w:rFonts w:hint="default"/>
                      <w:color w:val="auto"/>
                    </w:rPr>
                  </w:pPr>
                  <w:r>
                    <w:rPr>
                      <w:color w:val="auto"/>
                    </w:rPr>
                    <w:t>主要污染物</w:t>
                  </w:r>
                </w:p>
              </w:tc>
              <w:tc>
                <w:tcPr>
                  <w:tcW w:w="3610" w:type="dxa"/>
                  <w:vAlign w:val="center"/>
                </w:tcPr>
                <w:p>
                  <w:pPr>
                    <w:pStyle w:val="74"/>
                    <w:topLinePunct/>
                    <w:rPr>
                      <w:rFonts w:hint="default"/>
                      <w:color w:val="auto"/>
                    </w:rPr>
                  </w:pPr>
                  <w:r>
                    <w:rPr>
                      <w:color w:val="auto"/>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restart"/>
                  <w:vAlign w:val="center"/>
                </w:tcPr>
                <w:p>
                  <w:pPr>
                    <w:topLinePunct/>
                    <w:adjustRightInd w:val="0"/>
                    <w:snapToGrid w:val="0"/>
                    <w:jc w:val="center"/>
                    <w:rPr>
                      <w:color w:val="auto"/>
                    </w:rPr>
                  </w:pPr>
                  <w:r>
                    <w:rPr>
                      <w:rFonts w:hint="eastAsia"/>
                      <w:color w:val="auto"/>
                    </w:rPr>
                    <w:t>废水</w:t>
                  </w:r>
                </w:p>
              </w:tc>
              <w:tc>
                <w:tcPr>
                  <w:tcW w:w="1545" w:type="dxa"/>
                  <w:gridSpan w:val="2"/>
                  <w:vAlign w:val="center"/>
                </w:tcPr>
                <w:p>
                  <w:pPr>
                    <w:topLinePunct/>
                    <w:adjustRightInd w:val="0"/>
                    <w:snapToGrid w:val="0"/>
                    <w:jc w:val="center"/>
                    <w:rPr>
                      <w:color w:val="auto"/>
                    </w:rPr>
                  </w:pPr>
                  <w:r>
                    <w:rPr>
                      <w:rFonts w:hint="eastAsia"/>
                      <w:color w:val="auto"/>
                    </w:rPr>
                    <w:t>生活污水W</w:t>
                  </w:r>
                </w:p>
              </w:tc>
              <w:tc>
                <w:tcPr>
                  <w:tcW w:w="1525" w:type="dxa"/>
                  <w:vAlign w:val="center"/>
                </w:tcPr>
                <w:p>
                  <w:pPr>
                    <w:topLinePunct/>
                    <w:adjustRightInd w:val="0"/>
                    <w:snapToGrid w:val="0"/>
                    <w:jc w:val="center"/>
                    <w:rPr>
                      <w:color w:val="auto"/>
                    </w:rPr>
                  </w:pPr>
                  <w:r>
                    <w:rPr>
                      <w:color w:val="auto"/>
                    </w:rPr>
                    <w:t>办公生活</w:t>
                  </w:r>
                </w:p>
              </w:tc>
              <w:tc>
                <w:tcPr>
                  <w:tcW w:w="1665" w:type="dxa"/>
                  <w:vAlign w:val="center"/>
                </w:tcPr>
                <w:p>
                  <w:pPr>
                    <w:topLinePunct/>
                    <w:adjustRightInd w:val="0"/>
                    <w:snapToGrid w:val="0"/>
                    <w:jc w:val="center"/>
                    <w:rPr>
                      <w:color w:val="auto"/>
                    </w:rPr>
                  </w:pP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-N、动植物油</w:t>
                  </w:r>
                </w:p>
              </w:tc>
              <w:tc>
                <w:tcPr>
                  <w:tcW w:w="3610" w:type="dxa"/>
                  <w:vAlign w:val="center"/>
                </w:tcPr>
                <w:p>
                  <w:pPr>
                    <w:topLinePunct/>
                    <w:adjustRightInd w:val="0"/>
                    <w:snapToGrid w:val="0"/>
                    <w:jc w:val="center"/>
                    <w:rPr>
                      <w:color w:val="auto"/>
                    </w:rPr>
                  </w:pPr>
                  <w:r>
                    <w:rPr>
                      <w:color w:val="auto"/>
                    </w:rPr>
                    <w:t>经</w:t>
                  </w:r>
                  <w:r>
                    <w:rPr>
                      <w:rFonts w:hint="eastAsia"/>
                      <w:color w:val="auto"/>
                    </w:rPr>
                    <w:t>化粪池收集后接管至</w:t>
                  </w:r>
                  <w:r>
                    <w:rPr>
                      <w:rFonts w:hint="eastAsia"/>
                      <w:color w:val="auto"/>
                      <w:lang w:eastAsia="zh-CN"/>
                    </w:rPr>
                    <w:t>蚌埠铜陵现代产业园污水处理厂</w:t>
                  </w:r>
                  <w:r>
                    <w:rPr>
                      <w:color w:val="auto"/>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1545" w:type="dxa"/>
                  <w:gridSpan w:val="2"/>
                  <w:vAlign w:val="center"/>
                </w:tcPr>
                <w:p>
                  <w:pPr>
                    <w:topLinePunct/>
                    <w:adjustRightInd w:val="0"/>
                    <w:snapToGrid w:val="0"/>
                    <w:jc w:val="center"/>
                    <w:rPr>
                      <w:color w:val="auto"/>
                    </w:rPr>
                  </w:pPr>
                  <w:r>
                    <w:rPr>
                      <w:rFonts w:hint="eastAsia"/>
                      <w:color w:val="auto"/>
                    </w:rPr>
                    <w:t>冷却废水W1</w:t>
                  </w:r>
                </w:p>
              </w:tc>
              <w:tc>
                <w:tcPr>
                  <w:tcW w:w="1525" w:type="dxa"/>
                  <w:vAlign w:val="center"/>
                </w:tcPr>
                <w:p>
                  <w:pPr>
                    <w:topLinePunct/>
                    <w:adjustRightInd w:val="0"/>
                    <w:snapToGrid w:val="0"/>
                    <w:jc w:val="center"/>
                    <w:rPr>
                      <w:color w:val="auto"/>
                    </w:rPr>
                  </w:pPr>
                  <w:r>
                    <w:rPr>
                      <w:rFonts w:hint="eastAsia"/>
                      <w:color w:val="auto"/>
                    </w:rPr>
                    <w:t>注塑</w:t>
                  </w:r>
                </w:p>
              </w:tc>
              <w:tc>
                <w:tcPr>
                  <w:tcW w:w="1665" w:type="dxa"/>
                  <w:vAlign w:val="center"/>
                </w:tcPr>
                <w:p>
                  <w:pPr>
                    <w:topLinePunct/>
                    <w:adjustRightInd w:val="0"/>
                    <w:snapToGrid w:val="0"/>
                    <w:jc w:val="center"/>
                    <w:rPr>
                      <w:color w:val="auto"/>
                    </w:rPr>
                  </w:pPr>
                  <w:r>
                    <w:rPr>
                      <w:rFonts w:hint="eastAsia"/>
                      <w:color w:val="auto"/>
                    </w:rPr>
                    <w:t>COD、SS</w:t>
                  </w:r>
                </w:p>
              </w:tc>
              <w:tc>
                <w:tcPr>
                  <w:tcW w:w="3610" w:type="dxa"/>
                  <w:vAlign w:val="center"/>
                </w:tcPr>
                <w:p>
                  <w:pPr>
                    <w:topLinePunct/>
                    <w:adjustRightInd w:val="0"/>
                    <w:snapToGrid w:val="0"/>
                    <w:jc w:val="center"/>
                    <w:rPr>
                      <w:color w:val="auto"/>
                    </w:rPr>
                  </w:pPr>
                  <w:r>
                    <w:rPr>
                      <w:rFonts w:hint="eastAsia"/>
                      <w:color w:val="auto"/>
                    </w:rPr>
                    <w:t>接管至</w:t>
                  </w:r>
                  <w:r>
                    <w:rPr>
                      <w:rFonts w:hint="eastAsia"/>
                      <w:color w:val="auto"/>
                      <w:lang w:eastAsia="zh-CN"/>
                    </w:rPr>
                    <w:t>蚌埠铜陵现代产业园污水处理厂</w:t>
                  </w:r>
                  <w:r>
                    <w:rPr>
                      <w:color w:val="auto"/>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restart"/>
                  <w:vAlign w:val="center"/>
                </w:tcPr>
                <w:p>
                  <w:pPr>
                    <w:topLinePunct/>
                    <w:adjustRightInd w:val="0"/>
                    <w:snapToGrid w:val="0"/>
                    <w:jc w:val="center"/>
                    <w:rPr>
                      <w:color w:val="auto"/>
                    </w:rPr>
                  </w:pPr>
                  <w:r>
                    <w:rPr>
                      <w:rFonts w:hint="eastAsia"/>
                      <w:color w:val="auto"/>
                    </w:rPr>
                    <w:t>废气</w:t>
                  </w:r>
                </w:p>
              </w:tc>
              <w:tc>
                <w:tcPr>
                  <w:tcW w:w="1545" w:type="dxa"/>
                  <w:gridSpan w:val="2"/>
                  <w:vAlign w:val="center"/>
                </w:tcPr>
                <w:p>
                  <w:pPr>
                    <w:topLinePunct/>
                    <w:adjustRightInd w:val="0"/>
                    <w:snapToGrid w:val="0"/>
                    <w:jc w:val="center"/>
                    <w:rPr>
                      <w:color w:val="auto"/>
                    </w:rPr>
                  </w:pPr>
                  <w:r>
                    <w:rPr>
                      <w:rFonts w:hint="eastAsia"/>
                      <w:color w:val="auto"/>
                    </w:rPr>
                    <w:t>注塑废气G1</w:t>
                  </w:r>
                </w:p>
              </w:tc>
              <w:tc>
                <w:tcPr>
                  <w:tcW w:w="1525" w:type="dxa"/>
                  <w:vAlign w:val="center"/>
                </w:tcPr>
                <w:p>
                  <w:pPr>
                    <w:topLinePunct/>
                    <w:adjustRightInd w:val="0"/>
                    <w:snapToGrid w:val="0"/>
                    <w:jc w:val="center"/>
                    <w:rPr>
                      <w:color w:val="auto"/>
                    </w:rPr>
                  </w:pPr>
                  <w:r>
                    <w:rPr>
                      <w:rFonts w:hint="eastAsia"/>
                      <w:color w:val="auto"/>
                    </w:rPr>
                    <w:t>注塑</w:t>
                  </w:r>
                </w:p>
              </w:tc>
              <w:tc>
                <w:tcPr>
                  <w:tcW w:w="1665" w:type="dxa"/>
                  <w:vAlign w:val="center"/>
                </w:tcPr>
                <w:p>
                  <w:pPr>
                    <w:topLinePunct/>
                    <w:adjustRightInd w:val="0"/>
                    <w:snapToGrid w:val="0"/>
                    <w:jc w:val="center"/>
                    <w:rPr>
                      <w:color w:val="auto"/>
                    </w:rPr>
                  </w:pPr>
                  <w:r>
                    <w:rPr>
                      <w:rFonts w:hint="eastAsia"/>
                      <w:color w:val="auto"/>
                    </w:rPr>
                    <w:t>VOCs（以非甲烷总烃计）</w:t>
                  </w:r>
                </w:p>
              </w:tc>
              <w:tc>
                <w:tcPr>
                  <w:tcW w:w="3610" w:type="dxa"/>
                  <w:vAlign w:val="center"/>
                </w:tcPr>
                <w:p>
                  <w:pPr>
                    <w:topLinePunct/>
                    <w:adjustRightInd w:val="0"/>
                    <w:snapToGrid w:val="0"/>
                    <w:jc w:val="center"/>
                    <w:rPr>
                      <w:color w:val="auto"/>
                    </w:rPr>
                  </w:pPr>
                  <w:r>
                    <w:rPr>
                      <w:rFonts w:hint="eastAsia"/>
                      <w:color w:val="auto"/>
                    </w:rPr>
                    <w:t>经集气罩收集后由二级活性炭吸附装置处理后通过一根15m高排气筒（DA001）排放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1545" w:type="dxa"/>
                  <w:gridSpan w:val="2"/>
                  <w:vAlign w:val="center"/>
                </w:tcPr>
                <w:p>
                  <w:pPr>
                    <w:topLinePunct/>
                    <w:adjustRightInd w:val="0"/>
                    <w:snapToGrid w:val="0"/>
                    <w:jc w:val="center"/>
                    <w:rPr>
                      <w:color w:val="auto"/>
                    </w:rPr>
                  </w:pPr>
                  <w:r>
                    <w:rPr>
                      <w:rFonts w:hint="eastAsia"/>
                      <w:color w:val="auto"/>
                    </w:rPr>
                    <w:t>热转印废气G3</w:t>
                  </w:r>
                </w:p>
              </w:tc>
              <w:tc>
                <w:tcPr>
                  <w:tcW w:w="1525" w:type="dxa"/>
                  <w:vAlign w:val="center"/>
                </w:tcPr>
                <w:p>
                  <w:pPr>
                    <w:topLinePunct/>
                    <w:adjustRightInd w:val="0"/>
                    <w:snapToGrid w:val="0"/>
                    <w:jc w:val="center"/>
                    <w:rPr>
                      <w:color w:val="auto"/>
                    </w:rPr>
                  </w:pPr>
                  <w:r>
                    <w:rPr>
                      <w:rFonts w:hint="eastAsia"/>
                      <w:color w:val="auto"/>
                    </w:rPr>
                    <w:t>热转印</w:t>
                  </w:r>
                </w:p>
              </w:tc>
              <w:tc>
                <w:tcPr>
                  <w:tcW w:w="1665" w:type="dxa"/>
                  <w:vAlign w:val="center"/>
                </w:tcPr>
                <w:p>
                  <w:pPr>
                    <w:topLinePunct/>
                    <w:adjustRightInd w:val="0"/>
                    <w:snapToGrid w:val="0"/>
                    <w:jc w:val="center"/>
                    <w:rPr>
                      <w:color w:val="auto"/>
                    </w:rPr>
                  </w:pPr>
                  <w:r>
                    <w:rPr>
                      <w:rFonts w:hint="eastAsia"/>
                      <w:color w:val="auto"/>
                    </w:rPr>
                    <w:t>VOCs（以非甲烷总烃计）</w:t>
                  </w:r>
                </w:p>
              </w:tc>
              <w:tc>
                <w:tcPr>
                  <w:tcW w:w="3610" w:type="dxa"/>
                  <w:vAlign w:val="center"/>
                </w:tcPr>
                <w:p>
                  <w:pPr>
                    <w:topLinePunct/>
                    <w:adjustRightInd w:val="0"/>
                    <w:snapToGrid w:val="0"/>
                    <w:jc w:val="center"/>
                    <w:rPr>
                      <w:color w:val="auto"/>
                    </w:rPr>
                  </w:pPr>
                  <w:r>
                    <w:rPr>
                      <w:rFonts w:hint="eastAsia"/>
                      <w:color w:val="auto"/>
                    </w:rPr>
                    <w:t>加强车间通风等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1545" w:type="dxa"/>
                  <w:gridSpan w:val="2"/>
                  <w:vAlign w:val="center"/>
                </w:tcPr>
                <w:p>
                  <w:pPr>
                    <w:topLinePunct/>
                    <w:adjustRightInd w:val="0"/>
                    <w:snapToGrid w:val="0"/>
                    <w:jc w:val="center"/>
                    <w:rPr>
                      <w:color w:val="auto"/>
                    </w:rPr>
                  </w:pPr>
                  <w:r>
                    <w:rPr>
                      <w:rFonts w:hint="eastAsia"/>
                      <w:color w:val="auto"/>
                    </w:rPr>
                    <w:t>破碎粉尘G2</w:t>
                  </w:r>
                </w:p>
              </w:tc>
              <w:tc>
                <w:tcPr>
                  <w:tcW w:w="1525" w:type="dxa"/>
                  <w:vAlign w:val="center"/>
                </w:tcPr>
                <w:p>
                  <w:pPr>
                    <w:topLinePunct/>
                    <w:adjustRightInd w:val="0"/>
                    <w:snapToGrid w:val="0"/>
                    <w:jc w:val="center"/>
                    <w:rPr>
                      <w:color w:val="auto"/>
                    </w:rPr>
                  </w:pPr>
                  <w:r>
                    <w:rPr>
                      <w:rFonts w:hint="eastAsia"/>
                      <w:color w:val="auto"/>
                    </w:rPr>
                    <w:t>破碎</w:t>
                  </w:r>
                </w:p>
              </w:tc>
              <w:tc>
                <w:tcPr>
                  <w:tcW w:w="1665" w:type="dxa"/>
                  <w:vAlign w:val="center"/>
                </w:tcPr>
                <w:p>
                  <w:pPr>
                    <w:topLinePunct/>
                    <w:adjustRightInd w:val="0"/>
                    <w:snapToGrid w:val="0"/>
                    <w:jc w:val="center"/>
                    <w:rPr>
                      <w:color w:val="auto"/>
                    </w:rPr>
                  </w:pPr>
                  <w:r>
                    <w:rPr>
                      <w:rFonts w:hint="eastAsia"/>
                      <w:color w:val="auto"/>
                    </w:rPr>
                    <w:t>颗粒物</w:t>
                  </w:r>
                </w:p>
              </w:tc>
              <w:tc>
                <w:tcPr>
                  <w:tcW w:w="3610" w:type="dxa"/>
                  <w:vAlign w:val="center"/>
                </w:tcPr>
                <w:p>
                  <w:pPr>
                    <w:topLinePunct/>
                    <w:adjustRightInd w:val="0"/>
                    <w:snapToGrid w:val="0"/>
                    <w:jc w:val="center"/>
                    <w:rPr>
                      <w:color w:val="auto"/>
                    </w:rPr>
                  </w:pPr>
                  <w:r>
                    <w:rPr>
                      <w:rFonts w:hint="eastAsia"/>
                      <w:color w:val="auto"/>
                    </w:rPr>
                    <w:t>于密闭破碎间进行破碎，并要求破碎作业时加盖封闭，作业结束先静置一段时间后再开盖，同时加强车间通风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Align w:val="center"/>
                </w:tcPr>
                <w:p>
                  <w:pPr>
                    <w:topLinePunct/>
                    <w:adjustRightInd w:val="0"/>
                    <w:snapToGrid w:val="0"/>
                    <w:jc w:val="center"/>
                    <w:rPr>
                      <w:color w:val="auto"/>
                    </w:rPr>
                  </w:pPr>
                  <w:r>
                    <w:rPr>
                      <w:rFonts w:hint="eastAsia"/>
                      <w:color w:val="auto"/>
                    </w:rPr>
                    <w:t>噪声</w:t>
                  </w:r>
                </w:p>
              </w:tc>
              <w:tc>
                <w:tcPr>
                  <w:tcW w:w="1545" w:type="dxa"/>
                  <w:gridSpan w:val="2"/>
                  <w:vAlign w:val="center"/>
                </w:tcPr>
                <w:p>
                  <w:pPr>
                    <w:topLinePunct/>
                    <w:adjustRightInd w:val="0"/>
                    <w:snapToGrid w:val="0"/>
                    <w:jc w:val="center"/>
                    <w:rPr>
                      <w:color w:val="auto"/>
                    </w:rPr>
                  </w:pPr>
                  <w:r>
                    <w:rPr>
                      <w:rFonts w:hint="eastAsia"/>
                      <w:color w:val="auto"/>
                    </w:rPr>
                    <w:t>噪声N</w:t>
                  </w:r>
                </w:p>
              </w:tc>
              <w:tc>
                <w:tcPr>
                  <w:tcW w:w="1525" w:type="dxa"/>
                  <w:vAlign w:val="center"/>
                </w:tcPr>
                <w:p>
                  <w:pPr>
                    <w:topLinePunct/>
                    <w:adjustRightInd w:val="0"/>
                    <w:snapToGrid w:val="0"/>
                    <w:jc w:val="center"/>
                    <w:rPr>
                      <w:color w:val="auto"/>
                    </w:rPr>
                  </w:pPr>
                  <w:r>
                    <w:rPr>
                      <w:rFonts w:hint="eastAsia"/>
                      <w:color w:val="auto"/>
                    </w:rPr>
                    <w:t>设备运行</w:t>
                  </w:r>
                </w:p>
              </w:tc>
              <w:tc>
                <w:tcPr>
                  <w:tcW w:w="1665" w:type="dxa"/>
                  <w:vAlign w:val="center"/>
                </w:tcPr>
                <w:p>
                  <w:pPr>
                    <w:topLinePunct/>
                    <w:adjustRightInd w:val="0"/>
                    <w:snapToGrid w:val="0"/>
                    <w:jc w:val="center"/>
                    <w:rPr>
                      <w:color w:val="auto"/>
                    </w:rPr>
                  </w:pPr>
                  <w:r>
                    <w:rPr>
                      <w:rFonts w:hint="eastAsia"/>
                      <w:color w:val="auto"/>
                    </w:rPr>
                    <w:t>噪声</w:t>
                  </w:r>
                </w:p>
              </w:tc>
              <w:tc>
                <w:tcPr>
                  <w:tcW w:w="3610" w:type="dxa"/>
                  <w:vAlign w:val="center"/>
                </w:tcPr>
                <w:p>
                  <w:pPr>
                    <w:topLinePunct/>
                    <w:adjustRightInd w:val="0"/>
                    <w:snapToGrid w:val="0"/>
                    <w:jc w:val="center"/>
                    <w:rPr>
                      <w:color w:val="auto"/>
                    </w:rPr>
                  </w:pPr>
                  <w:r>
                    <w:rPr>
                      <w:color w:val="auto"/>
                    </w:rPr>
                    <w:t>采取选用低噪声设备、厂房隔声、基础减振等降噪措施进行处理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restart"/>
                  <w:vAlign w:val="center"/>
                </w:tcPr>
                <w:p>
                  <w:pPr>
                    <w:topLinePunct/>
                    <w:adjustRightInd w:val="0"/>
                    <w:snapToGrid w:val="0"/>
                    <w:jc w:val="center"/>
                    <w:rPr>
                      <w:color w:val="auto"/>
                    </w:rPr>
                  </w:pPr>
                  <w:r>
                    <w:rPr>
                      <w:rFonts w:hint="eastAsia"/>
                      <w:color w:val="auto"/>
                    </w:rPr>
                    <w:t>固废</w:t>
                  </w:r>
                </w:p>
              </w:tc>
              <w:tc>
                <w:tcPr>
                  <w:tcW w:w="375" w:type="dxa"/>
                  <w:vMerge w:val="restart"/>
                  <w:vAlign w:val="center"/>
                </w:tcPr>
                <w:p>
                  <w:pPr>
                    <w:adjustRightInd w:val="0"/>
                    <w:snapToGrid w:val="0"/>
                    <w:jc w:val="center"/>
                    <w:rPr>
                      <w:snapToGrid w:val="0"/>
                      <w:color w:val="auto"/>
                      <w:kern w:val="0"/>
                      <w:szCs w:val="21"/>
                    </w:rPr>
                  </w:pPr>
                  <w:r>
                    <w:rPr>
                      <w:rFonts w:hint="eastAsia"/>
                      <w:snapToGrid w:val="0"/>
                      <w:color w:val="auto"/>
                      <w:kern w:val="0"/>
                      <w:szCs w:val="21"/>
                    </w:rPr>
                    <w:t>一般固废</w:t>
                  </w:r>
                </w:p>
              </w:tc>
              <w:tc>
                <w:tcPr>
                  <w:tcW w:w="1170" w:type="dxa"/>
                  <w:vAlign w:val="center"/>
                </w:tcPr>
                <w:p>
                  <w:pPr>
                    <w:adjustRightInd w:val="0"/>
                    <w:snapToGrid w:val="0"/>
                    <w:jc w:val="center"/>
                    <w:rPr>
                      <w:snapToGrid w:val="0"/>
                      <w:color w:val="auto"/>
                      <w:kern w:val="0"/>
                      <w:szCs w:val="21"/>
                    </w:rPr>
                  </w:pPr>
                  <w:r>
                    <w:rPr>
                      <w:snapToGrid w:val="0"/>
                      <w:color w:val="auto"/>
                      <w:kern w:val="0"/>
                      <w:szCs w:val="21"/>
                      <w:lang w:bidi="ar"/>
                    </w:rPr>
                    <w:t>生活垃圾</w:t>
                  </w:r>
                  <w:r>
                    <w:rPr>
                      <w:rFonts w:hint="eastAsia"/>
                      <w:snapToGrid w:val="0"/>
                      <w:color w:val="auto"/>
                      <w:kern w:val="0"/>
                      <w:szCs w:val="21"/>
                      <w:lang w:bidi="ar"/>
                    </w:rPr>
                    <w:t>S9</w:t>
                  </w:r>
                </w:p>
              </w:tc>
              <w:tc>
                <w:tcPr>
                  <w:tcW w:w="1525" w:type="dxa"/>
                  <w:vAlign w:val="center"/>
                </w:tcPr>
                <w:p>
                  <w:pPr>
                    <w:adjustRightInd w:val="0"/>
                    <w:snapToGrid w:val="0"/>
                    <w:jc w:val="center"/>
                    <w:rPr>
                      <w:snapToGrid w:val="0"/>
                      <w:color w:val="auto"/>
                      <w:kern w:val="0"/>
                      <w:szCs w:val="21"/>
                      <w:lang w:bidi="ar"/>
                    </w:rPr>
                  </w:pPr>
                  <w:r>
                    <w:rPr>
                      <w:snapToGrid w:val="0"/>
                      <w:color w:val="auto"/>
                      <w:kern w:val="0"/>
                      <w:szCs w:val="21"/>
                      <w:lang w:bidi="ar"/>
                    </w:rPr>
                    <w:t>员工办公</w:t>
                  </w:r>
                </w:p>
              </w:tc>
              <w:tc>
                <w:tcPr>
                  <w:tcW w:w="1665" w:type="dxa"/>
                  <w:vAlign w:val="center"/>
                </w:tcPr>
                <w:p>
                  <w:pPr>
                    <w:topLinePunct/>
                    <w:adjustRightInd w:val="0"/>
                    <w:snapToGrid w:val="0"/>
                    <w:jc w:val="center"/>
                    <w:rPr>
                      <w:color w:val="auto"/>
                    </w:rPr>
                  </w:pPr>
                  <w:r>
                    <w:rPr>
                      <w:rFonts w:hint="eastAsia"/>
                      <w:color w:val="auto"/>
                    </w:rPr>
                    <w:t>生活垃圾</w:t>
                  </w:r>
                </w:p>
              </w:tc>
              <w:tc>
                <w:tcPr>
                  <w:tcW w:w="3610" w:type="dxa"/>
                  <w:vAlign w:val="center"/>
                </w:tcPr>
                <w:p>
                  <w:pPr>
                    <w:pStyle w:val="46"/>
                    <w:widowControl/>
                    <w:spacing w:beforeLines="0" w:afterLines="0" w:line="240" w:lineRule="auto"/>
                    <w:rPr>
                      <w:rFonts w:ascii="Times New Roman"/>
                      <w:snapToGrid w:val="0"/>
                      <w:color w:val="auto"/>
                      <w:szCs w:val="21"/>
                    </w:rPr>
                  </w:pPr>
                  <w:r>
                    <w:rPr>
                      <w:rFonts w:hint="eastAsia" w:ascii="Times New Roman"/>
                      <w:snapToGrid w:val="0"/>
                      <w:color w:val="auto"/>
                      <w:szCs w:val="21"/>
                    </w:rPr>
                    <w:t>分类收集后</w:t>
                  </w:r>
                  <w:r>
                    <w:rPr>
                      <w:rFonts w:ascii="Times New Roman"/>
                      <w:snapToGrid w:val="0"/>
                      <w:color w:val="auto"/>
                      <w:szCs w:val="21"/>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snapToGrid w:val="0"/>
                      <w:color w:val="auto"/>
                      <w:kern w:val="0"/>
                      <w:szCs w:val="21"/>
                    </w:rPr>
                    <w:t>边角料</w:t>
                  </w:r>
                  <w:r>
                    <w:rPr>
                      <w:rFonts w:hint="eastAsia"/>
                      <w:snapToGrid w:val="0"/>
                      <w:color w:val="auto"/>
                      <w:kern w:val="0"/>
                      <w:szCs w:val="21"/>
                    </w:rPr>
                    <w:t>S3</w:t>
                  </w:r>
                </w:p>
              </w:tc>
              <w:tc>
                <w:tcPr>
                  <w:tcW w:w="1525" w:type="dxa"/>
                  <w:vAlign w:val="center"/>
                </w:tcPr>
                <w:p>
                  <w:pPr>
                    <w:adjustRightInd w:val="0"/>
                    <w:snapToGrid w:val="0"/>
                    <w:jc w:val="center"/>
                    <w:rPr>
                      <w:snapToGrid w:val="0"/>
                      <w:color w:val="auto"/>
                      <w:kern w:val="0"/>
                      <w:szCs w:val="21"/>
                      <w:lang w:bidi="ar"/>
                    </w:rPr>
                  </w:pPr>
                  <w:r>
                    <w:rPr>
                      <w:rFonts w:hint="eastAsia"/>
                      <w:snapToGrid w:val="0"/>
                      <w:color w:val="auto"/>
                      <w:kern w:val="0"/>
                      <w:szCs w:val="21"/>
                    </w:rPr>
                    <w:t>注塑</w:t>
                  </w:r>
                </w:p>
              </w:tc>
              <w:tc>
                <w:tcPr>
                  <w:tcW w:w="1665" w:type="dxa"/>
                  <w:vAlign w:val="center"/>
                </w:tcPr>
                <w:p>
                  <w:pPr>
                    <w:adjustRightInd w:val="0"/>
                    <w:snapToGrid w:val="0"/>
                    <w:jc w:val="center"/>
                    <w:rPr>
                      <w:snapToGrid w:val="0"/>
                      <w:color w:val="auto"/>
                      <w:kern w:val="0"/>
                      <w:szCs w:val="21"/>
                    </w:rPr>
                  </w:pPr>
                  <w:r>
                    <w:rPr>
                      <w:snapToGrid w:val="0"/>
                      <w:color w:val="auto"/>
                      <w:kern w:val="0"/>
                      <w:szCs w:val="21"/>
                    </w:rPr>
                    <w:t>边角料</w:t>
                  </w:r>
                </w:p>
              </w:tc>
              <w:tc>
                <w:tcPr>
                  <w:tcW w:w="3610" w:type="dxa"/>
                  <w:vMerge w:val="restart"/>
                  <w:vAlign w:val="center"/>
                </w:tcPr>
                <w:p>
                  <w:pPr>
                    <w:topLinePunct/>
                    <w:adjustRightInd w:val="0"/>
                    <w:snapToGrid w:val="0"/>
                    <w:jc w:val="center"/>
                    <w:rPr>
                      <w:color w:val="auto"/>
                    </w:rPr>
                  </w:pPr>
                  <w:r>
                    <w:rPr>
                      <w:rFonts w:hint="eastAsia"/>
                      <w:color w:val="auto"/>
                    </w:rPr>
                    <w:t>经破碎后回用于生产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snapToGrid w:val="0"/>
                      <w:color w:val="auto"/>
                      <w:kern w:val="0"/>
                      <w:szCs w:val="21"/>
                    </w:rPr>
                    <w:t>不合格品</w:t>
                  </w:r>
                  <w:r>
                    <w:rPr>
                      <w:rFonts w:hint="eastAsia"/>
                      <w:snapToGrid w:val="0"/>
                      <w:color w:val="auto"/>
                      <w:kern w:val="0"/>
                      <w:szCs w:val="21"/>
                    </w:rPr>
                    <w:t>S4</w:t>
                  </w:r>
                </w:p>
              </w:tc>
              <w:tc>
                <w:tcPr>
                  <w:tcW w:w="1525" w:type="dxa"/>
                  <w:vAlign w:val="center"/>
                </w:tcPr>
                <w:p>
                  <w:pPr>
                    <w:adjustRightInd w:val="0"/>
                    <w:snapToGrid w:val="0"/>
                    <w:jc w:val="center"/>
                    <w:rPr>
                      <w:snapToGrid w:val="0"/>
                      <w:color w:val="auto"/>
                      <w:kern w:val="0"/>
                      <w:szCs w:val="21"/>
                      <w:lang w:bidi="ar"/>
                    </w:rPr>
                  </w:pPr>
                  <w:r>
                    <w:rPr>
                      <w:rFonts w:hint="eastAsia"/>
                      <w:snapToGrid w:val="0"/>
                      <w:color w:val="auto"/>
                      <w:kern w:val="0"/>
                      <w:szCs w:val="21"/>
                      <w:lang w:bidi="ar"/>
                    </w:rPr>
                    <w:t>注塑</w:t>
                  </w:r>
                </w:p>
              </w:tc>
              <w:tc>
                <w:tcPr>
                  <w:tcW w:w="1665" w:type="dxa"/>
                  <w:vAlign w:val="center"/>
                </w:tcPr>
                <w:p>
                  <w:pPr>
                    <w:adjustRightInd w:val="0"/>
                    <w:snapToGrid w:val="0"/>
                    <w:jc w:val="center"/>
                    <w:rPr>
                      <w:snapToGrid w:val="0"/>
                      <w:color w:val="auto"/>
                      <w:kern w:val="0"/>
                      <w:szCs w:val="21"/>
                    </w:rPr>
                  </w:pPr>
                  <w:r>
                    <w:rPr>
                      <w:snapToGrid w:val="0"/>
                      <w:color w:val="auto"/>
                      <w:kern w:val="0"/>
                      <w:szCs w:val="21"/>
                    </w:rPr>
                    <w:t>不合格品</w:t>
                  </w:r>
                </w:p>
              </w:tc>
              <w:tc>
                <w:tcPr>
                  <w:tcW w:w="3610"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rFonts w:hint="eastAsia"/>
                      <w:snapToGrid w:val="0"/>
                      <w:color w:val="auto"/>
                      <w:kern w:val="0"/>
                      <w:szCs w:val="21"/>
                    </w:rPr>
                    <w:t>废热转印膜S5</w:t>
                  </w:r>
                </w:p>
              </w:tc>
              <w:tc>
                <w:tcPr>
                  <w:tcW w:w="1525" w:type="dxa"/>
                  <w:vAlign w:val="center"/>
                </w:tcPr>
                <w:p>
                  <w:pPr>
                    <w:adjustRightInd w:val="0"/>
                    <w:snapToGrid w:val="0"/>
                    <w:jc w:val="center"/>
                    <w:rPr>
                      <w:snapToGrid w:val="0"/>
                      <w:color w:val="auto"/>
                      <w:kern w:val="0"/>
                      <w:szCs w:val="21"/>
                    </w:rPr>
                  </w:pPr>
                  <w:r>
                    <w:rPr>
                      <w:rFonts w:hint="eastAsia"/>
                      <w:snapToGrid w:val="0"/>
                      <w:color w:val="auto"/>
                      <w:kern w:val="0"/>
                      <w:szCs w:val="21"/>
                    </w:rPr>
                    <w:t>热转印</w:t>
                  </w:r>
                </w:p>
              </w:tc>
              <w:tc>
                <w:tcPr>
                  <w:tcW w:w="1665" w:type="dxa"/>
                  <w:vAlign w:val="center"/>
                </w:tcPr>
                <w:p>
                  <w:pPr>
                    <w:adjustRightInd w:val="0"/>
                    <w:snapToGrid w:val="0"/>
                    <w:jc w:val="center"/>
                    <w:rPr>
                      <w:snapToGrid w:val="0"/>
                      <w:color w:val="auto"/>
                      <w:kern w:val="0"/>
                      <w:szCs w:val="21"/>
                    </w:rPr>
                  </w:pPr>
                  <w:r>
                    <w:rPr>
                      <w:rFonts w:hint="eastAsia"/>
                      <w:snapToGrid w:val="0"/>
                      <w:color w:val="auto"/>
                      <w:kern w:val="0"/>
                      <w:szCs w:val="21"/>
                    </w:rPr>
                    <w:t>热转印膜</w:t>
                  </w:r>
                </w:p>
              </w:tc>
              <w:tc>
                <w:tcPr>
                  <w:tcW w:w="3610" w:type="dxa"/>
                  <w:vMerge w:val="restart"/>
                  <w:vAlign w:val="center"/>
                </w:tcPr>
                <w:p>
                  <w:pPr>
                    <w:topLinePunct/>
                    <w:adjustRightInd w:val="0"/>
                    <w:snapToGrid w:val="0"/>
                    <w:jc w:val="center"/>
                    <w:rPr>
                      <w:color w:val="auto"/>
                    </w:rPr>
                  </w:pPr>
                  <w:r>
                    <w:rPr>
                      <w:snapToGrid w:val="0"/>
                      <w:color w:val="auto"/>
                      <w:kern w:val="0"/>
                      <w:szCs w:val="21"/>
                    </w:rPr>
                    <w:t>集中收集后外售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rFonts w:hint="eastAsia"/>
                      <w:snapToGrid w:val="0"/>
                      <w:color w:val="auto"/>
                      <w:kern w:val="0"/>
                      <w:szCs w:val="21"/>
                    </w:rPr>
                    <w:t>废包装材料S1、S2、S8</w:t>
                  </w:r>
                </w:p>
              </w:tc>
              <w:tc>
                <w:tcPr>
                  <w:tcW w:w="1525" w:type="dxa"/>
                  <w:vAlign w:val="center"/>
                </w:tcPr>
                <w:p>
                  <w:pPr>
                    <w:adjustRightInd w:val="0"/>
                    <w:snapToGrid w:val="0"/>
                    <w:jc w:val="center"/>
                    <w:rPr>
                      <w:snapToGrid w:val="0"/>
                      <w:color w:val="auto"/>
                      <w:kern w:val="0"/>
                      <w:szCs w:val="21"/>
                    </w:rPr>
                  </w:pPr>
                  <w:r>
                    <w:rPr>
                      <w:rFonts w:hint="eastAsia"/>
                      <w:snapToGrid w:val="0"/>
                      <w:color w:val="auto"/>
                      <w:kern w:val="0"/>
                      <w:szCs w:val="21"/>
                    </w:rPr>
                    <w:t>拆包、包装</w:t>
                  </w:r>
                </w:p>
              </w:tc>
              <w:tc>
                <w:tcPr>
                  <w:tcW w:w="1665" w:type="dxa"/>
                  <w:vAlign w:val="center"/>
                </w:tcPr>
                <w:p>
                  <w:pPr>
                    <w:adjustRightInd w:val="0"/>
                    <w:snapToGrid w:val="0"/>
                    <w:jc w:val="center"/>
                    <w:rPr>
                      <w:snapToGrid w:val="0"/>
                      <w:color w:val="auto"/>
                      <w:kern w:val="0"/>
                      <w:szCs w:val="21"/>
                    </w:rPr>
                  </w:pPr>
                  <w:r>
                    <w:rPr>
                      <w:rFonts w:hint="eastAsia"/>
                      <w:snapToGrid w:val="0"/>
                      <w:color w:val="auto"/>
                      <w:kern w:val="0"/>
                      <w:szCs w:val="21"/>
                    </w:rPr>
                    <w:t>废包装材料</w:t>
                  </w:r>
                </w:p>
              </w:tc>
              <w:tc>
                <w:tcPr>
                  <w:tcW w:w="3610"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rFonts w:hint="eastAsia"/>
                      <w:snapToGrid w:val="0"/>
                      <w:color w:val="auto"/>
                      <w:kern w:val="0"/>
                      <w:szCs w:val="21"/>
                    </w:rPr>
                    <w:t>废玻璃内胆S6</w:t>
                  </w:r>
                </w:p>
              </w:tc>
              <w:tc>
                <w:tcPr>
                  <w:tcW w:w="1525" w:type="dxa"/>
                  <w:vAlign w:val="center"/>
                </w:tcPr>
                <w:p>
                  <w:pPr>
                    <w:adjustRightInd w:val="0"/>
                    <w:snapToGrid w:val="0"/>
                    <w:jc w:val="center"/>
                    <w:rPr>
                      <w:snapToGrid w:val="0"/>
                      <w:color w:val="auto"/>
                      <w:kern w:val="0"/>
                      <w:szCs w:val="21"/>
                    </w:rPr>
                  </w:pPr>
                  <w:r>
                    <w:rPr>
                      <w:rFonts w:hint="eastAsia"/>
                      <w:snapToGrid w:val="0"/>
                      <w:color w:val="auto"/>
                      <w:kern w:val="0"/>
                      <w:szCs w:val="21"/>
                    </w:rPr>
                    <w:t>组装</w:t>
                  </w:r>
                </w:p>
              </w:tc>
              <w:tc>
                <w:tcPr>
                  <w:tcW w:w="1665" w:type="dxa"/>
                  <w:vAlign w:val="center"/>
                </w:tcPr>
                <w:p>
                  <w:pPr>
                    <w:adjustRightInd w:val="0"/>
                    <w:snapToGrid w:val="0"/>
                    <w:jc w:val="center"/>
                    <w:rPr>
                      <w:snapToGrid w:val="0"/>
                      <w:color w:val="auto"/>
                      <w:kern w:val="0"/>
                      <w:szCs w:val="21"/>
                    </w:rPr>
                  </w:pPr>
                  <w:r>
                    <w:rPr>
                      <w:rFonts w:hint="eastAsia"/>
                      <w:snapToGrid w:val="0"/>
                      <w:color w:val="auto"/>
                      <w:kern w:val="0"/>
                      <w:szCs w:val="21"/>
                    </w:rPr>
                    <w:t>废玻璃内胆</w:t>
                  </w:r>
                </w:p>
              </w:tc>
              <w:tc>
                <w:tcPr>
                  <w:tcW w:w="3610"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snapToGrid w:val="0"/>
                      <w:color w:val="auto"/>
                      <w:kern w:val="0"/>
                      <w:szCs w:val="21"/>
                    </w:rPr>
                  </w:pPr>
                  <w:r>
                    <w:rPr>
                      <w:rFonts w:hint="eastAsia"/>
                      <w:snapToGrid w:val="0"/>
                      <w:color w:val="auto"/>
                      <w:kern w:val="0"/>
                      <w:szCs w:val="21"/>
                    </w:rPr>
                    <w:t>废智能显示屏S7</w:t>
                  </w:r>
                </w:p>
              </w:tc>
              <w:tc>
                <w:tcPr>
                  <w:tcW w:w="1525" w:type="dxa"/>
                  <w:vAlign w:val="center"/>
                </w:tcPr>
                <w:p>
                  <w:pPr>
                    <w:adjustRightInd w:val="0"/>
                    <w:snapToGrid w:val="0"/>
                    <w:jc w:val="center"/>
                    <w:rPr>
                      <w:snapToGrid w:val="0"/>
                      <w:color w:val="auto"/>
                      <w:kern w:val="0"/>
                      <w:szCs w:val="21"/>
                    </w:rPr>
                  </w:pPr>
                  <w:r>
                    <w:rPr>
                      <w:rFonts w:hint="eastAsia"/>
                      <w:snapToGrid w:val="0"/>
                      <w:color w:val="auto"/>
                      <w:kern w:val="0"/>
                      <w:szCs w:val="21"/>
                    </w:rPr>
                    <w:t>组装</w:t>
                  </w:r>
                </w:p>
              </w:tc>
              <w:tc>
                <w:tcPr>
                  <w:tcW w:w="1665" w:type="dxa"/>
                  <w:vAlign w:val="center"/>
                </w:tcPr>
                <w:p>
                  <w:pPr>
                    <w:adjustRightInd w:val="0"/>
                    <w:snapToGrid w:val="0"/>
                    <w:jc w:val="center"/>
                    <w:rPr>
                      <w:snapToGrid w:val="0"/>
                      <w:color w:val="auto"/>
                      <w:kern w:val="0"/>
                      <w:szCs w:val="21"/>
                    </w:rPr>
                  </w:pPr>
                  <w:r>
                    <w:rPr>
                      <w:rFonts w:hint="eastAsia"/>
                      <w:snapToGrid w:val="0"/>
                      <w:color w:val="auto"/>
                      <w:kern w:val="0"/>
                      <w:szCs w:val="21"/>
                    </w:rPr>
                    <w:t>废智能显示屏</w:t>
                  </w:r>
                </w:p>
              </w:tc>
              <w:tc>
                <w:tcPr>
                  <w:tcW w:w="3610"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Merge w:val="continue"/>
                  <w:vAlign w:val="center"/>
                </w:tcPr>
                <w:p>
                  <w:pPr>
                    <w:adjustRightInd w:val="0"/>
                    <w:snapToGrid w:val="0"/>
                    <w:jc w:val="center"/>
                    <w:rPr>
                      <w:snapToGrid w:val="0"/>
                      <w:color w:val="auto"/>
                      <w:kern w:val="0"/>
                      <w:szCs w:val="21"/>
                    </w:rPr>
                  </w:pPr>
                </w:p>
              </w:tc>
              <w:tc>
                <w:tcPr>
                  <w:tcW w:w="1170" w:type="dxa"/>
                  <w:vAlign w:val="center"/>
                </w:tcPr>
                <w:p>
                  <w:pPr>
                    <w:adjustRightInd w:val="0"/>
                    <w:snapToGrid w:val="0"/>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布袋除尘收集尘</w:t>
                  </w:r>
                  <w:r>
                    <w:rPr>
                      <w:rFonts w:hint="eastAsia"/>
                      <w:snapToGrid w:val="0"/>
                      <w:color w:val="auto"/>
                      <w:kern w:val="0"/>
                      <w:szCs w:val="21"/>
                    </w:rPr>
                    <w:t>S1</w:t>
                  </w:r>
                  <w:r>
                    <w:rPr>
                      <w:rFonts w:hint="eastAsia"/>
                      <w:snapToGrid w:val="0"/>
                      <w:color w:val="auto"/>
                      <w:kern w:val="0"/>
                      <w:szCs w:val="21"/>
                      <w:lang w:val="en-US" w:eastAsia="zh-CN"/>
                    </w:rPr>
                    <w:t>1</w:t>
                  </w:r>
                </w:p>
              </w:tc>
              <w:tc>
                <w:tcPr>
                  <w:tcW w:w="1525" w:type="dxa"/>
                  <w:vAlign w:val="center"/>
                </w:tcPr>
                <w:p>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废气处理</w:t>
                  </w:r>
                </w:p>
              </w:tc>
              <w:tc>
                <w:tcPr>
                  <w:tcW w:w="1665" w:type="dxa"/>
                  <w:vAlign w:val="center"/>
                </w:tcPr>
                <w:p>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破碎粉尘</w:t>
                  </w:r>
                </w:p>
              </w:tc>
              <w:tc>
                <w:tcPr>
                  <w:tcW w:w="3610"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vAlign w:val="center"/>
                </w:tcPr>
                <w:p>
                  <w:pPr>
                    <w:topLinePunct/>
                    <w:adjustRightInd w:val="0"/>
                    <w:snapToGrid w:val="0"/>
                    <w:jc w:val="center"/>
                    <w:rPr>
                      <w:color w:val="auto"/>
                    </w:rPr>
                  </w:pPr>
                </w:p>
              </w:tc>
              <w:tc>
                <w:tcPr>
                  <w:tcW w:w="375" w:type="dxa"/>
                  <w:vAlign w:val="center"/>
                </w:tcPr>
                <w:p>
                  <w:pPr>
                    <w:adjustRightInd w:val="0"/>
                    <w:snapToGrid w:val="0"/>
                    <w:jc w:val="center"/>
                    <w:rPr>
                      <w:snapToGrid w:val="0"/>
                      <w:color w:val="auto"/>
                      <w:kern w:val="0"/>
                      <w:szCs w:val="21"/>
                    </w:rPr>
                  </w:pPr>
                  <w:r>
                    <w:rPr>
                      <w:rFonts w:hint="eastAsia"/>
                      <w:snapToGrid w:val="0"/>
                      <w:color w:val="auto"/>
                      <w:kern w:val="0"/>
                      <w:szCs w:val="21"/>
                    </w:rPr>
                    <w:t>危险废物</w:t>
                  </w:r>
                </w:p>
              </w:tc>
              <w:tc>
                <w:tcPr>
                  <w:tcW w:w="1170" w:type="dxa"/>
                  <w:vAlign w:val="center"/>
                </w:tcPr>
                <w:p>
                  <w:pPr>
                    <w:adjustRightInd w:val="0"/>
                    <w:snapToGrid w:val="0"/>
                    <w:jc w:val="center"/>
                    <w:rPr>
                      <w:snapToGrid w:val="0"/>
                      <w:color w:val="auto"/>
                      <w:kern w:val="0"/>
                      <w:szCs w:val="21"/>
                    </w:rPr>
                  </w:pPr>
                  <w:r>
                    <w:rPr>
                      <w:snapToGrid w:val="0"/>
                      <w:color w:val="auto"/>
                      <w:kern w:val="0"/>
                      <w:szCs w:val="21"/>
                    </w:rPr>
                    <w:t>废活性炭</w:t>
                  </w:r>
                  <w:r>
                    <w:rPr>
                      <w:rFonts w:hint="eastAsia"/>
                      <w:snapToGrid w:val="0"/>
                      <w:color w:val="auto"/>
                      <w:kern w:val="0"/>
                      <w:szCs w:val="21"/>
                    </w:rPr>
                    <w:t>S10</w:t>
                  </w:r>
                </w:p>
              </w:tc>
              <w:tc>
                <w:tcPr>
                  <w:tcW w:w="1525" w:type="dxa"/>
                  <w:vAlign w:val="center"/>
                </w:tcPr>
                <w:p>
                  <w:pPr>
                    <w:adjustRightInd w:val="0"/>
                    <w:snapToGrid w:val="0"/>
                    <w:jc w:val="center"/>
                    <w:rPr>
                      <w:snapToGrid w:val="0"/>
                      <w:color w:val="auto"/>
                      <w:kern w:val="0"/>
                      <w:szCs w:val="21"/>
                      <w:lang w:bidi="ar"/>
                    </w:rPr>
                  </w:pPr>
                  <w:r>
                    <w:rPr>
                      <w:snapToGrid w:val="0"/>
                      <w:color w:val="auto"/>
                      <w:kern w:val="0"/>
                      <w:szCs w:val="21"/>
                      <w:lang w:bidi="ar"/>
                    </w:rPr>
                    <w:t>废气处理</w:t>
                  </w:r>
                </w:p>
              </w:tc>
              <w:tc>
                <w:tcPr>
                  <w:tcW w:w="1665" w:type="dxa"/>
                  <w:vAlign w:val="center"/>
                </w:tcPr>
                <w:p>
                  <w:pPr>
                    <w:topLinePunct/>
                    <w:adjustRightInd w:val="0"/>
                    <w:snapToGrid w:val="0"/>
                    <w:jc w:val="center"/>
                    <w:rPr>
                      <w:color w:val="auto"/>
                    </w:rPr>
                  </w:pPr>
                  <w:r>
                    <w:rPr>
                      <w:rFonts w:hint="eastAsia"/>
                      <w:color w:val="auto"/>
                    </w:rPr>
                    <w:t>有机废气</w:t>
                  </w:r>
                </w:p>
              </w:tc>
              <w:tc>
                <w:tcPr>
                  <w:tcW w:w="3610" w:type="dxa"/>
                  <w:vAlign w:val="center"/>
                </w:tcPr>
                <w:p>
                  <w:pPr>
                    <w:topLinePunct/>
                    <w:adjustRightInd w:val="0"/>
                    <w:snapToGrid w:val="0"/>
                    <w:jc w:val="center"/>
                    <w:rPr>
                      <w:color w:val="auto"/>
                    </w:rPr>
                  </w:pPr>
                  <w:r>
                    <w:rPr>
                      <w:rFonts w:hint="eastAsia"/>
                      <w:color w:val="auto"/>
                    </w:rPr>
                    <w:t>委托有资质单位处置</w:t>
                  </w:r>
                </w:p>
              </w:tc>
            </w:tr>
          </w:tbl>
          <w:p>
            <w:pPr>
              <w:adjustRightInd w:val="0"/>
              <w:snapToGrid w:val="0"/>
              <w:spacing w:line="360" w:lineRule="auto"/>
              <w:ind w:firstLine="480" w:firstLineChars="200"/>
              <w:rPr>
                <w:rFonts w:ascii="宋体" w:hAnsi="宋体"/>
                <w:bCs/>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color w:val="auto"/>
                <w:szCs w:val="24"/>
              </w:rPr>
            </w:pPr>
            <w:r>
              <w:rPr>
                <w:rFonts w:hint="eastAsia" w:cs="宋体"/>
                <w:b/>
                <w:color w:val="auto"/>
                <w:kern w:val="2"/>
                <w:szCs w:val="24"/>
              </w:rPr>
              <w:t>与项目有关的原有环境污染问题</w:t>
            </w:r>
          </w:p>
        </w:tc>
        <w:tc>
          <w:tcPr>
            <w:tcW w:w="9176" w:type="dxa"/>
          </w:tcPr>
          <w:p>
            <w:pPr>
              <w:adjustRightInd w:val="0"/>
              <w:snapToGrid w:val="0"/>
              <w:spacing w:before="240" w:beforeLines="100" w:line="360" w:lineRule="auto"/>
              <w:ind w:firstLine="480" w:firstLineChars="200"/>
              <w:rPr>
                <w:color w:val="auto"/>
                <w:kern w:val="0"/>
                <w:sz w:val="24"/>
              </w:rPr>
            </w:pPr>
            <w:r>
              <w:rPr>
                <w:rFonts w:hint="eastAsia"/>
                <w:color w:val="auto"/>
                <w:kern w:val="0"/>
                <w:sz w:val="24"/>
              </w:rPr>
              <w:t>本</w:t>
            </w:r>
            <w:r>
              <w:rPr>
                <w:color w:val="auto"/>
                <w:kern w:val="0"/>
                <w:sz w:val="24"/>
              </w:rPr>
              <w:t>项目为新建项目，</w:t>
            </w:r>
            <w:r>
              <w:rPr>
                <w:rFonts w:hint="eastAsia"/>
                <w:color w:val="auto"/>
                <w:sz w:val="24"/>
              </w:rPr>
              <w:t>企业租赁固镇正艺装饰材料有限公司已建成厂房作为生产厂房</w:t>
            </w:r>
            <w:r>
              <w:rPr>
                <w:rFonts w:hint="eastAsia"/>
                <w:color w:val="auto"/>
                <w:kern w:val="0"/>
                <w:sz w:val="24"/>
              </w:rPr>
              <w:t>。</w:t>
            </w:r>
            <w:r>
              <w:rPr>
                <w:rFonts w:hint="eastAsia"/>
                <w:color w:val="auto"/>
                <w:sz w:val="24"/>
              </w:rPr>
              <w:t>固镇正艺装饰材料有限公司于2017年9月报批《固镇正艺装饰材料有限公司年产50万平方强化复合地板项目环境影响评价报告表》，并于2017年11月1日获得固镇县环境保护局批复（固环函〔2017〕82号），该厂房作为固镇正艺装饰材料有限公司仓库使用。固镇正艺装饰材料有限公司年产50万平方强化复合地板项目于2018年11月完成了竣工环境保护验收。</w:t>
            </w:r>
            <w:r>
              <w:rPr>
                <w:rFonts w:hint="eastAsia"/>
                <w:color w:val="auto"/>
                <w:kern w:val="0"/>
                <w:sz w:val="24"/>
              </w:rPr>
              <w:t>根据现场踏勘情况，厂房内部已清空，目前为闲置空厂房，</w:t>
            </w:r>
            <w:r>
              <w:rPr>
                <w:rFonts w:hint="eastAsia"/>
                <w:color w:val="auto"/>
                <w:sz w:val="24"/>
              </w:rPr>
              <w:t>不涉及原有的污染源，现场无与项目有关的原有环境污染问题</w:t>
            </w:r>
            <w:r>
              <w:rPr>
                <w:color w:val="auto"/>
                <w:kern w:val="0"/>
                <w:sz w:val="24"/>
              </w:rPr>
              <w:t>。</w:t>
            </w:r>
          </w:p>
          <w:p>
            <w:pPr>
              <w:adjustRightInd w:val="0"/>
              <w:snapToGrid w:val="0"/>
              <w:spacing w:line="360" w:lineRule="auto"/>
              <w:ind w:firstLine="480" w:firstLineChars="200"/>
              <w:rPr>
                <w:rFonts w:ascii="宋体" w:hAnsi="宋体"/>
                <w:bCs/>
                <w:color w:val="auto"/>
                <w:sz w:val="24"/>
              </w:rPr>
            </w:pPr>
          </w:p>
          <w:p>
            <w:pPr>
              <w:adjustRightInd w:val="0"/>
              <w:snapToGrid w:val="0"/>
              <w:spacing w:line="360" w:lineRule="auto"/>
              <w:ind w:firstLine="480" w:firstLineChars="200"/>
              <w:rPr>
                <w:rFonts w:ascii="宋体" w:hAnsi="宋体"/>
                <w:bCs/>
                <w:color w:val="auto"/>
                <w:sz w:val="24"/>
              </w:rPr>
            </w:pPr>
          </w:p>
          <w:p>
            <w:pPr>
              <w:adjustRightInd w:val="0"/>
              <w:snapToGrid w:val="0"/>
              <w:spacing w:line="360" w:lineRule="auto"/>
              <w:rPr>
                <w:rFonts w:ascii="宋体" w:hAnsi="宋体"/>
                <w:bCs/>
                <w:color w:val="auto"/>
                <w:sz w:val="24"/>
              </w:rPr>
            </w:pPr>
          </w:p>
        </w:tc>
      </w:tr>
    </w:tbl>
    <w:p>
      <w:pPr>
        <w:pStyle w:val="25"/>
        <w:spacing w:before="0" w:beforeAutospacing="0" w:after="0" w:afterAutospacing="0"/>
        <w:jc w:val="both"/>
        <w:rPr>
          <w:rFonts w:ascii="黑体" w:hAnsi="黑体" w:eastAsia="黑体"/>
          <w:snapToGrid w:val="0"/>
          <w:color w:val="auto"/>
          <w:szCs w:val="24"/>
        </w:rPr>
        <w:sectPr>
          <w:headerReference r:id="rId6" w:type="default"/>
          <w:footerReference r:id="rId7" w:type="default"/>
          <w:pgSz w:w="11906" w:h="16838"/>
          <w:pgMar w:top="1304" w:right="1191" w:bottom="1304" w:left="1191" w:header="907" w:footer="907" w:gutter="0"/>
          <w:pgNumType w:start="1"/>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82" w:type="dxa"/>
            <w:vAlign w:val="center"/>
          </w:tcPr>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区域</w:t>
            </w:r>
          </w:p>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环境</w:t>
            </w:r>
          </w:p>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质量</w:t>
            </w:r>
          </w:p>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现状</w:t>
            </w:r>
          </w:p>
        </w:tc>
        <w:tc>
          <w:tcPr>
            <w:tcW w:w="9159" w:type="dxa"/>
            <w:vAlign w:val="center"/>
          </w:tcPr>
          <w:p>
            <w:pPr>
              <w:adjustRightInd w:val="0"/>
              <w:snapToGrid w:val="0"/>
              <w:spacing w:before="120" w:beforeLines="50" w:line="372" w:lineRule="auto"/>
              <w:ind w:firstLine="482" w:firstLineChars="200"/>
              <w:rPr>
                <w:b/>
                <w:bCs/>
                <w:color w:val="auto"/>
                <w:sz w:val="24"/>
              </w:rPr>
            </w:pPr>
            <w:r>
              <w:rPr>
                <w:b/>
                <w:bCs/>
                <w:color w:val="auto"/>
                <w:sz w:val="24"/>
              </w:rPr>
              <w:t>1、环境空气质量现状</w:t>
            </w:r>
          </w:p>
          <w:p>
            <w:pPr>
              <w:adjustRightInd w:val="0"/>
              <w:snapToGrid w:val="0"/>
              <w:spacing w:line="372" w:lineRule="auto"/>
              <w:ind w:firstLine="480" w:firstLineChars="200"/>
              <w:rPr>
                <w:color w:val="auto"/>
                <w:sz w:val="24"/>
              </w:rPr>
            </w:pPr>
            <w:r>
              <w:rPr>
                <w:rFonts w:hint="eastAsia"/>
                <w:color w:val="auto"/>
                <w:sz w:val="24"/>
              </w:rPr>
              <w:t>（</w:t>
            </w:r>
            <w:r>
              <w:rPr>
                <w:color w:val="auto"/>
                <w:sz w:val="24"/>
              </w:rPr>
              <w:t>1）项目区域达标判断</w:t>
            </w:r>
          </w:p>
          <w:p>
            <w:pPr>
              <w:adjustRightInd w:val="0"/>
              <w:snapToGrid w:val="0"/>
              <w:spacing w:line="372" w:lineRule="auto"/>
              <w:ind w:firstLine="480" w:firstLineChars="200"/>
              <w:rPr>
                <w:color w:val="auto"/>
                <w:kern w:val="0"/>
                <w:sz w:val="24"/>
                <w:lang w:bidi="ar"/>
              </w:rPr>
            </w:pPr>
            <w:r>
              <w:rPr>
                <w:rFonts w:hint="eastAsia"/>
                <w:color w:val="auto"/>
                <w:kern w:val="0"/>
                <w:sz w:val="24"/>
                <w:lang w:bidi="ar"/>
              </w:rPr>
              <w:t>根据《建设项目环境影响报告表编制技术指南（污染影响类）》（试行），基本污染物数据采用生态环境主管部门公开发布的环境空气质量现状数据。本次评价基本污染物环境质量现状数据引用蚌埠市生态环境局</w:t>
            </w:r>
            <w:r>
              <w:rPr>
                <w:color w:val="auto"/>
                <w:kern w:val="0"/>
                <w:sz w:val="24"/>
                <w:lang w:bidi="ar"/>
              </w:rPr>
              <w:t>公布的</w:t>
            </w:r>
            <w:r>
              <w:rPr>
                <w:rFonts w:hint="eastAsia"/>
                <w:color w:val="auto"/>
                <w:kern w:val="0"/>
                <w:sz w:val="24"/>
                <w:lang w:bidi="ar"/>
              </w:rPr>
              <w:t>《2024年蚌埠市生态环境质量状况公报》，具体结果见下表。</w:t>
            </w:r>
          </w:p>
          <w:p>
            <w:pPr>
              <w:adjustRightInd w:val="0"/>
              <w:snapToGrid w:val="0"/>
              <w:jc w:val="center"/>
              <w:rPr>
                <w:b/>
                <w:color w:val="auto"/>
                <w:sz w:val="24"/>
              </w:rPr>
            </w:pPr>
            <w:r>
              <w:rPr>
                <w:b/>
                <w:color w:val="auto"/>
                <w:sz w:val="24"/>
              </w:rPr>
              <w:t xml:space="preserve">表3-1 </w:t>
            </w:r>
            <w:r>
              <w:rPr>
                <w:rFonts w:hint="eastAsia"/>
                <w:b/>
                <w:color w:val="auto"/>
                <w:sz w:val="24"/>
              </w:rPr>
              <w:t xml:space="preserve"> </w:t>
            </w:r>
            <w:r>
              <w:rPr>
                <w:b/>
                <w:color w:val="auto"/>
                <w:sz w:val="24"/>
              </w:rPr>
              <w:t>蚌埠市</w:t>
            </w:r>
            <w:r>
              <w:rPr>
                <w:rFonts w:hint="eastAsia"/>
                <w:b/>
                <w:color w:val="auto"/>
                <w:sz w:val="24"/>
              </w:rPr>
              <w:t>2024年</w:t>
            </w:r>
            <w:r>
              <w:rPr>
                <w:b/>
                <w:color w:val="auto"/>
                <w:sz w:val="24"/>
              </w:rPr>
              <w:t>环境空气质量状况</w:t>
            </w:r>
            <w:r>
              <w:rPr>
                <w:rFonts w:hint="eastAsia"/>
                <w:b/>
                <w:color w:val="auto"/>
                <w:sz w:val="24"/>
              </w:rPr>
              <w:t>表</w:t>
            </w:r>
            <w:r>
              <w:rPr>
                <w:b/>
                <w:color w:val="auto"/>
                <w:sz w:val="24"/>
              </w:rPr>
              <w:t>（单位：μg/m³）</w:t>
            </w:r>
          </w:p>
          <w:tbl>
            <w:tblPr>
              <w:tblStyle w:val="28"/>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4"/>
              <w:gridCol w:w="3061"/>
              <w:gridCol w:w="964"/>
              <w:gridCol w:w="1020"/>
              <w:gridCol w:w="1247"/>
              <w:gridCol w:w="964"/>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b/>
                      <w:bCs/>
                      <w:color w:val="auto"/>
                      <w:szCs w:val="21"/>
                    </w:rPr>
                  </w:pPr>
                  <w:r>
                    <w:rPr>
                      <w:b/>
                      <w:bCs/>
                      <w:color w:val="auto"/>
                      <w:szCs w:val="21"/>
                    </w:rPr>
                    <w:t>污染物</w:t>
                  </w:r>
                </w:p>
              </w:tc>
              <w:tc>
                <w:tcPr>
                  <w:tcW w:w="3061" w:type="dxa"/>
                  <w:vAlign w:val="center"/>
                </w:tcPr>
                <w:p>
                  <w:pPr>
                    <w:topLinePunct/>
                    <w:autoSpaceDE w:val="0"/>
                    <w:jc w:val="center"/>
                    <w:rPr>
                      <w:b/>
                      <w:bCs/>
                      <w:color w:val="auto"/>
                      <w:szCs w:val="21"/>
                    </w:rPr>
                  </w:pPr>
                  <w:r>
                    <w:rPr>
                      <w:b/>
                      <w:bCs/>
                      <w:color w:val="auto"/>
                      <w:szCs w:val="21"/>
                    </w:rPr>
                    <w:t>评价指标</w:t>
                  </w:r>
                </w:p>
              </w:tc>
              <w:tc>
                <w:tcPr>
                  <w:tcW w:w="964" w:type="dxa"/>
                  <w:vAlign w:val="center"/>
                </w:tcPr>
                <w:p>
                  <w:pPr>
                    <w:topLinePunct/>
                    <w:autoSpaceDE w:val="0"/>
                    <w:jc w:val="center"/>
                    <w:rPr>
                      <w:b/>
                      <w:bCs/>
                      <w:color w:val="auto"/>
                      <w:szCs w:val="21"/>
                    </w:rPr>
                  </w:pPr>
                  <w:r>
                    <w:rPr>
                      <w:b/>
                      <w:bCs/>
                      <w:color w:val="auto"/>
                      <w:szCs w:val="21"/>
                    </w:rPr>
                    <w:t>标准值</w:t>
                  </w:r>
                </w:p>
                <w:p>
                  <w:pPr>
                    <w:topLinePunct/>
                    <w:autoSpaceDE w:val="0"/>
                    <w:jc w:val="center"/>
                    <w:rPr>
                      <w:b/>
                      <w:bCs/>
                      <w:color w:val="auto"/>
                      <w:szCs w:val="21"/>
                    </w:rPr>
                  </w:pPr>
                  <w:r>
                    <w:rPr>
                      <w:b/>
                      <w:bCs/>
                      <w:color w:val="auto"/>
                      <w:szCs w:val="21"/>
                    </w:rPr>
                    <w:t>（μg/m³）</w:t>
                  </w:r>
                </w:p>
              </w:tc>
              <w:tc>
                <w:tcPr>
                  <w:tcW w:w="1020" w:type="dxa"/>
                  <w:vAlign w:val="center"/>
                </w:tcPr>
                <w:p>
                  <w:pPr>
                    <w:topLinePunct/>
                    <w:autoSpaceDE w:val="0"/>
                    <w:jc w:val="center"/>
                    <w:rPr>
                      <w:b/>
                      <w:bCs/>
                      <w:color w:val="auto"/>
                      <w:szCs w:val="21"/>
                    </w:rPr>
                  </w:pPr>
                  <w:r>
                    <w:rPr>
                      <w:b/>
                      <w:bCs/>
                      <w:color w:val="auto"/>
                      <w:szCs w:val="21"/>
                    </w:rPr>
                    <w:t>现状浓度</w:t>
                  </w:r>
                </w:p>
                <w:p>
                  <w:pPr>
                    <w:topLinePunct/>
                    <w:autoSpaceDE w:val="0"/>
                    <w:jc w:val="center"/>
                    <w:rPr>
                      <w:b/>
                      <w:bCs/>
                      <w:color w:val="auto"/>
                      <w:szCs w:val="21"/>
                    </w:rPr>
                  </w:pPr>
                  <w:r>
                    <w:rPr>
                      <w:b/>
                      <w:bCs/>
                      <w:color w:val="auto"/>
                      <w:szCs w:val="21"/>
                    </w:rPr>
                    <w:t>（μg/m³）</w:t>
                  </w:r>
                </w:p>
              </w:tc>
              <w:tc>
                <w:tcPr>
                  <w:tcW w:w="1247" w:type="dxa"/>
                  <w:vAlign w:val="center"/>
                </w:tcPr>
                <w:p>
                  <w:pPr>
                    <w:topLinePunct/>
                    <w:autoSpaceDE w:val="0"/>
                    <w:jc w:val="center"/>
                    <w:rPr>
                      <w:b/>
                      <w:bCs/>
                      <w:color w:val="auto"/>
                      <w:szCs w:val="21"/>
                    </w:rPr>
                  </w:pPr>
                  <w:r>
                    <w:rPr>
                      <w:b/>
                      <w:bCs/>
                      <w:color w:val="auto"/>
                      <w:szCs w:val="21"/>
                    </w:rPr>
                    <w:t>最大浓度占标率（%）</w:t>
                  </w:r>
                </w:p>
              </w:tc>
              <w:tc>
                <w:tcPr>
                  <w:tcW w:w="964" w:type="dxa"/>
                  <w:vAlign w:val="center"/>
                </w:tcPr>
                <w:p>
                  <w:pPr>
                    <w:topLinePunct/>
                    <w:autoSpaceDE w:val="0"/>
                    <w:jc w:val="center"/>
                    <w:rPr>
                      <w:b/>
                      <w:bCs/>
                      <w:color w:val="auto"/>
                      <w:szCs w:val="21"/>
                    </w:rPr>
                  </w:pPr>
                  <w:r>
                    <w:rPr>
                      <w:b/>
                      <w:bCs/>
                      <w:color w:val="auto"/>
                      <w:szCs w:val="21"/>
                    </w:rPr>
                    <w:t>超标频率（%）</w:t>
                  </w:r>
                </w:p>
              </w:tc>
              <w:tc>
                <w:tcPr>
                  <w:tcW w:w="737" w:type="dxa"/>
                  <w:vAlign w:val="center"/>
                </w:tcPr>
                <w:p>
                  <w:pPr>
                    <w:topLinePunct/>
                    <w:autoSpaceDE w:val="0"/>
                    <w:jc w:val="center"/>
                    <w:rPr>
                      <w:b/>
                      <w:bCs/>
                      <w:color w:val="auto"/>
                      <w:szCs w:val="21"/>
                    </w:rPr>
                  </w:pPr>
                  <w:r>
                    <w:rPr>
                      <w:b/>
                      <w:bCs/>
                      <w:color w:val="auto"/>
                      <w:szCs w:val="21"/>
                    </w:rPr>
                    <w:t>达标</w:t>
                  </w:r>
                </w:p>
                <w:p>
                  <w:pPr>
                    <w:topLinePunct/>
                    <w:autoSpaceDE w:val="0"/>
                    <w:jc w:val="center"/>
                    <w:rPr>
                      <w:b/>
                      <w:bCs/>
                      <w:color w:val="auto"/>
                      <w:szCs w:val="21"/>
                    </w:rPr>
                  </w:pPr>
                  <w:r>
                    <w:rPr>
                      <w:b/>
                      <w:bCs/>
                      <w:color w:val="auto"/>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SO₂</w:t>
                  </w:r>
                </w:p>
              </w:tc>
              <w:tc>
                <w:tcPr>
                  <w:tcW w:w="3061" w:type="dxa"/>
                  <w:vAlign w:val="center"/>
                </w:tcPr>
                <w:p>
                  <w:pPr>
                    <w:topLinePunct/>
                    <w:autoSpaceDE w:val="0"/>
                    <w:jc w:val="center"/>
                    <w:rPr>
                      <w:color w:val="auto"/>
                      <w:szCs w:val="21"/>
                    </w:rPr>
                  </w:pPr>
                  <w:r>
                    <w:rPr>
                      <w:color w:val="auto"/>
                      <w:szCs w:val="21"/>
                    </w:rPr>
                    <w:t>年平均浓度</w:t>
                  </w:r>
                </w:p>
              </w:tc>
              <w:tc>
                <w:tcPr>
                  <w:tcW w:w="964" w:type="dxa"/>
                  <w:vAlign w:val="center"/>
                </w:tcPr>
                <w:p>
                  <w:pPr>
                    <w:pStyle w:val="78"/>
                    <w:spacing w:line="240" w:lineRule="auto"/>
                    <w:rPr>
                      <w:b w:val="0"/>
                      <w:bCs/>
                      <w:color w:val="auto"/>
                      <w:szCs w:val="21"/>
                    </w:rPr>
                  </w:pPr>
                  <w:r>
                    <w:rPr>
                      <w:b w:val="0"/>
                      <w:bCs/>
                      <w:color w:val="auto"/>
                      <w:szCs w:val="21"/>
                    </w:rPr>
                    <w:t>60</w:t>
                  </w:r>
                </w:p>
              </w:tc>
              <w:tc>
                <w:tcPr>
                  <w:tcW w:w="1020" w:type="dxa"/>
                  <w:vAlign w:val="center"/>
                </w:tcPr>
                <w:p>
                  <w:pPr>
                    <w:pStyle w:val="78"/>
                    <w:spacing w:line="240" w:lineRule="auto"/>
                    <w:rPr>
                      <w:b w:val="0"/>
                      <w:bCs/>
                      <w:color w:val="auto"/>
                      <w:szCs w:val="21"/>
                    </w:rPr>
                  </w:pPr>
                  <w:r>
                    <w:rPr>
                      <w:b w:val="0"/>
                      <w:bCs/>
                      <w:color w:val="auto"/>
                      <w:szCs w:val="21"/>
                    </w:rPr>
                    <w:t>7</w:t>
                  </w:r>
                </w:p>
              </w:tc>
              <w:tc>
                <w:tcPr>
                  <w:tcW w:w="1247" w:type="dxa"/>
                  <w:vAlign w:val="center"/>
                </w:tcPr>
                <w:p>
                  <w:pPr>
                    <w:pStyle w:val="78"/>
                    <w:spacing w:line="240" w:lineRule="auto"/>
                    <w:rPr>
                      <w:b w:val="0"/>
                      <w:bCs/>
                      <w:color w:val="auto"/>
                    </w:rPr>
                  </w:pPr>
                  <w:r>
                    <w:rPr>
                      <w:b w:val="0"/>
                      <w:bCs/>
                      <w:color w:val="auto"/>
                    </w:rPr>
                    <w:t>11.7</w:t>
                  </w:r>
                </w:p>
              </w:tc>
              <w:tc>
                <w:tcPr>
                  <w:tcW w:w="964" w:type="dxa"/>
                  <w:vAlign w:val="center"/>
                </w:tcPr>
                <w:p>
                  <w:pPr>
                    <w:pStyle w:val="78"/>
                    <w:spacing w:line="240" w:lineRule="auto"/>
                    <w:rPr>
                      <w:b w:val="0"/>
                      <w:bCs/>
                      <w:color w:val="auto"/>
                      <w:szCs w:val="21"/>
                    </w:rPr>
                  </w:pPr>
                  <w:r>
                    <w:rPr>
                      <w:b w:val="0"/>
                      <w:bCs/>
                      <w:color w:val="auto"/>
                      <w:szCs w:val="21"/>
                    </w:rPr>
                    <w:t>/</w:t>
                  </w:r>
                </w:p>
              </w:tc>
              <w:tc>
                <w:tcPr>
                  <w:tcW w:w="737" w:type="dxa"/>
                  <w:vAlign w:val="center"/>
                </w:tcPr>
                <w:p>
                  <w:pPr>
                    <w:pStyle w:val="78"/>
                    <w:spacing w:line="240" w:lineRule="auto"/>
                    <w:rPr>
                      <w:b w:val="0"/>
                      <w:bCs/>
                      <w:color w:val="auto"/>
                      <w:szCs w:val="21"/>
                    </w:rPr>
                  </w:pPr>
                  <w:r>
                    <w:rPr>
                      <w:b w:val="0"/>
                      <w:bCs/>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NO₂</w:t>
                  </w:r>
                </w:p>
              </w:tc>
              <w:tc>
                <w:tcPr>
                  <w:tcW w:w="3061" w:type="dxa"/>
                  <w:vAlign w:val="center"/>
                </w:tcPr>
                <w:p>
                  <w:pPr>
                    <w:topLinePunct/>
                    <w:autoSpaceDE w:val="0"/>
                    <w:jc w:val="center"/>
                    <w:rPr>
                      <w:color w:val="auto"/>
                      <w:szCs w:val="21"/>
                    </w:rPr>
                  </w:pPr>
                  <w:r>
                    <w:rPr>
                      <w:color w:val="auto"/>
                      <w:szCs w:val="21"/>
                    </w:rPr>
                    <w:t>年平均浓度</w:t>
                  </w:r>
                </w:p>
              </w:tc>
              <w:tc>
                <w:tcPr>
                  <w:tcW w:w="964" w:type="dxa"/>
                  <w:vAlign w:val="center"/>
                </w:tcPr>
                <w:p>
                  <w:pPr>
                    <w:pStyle w:val="78"/>
                    <w:spacing w:line="240" w:lineRule="auto"/>
                    <w:rPr>
                      <w:b w:val="0"/>
                      <w:bCs/>
                      <w:color w:val="auto"/>
                      <w:szCs w:val="21"/>
                    </w:rPr>
                  </w:pPr>
                  <w:r>
                    <w:rPr>
                      <w:b w:val="0"/>
                      <w:bCs/>
                      <w:color w:val="auto"/>
                      <w:szCs w:val="21"/>
                    </w:rPr>
                    <w:t>40</w:t>
                  </w:r>
                </w:p>
              </w:tc>
              <w:tc>
                <w:tcPr>
                  <w:tcW w:w="1020" w:type="dxa"/>
                  <w:vAlign w:val="center"/>
                </w:tcPr>
                <w:p>
                  <w:pPr>
                    <w:pStyle w:val="78"/>
                    <w:spacing w:line="240" w:lineRule="auto"/>
                    <w:rPr>
                      <w:b w:val="0"/>
                      <w:bCs/>
                      <w:color w:val="auto"/>
                      <w:szCs w:val="21"/>
                    </w:rPr>
                  </w:pPr>
                  <w:r>
                    <w:rPr>
                      <w:b w:val="0"/>
                      <w:bCs/>
                      <w:color w:val="auto"/>
                      <w:szCs w:val="21"/>
                    </w:rPr>
                    <w:t>21</w:t>
                  </w:r>
                </w:p>
              </w:tc>
              <w:tc>
                <w:tcPr>
                  <w:tcW w:w="1247" w:type="dxa"/>
                  <w:vAlign w:val="center"/>
                </w:tcPr>
                <w:p>
                  <w:pPr>
                    <w:pStyle w:val="78"/>
                    <w:spacing w:line="240" w:lineRule="auto"/>
                    <w:rPr>
                      <w:b w:val="0"/>
                      <w:bCs/>
                      <w:color w:val="auto"/>
                    </w:rPr>
                  </w:pPr>
                  <w:r>
                    <w:rPr>
                      <w:b w:val="0"/>
                      <w:bCs/>
                      <w:color w:val="auto"/>
                    </w:rPr>
                    <w:t>52.5</w:t>
                  </w:r>
                </w:p>
              </w:tc>
              <w:tc>
                <w:tcPr>
                  <w:tcW w:w="964" w:type="dxa"/>
                  <w:vAlign w:val="center"/>
                </w:tcPr>
                <w:p>
                  <w:pPr>
                    <w:pStyle w:val="78"/>
                    <w:spacing w:line="240" w:lineRule="auto"/>
                    <w:rPr>
                      <w:b w:val="0"/>
                      <w:bCs/>
                      <w:color w:val="auto"/>
                      <w:szCs w:val="21"/>
                    </w:rPr>
                  </w:pPr>
                  <w:r>
                    <w:rPr>
                      <w:b w:val="0"/>
                      <w:bCs/>
                      <w:color w:val="auto"/>
                      <w:szCs w:val="21"/>
                    </w:rPr>
                    <w:t>/</w:t>
                  </w:r>
                </w:p>
              </w:tc>
              <w:tc>
                <w:tcPr>
                  <w:tcW w:w="737" w:type="dxa"/>
                  <w:vAlign w:val="center"/>
                </w:tcPr>
                <w:p>
                  <w:pPr>
                    <w:pStyle w:val="78"/>
                    <w:spacing w:line="240" w:lineRule="auto"/>
                    <w:rPr>
                      <w:b w:val="0"/>
                      <w:bCs/>
                      <w:color w:val="auto"/>
                      <w:szCs w:val="21"/>
                    </w:rPr>
                  </w:pPr>
                  <w:r>
                    <w:rPr>
                      <w:b w:val="0"/>
                      <w:bCs/>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PM</w:t>
                  </w:r>
                  <w:r>
                    <w:rPr>
                      <w:color w:val="auto"/>
                      <w:szCs w:val="21"/>
                      <w:vertAlign w:val="subscript"/>
                    </w:rPr>
                    <w:t>10</w:t>
                  </w:r>
                </w:p>
              </w:tc>
              <w:tc>
                <w:tcPr>
                  <w:tcW w:w="3061" w:type="dxa"/>
                  <w:vAlign w:val="center"/>
                </w:tcPr>
                <w:p>
                  <w:pPr>
                    <w:topLinePunct/>
                    <w:autoSpaceDE w:val="0"/>
                    <w:jc w:val="center"/>
                    <w:rPr>
                      <w:color w:val="auto"/>
                      <w:szCs w:val="21"/>
                    </w:rPr>
                  </w:pPr>
                  <w:r>
                    <w:rPr>
                      <w:color w:val="auto"/>
                      <w:szCs w:val="21"/>
                    </w:rPr>
                    <w:t>年平均浓度</w:t>
                  </w:r>
                </w:p>
              </w:tc>
              <w:tc>
                <w:tcPr>
                  <w:tcW w:w="964" w:type="dxa"/>
                  <w:vAlign w:val="center"/>
                </w:tcPr>
                <w:p>
                  <w:pPr>
                    <w:pStyle w:val="78"/>
                    <w:spacing w:line="240" w:lineRule="auto"/>
                    <w:rPr>
                      <w:b w:val="0"/>
                      <w:bCs/>
                      <w:color w:val="auto"/>
                      <w:szCs w:val="21"/>
                    </w:rPr>
                  </w:pPr>
                  <w:r>
                    <w:rPr>
                      <w:b w:val="0"/>
                      <w:bCs/>
                      <w:color w:val="auto"/>
                      <w:szCs w:val="21"/>
                    </w:rPr>
                    <w:t>70</w:t>
                  </w:r>
                </w:p>
              </w:tc>
              <w:tc>
                <w:tcPr>
                  <w:tcW w:w="1020" w:type="dxa"/>
                  <w:vAlign w:val="center"/>
                </w:tcPr>
                <w:p>
                  <w:pPr>
                    <w:pStyle w:val="78"/>
                    <w:spacing w:line="240" w:lineRule="auto"/>
                    <w:rPr>
                      <w:b w:val="0"/>
                      <w:bCs/>
                      <w:color w:val="auto"/>
                      <w:szCs w:val="21"/>
                    </w:rPr>
                  </w:pPr>
                  <w:r>
                    <w:rPr>
                      <w:b w:val="0"/>
                      <w:bCs/>
                      <w:color w:val="auto"/>
                      <w:szCs w:val="21"/>
                    </w:rPr>
                    <w:t>62</w:t>
                  </w:r>
                </w:p>
              </w:tc>
              <w:tc>
                <w:tcPr>
                  <w:tcW w:w="1247" w:type="dxa"/>
                  <w:vAlign w:val="center"/>
                </w:tcPr>
                <w:p>
                  <w:pPr>
                    <w:pStyle w:val="78"/>
                    <w:spacing w:line="240" w:lineRule="auto"/>
                    <w:rPr>
                      <w:b w:val="0"/>
                      <w:bCs/>
                      <w:color w:val="auto"/>
                    </w:rPr>
                  </w:pPr>
                  <w:r>
                    <w:rPr>
                      <w:b w:val="0"/>
                      <w:bCs/>
                      <w:color w:val="auto"/>
                    </w:rPr>
                    <w:t>88.6</w:t>
                  </w:r>
                </w:p>
              </w:tc>
              <w:tc>
                <w:tcPr>
                  <w:tcW w:w="964" w:type="dxa"/>
                  <w:vAlign w:val="center"/>
                </w:tcPr>
                <w:p>
                  <w:pPr>
                    <w:pStyle w:val="78"/>
                    <w:spacing w:line="240" w:lineRule="auto"/>
                    <w:rPr>
                      <w:b w:val="0"/>
                      <w:bCs/>
                      <w:color w:val="auto"/>
                      <w:szCs w:val="21"/>
                    </w:rPr>
                  </w:pPr>
                  <w:r>
                    <w:rPr>
                      <w:b w:val="0"/>
                      <w:bCs/>
                      <w:color w:val="auto"/>
                      <w:szCs w:val="21"/>
                    </w:rPr>
                    <w:t>/</w:t>
                  </w:r>
                </w:p>
              </w:tc>
              <w:tc>
                <w:tcPr>
                  <w:tcW w:w="737" w:type="dxa"/>
                  <w:vAlign w:val="center"/>
                </w:tcPr>
                <w:p>
                  <w:pPr>
                    <w:pStyle w:val="78"/>
                    <w:spacing w:line="240" w:lineRule="auto"/>
                    <w:rPr>
                      <w:b w:val="0"/>
                      <w:bCs/>
                      <w:color w:val="auto"/>
                      <w:szCs w:val="21"/>
                    </w:rPr>
                  </w:pPr>
                  <w:r>
                    <w:rPr>
                      <w:b w:val="0"/>
                      <w:bCs/>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PM</w:t>
                  </w:r>
                  <w:r>
                    <w:rPr>
                      <w:color w:val="auto"/>
                      <w:szCs w:val="21"/>
                      <w:vertAlign w:val="subscript"/>
                    </w:rPr>
                    <w:t>2.5</w:t>
                  </w:r>
                </w:p>
              </w:tc>
              <w:tc>
                <w:tcPr>
                  <w:tcW w:w="3061" w:type="dxa"/>
                  <w:vAlign w:val="center"/>
                </w:tcPr>
                <w:p>
                  <w:pPr>
                    <w:topLinePunct/>
                    <w:autoSpaceDE w:val="0"/>
                    <w:jc w:val="center"/>
                    <w:rPr>
                      <w:color w:val="auto"/>
                      <w:szCs w:val="21"/>
                    </w:rPr>
                  </w:pPr>
                  <w:r>
                    <w:rPr>
                      <w:color w:val="auto"/>
                      <w:szCs w:val="21"/>
                    </w:rPr>
                    <w:t>年平均浓度</w:t>
                  </w:r>
                </w:p>
              </w:tc>
              <w:tc>
                <w:tcPr>
                  <w:tcW w:w="964" w:type="dxa"/>
                  <w:vAlign w:val="center"/>
                </w:tcPr>
                <w:p>
                  <w:pPr>
                    <w:pStyle w:val="78"/>
                    <w:spacing w:line="240" w:lineRule="auto"/>
                    <w:rPr>
                      <w:b w:val="0"/>
                      <w:bCs/>
                      <w:color w:val="auto"/>
                      <w:szCs w:val="21"/>
                    </w:rPr>
                  </w:pPr>
                  <w:r>
                    <w:rPr>
                      <w:b w:val="0"/>
                      <w:bCs/>
                      <w:color w:val="auto"/>
                      <w:szCs w:val="21"/>
                    </w:rPr>
                    <w:t>35</w:t>
                  </w:r>
                </w:p>
              </w:tc>
              <w:tc>
                <w:tcPr>
                  <w:tcW w:w="1020" w:type="dxa"/>
                  <w:vAlign w:val="center"/>
                </w:tcPr>
                <w:p>
                  <w:pPr>
                    <w:pStyle w:val="78"/>
                    <w:spacing w:line="240" w:lineRule="auto"/>
                    <w:rPr>
                      <w:b w:val="0"/>
                      <w:bCs/>
                      <w:color w:val="auto"/>
                      <w:szCs w:val="21"/>
                    </w:rPr>
                  </w:pPr>
                  <w:r>
                    <w:rPr>
                      <w:b w:val="0"/>
                      <w:bCs/>
                      <w:color w:val="auto"/>
                      <w:szCs w:val="21"/>
                    </w:rPr>
                    <w:t>39</w:t>
                  </w:r>
                </w:p>
              </w:tc>
              <w:tc>
                <w:tcPr>
                  <w:tcW w:w="1247" w:type="dxa"/>
                  <w:vAlign w:val="center"/>
                </w:tcPr>
                <w:p>
                  <w:pPr>
                    <w:pStyle w:val="78"/>
                    <w:spacing w:line="240" w:lineRule="auto"/>
                    <w:rPr>
                      <w:b w:val="0"/>
                      <w:bCs/>
                      <w:color w:val="auto"/>
                    </w:rPr>
                  </w:pPr>
                  <w:r>
                    <w:rPr>
                      <w:b w:val="0"/>
                      <w:bCs/>
                      <w:color w:val="auto"/>
                    </w:rPr>
                    <w:t>111.4</w:t>
                  </w:r>
                </w:p>
              </w:tc>
              <w:tc>
                <w:tcPr>
                  <w:tcW w:w="964" w:type="dxa"/>
                  <w:vAlign w:val="center"/>
                </w:tcPr>
                <w:p>
                  <w:pPr>
                    <w:pStyle w:val="78"/>
                    <w:spacing w:line="240" w:lineRule="auto"/>
                    <w:rPr>
                      <w:b w:val="0"/>
                      <w:bCs/>
                      <w:color w:val="auto"/>
                      <w:szCs w:val="21"/>
                    </w:rPr>
                  </w:pPr>
                  <w:r>
                    <w:rPr>
                      <w:b w:val="0"/>
                      <w:bCs/>
                      <w:color w:val="auto"/>
                      <w:szCs w:val="21"/>
                    </w:rPr>
                    <w:t>11.4</w:t>
                  </w:r>
                </w:p>
              </w:tc>
              <w:tc>
                <w:tcPr>
                  <w:tcW w:w="737" w:type="dxa"/>
                  <w:vAlign w:val="center"/>
                </w:tcPr>
                <w:p>
                  <w:pPr>
                    <w:pStyle w:val="78"/>
                    <w:spacing w:line="240" w:lineRule="auto"/>
                    <w:rPr>
                      <w:b w:val="0"/>
                      <w:bCs/>
                      <w:color w:val="auto"/>
                      <w:szCs w:val="21"/>
                    </w:rPr>
                  </w:pPr>
                  <w:r>
                    <w:rPr>
                      <w:b w:val="0"/>
                      <w:bCs/>
                      <w:color w:val="auto"/>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CO</w:t>
                  </w:r>
                </w:p>
              </w:tc>
              <w:tc>
                <w:tcPr>
                  <w:tcW w:w="3061" w:type="dxa"/>
                  <w:vAlign w:val="center"/>
                </w:tcPr>
                <w:p>
                  <w:pPr>
                    <w:topLinePunct/>
                    <w:autoSpaceDE w:val="0"/>
                    <w:jc w:val="center"/>
                    <w:rPr>
                      <w:color w:val="auto"/>
                      <w:szCs w:val="21"/>
                    </w:rPr>
                  </w:pPr>
                  <w:r>
                    <w:rPr>
                      <w:rFonts w:hint="eastAsia"/>
                      <w:color w:val="auto"/>
                      <w:szCs w:val="21"/>
                    </w:rPr>
                    <w:t>24小时平均</w:t>
                  </w:r>
                  <w:r>
                    <w:rPr>
                      <w:color w:val="auto"/>
                      <w:szCs w:val="21"/>
                    </w:rPr>
                    <w:t>第95百分位数</w:t>
                  </w:r>
                </w:p>
              </w:tc>
              <w:tc>
                <w:tcPr>
                  <w:tcW w:w="964" w:type="dxa"/>
                  <w:vAlign w:val="center"/>
                </w:tcPr>
                <w:p>
                  <w:pPr>
                    <w:pStyle w:val="78"/>
                    <w:spacing w:line="240" w:lineRule="auto"/>
                    <w:rPr>
                      <w:b w:val="0"/>
                      <w:bCs/>
                      <w:color w:val="auto"/>
                      <w:szCs w:val="21"/>
                    </w:rPr>
                  </w:pPr>
                  <w:r>
                    <w:rPr>
                      <w:b w:val="0"/>
                      <w:bCs/>
                      <w:color w:val="auto"/>
                      <w:szCs w:val="21"/>
                    </w:rPr>
                    <w:t>4000</w:t>
                  </w:r>
                </w:p>
              </w:tc>
              <w:tc>
                <w:tcPr>
                  <w:tcW w:w="1020" w:type="dxa"/>
                  <w:vAlign w:val="center"/>
                </w:tcPr>
                <w:p>
                  <w:pPr>
                    <w:pStyle w:val="78"/>
                    <w:spacing w:line="240" w:lineRule="auto"/>
                    <w:rPr>
                      <w:b w:val="0"/>
                      <w:bCs/>
                      <w:color w:val="auto"/>
                      <w:szCs w:val="21"/>
                    </w:rPr>
                  </w:pPr>
                  <w:r>
                    <w:rPr>
                      <w:b w:val="0"/>
                      <w:bCs/>
                      <w:color w:val="auto"/>
                      <w:szCs w:val="21"/>
                    </w:rPr>
                    <w:t>800</w:t>
                  </w:r>
                </w:p>
              </w:tc>
              <w:tc>
                <w:tcPr>
                  <w:tcW w:w="1247" w:type="dxa"/>
                  <w:vAlign w:val="center"/>
                </w:tcPr>
                <w:p>
                  <w:pPr>
                    <w:pStyle w:val="78"/>
                    <w:spacing w:line="240" w:lineRule="auto"/>
                    <w:rPr>
                      <w:b w:val="0"/>
                      <w:bCs/>
                      <w:color w:val="auto"/>
                    </w:rPr>
                  </w:pPr>
                  <w:r>
                    <w:rPr>
                      <w:b w:val="0"/>
                      <w:bCs/>
                      <w:color w:val="auto"/>
                    </w:rPr>
                    <w:t>20.0</w:t>
                  </w:r>
                </w:p>
              </w:tc>
              <w:tc>
                <w:tcPr>
                  <w:tcW w:w="964" w:type="dxa"/>
                  <w:vAlign w:val="center"/>
                </w:tcPr>
                <w:p>
                  <w:pPr>
                    <w:pStyle w:val="78"/>
                    <w:spacing w:line="240" w:lineRule="auto"/>
                    <w:rPr>
                      <w:b w:val="0"/>
                      <w:bCs/>
                      <w:color w:val="auto"/>
                      <w:szCs w:val="21"/>
                    </w:rPr>
                  </w:pPr>
                  <w:r>
                    <w:rPr>
                      <w:b w:val="0"/>
                      <w:bCs/>
                      <w:color w:val="auto"/>
                      <w:szCs w:val="21"/>
                    </w:rPr>
                    <w:t>/</w:t>
                  </w:r>
                </w:p>
              </w:tc>
              <w:tc>
                <w:tcPr>
                  <w:tcW w:w="737" w:type="dxa"/>
                  <w:vAlign w:val="center"/>
                </w:tcPr>
                <w:p>
                  <w:pPr>
                    <w:pStyle w:val="78"/>
                    <w:spacing w:line="240" w:lineRule="auto"/>
                    <w:rPr>
                      <w:b w:val="0"/>
                      <w:bCs/>
                      <w:color w:val="auto"/>
                      <w:szCs w:val="21"/>
                    </w:rPr>
                  </w:pPr>
                  <w:r>
                    <w:rPr>
                      <w:b w:val="0"/>
                      <w:bCs/>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topLinePunct/>
                    <w:autoSpaceDE w:val="0"/>
                    <w:jc w:val="center"/>
                    <w:rPr>
                      <w:color w:val="auto"/>
                      <w:szCs w:val="21"/>
                    </w:rPr>
                  </w:pPr>
                  <w:r>
                    <w:rPr>
                      <w:color w:val="auto"/>
                      <w:szCs w:val="21"/>
                    </w:rPr>
                    <w:t>O₃</w:t>
                  </w:r>
                </w:p>
              </w:tc>
              <w:tc>
                <w:tcPr>
                  <w:tcW w:w="3061" w:type="dxa"/>
                  <w:vAlign w:val="center"/>
                </w:tcPr>
                <w:p>
                  <w:pPr>
                    <w:topLinePunct/>
                    <w:autoSpaceDE w:val="0"/>
                    <w:jc w:val="center"/>
                    <w:rPr>
                      <w:color w:val="auto"/>
                      <w:szCs w:val="21"/>
                    </w:rPr>
                  </w:pPr>
                  <w:r>
                    <w:rPr>
                      <w:color w:val="auto"/>
                      <w:szCs w:val="21"/>
                    </w:rPr>
                    <w:t>日最大8h平均值第90百分位数</w:t>
                  </w:r>
                </w:p>
              </w:tc>
              <w:tc>
                <w:tcPr>
                  <w:tcW w:w="964" w:type="dxa"/>
                  <w:vAlign w:val="center"/>
                </w:tcPr>
                <w:p>
                  <w:pPr>
                    <w:pStyle w:val="78"/>
                    <w:spacing w:line="240" w:lineRule="auto"/>
                    <w:rPr>
                      <w:b w:val="0"/>
                      <w:bCs/>
                      <w:color w:val="auto"/>
                      <w:szCs w:val="21"/>
                    </w:rPr>
                  </w:pPr>
                  <w:r>
                    <w:rPr>
                      <w:b w:val="0"/>
                      <w:bCs/>
                      <w:color w:val="auto"/>
                      <w:szCs w:val="21"/>
                    </w:rPr>
                    <w:t>160</w:t>
                  </w:r>
                </w:p>
              </w:tc>
              <w:tc>
                <w:tcPr>
                  <w:tcW w:w="1020" w:type="dxa"/>
                  <w:vAlign w:val="center"/>
                </w:tcPr>
                <w:p>
                  <w:pPr>
                    <w:pStyle w:val="78"/>
                    <w:spacing w:line="240" w:lineRule="auto"/>
                    <w:rPr>
                      <w:b w:val="0"/>
                      <w:bCs/>
                      <w:color w:val="auto"/>
                      <w:szCs w:val="21"/>
                    </w:rPr>
                  </w:pPr>
                  <w:r>
                    <w:rPr>
                      <w:b w:val="0"/>
                      <w:bCs/>
                      <w:color w:val="auto"/>
                      <w:szCs w:val="21"/>
                    </w:rPr>
                    <w:t>163</w:t>
                  </w:r>
                </w:p>
              </w:tc>
              <w:tc>
                <w:tcPr>
                  <w:tcW w:w="1247" w:type="dxa"/>
                  <w:vAlign w:val="center"/>
                </w:tcPr>
                <w:p>
                  <w:pPr>
                    <w:pStyle w:val="78"/>
                    <w:spacing w:line="240" w:lineRule="auto"/>
                    <w:rPr>
                      <w:b w:val="0"/>
                      <w:bCs/>
                      <w:color w:val="auto"/>
                    </w:rPr>
                  </w:pPr>
                  <w:r>
                    <w:rPr>
                      <w:b w:val="0"/>
                      <w:bCs/>
                      <w:color w:val="auto"/>
                    </w:rPr>
                    <w:t>101.9</w:t>
                  </w:r>
                </w:p>
              </w:tc>
              <w:tc>
                <w:tcPr>
                  <w:tcW w:w="964" w:type="dxa"/>
                  <w:vAlign w:val="center"/>
                </w:tcPr>
                <w:p>
                  <w:pPr>
                    <w:pStyle w:val="78"/>
                    <w:spacing w:line="240" w:lineRule="auto"/>
                    <w:rPr>
                      <w:b w:val="0"/>
                      <w:bCs/>
                      <w:color w:val="auto"/>
                      <w:szCs w:val="21"/>
                    </w:rPr>
                  </w:pPr>
                  <w:r>
                    <w:rPr>
                      <w:b w:val="0"/>
                      <w:bCs/>
                      <w:color w:val="auto"/>
                      <w:szCs w:val="21"/>
                    </w:rPr>
                    <w:t>1.9</w:t>
                  </w:r>
                </w:p>
              </w:tc>
              <w:tc>
                <w:tcPr>
                  <w:tcW w:w="737" w:type="dxa"/>
                  <w:vAlign w:val="center"/>
                </w:tcPr>
                <w:p>
                  <w:pPr>
                    <w:pStyle w:val="78"/>
                    <w:spacing w:line="240" w:lineRule="auto"/>
                    <w:rPr>
                      <w:b w:val="0"/>
                      <w:bCs/>
                      <w:color w:val="auto"/>
                      <w:szCs w:val="21"/>
                    </w:rPr>
                  </w:pPr>
                  <w:r>
                    <w:rPr>
                      <w:b w:val="0"/>
                      <w:bCs/>
                      <w:color w:val="auto"/>
                      <w:szCs w:val="21"/>
                    </w:rPr>
                    <w:t>超标</w:t>
                  </w:r>
                </w:p>
              </w:tc>
            </w:tr>
          </w:tbl>
          <w:p>
            <w:pPr>
              <w:adjustRightInd w:val="0"/>
              <w:snapToGrid w:val="0"/>
              <w:spacing w:before="120" w:beforeLines="50" w:line="372" w:lineRule="auto"/>
              <w:ind w:firstLine="480" w:firstLineChars="200"/>
              <w:rPr>
                <w:color w:val="auto"/>
                <w:kern w:val="0"/>
                <w:sz w:val="24"/>
                <w:lang w:bidi="ar"/>
              </w:rPr>
            </w:pPr>
            <w:r>
              <w:rPr>
                <w:color w:val="auto"/>
                <w:kern w:val="0"/>
                <w:sz w:val="24"/>
                <w:lang w:bidi="ar"/>
              </w:rPr>
              <w:t>根据上表可知，</w:t>
            </w:r>
            <w:r>
              <w:rPr>
                <w:rFonts w:hint="eastAsia"/>
                <w:color w:val="auto"/>
                <w:kern w:val="0"/>
                <w:sz w:val="24"/>
                <w:lang w:bidi="ar"/>
              </w:rPr>
              <w:t>2024年</w:t>
            </w:r>
            <w:r>
              <w:rPr>
                <w:color w:val="auto"/>
                <w:kern w:val="0"/>
                <w:sz w:val="24"/>
                <w:lang w:bidi="ar"/>
              </w:rPr>
              <w:t>蚌埠市环境空气基本污染物中SO₂、NO₂、PM</w:t>
            </w:r>
            <w:r>
              <w:rPr>
                <w:color w:val="auto"/>
                <w:kern w:val="0"/>
                <w:sz w:val="24"/>
                <w:vertAlign w:val="subscript"/>
                <w:lang w:bidi="ar"/>
              </w:rPr>
              <w:t>10</w:t>
            </w:r>
            <w:r>
              <w:rPr>
                <w:color w:val="auto"/>
                <w:kern w:val="0"/>
                <w:sz w:val="24"/>
                <w:lang w:bidi="ar"/>
              </w:rPr>
              <w:t>、CO均满足《环境空气质量标准》（GB 3095-2012）中二级标准要求；PM</w:t>
            </w:r>
            <w:r>
              <w:rPr>
                <w:color w:val="auto"/>
                <w:kern w:val="0"/>
                <w:sz w:val="24"/>
                <w:vertAlign w:val="subscript"/>
                <w:lang w:bidi="ar"/>
              </w:rPr>
              <w:t>2.5</w:t>
            </w:r>
            <w:r>
              <w:rPr>
                <w:rFonts w:hint="eastAsia"/>
                <w:color w:val="auto"/>
                <w:kern w:val="0"/>
                <w:sz w:val="24"/>
                <w:lang w:bidi="ar"/>
              </w:rPr>
              <w:t>、</w:t>
            </w:r>
            <w:r>
              <w:rPr>
                <w:color w:val="auto"/>
                <w:kern w:val="0"/>
                <w:sz w:val="24"/>
                <w:lang w:bidi="ar"/>
              </w:rPr>
              <w:t>O₃超出《环境空气质量标准》（GB 3095-2012）中二级标准要求，PM</w:t>
            </w:r>
            <w:r>
              <w:rPr>
                <w:color w:val="auto"/>
                <w:kern w:val="0"/>
                <w:sz w:val="24"/>
                <w:vertAlign w:val="subscript"/>
                <w:lang w:bidi="ar"/>
              </w:rPr>
              <w:t>2.5</w:t>
            </w:r>
            <w:r>
              <w:rPr>
                <w:color w:val="auto"/>
                <w:kern w:val="0"/>
                <w:sz w:val="24"/>
                <w:lang w:bidi="ar"/>
              </w:rPr>
              <w:t>年平均浓度最大超标倍数为</w:t>
            </w:r>
            <w:r>
              <w:rPr>
                <w:rFonts w:hint="eastAsia"/>
                <w:color w:val="auto"/>
                <w:kern w:val="0"/>
                <w:sz w:val="24"/>
                <w:lang w:bidi="ar"/>
              </w:rPr>
              <w:t>0.114，O</w:t>
            </w:r>
            <w:r>
              <w:rPr>
                <w:rFonts w:hint="eastAsia"/>
                <w:color w:val="auto"/>
                <w:kern w:val="0"/>
                <w:sz w:val="24"/>
                <w:vertAlign w:val="subscript"/>
                <w:lang w:bidi="ar"/>
              </w:rPr>
              <w:t>3</w:t>
            </w:r>
            <w:r>
              <w:rPr>
                <w:rFonts w:hint="eastAsia"/>
                <w:color w:val="auto"/>
                <w:kern w:val="0"/>
                <w:sz w:val="24"/>
                <w:lang w:bidi="ar"/>
              </w:rPr>
              <w:t>日最大8小时平均第90百分位数超标倍数为0.019</w:t>
            </w:r>
            <w:r>
              <w:rPr>
                <w:color w:val="auto"/>
                <w:kern w:val="0"/>
                <w:sz w:val="24"/>
                <w:lang w:bidi="ar"/>
              </w:rPr>
              <w:t>。因此，项目区域为环境空气质量不达标区。</w:t>
            </w:r>
          </w:p>
          <w:p>
            <w:pPr>
              <w:adjustRightInd w:val="0"/>
              <w:snapToGrid w:val="0"/>
              <w:spacing w:line="372" w:lineRule="auto"/>
              <w:ind w:firstLine="480" w:firstLineChars="200"/>
              <w:rPr>
                <w:color w:val="auto"/>
                <w:kern w:val="0"/>
                <w:sz w:val="24"/>
                <w:lang w:bidi="ar"/>
              </w:rPr>
            </w:pPr>
            <w:r>
              <w:rPr>
                <w:rFonts w:hint="eastAsia"/>
                <w:color w:val="auto"/>
                <w:sz w:val="24"/>
              </w:rPr>
              <w:t>（2）其他污染物环境空气质量现状</w:t>
            </w:r>
          </w:p>
          <w:p>
            <w:pPr>
              <w:topLinePunct/>
              <w:adjustRightInd w:val="0"/>
              <w:snapToGrid w:val="0"/>
              <w:spacing w:line="372" w:lineRule="auto"/>
              <w:ind w:firstLine="480" w:firstLineChars="200"/>
              <w:rPr>
                <w:rFonts w:cs="宋体"/>
                <w:color w:val="auto"/>
                <w:kern w:val="0"/>
                <w:sz w:val="24"/>
                <w:lang w:bidi="ar"/>
              </w:rPr>
            </w:pPr>
            <w:r>
              <w:rPr>
                <w:rFonts w:cs="宋体"/>
                <w:color w:val="auto"/>
                <w:kern w:val="0"/>
                <w:sz w:val="24"/>
                <w:lang w:bidi="ar"/>
              </w:rPr>
              <w:t>为了解项目区域</w:t>
            </w:r>
            <w:r>
              <w:rPr>
                <w:rFonts w:hint="eastAsia" w:cs="宋体"/>
                <w:color w:val="auto"/>
                <w:kern w:val="0"/>
                <w:sz w:val="24"/>
                <w:lang w:bidi="ar"/>
              </w:rPr>
              <w:t>TSP</w:t>
            </w:r>
            <w:r>
              <w:rPr>
                <w:rFonts w:cs="宋体"/>
                <w:color w:val="auto"/>
                <w:kern w:val="0"/>
                <w:sz w:val="24"/>
                <w:lang w:bidi="ar"/>
              </w:rPr>
              <w:t>的现状情况，本次评价引用《</w:t>
            </w:r>
            <w:r>
              <w:rPr>
                <w:rFonts w:hint="eastAsia"/>
                <w:color w:val="auto"/>
                <w:kern w:val="0"/>
                <w:sz w:val="24"/>
              </w:rPr>
              <w:t>安徽固镇经济开发区总体发展规划（2024-2035年）（调区）环境影响报告书</w:t>
            </w:r>
            <w:r>
              <w:rPr>
                <w:rFonts w:cs="宋体"/>
                <w:color w:val="auto"/>
                <w:kern w:val="0"/>
                <w:sz w:val="24"/>
                <w:lang w:bidi="ar"/>
              </w:rPr>
              <w:t>》中</w:t>
            </w:r>
            <w:r>
              <w:rPr>
                <w:rFonts w:hint="eastAsia" w:cs="宋体"/>
                <w:color w:val="auto"/>
                <w:kern w:val="0"/>
                <w:sz w:val="24"/>
                <w:lang w:bidi="ar"/>
              </w:rPr>
              <w:t>G5点位的TSP</w:t>
            </w:r>
            <w:r>
              <w:rPr>
                <w:rFonts w:cs="宋体"/>
                <w:color w:val="auto"/>
                <w:kern w:val="0"/>
                <w:sz w:val="24"/>
                <w:lang w:bidi="ar"/>
              </w:rPr>
              <w:t>监测数据，监测时间为</w:t>
            </w:r>
            <w:r>
              <w:rPr>
                <w:rFonts w:hint="eastAsia" w:cs="宋体"/>
                <w:color w:val="auto"/>
                <w:kern w:val="0"/>
                <w:sz w:val="24"/>
                <w:lang w:bidi="ar"/>
              </w:rPr>
              <w:t>2024年7月4日至2024年7月11日</w:t>
            </w:r>
            <w:r>
              <w:rPr>
                <w:rFonts w:cs="宋体"/>
                <w:color w:val="auto"/>
                <w:kern w:val="0"/>
                <w:sz w:val="24"/>
                <w:lang w:bidi="ar"/>
              </w:rPr>
              <w:t>。项目距离</w:t>
            </w:r>
            <w:r>
              <w:rPr>
                <w:rFonts w:hint="eastAsia" w:cs="宋体"/>
                <w:color w:val="auto"/>
                <w:kern w:val="0"/>
                <w:sz w:val="24"/>
                <w:lang w:bidi="ar"/>
              </w:rPr>
              <w:t>G5监测点</w:t>
            </w:r>
            <w:r>
              <w:rPr>
                <w:rFonts w:cs="宋体"/>
                <w:color w:val="auto"/>
                <w:kern w:val="0"/>
                <w:sz w:val="24"/>
                <w:lang w:bidi="ar"/>
              </w:rPr>
              <w:t>约为</w:t>
            </w:r>
            <w:r>
              <w:rPr>
                <w:rFonts w:hint="eastAsia" w:cs="宋体"/>
                <w:color w:val="auto"/>
                <w:kern w:val="0"/>
                <w:sz w:val="24"/>
                <w:lang w:bidi="ar"/>
              </w:rPr>
              <w:t>645</w:t>
            </w:r>
            <w:r>
              <w:rPr>
                <w:rFonts w:cs="宋体"/>
                <w:color w:val="auto"/>
                <w:kern w:val="0"/>
                <w:sz w:val="24"/>
                <w:lang w:bidi="ar"/>
              </w:rPr>
              <w:t>m，满足引用数据时效性和有效性要求。</w:t>
            </w:r>
          </w:p>
          <w:p>
            <w:pPr>
              <w:topLinePunct/>
              <w:adjustRightInd w:val="0"/>
              <w:snapToGrid w:val="0"/>
              <w:jc w:val="center"/>
              <w:rPr>
                <w:b/>
                <w:color w:val="auto"/>
                <w:sz w:val="24"/>
              </w:rPr>
            </w:pPr>
            <w:r>
              <w:rPr>
                <w:b/>
                <w:color w:val="auto"/>
                <w:sz w:val="24"/>
              </w:rPr>
              <w:t>表3-2</w:t>
            </w:r>
            <w:r>
              <w:rPr>
                <w:rFonts w:hint="eastAsia"/>
                <w:b/>
                <w:color w:val="auto"/>
                <w:sz w:val="24"/>
              </w:rPr>
              <w:t xml:space="preserve">  特征污染物</w:t>
            </w:r>
            <w:r>
              <w:rPr>
                <w:b/>
                <w:color w:val="auto"/>
                <w:sz w:val="24"/>
              </w:rPr>
              <w:t>监测点位基本信息</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111"/>
              <w:gridCol w:w="2219"/>
              <w:gridCol w:w="1770"/>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2" w:type="dxa"/>
                  <w:vAlign w:val="center"/>
                </w:tcPr>
                <w:p>
                  <w:pPr>
                    <w:pStyle w:val="74"/>
                    <w:topLinePunct/>
                    <w:rPr>
                      <w:rFonts w:hint="default"/>
                      <w:color w:val="auto"/>
                      <w:szCs w:val="21"/>
                    </w:rPr>
                  </w:pPr>
                  <w:r>
                    <w:rPr>
                      <w:color w:val="auto"/>
                      <w:szCs w:val="21"/>
                    </w:rPr>
                    <w:t>监测点名称</w:t>
                  </w:r>
                </w:p>
              </w:tc>
              <w:tc>
                <w:tcPr>
                  <w:tcW w:w="1111" w:type="dxa"/>
                  <w:vAlign w:val="center"/>
                </w:tcPr>
                <w:p>
                  <w:pPr>
                    <w:pStyle w:val="74"/>
                    <w:topLinePunct/>
                    <w:rPr>
                      <w:rFonts w:hint="default"/>
                      <w:color w:val="auto"/>
                      <w:szCs w:val="21"/>
                    </w:rPr>
                  </w:pPr>
                  <w:r>
                    <w:rPr>
                      <w:color w:val="auto"/>
                      <w:szCs w:val="21"/>
                    </w:rPr>
                    <w:t>监测因子</w:t>
                  </w:r>
                </w:p>
              </w:tc>
              <w:tc>
                <w:tcPr>
                  <w:tcW w:w="2219" w:type="dxa"/>
                  <w:vAlign w:val="center"/>
                </w:tcPr>
                <w:p>
                  <w:pPr>
                    <w:pStyle w:val="74"/>
                    <w:topLinePunct/>
                    <w:rPr>
                      <w:rFonts w:hint="default"/>
                      <w:color w:val="auto"/>
                      <w:szCs w:val="21"/>
                    </w:rPr>
                  </w:pPr>
                  <w:r>
                    <w:rPr>
                      <w:color w:val="auto"/>
                      <w:szCs w:val="21"/>
                    </w:rPr>
                    <w:t>监测时段</w:t>
                  </w:r>
                </w:p>
              </w:tc>
              <w:tc>
                <w:tcPr>
                  <w:tcW w:w="1770" w:type="dxa"/>
                  <w:vAlign w:val="center"/>
                </w:tcPr>
                <w:p>
                  <w:pPr>
                    <w:pStyle w:val="74"/>
                    <w:topLinePunct/>
                    <w:rPr>
                      <w:rFonts w:hint="default"/>
                      <w:color w:val="auto"/>
                      <w:szCs w:val="21"/>
                    </w:rPr>
                  </w:pPr>
                  <w:r>
                    <w:rPr>
                      <w:color w:val="auto"/>
                      <w:szCs w:val="21"/>
                    </w:rPr>
                    <w:t>相对厂址方位</w:t>
                  </w:r>
                </w:p>
              </w:tc>
              <w:tc>
                <w:tcPr>
                  <w:tcW w:w="1755" w:type="dxa"/>
                  <w:vAlign w:val="center"/>
                </w:tcPr>
                <w:p>
                  <w:pPr>
                    <w:pStyle w:val="74"/>
                    <w:topLinePunct/>
                    <w:rPr>
                      <w:rFonts w:hint="default"/>
                      <w:color w:val="auto"/>
                      <w:szCs w:val="21"/>
                    </w:rPr>
                  </w:pPr>
                  <w:r>
                    <w:rPr>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02" w:type="dxa"/>
                  <w:vAlign w:val="center"/>
                </w:tcPr>
                <w:p>
                  <w:pPr>
                    <w:topLinePunct/>
                    <w:adjustRightInd w:val="0"/>
                    <w:snapToGrid w:val="0"/>
                    <w:jc w:val="center"/>
                    <w:rPr>
                      <w:color w:val="auto"/>
                      <w:szCs w:val="21"/>
                    </w:rPr>
                  </w:pPr>
                  <w:r>
                    <w:rPr>
                      <w:rFonts w:hint="eastAsia" w:cs="宋体"/>
                      <w:color w:val="auto"/>
                      <w:kern w:val="0"/>
                      <w:szCs w:val="21"/>
                      <w:lang w:bidi="ar"/>
                    </w:rPr>
                    <w:t>G5</w:t>
                  </w:r>
                </w:p>
              </w:tc>
              <w:tc>
                <w:tcPr>
                  <w:tcW w:w="1111" w:type="dxa"/>
                  <w:vAlign w:val="center"/>
                </w:tcPr>
                <w:p>
                  <w:pPr>
                    <w:topLinePunct/>
                    <w:adjustRightInd w:val="0"/>
                    <w:snapToGrid w:val="0"/>
                    <w:jc w:val="center"/>
                    <w:rPr>
                      <w:color w:val="auto"/>
                      <w:szCs w:val="21"/>
                    </w:rPr>
                  </w:pPr>
                  <w:r>
                    <w:rPr>
                      <w:rFonts w:hint="eastAsia"/>
                      <w:color w:val="auto"/>
                      <w:szCs w:val="21"/>
                    </w:rPr>
                    <w:t>TSP</w:t>
                  </w:r>
                </w:p>
              </w:tc>
              <w:tc>
                <w:tcPr>
                  <w:tcW w:w="2219" w:type="dxa"/>
                  <w:vAlign w:val="center"/>
                </w:tcPr>
                <w:p>
                  <w:pPr>
                    <w:topLinePunct/>
                    <w:adjustRightInd w:val="0"/>
                    <w:snapToGrid w:val="0"/>
                    <w:jc w:val="center"/>
                    <w:rPr>
                      <w:color w:val="auto"/>
                      <w:szCs w:val="21"/>
                    </w:rPr>
                  </w:pPr>
                  <w:r>
                    <w:rPr>
                      <w:rFonts w:hint="eastAsia" w:cs="宋体"/>
                      <w:color w:val="auto"/>
                      <w:kern w:val="0"/>
                      <w:szCs w:val="21"/>
                      <w:lang w:bidi="ar"/>
                    </w:rPr>
                    <w:t>2024年7月4日至2024年7月11日</w:t>
                  </w:r>
                </w:p>
              </w:tc>
              <w:tc>
                <w:tcPr>
                  <w:tcW w:w="1770" w:type="dxa"/>
                  <w:vAlign w:val="center"/>
                </w:tcPr>
                <w:p>
                  <w:pPr>
                    <w:topLinePunct/>
                    <w:adjustRightInd w:val="0"/>
                    <w:snapToGrid w:val="0"/>
                    <w:jc w:val="center"/>
                    <w:rPr>
                      <w:color w:val="auto"/>
                      <w:szCs w:val="21"/>
                    </w:rPr>
                  </w:pPr>
                  <w:r>
                    <w:rPr>
                      <w:rFonts w:hint="eastAsia"/>
                      <w:color w:val="auto"/>
                      <w:szCs w:val="21"/>
                    </w:rPr>
                    <w:t>NE</w:t>
                  </w:r>
                </w:p>
              </w:tc>
              <w:tc>
                <w:tcPr>
                  <w:tcW w:w="1755" w:type="dxa"/>
                  <w:vAlign w:val="center"/>
                </w:tcPr>
                <w:p>
                  <w:pPr>
                    <w:topLinePunct/>
                    <w:adjustRightInd w:val="0"/>
                    <w:snapToGrid w:val="0"/>
                    <w:jc w:val="center"/>
                    <w:rPr>
                      <w:color w:val="auto"/>
                      <w:szCs w:val="21"/>
                    </w:rPr>
                  </w:pPr>
                  <w:r>
                    <w:rPr>
                      <w:rFonts w:hint="eastAsia"/>
                      <w:color w:val="auto"/>
                      <w:szCs w:val="21"/>
                    </w:rPr>
                    <w:t>645</w:t>
                  </w:r>
                </w:p>
              </w:tc>
            </w:tr>
          </w:tbl>
          <w:p>
            <w:pPr>
              <w:topLinePunct/>
              <w:adjustRightInd w:val="0"/>
              <w:snapToGrid w:val="0"/>
              <w:spacing w:before="120" w:beforeLines="50"/>
              <w:jc w:val="center"/>
              <w:rPr>
                <w:b/>
                <w:color w:val="auto"/>
                <w:sz w:val="24"/>
              </w:rPr>
            </w:pPr>
            <w:r>
              <w:rPr>
                <w:color w:val="auto"/>
              </w:rPr>
              <mc:AlternateContent>
                <mc:Choice Requires="wps">
                  <w:drawing>
                    <wp:anchor distT="0" distB="0" distL="114300" distR="114300" simplePos="0" relativeHeight="251664384" behindDoc="0" locked="0" layoutInCell="1" allowOverlap="1">
                      <wp:simplePos x="0" y="0"/>
                      <wp:positionH relativeFrom="column">
                        <wp:posOffset>2488565</wp:posOffset>
                      </wp:positionH>
                      <wp:positionV relativeFrom="paragraph">
                        <wp:posOffset>2280285</wp:posOffset>
                      </wp:positionV>
                      <wp:extent cx="844550" cy="473710"/>
                      <wp:effectExtent l="0" t="0" r="0" b="0"/>
                      <wp:wrapNone/>
                      <wp:docPr id="5" name="文本框 5"/>
                      <wp:cNvGraphicFramePr/>
                      <a:graphic xmlns:a="http://schemas.openxmlformats.org/drawingml/2006/main">
                        <a:graphicData uri="http://schemas.microsoft.com/office/word/2010/wordprocessingShape">
                          <wps:wsp>
                            <wps:cNvSpPr txBox="1"/>
                            <wps:spPr>
                              <a:xfrm rot="19560000">
                                <a:off x="0" y="0"/>
                                <a:ext cx="844550" cy="473710"/>
                              </a:xfrm>
                              <a:prstGeom prst="rect">
                                <a:avLst/>
                              </a:prstGeom>
                              <a:noFill/>
                              <a:ln>
                                <a:noFill/>
                              </a:ln>
                            </wps:spPr>
                            <wps:txbx>
                              <w:txbxContent>
                                <w:p>
                                  <w:pPr>
                                    <w:rPr>
                                      <w:b/>
                                      <w:bCs/>
                                      <w:color w:val="FF0000"/>
                                    </w:rPr>
                                  </w:pPr>
                                  <w:r>
                                    <w:rPr>
                                      <w:rFonts w:hint="eastAsia"/>
                                      <w:b/>
                                      <w:bCs/>
                                      <w:color w:val="FF0000"/>
                                    </w:rPr>
                                    <w:t>645m</w:t>
                                  </w:r>
                                </w:p>
                              </w:txbxContent>
                            </wps:txbx>
                            <wps:bodyPr/>
                          </wps:wsp>
                        </a:graphicData>
                      </a:graphic>
                    </wp:anchor>
                  </w:drawing>
                </mc:Choice>
                <mc:Fallback>
                  <w:pict>
                    <v:shape id="_x0000_s1026" o:spid="_x0000_s1026" o:spt="202" type="#_x0000_t202" style="position:absolute;left:0pt;margin-left:195.95pt;margin-top:179.55pt;height:37.3pt;width:66.5pt;rotation:-2228224f;z-index:251664384;mso-width-relative:page;mso-height-relative:page;" filled="f" stroked="f" coordsize="21600,21600" o:gfxdata="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Oq&#10;FWzYAAAACwEAAA8AAAAAAAAAAQAgAAAAIgAAAGRycy9kb3ducmV2LnhtbFBLAQIUABQAAAAIAIdO&#10;4kD1iIAfsQEAAFADAAAOAAAAAAAAAAEAIAAAACcBAABkcnMvZTJvRG9jLnhtbFBLBQYAAAAABgAG&#10;AFkBAABKBQAAAAA=&#10;">
                      <v:fill on="f" focussize="0,0"/>
                      <v:stroke on="f"/>
                      <v:imagedata o:title=""/>
                      <o:lock v:ext="edit" aspectratio="f"/>
                      <v:textbox>
                        <w:txbxContent>
                          <w:p>
                            <w:pPr>
                              <w:rPr>
                                <w:b/>
                                <w:bCs/>
                                <w:color w:val="FF0000"/>
                              </w:rPr>
                            </w:pPr>
                            <w:r>
                              <w:rPr>
                                <w:rFonts w:hint="eastAsia"/>
                                <w:b/>
                                <w:bCs/>
                                <w:color w:val="FF0000"/>
                              </w:rPr>
                              <w:t>645m</w:t>
                            </w:r>
                          </w:p>
                        </w:txbxContent>
                      </v:textbox>
                    </v:shape>
                  </w:pict>
                </mc:Fallback>
              </mc:AlternateContent>
            </w:r>
            <w:r>
              <w:rPr>
                <w:color w:val="auto"/>
              </w:rPr>
              <w:drawing>
                <wp:inline distT="0" distB="0" distL="114300" distR="114300">
                  <wp:extent cx="5502275" cy="4777740"/>
                  <wp:effectExtent l="0" t="0" r="3175" b="381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7"/>
                          <a:stretch>
                            <a:fillRect/>
                          </a:stretch>
                        </pic:blipFill>
                        <pic:spPr>
                          <a:xfrm>
                            <a:off x="0" y="0"/>
                            <a:ext cx="5502275" cy="477774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1938020</wp:posOffset>
                      </wp:positionV>
                      <wp:extent cx="381635" cy="266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81635" cy="266700"/>
                              </a:xfrm>
                              <a:prstGeom prst="rect">
                                <a:avLst/>
                              </a:prstGeom>
                              <a:noFill/>
                              <a:ln>
                                <a:noFill/>
                              </a:ln>
                            </wps:spPr>
                            <wps:txbx>
                              <w:txbxContent>
                                <w:p>
                                  <w:pPr>
                                    <w:rPr>
                                      <w:b/>
                                      <w:bCs/>
                                      <w:color w:val="FFFF00"/>
                                    </w:rPr>
                                  </w:pPr>
                                  <w:r>
                                    <w:rPr>
                                      <w:rFonts w:hint="eastAsia"/>
                                      <w:b/>
                                      <w:bCs/>
                                      <w:color w:val="FFFF00"/>
                                    </w:rPr>
                                    <w:t>G5</w:t>
                                  </w:r>
                                </w:p>
                              </w:txbxContent>
                            </wps:txbx>
                            <wps:bodyPr upright="1"/>
                          </wps:wsp>
                        </a:graphicData>
                      </a:graphic>
                    </wp:anchor>
                  </w:drawing>
                </mc:Choice>
                <mc:Fallback>
                  <w:pict>
                    <v:shape id="_x0000_s1026" o:spid="_x0000_s1026" o:spt="202" type="#_x0000_t202" style="position:absolute;left:0pt;margin-left:258.65pt;margin-top:152.6pt;height:21pt;width:30.05pt;z-index:251662336;mso-width-relative:page;mso-height-relative:page;" filled="f" stroked="f" coordsize="21600,21600" o:gfxdata="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r12fNgA&#10;AAALAQAADwAAAAAAAAABACAAAAAiAAAAZHJzL2Rvd25yZXYueG1sUEsBAhQAFAAAAAgAh07iQCFM&#10;e0qtAQAATQMAAA4AAAAAAAAAAQAgAAAAJwEAAGRycy9lMm9Eb2MueG1sUEsFBgAAAAAGAAYAWQEA&#10;AEYFAAAAAA==&#10;">
                      <v:fill on="f" focussize="0,0"/>
                      <v:stroke on="f"/>
                      <v:imagedata o:title=""/>
                      <o:lock v:ext="edit" aspectratio="f"/>
                      <v:textbox>
                        <w:txbxContent>
                          <w:p>
                            <w:pPr>
                              <w:rPr>
                                <w:b/>
                                <w:bCs/>
                                <w:color w:val="FFFF00"/>
                              </w:rPr>
                            </w:pPr>
                            <w:r>
                              <w:rPr>
                                <w:rFonts w:hint="eastAsia"/>
                                <w:b/>
                                <w:bCs/>
                                <w:color w:val="FFFF00"/>
                              </w:rPr>
                              <w:t>G5</w:t>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2256155</wp:posOffset>
                      </wp:positionH>
                      <wp:positionV relativeFrom="paragraph">
                        <wp:posOffset>2146300</wp:posOffset>
                      </wp:positionV>
                      <wp:extent cx="1170940" cy="821055"/>
                      <wp:effectExtent l="6985" t="10160" r="22225" b="26035"/>
                      <wp:wrapNone/>
                      <wp:docPr id="4" name="直接连接符 4"/>
                      <wp:cNvGraphicFramePr/>
                      <a:graphic xmlns:a="http://schemas.openxmlformats.org/drawingml/2006/main">
                        <a:graphicData uri="http://schemas.microsoft.com/office/word/2010/wordprocessingShape">
                          <wps:wsp>
                            <wps:cNvCnPr/>
                            <wps:spPr>
                              <a:xfrm flipH="1">
                                <a:off x="0" y="0"/>
                                <a:ext cx="1170940" cy="821055"/>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id="_x0000_s1026" o:spid="_x0000_s1026" o:spt="20" style="position:absolute;left:0pt;flip:x;margin-left:177.65pt;margin-top:169pt;height:64.65pt;width:92.2pt;z-index:251663360;mso-width-relative:page;mso-height-relative:page;" filled="f" stroked="t" coordsize="21600,21600" o:gfxdata="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Vw7aNcA&#10;AAALAQAADwAAAAAAAAABACAAAAAiAAAAZHJzL2Rvd25yZXYueG1sUEsBAhQAFAAAAAgAh07iQDUC&#10;eDDnAQAAqgMAAA4AAAAAAAAAAQAgAAAAJgEAAGRycy9lMm9Eb2MueG1sUEsFBgAAAAAGAAYAWQEA&#10;AH8FAAAAAA==&#10;">
                      <v:fill on="f" focussize="0,0"/>
                      <v:stroke weight="2pt" color="#FF0000 [3204]" joinstyle="round"/>
                      <v:imagedata o:title=""/>
                      <o:lock v:ext="edit" aspectratio="f"/>
                    </v:lin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2103120</wp:posOffset>
                      </wp:positionH>
                      <wp:positionV relativeFrom="paragraph">
                        <wp:posOffset>2965450</wp:posOffset>
                      </wp:positionV>
                      <wp:extent cx="142875" cy="133350"/>
                      <wp:effectExtent l="12700" t="12700" r="15875" b="25400"/>
                      <wp:wrapNone/>
                      <wp:docPr id="11" name="矩形 11"/>
                      <wp:cNvGraphicFramePr/>
                      <a:graphic xmlns:a="http://schemas.openxmlformats.org/drawingml/2006/main">
                        <a:graphicData uri="http://schemas.microsoft.com/office/word/2010/wordprocessingShape">
                          <wps:wsp>
                            <wps:cNvSpPr/>
                            <wps:spPr>
                              <a:xfrm>
                                <a:off x="3676650" y="4120515"/>
                                <a:ext cx="1428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pt;margin-top:233.5pt;height:10.5pt;width:11.25pt;z-index:251665408;v-text-anchor:middle;mso-width-relative:page;mso-height-relative:page;" filled="f" stroked="t" coordsize="21600,21600" o:gfxdata="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83l7zaAAAACwEAAA8AAAAAAAAAAQAgAAAAIgAAAGRycy9kb3ducmV2&#10;LnhtbFBLAQIUABQAAAAIAIdO4kBvnJtSbAIAAMEEAAAOAAAAAAAAAAEAIAAAACkBAABkcnMvZTJv&#10;RG9jLnhtbFBLBQYAAAAABgAGAFkBAAAHBgAAAAA=&#10;">
                      <v:fill on="f" focussize="0,0"/>
                      <v:stroke weight="2pt" color="#FF0000 [3204]" joinstyle="round"/>
                      <v:imagedata o:title=""/>
                      <o:lock v:ext="edit" aspectratio="f"/>
                    </v:rect>
                  </w:pict>
                </mc:Fallback>
              </mc:AlternateContent>
            </w:r>
          </w:p>
          <w:p>
            <w:pPr>
              <w:topLinePunct/>
              <w:adjustRightInd w:val="0"/>
              <w:snapToGrid w:val="0"/>
              <w:jc w:val="center"/>
              <w:rPr>
                <w:b/>
                <w:color w:val="auto"/>
                <w:sz w:val="24"/>
              </w:rPr>
            </w:pPr>
            <w:r>
              <w:rPr>
                <w:rFonts w:hint="eastAsia"/>
                <w:b/>
                <w:color w:val="auto"/>
                <w:sz w:val="24"/>
              </w:rPr>
              <w:t>图3-1</w:t>
            </w:r>
            <w:r>
              <w:rPr>
                <w:b/>
                <w:bCs/>
                <w:color w:val="auto"/>
                <w:sz w:val="24"/>
              </w:rPr>
              <w:t xml:space="preserve">  </w:t>
            </w:r>
            <w:r>
              <w:rPr>
                <w:rFonts w:hint="eastAsia"/>
                <w:b/>
                <w:bCs/>
                <w:color w:val="auto"/>
                <w:sz w:val="24"/>
              </w:rPr>
              <w:t>引用数据监测点位图</w:t>
            </w:r>
          </w:p>
          <w:p>
            <w:pPr>
              <w:topLinePunct/>
              <w:adjustRightInd w:val="0"/>
              <w:snapToGrid w:val="0"/>
              <w:spacing w:before="120" w:beforeLines="50"/>
              <w:jc w:val="center"/>
              <w:rPr>
                <w:b/>
                <w:color w:val="auto"/>
                <w:sz w:val="24"/>
              </w:rPr>
            </w:pPr>
            <w:r>
              <w:rPr>
                <w:b/>
                <w:color w:val="auto"/>
                <w:sz w:val="24"/>
              </w:rPr>
              <w:t>表3-3</w:t>
            </w:r>
            <w:r>
              <w:rPr>
                <w:rFonts w:hint="eastAsia"/>
                <w:b/>
                <w:color w:val="auto"/>
                <w:sz w:val="24"/>
              </w:rPr>
              <w:t xml:space="preserve">  特征污染物</w:t>
            </w:r>
            <w:r>
              <w:rPr>
                <w:b/>
                <w:color w:val="auto"/>
                <w:sz w:val="24"/>
              </w:rPr>
              <w:t>环境质量现状表</w:t>
            </w:r>
            <w:r>
              <w:rPr>
                <w:rFonts w:hint="eastAsia"/>
                <w:b/>
                <w:color w:val="auto"/>
                <w:sz w:val="24"/>
              </w:rPr>
              <w:t>（</w:t>
            </w:r>
            <w:r>
              <w:rPr>
                <w:b/>
                <w:color w:val="auto"/>
                <w:sz w:val="24"/>
              </w:rPr>
              <w:t>单位：</w:t>
            </w:r>
            <w:r>
              <w:rPr>
                <w:rFonts w:hint="eastAsia"/>
                <w:b/>
                <w:color w:val="auto"/>
                <w:sz w:val="24"/>
              </w:rPr>
              <w:t>m</w:t>
            </w:r>
            <w:r>
              <w:rPr>
                <w:b/>
                <w:color w:val="auto"/>
                <w:sz w:val="24"/>
              </w:rPr>
              <w:t>g/m³）</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298"/>
              <w:gridCol w:w="1077"/>
              <w:gridCol w:w="760"/>
              <w:gridCol w:w="1542"/>
              <w:gridCol w:w="1156"/>
              <w:gridCol w:w="85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0" w:type="dxa"/>
                  <w:vAlign w:val="center"/>
                </w:tcPr>
                <w:p>
                  <w:pPr>
                    <w:pStyle w:val="74"/>
                    <w:topLinePunct/>
                    <w:rPr>
                      <w:rFonts w:hint="default"/>
                      <w:color w:val="auto"/>
                      <w:szCs w:val="21"/>
                    </w:rPr>
                  </w:pPr>
                  <w:r>
                    <w:rPr>
                      <w:rFonts w:hint="default"/>
                      <w:color w:val="auto"/>
                      <w:szCs w:val="21"/>
                    </w:rPr>
                    <w:t>监测点名称</w:t>
                  </w:r>
                </w:p>
              </w:tc>
              <w:tc>
                <w:tcPr>
                  <w:tcW w:w="1298" w:type="dxa"/>
                  <w:vAlign w:val="center"/>
                </w:tcPr>
                <w:p>
                  <w:pPr>
                    <w:pStyle w:val="74"/>
                    <w:topLinePunct/>
                    <w:rPr>
                      <w:rFonts w:hint="default"/>
                      <w:color w:val="auto"/>
                      <w:szCs w:val="21"/>
                    </w:rPr>
                  </w:pPr>
                  <w:r>
                    <w:rPr>
                      <w:rFonts w:hint="default"/>
                      <w:color w:val="auto"/>
                      <w:szCs w:val="21"/>
                    </w:rPr>
                    <w:t>污染物</w:t>
                  </w:r>
                </w:p>
              </w:tc>
              <w:tc>
                <w:tcPr>
                  <w:tcW w:w="1077" w:type="dxa"/>
                  <w:vAlign w:val="center"/>
                </w:tcPr>
                <w:p>
                  <w:pPr>
                    <w:pStyle w:val="74"/>
                    <w:topLinePunct/>
                    <w:rPr>
                      <w:rFonts w:hint="default"/>
                      <w:color w:val="auto"/>
                      <w:szCs w:val="21"/>
                    </w:rPr>
                  </w:pPr>
                  <w:r>
                    <w:rPr>
                      <w:rFonts w:hint="default"/>
                      <w:color w:val="auto"/>
                      <w:szCs w:val="21"/>
                    </w:rPr>
                    <w:t>平均时间</w:t>
                  </w:r>
                </w:p>
              </w:tc>
              <w:tc>
                <w:tcPr>
                  <w:tcW w:w="760" w:type="dxa"/>
                  <w:vAlign w:val="center"/>
                </w:tcPr>
                <w:p>
                  <w:pPr>
                    <w:pStyle w:val="74"/>
                    <w:topLinePunct/>
                    <w:rPr>
                      <w:rFonts w:hint="default"/>
                      <w:color w:val="auto"/>
                      <w:szCs w:val="21"/>
                    </w:rPr>
                  </w:pPr>
                  <w:r>
                    <w:rPr>
                      <w:rFonts w:hint="default"/>
                      <w:color w:val="auto"/>
                      <w:szCs w:val="21"/>
                    </w:rPr>
                    <w:t>评价标准</w:t>
                  </w:r>
                </w:p>
              </w:tc>
              <w:tc>
                <w:tcPr>
                  <w:tcW w:w="1542" w:type="dxa"/>
                  <w:vAlign w:val="center"/>
                </w:tcPr>
                <w:p>
                  <w:pPr>
                    <w:pStyle w:val="74"/>
                    <w:topLinePunct/>
                    <w:rPr>
                      <w:rFonts w:hint="default"/>
                      <w:color w:val="auto"/>
                      <w:szCs w:val="21"/>
                    </w:rPr>
                  </w:pPr>
                  <w:r>
                    <w:rPr>
                      <w:color w:val="auto"/>
                      <w:szCs w:val="21"/>
                    </w:rPr>
                    <w:t>日平均浓度值</w:t>
                  </w:r>
                </w:p>
              </w:tc>
              <w:tc>
                <w:tcPr>
                  <w:tcW w:w="1156" w:type="dxa"/>
                  <w:vAlign w:val="center"/>
                </w:tcPr>
                <w:p>
                  <w:pPr>
                    <w:pStyle w:val="74"/>
                    <w:topLinePunct/>
                    <w:rPr>
                      <w:rFonts w:hint="default"/>
                      <w:color w:val="auto"/>
                      <w:szCs w:val="21"/>
                    </w:rPr>
                  </w:pPr>
                  <w:r>
                    <w:rPr>
                      <w:rFonts w:hint="default"/>
                      <w:color w:val="auto"/>
                      <w:szCs w:val="21"/>
                    </w:rPr>
                    <w:t>最大浓度占标率</w:t>
                  </w:r>
                  <w:r>
                    <w:rPr>
                      <w:color w:val="auto"/>
                      <w:szCs w:val="21"/>
                    </w:rPr>
                    <w:t>/</w:t>
                  </w:r>
                  <w:r>
                    <w:rPr>
                      <w:rFonts w:hint="default"/>
                      <w:color w:val="auto"/>
                      <w:szCs w:val="21"/>
                    </w:rPr>
                    <w:t>%</w:t>
                  </w:r>
                </w:p>
              </w:tc>
              <w:tc>
                <w:tcPr>
                  <w:tcW w:w="850" w:type="dxa"/>
                  <w:vAlign w:val="center"/>
                </w:tcPr>
                <w:p>
                  <w:pPr>
                    <w:pStyle w:val="74"/>
                    <w:topLinePunct/>
                    <w:rPr>
                      <w:rFonts w:hint="default"/>
                      <w:color w:val="auto"/>
                      <w:szCs w:val="21"/>
                    </w:rPr>
                  </w:pPr>
                  <w:r>
                    <w:rPr>
                      <w:rFonts w:hint="default"/>
                      <w:color w:val="auto"/>
                      <w:szCs w:val="21"/>
                    </w:rPr>
                    <w:t>超标率</w:t>
                  </w:r>
                  <w:r>
                    <w:rPr>
                      <w:color w:val="auto"/>
                      <w:szCs w:val="21"/>
                    </w:rPr>
                    <w:t>/</w:t>
                  </w:r>
                  <w:r>
                    <w:rPr>
                      <w:rFonts w:hint="default"/>
                      <w:color w:val="auto"/>
                      <w:szCs w:val="21"/>
                    </w:rPr>
                    <w:t>%</w:t>
                  </w:r>
                </w:p>
              </w:tc>
              <w:tc>
                <w:tcPr>
                  <w:tcW w:w="794" w:type="dxa"/>
                  <w:vAlign w:val="center"/>
                </w:tcPr>
                <w:p>
                  <w:pPr>
                    <w:pStyle w:val="74"/>
                    <w:topLinePunct/>
                    <w:rPr>
                      <w:rFonts w:hint="default"/>
                      <w:color w:val="auto"/>
                      <w:szCs w:val="21"/>
                    </w:rPr>
                  </w:pPr>
                  <w:r>
                    <w:rPr>
                      <w:rFonts w:hint="default"/>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0" w:type="dxa"/>
                  <w:vAlign w:val="center"/>
                </w:tcPr>
                <w:p>
                  <w:pPr>
                    <w:topLinePunct/>
                    <w:adjustRightInd w:val="0"/>
                    <w:snapToGrid w:val="0"/>
                    <w:jc w:val="center"/>
                    <w:rPr>
                      <w:color w:val="auto"/>
                      <w:szCs w:val="21"/>
                    </w:rPr>
                  </w:pPr>
                  <w:r>
                    <w:rPr>
                      <w:rFonts w:hint="eastAsia" w:cs="宋体"/>
                      <w:color w:val="auto"/>
                      <w:kern w:val="0"/>
                      <w:szCs w:val="21"/>
                      <w:lang w:bidi="ar"/>
                    </w:rPr>
                    <w:t>G5</w:t>
                  </w:r>
                </w:p>
              </w:tc>
              <w:tc>
                <w:tcPr>
                  <w:tcW w:w="1298" w:type="dxa"/>
                  <w:vAlign w:val="center"/>
                </w:tcPr>
                <w:p>
                  <w:pPr>
                    <w:topLinePunct/>
                    <w:adjustRightInd w:val="0"/>
                    <w:snapToGrid w:val="0"/>
                    <w:jc w:val="center"/>
                    <w:rPr>
                      <w:color w:val="auto"/>
                      <w:szCs w:val="21"/>
                    </w:rPr>
                  </w:pPr>
                  <w:r>
                    <w:rPr>
                      <w:rFonts w:hint="eastAsia"/>
                      <w:color w:val="auto"/>
                      <w:szCs w:val="21"/>
                    </w:rPr>
                    <w:t>TSP</w:t>
                  </w:r>
                </w:p>
              </w:tc>
              <w:tc>
                <w:tcPr>
                  <w:tcW w:w="1077" w:type="dxa"/>
                  <w:vAlign w:val="center"/>
                </w:tcPr>
                <w:p>
                  <w:pPr>
                    <w:topLinePunct/>
                    <w:adjustRightInd w:val="0"/>
                    <w:snapToGrid w:val="0"/>
                    <w:jc w:val="center"/>
                    <w:rPr>
                      <w:color w:val="auto"/>
                      <w:szCs w:val="21"/>
                    </w:rPr>
                  </w:pPr>
                  <w:r>
                    <w:rPr>
                      <w:rFonts w:hint="eastAsia"/>
                      <w:color w:val="auto"/>
                      <w:szCs w:val="21"/>
                    </w:rPr>
                    <w:t>日均值</w:t>
                  </w:r>
                </w:p>
              </w:tc>
              <w:tc>
                <w:tcPr>
                  <w:tcW w:w="760" w:type="dxa"/>
                  <w:vAlign w:val="center"/>
                </w:tcPr>
                <w:p>
                  <w:pPr>
                    <w:topLinePunct/>
                    <w:adjustRightInd w:val="0"/>
                    <w:snapToGrid w:val="0"/>
                    <w:jc w:val="center"/>
                    <w:rPr>
                      <w:color w:val="auto"/>
                      <w:szCs w:val="21"/>
                    </w:rPr>
                  </w:pPr>
                  <w:r>
                    <w:rPr>
                      <w:rFonts w:hint="eastAsia"/>
                      <w:color w:val="auto"/>
                      <w:szCs w:val="21"/>
                    </w:rPr>
                    <w:t>0.3</w:t>
                  </w:r>
                </w:p>
              </w:tc>
              <w:tc>
                <w:tcPr>
                  <w:tcW w:w="1542" w:type="dxa"/>
                  <w:vAlign w:val="center"/>
                </w:tcPr>
                <w:p>
                  <w:pPr>
                    <w:topLinePunct/>
                    <w:adjustRightInd w:val="0"/>
                    <w:snapToGrid w:val="0"/>
                    <w:jc w:val="center"/>
                    <w:rPr>
                      <w:color w:val="auto"/>
                      <w:szCs w:val="21"/>
                    </w:rPr>
                  </w:pPr>
                  <w:r>
                    <w:rPr>
                      <w:rFonts w:hint="eastAsia"/>
                      <w:color w:val="auto"/>
                      <w:szCs w:val="21"/>
                    </w:rPr>
                    <w:t>0.108</w:t>
                  </w:r>
                </w:p>
              </w:tc>
              <w:tc>
                <w:tcPr>
                  <w:tcW w:w="1156" w:type="dxa"/>
                  <w:vAlign w:val="center"/>
                </w:tcPr>
                <w:p>
                  <w:pPr>
                    <w:topLinePunct/>
                    <w:adjustRightInd w:val="0"/>
                    <w:snapToGrid w:val="0"/>
                    <w:jc w:val="center"/>
                    <w:rPr>
                      <w:color w:val="auto"/>
                      <w:szCs w:val="21"/>
                    </w:rPr>
                  </w:pPr>
                  <w:r>
                    <w:rPr>
                      <w:rFonts w:hint="eastAsia"/>
                      <w:color w:val="auto"/>
                      <w:szCs w:val="21"/>
                    </w:rPr>
                    <w:t>36</w:t>
                  </w:r>
                </w:p>
              </w:tc>
              <w:tc>
                <w:tcPr>
                  <w:tcW w:w="850" w:type="dxa"/>
                  <w:vAlign w:val="center"/>
                </w:tcPr>
                <w:p>
                  <w:pPr>
                    <w:topLinePunct/>
                    <w:adjustRightInd w:val="0"/>
                    <w:snapToGrid w:val="0"/>
                    <w:jc w:val="center"/>
                    <w:rPr>
                      <w:color w:val="auto"/>
                      <w:szCs w:val="21"/>
                    </w:rPr>
                  </w:pPr>
                  <w:r>
                    <w:rPr>
                      <w:rFonts w:hint="eastAsia"/>
                      <w:color w:val="auto"/>
                      <w:szCs w:val="21"/>
                    </w:rPr>
                    <w:t>0</w:t>
                  </w:r>
                </w:p>
              </w:tc>
              <w:tc>
                <w:tcPr>
                  <w:tcW w:w="794" w:type="dxa"/>
                  <w:vAlign w:val="center"/>
                </w:tcPr>
                <w:p>
                  <w:pPr>
                    <w:topLinePunct/>
                    <w:adjustRightInd w:val="0"/>
                    <w:snapToGrid w:val="0"/>
                    <w:jc w:val="center"/>
                    <w:rPr>
                      <w:color w:val="auto"/>
                      <w:szCs w:val="21"/>
                    </w:rPr>
                  </w:pPr>
                  <w:r>
                    <w:rPr>
                      <w:rFonts w:hint="eastAsia"/>
                      <w:color w:val="auto"/>
                      <w:szCs w:val="21"/>
                    </w:rPr>
                    <w:t>达标</w:t>
                  </w:r>
                </w:p>
              </w:tc>
            </w:tr>
          </w:tbl>
          <w:p>
            <w:pPr>
              <w:adjustRightInd w:val="0"/>
              <w:snapToGrid w:val="0"/>
              <w:spacing w:before="120" w:beforeLines="50" w:line="360" w:lineRule="auto"/>
              <w:ind w:firstLine="480" w:firstLineChars="200"/>
              <w:rPr>
                <w:b/>
                <w:bCs/>
                <w:color w:val="auto"/>
                <w:sz w:val="24"/>
              </w:rPr>
            </w:pPr>
            <w:r>
              <w:rPr>
                <w:rFonts w:cs="宋体"/>
                <w:color w:val="auto"/>
                <w:kern w:val="0"/>
                <w:sz w:val="24"/>
                <w:lang w:bidi="ar"/>
              </w:rPr>
              <w:t>由上表可知，</w:t>
            </w:r>
            <w:r>
              <w:rPr>
                <w:rFonts w:hint="eastAsia" w:cs="宋体"/>
                <w:color w:val="auto"/>
                <w:kern w:val="0"/>
                <w:sz w:val="24"/>
                <w:lang w:bidi="ar"/>
              </w:rPr>
              <w:t>项目区域</w:t>
            </w:r>
            <w:r>
              <w:rPr>
                <w:rFonts w:hint="eastAsia"/>
                <w:color w:val="auto"/>
                <w:sz w:val="24"/>
              </w:rPr>
              <w:t>TSP监测结果满足《环境空气质量标准》（GB3095-2012）中二级标准限值要求</w:t>
            </w:r>
            <w:r>
              <w:rPr>
                <w:rFonts w:cs="宋体"/>
                <w:color w:val="auto"/>
                <w:kern w:val="0"/>
                <w:sz w:val="24"/>
                <w:lang w:bidi="ar"/>
              </w:rPr>
              <w:t>。</w:t>
            </w:r>
          </w:p>
          <w:p>
            <w:pPr>
              <w:adjustRightInd w:val="0"/>
              <w:snapToGrid w:val="0"/>
              <w:spacing w:line="360" w:lineRule="auto"/>
              <w:ind w:firstLine="482" w:firstLineChars="200"/>
              <w:rPr>
                <w:b/>
                <w:bCs/>
                <w:color w:val="auto"/>
                <w:sz w:val="24"/>
              </w:rPr>
            </w:pPr>
            <w:r>
              <w:rPr>
                <w:b/>
                <w:bCs/>
                <w:color w:val="auto"/>
                <w:sz w:val="24"/>
              </w:rPr>
              <w:t>2、地表水环境质量现状</w:t>
            </w:r>
          </w:p>
          <w:p>
            <w:pPr>
              <w:adjustRightInd w:val="0"/>
              <w:snapToGrid w:val="0"/>
              <w:spacing w:line="360" w:lineRule="auto"/>
              <w:ind w:firstLine="480" w:firstLineChars="200"/>
              <w:rPr>
                <w:rFonts w:cs="宋体"/>
                <w:color w:val="auto"/>
                <w:kern w:val="0"/>
                <w:sz w:val="24"/>
                <w:lang w:bidi="ar"/>
              </w:rPr>
            </w:pPr>
            <w:r>
              <w:rPr>
                <w:color w:val="auto"/>
                <w:sz w:val="24"/>
                <w:szCs w:val="28"/>
              </w:rPr>
              <w:t>建设项目</w:t>
            </w:r>
            <w:r>
              <w:rPr>
                <w:rFonts w:hint="eastAsia"/>
                <w:color w:val="auto"/>
                <w:sz w:val="24"/>
                <w:szCs w:val="28"/>
              </w:rPr>
              <w:t>地表水受体为北淝河</w:t>
            </w:r>
            <w:r>
              <w:rPr>
                <w:color w:val="auto"/>
                <w:sz w:val="24"/>
                <w:szCs w:val="28"/>
              </w:rPr>
              <w:t>。</w:t>
            </w:r>
            <w:r>
              <w:rPr>
                <w:rFonts w:cs="宋体"/>
                <w:color w:val="auto"/>
                <w:kern w:val="0"/>
                <w:sz w:val="24"/>
                <w:lang w:bidi="ar"/>
              </w:rPr>
              <w:t>区域地表水环境引用</w:t>
            </w:r>
            <w:r>
              <w:rPr>
                <w:rFonts w:hint="eastAsia" w:cs="宋体"/>
                <w:color w:val="auto"/>
                <w:kern w:val="0"/>
                <w:sz w:val="24"/>
                <w:lang w:bidi="ar"/>
              </w:rPr>
              <w:t>蚌埠市生态环境局发布的《2024年蚌埠市生态环境质量状况公报》</w:t>
            </w:r>
            <w:r>
              <w:rPr>
                <w:rFonts w:cs="宋体"/>
                <w:color w:val="auto"/>
                <w:kern w:val="0"/>
                <w:sz w:val="24"/>
                <w:lang w:bidi="ar"/>
              </w:rPr>
              <w:t>，具体如下：</w:t>
            </w:r>
          </w:p>
          <w:p>
            <w:pPr>
              <w:adjustRightInd w:val="0"/>
              <w:snapToGrid w:val="0"/>
              <w:spacing w:line="360" w:lineRule="auto"/>
              <w:ind w:firstLine="480" w:firstLineChars="200"/>
              <w:rPr>
                <w:rFonts w:cs="宋体"/>
                <w:color w:val="auto"/>
                <w:kern w:val="0"/>
                <w:sz w:val="24"/>
                <w:lang w:bidi="ar"/>
              </w:rPr>
            </w:pPr>
            <w:r>
              <w:rPr>
                <w:rFonts w:cs="宋体"/>
                <w:color w:val="auto"/>
                <w:kern w:val="0"/>
                <w:sz w:val="24"/>
                <w:lang w:bidi="ar"/>
              </w:rPr>
              <w:t>淮河蚌</w:t>
            </w:r>
            <w:r>
              <w:rPr>
                <w:color w:val="auto"/>
                <w:kern w:val="0"/>
                <w:sz w:val="24"/>
                <w:lang w:bidi="ar"/>
              </w:rPr>
              <w:t>埠段支流：淮河蚌埠段支流：怀洪新河五河、浍河蚌埠固镇、茨淮新河上桥闸上、涡河怀远三桥、北淝河入淮河口、沱河关咀等6个监测断面均符合Ⅲ类标准，水质状况良好。淮河蚌埠段支流总体水质状况同比无明显变化。</w:t>
            </w:r>
          </w:p>
          <w:p>
            <w:pPr>
              <w:spacing w:line="360" w:lineRule="auto"/>
              <w:ind w:firstLine="480" w:firstLineChars="200"/>
              <w:rPr>
                <w:color w:val="auto"/>
                <w:sz w:val="24"/>
                <w:szCs w:val="28"/>
              </w:rPr>
            </w:pPr>
            <w:r>
              <w:rPr>
                <w:rFonts w:hint="eastAsia" w:cs="宋体"/>
                <w:color w:val="auto"/>
                <w:kern w:val="0"/>
                <w:sz w:val="24"/>
                <w:lang w:bidi="ar"/>
              </w:rPr>
              <w:t>综上所述，</w:t>
            </w:r>
            <w:r>
              <w:rPr>
                <w:color w:val="auto"/>
                <w:sz w:val="24"/>
                <w:szCs w:val="28"/>
              </w:rPr>
              <w:t>建设项目</w:t>
            </w:r>
            <w:r>
              <w:rPr>
                <w:rFonts w:hint="eastAsia"/>
                <w:color w:val="auto"/>
                <w:sz w:val="24"/>
                <w:szCs w:val="28"/>
              </w:rPr>
              <w:t>地表水受体北淝河</w:t>
            </w:r>
            <w:r>
              <w:rPr>
                <w:rFonts w:hint="eastAsia" w:cs="宋体"/>
                <w:color w:val="auto"/>
                <w:kern w:val="0"/>
                <w:sz w:val="24"/>
                <w:lang w:bidi="ar"/>
              </w:rPr>
              <w:t>符合</w:t>
            </w:r>
            <w:r>
              <w:rPr>
                <w:rFonts w:cs="宋体"/>
                <w:color w:val="auto"/>
                <w:kern w:val="0"/>
                <w:sz w:val="24"/>
                <w:lang w:bidi="ar"/>
              </w:rPr>
              <w:t>《地表水环境质量标准》（GB3838-2002）中</w:t>
            </w:r>
            <w:r>
              <w:rPr>
                <w:rFonts w:hint="eastAsia" w:cs="宋体"/>
                <w:color w:val="auto"/>
                <w:kern w:val="0"/>
                <w:sz w:val="24"/>
                <w:lang w:eastAsia="zh-CN" w:bidi="ar"/>
              </w:rPr>
              <w:t>IV类</w:t>
            </w:r>
            <w:r>
              <w:rPr>
                <w:rFonts w:cs="宋体"/>
                <w:color w:val="auto"/>
                <w:kern w:val="0"/>
                <w:sz w:val="24"/>
                <w:lang w:bidi="ar"/>
              </w:rPr>
              <w:t>标准</w:t>
            </w:r>
            <w:r>
              <w:rPr>
                <w:rFonts w:hint="eastAsia" w:cs="宋体"/>
                <w:color w:val="auto"/>
                <w:kern w:val="0"/>
                <w:sz w:val="24"/>
                <w:lang w:bidi="ar"/>
              </w:rPr>
              <w:t>，水环境</w:t>
            </w:r>
            <w:r>
              <w:rPr>
                <w:rFonts w:cs="宋体"/>
                <w:color w:val="auto"/>
                <w:kern w:val="0"/>
                <w:sz w:val="24"/>
                <w:lang w:bidi="ar"/>
              </w:rPr>
              <w:t>质量较好</w:t>
            </w:r>
            <w:r>
              <w:rPr>
                <w:color w:val="auto"/>
                <w:sz w:val="24"/>
                <w:szCs w:val="28"/>
              </w:rPr>
              <w:t>。</w:t>
            </w:r>
          </w:p>
          <w:p>
            <w:pPr>
              <w:adjustRightInd w:val="0"/>
              <w:snapToGrid w:val="0"/>
              <w:spacing w:line="336" w:lineRule="auto"/>
              <w:ind w:firstLine="482" w:firstLineChars="200"/>
              <w:rPr>
                <w:rFonts w:ascii="宋体" w:hAnsi="宋体" w:cs="宋体"/>
                <w:b/>
                <w:bCs/>
                <w:color w:val="auto"/>
                <w:sz w:val="24"/>
              </w:rPr>
            </w:pPr>
            <w:r>
              <w:rPr>
                <w:b/>
                <w:bCs/>
                <w:color w:val="auto"/>
                <w:sz w:val="24"/>
              </w:rPr>
              <w:t>3、</w:t>
            </w:r>
            <w:r>
              <w:rPr>
                <w:rFonts w:hint="eastAsia" w:ascii="宋体" w:hAnsi="宋体" w:cs="宋体"/>
                <w:b/>
                <w:bCs/>
                <w:color w:val="auto"/>
                <w:sz w:val="24"/>
              </w:rPr>
              <w:t>声环境质量</w:t>
            </w:r>
          </w:p>
          <w:p>
            <w:pPr>
              <w:topLinePunct/>
              <w:adjustRightInd w:val="0"/>
              <w:snapToGrid w:val="0"/>
              <w:spacing w:line="336" w:lineRule="auto"/>
              <w:ind w:firstLine="480" w:firstLineChars="200"/>
              <w:rPr>
                <w:b/>
                <w:bCs/>
                <w:color w:val="auto"/>
                <w:sz w:val="24"/>
              </w:rPr>
            </w:pPr>
            <w:r>
              <w:rPr>
                <w:color w:val="auto"/>
                <w:sz w:val="24"/>
              </w:rPr>
              <w:t>项目位于</w:t>
            </w:r>
            <w:r>
              <w:rPr>
                <w:rFonts w:hint="eastAsia"/>
                <w:color w:val="auto"/>
                <w:sz w:val="24"/>
              </w:rPr>
              <w:t>蚌埠市固镇县新马桥镇铜陵产业园规划十二号路东侧2#厂房</w:t>
            </w:r>
            <w:r>
              <w:rPr>
                <w:color w:val="auto"/>
                <w:sz w:val="24"/>
              </w:rPr>
              <w:t>，周边50m范围内无声环境保护目标。根据生态环境部办公厅2020年12月24日印发的《建设项目环境影响报告表》内容、格式及编制技术指南的通知，可不进行现场噪声监测。</w:t>
            </w:r>
          </w:p>
          <w:p>
            <w:pPr>
              <w:topLinePunct/>
              <w:adjustRightInd w:val="0"/>
              <w:snapToGrid w:val="0"/>
              <w:spacing w:line="336" w:lineRule="auto"/>
              <w:ind w:firstLine="482" w:firstLineChars="200"/>
              <w:rPr>
                <w:rFonts w:cs="宋体"/>
                <w:b/>
                <w:bCs/>
                <w:color w:val="auto"/>
                <w:sz w:val="24"/>
              </w:rPr>
            </w:pPr>
            <w:r>
              <w:rPr>
                <w:rFonts w:cs="宋体"/>
                <w:b/>
                <w:bCs/>
                <w:color w:val="auto"/>
                <w:sz w:val="24"/>
              </w:rPr>
              <w:t>4、生态环境</w:t>
            </w:r>
          </w:p>
          <w:p>
            <w:pPr>
              <w:topLinePunct/>
              <w:adjustRightInd w:val="0"/>
              <w:snapToGrid w:val="0"/>
              <w:spacing w:line="336" w:lineRule="auto"/>
              <w:ind w:firstLine="480" w:firstLineChars="200"/>
              <w:rPr>
                <w:rFonts w:cs="宋体"/>
                <w:color w:val="auto"/>
                <w:kern w:val="0"/>
                <w:sz w:val="24"/>
                <w:lang w:bidi="ar"/>
              </w:rPr>
            </w:pPr>
            <w:r>
              <w:rPr>
                <w:rFonts w:cs="宋体"/>
                <w:color w:val="auto"/>
                <w:kern w:val="0"/>
                <w:sz w:val="24"/>
                <w:lang w:bidi="ar"/>
              </w:rPr>
              <w:t>项目区</w:t>
            </w:r>
            <w:r>
              <w:rPr>
                <w:rFonts w:hint="eastAsia" w:cs="宋体"/>
                <w:color w:val="auto"/>
                <w:kern w:val="0"/>
                <w:sz w:val="24"/>
                <w:lang w:bidi="ar"/>
              </w:rPr>
              <w:t>域范围</w:t>
            </w:r>
            <w:r>
              <w:rPr>
                <w:rFonts w:cs="宋体"/>
                <w:color w:val="auto"/>
                <w:kern w:val="0"/>
                <w:sz w:val="24"/>
                <w:lang w:bidi="ar"/>
              </w:rPr>
              <w:t>内无珍稀动植物和文物保护区，无重大生态环境制约因素。</w:t>
            </w:r>
          </w:p>
          <w:p>
            <w:pPr>
              <w:topLinePunct/>
              <w:adjustRightInd w:val="0"/>
              <w:snapToGrid w:val="0"/>
              <w:spacing w:line="336" w:lineRule="auto"/>
              <w:ind w:firstLine="482" w:firstLineChars="200"/>
              <w:rPr>
                <w:rFonts w:cs="宋体"/>
                <w:b/>
                <w:bCs/>
                <w:color w:val="auto"/>
                <w:sz w:val="24"/>
              </w:rPr>
            </w:pPr>
            <w:r>
              <w:rPr>
                <w:rFonts w:cs="宋体"/>
                <w:b/>
                <w:bCs/>
                <w:color w:val="auto"/>
                <w:sz w:val="24"/>
              </w:rPr>
              <w:t>5、电磁辐射</w:t>
            </w:r>
          </w:p>
          <w:p>
            <w:pPr>
              <w:topLinePunct/>
              <w:adjustRightInd w:val="0"/>
              <w:snapToGrid w:val="0"/>
              <w:spacing w:line="336" w:lineRule="auto"/>
              <w:ind w:firstLine="480" w:firstLineChars="200"/>
              <w:rPr>
                <w:rFonts w:cs="宋体"/>
                <w:color w:val="auto"/>
                <w:kern w:val="0"/>
                <w:sz w:val="24"/>
                <w:lang w:bidi="ar"/>
              </w:rPr>
            </w:pPr>
            <w:r>
              <w:rPr>
                <w:rFonts w:hint="eastAsia" w:cs="宋体"/>
                <w:color w:val="auto"/>
                <w:kern w:val="0"/>
                <w:sz w:val="24"/>
                <w:lang w:bidi="ar"/>
              </w:rPr>
              <w:t>项目不涉及电磁辐射。</w:t>
            </w:r>
          </w:p>
          <w:p>
            <w:pPr>
              <w:adjustRightInd w:val="0"/>
              <w:snapToGrid w:val="0"/>
              <w:spacing w:line="336" w:lineRule="auto"/>
              <w:ind w:firstLine="482" w:firstLineChars="200"/>
              <w:rPr>
                <w:rFonts w:cs="宋体"/>
                <w:b/>
                <w:bCs/>
                <w:color w:val="auto"/>
                <w:sz w:val="24"/>
              </w:rPr>
            </w:pPr>
            <w:r>
              <w:rPr>
                <w:rFonts w:hint="eastAsia" w:cs="宋体"/>
                <w:b/>
                <w:bCs/>
                <w:color w:val="auto"/>
                <w:sz w:val="24"/>
              </w:rPr>
              <w:t>6、地下水、土壤环境</w:t>
            </w:r>
          </w:p>
          <w:p>
            <w:pPr>
              <w:adjustRightInd w:val="0"/>
              <w:snapToGrid w:val="0"/>
              <w:spacing w:line="336" w:lineRule="auto"/>
              <w:ind w:firstLine="480" w:firstLineChars="200"/>
              <w:rPr>
                <w:rFonts w:ascii="宋体" w:hAnsi="宋体" w:cs="宋体"/>
                <w:color w:val="auto"/>
                <w:kern w:val="0"/>
                <w:szCs w:val="21"/>
              </w:rPr>
            </w:pPr>
            <w:r>
              <w:rPr>
                <w:rFonts w:hint="eastAsia" w:cs="宋体"/>
                <w:color w:val="auto"/>
                <w:kern w:val="0"/>
                <w:sz w:val="24"/>
                <w:lang w:bidi="ar"/>
              </w:rPr>
              <w:t>建设项目厂房内地面采取硬化并按照相关防渗要求进行分区防控处理，正常工况下不存在地下水、土壤环境污染途径，根据《建设项目环境影响报告表编制技术指南-污染影响类》（试行）中要求，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82" w:type="dxa"/>
            <w:vAlign w:val="center"/>
          </w:tcPr>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环境</w:t>
            </w:r>
          </w:p>
          <w:p>
            <w:pPr>
              <w:adjustRightInd w:val="0"/>
              <w:snapToGrid w:val="0"/>
              <w:ind w:left="-63" w:leftChars="-30" w:right="-63" w:rightChars="-30"/>
              <w:jc w:val="center"/>
              <w:rPr>
                <w:rFonts w:ascii="宋体" w:hAnsi="宋体" w:cs="宋体"/>
                <w:b/>
                <w:bCs/>
                <w:color w:val="auto"/>
                <w:kern w:val="0"/>
                <w:sz w:val="24"/>
              </w:rPr>
            </w:pPr>
            <w:r>
              <w:rPr>
                <w:rFonts w:hint="eastAsia" w:ascii="宋体" w:hAnsi="宋体" w:cs="宋体"/>
                <w:b/>
                <w:bCs/>
                <w:color w:val="auto"/>
                <w:kern w:val="0"/>
                <w:sz w:val="24"/>
              </w:rPr>
              <w:t>保护</w:t>
            </w:r>
          </w:p>
          <w:p>
            <w:pPr>
              <w:adjustRightInd w:val="0"/>
              <w:snapToGrid w:val="0"/>
              <w:ind w:left="-63" w:leftChars="-30" w:right="-63" w:rightChars="-30"/>
              <w:jc w:val="center"/>
              <w:rPr>
                <w:rFonts w:ascii="宋体" w:hAnsi="宋体" w:cs="宋体"/>
                <w:color w:val="auto"/>
                <w:kern w:val="0"/>
                <w:sz w:val="24"/>
              </w:rPr>
            </w:pPr>
            <w:r>
              <w:rPr>
                <w:rFonts w:hint="eastAsia" w:ascii="宋体" w:hAnsi="宋体" w:cs="宋体"/>
                <w:b/>
                <w:bCs/>
                <w:color w:val="auto"/>
                <w:kern w:val="0"/>
                <w:sz w:val="24"/>
              </w:rPr>
              <w:t>目标</w:t>
            </w:r>
          </w:p>
        </w:tc>
        <w:tc>
          <w:tcPr>
            <w:tcW w:w="9159" w:type="dxa"/>
          </w:tcPr>
          <w:p>
            <w:pPr>
              <w:adjustRightInd w:val="0"/>
              <w:snapToGrid w:val="0"/>
              <w:spacing w:before="120" w:beforeLines="50" w:line="336" w:lineRule="auto"/>
              <w:ind w:firstLine="480" w:firstLineChars="200"/>
              <w:rPr>
                <w:b/>
                <w:bCs/>
                <w:color w:val="auto"/>
                <w:sz w:val="24"/>
              </w:rPr>
            </w:pPr>
            <w:r>
              <w:rPr>
                <w:snapToGrid w:val="0"/>
                <w:color w:val="auto"/>
                <w:kern w:val="24"/>
                <w:sz w:val="24"/>
              </w:rPr>
              <w:t>本</w:t>
            </w:r>
            <w:r>
              <w:rPr>
                <w:rFonts w:hint="eastAsia"/>
                <w:snapToGrid w:val="0"/>
                <w:color w:val="auto"/>
                <w:kern w:val="24"/>
                <w:sz w:val="24"/>
              </w:rPr>
              <w:t>项目位于</w:t>
            </w:r>
            <w:r>
              <w:rPr>
                <w:rFonts w:hint="eastAsia"/>
                <w:color w:val="auto"/>
                <w:sz w:val="24"/>
              </w:rPr>
              <w:t>蚌埠市固镇县新马桥镇铜陵产业园规划十二号路东侧2#厂房</w:t>
            </w:r>
            <w:r>
              <w:rPr>
                <w:snapToGrid w:val="0"/>
                <w:color w:val="auto"/>
                <w:kern w:val="28"/>
                <w:sz w:val="24"/>
              </w:rPr>
              <w:t>。根据现场踏勘，</w:t>
            </w:r>
            <w:r>
              <w:rPr>
                <w:bCs/>
                <w:color w:val="auto"/>
                <w:sz w:val="24"/>
              </w:rPr>
              <w:t>项目评价范围内</w:t>
            </w:r>
            <w:r>
              <w:rPr>
                <w:color w:val="auto"/>
                <w:sz w:val="24"/>
              </w:rPr>
              <w:t>无自然保护区、风景名胜区、饮用水源保护区和文物古迹等需要特殊保护的环境敏感对象。保护目标为区域大气、水、声环境质量及敏感目标，具体环境保护目标如下：</w:t>
            </w:r>
          </w:p>
          <w:p>
            <w:pPr>
              <w:adjustRightInd w:val="0"/>
              <w:snapToGrid w:val="0"/>
              <w:spacing w:before="120" w:beforeLines="50" w:line="336" w:lineRule="auto"/>
              <w:ind w:firstLine="482" w:firstLineChars="200"/>
              <w:rPr>
                <w:b/>
                <w:bCs/>
                <w:color w:val="auto"/>
                <w:sz w:val="24"/>
              </w:rPr>
            </w:pPr>
            <w:r>
              <w:rPr>
                <w:b/>
                <w:bCs/>
                <w:color w:val="auto"/>
                <w:sz w:val="24"/>
              </w:rPr>
              <w:t>1、大气环境</w:t>
            </w:r>
          </w:p>
          <w:p>
            <w:pPr>
              <w:pStyle w:val="19"/>
              <w:adjustRightInd w:val="0"/>
              <w:snapToGrid w:val="0"/>
              <w:spacing w:line="336" w:lineRule="auto"/>
              <w:ind w:left="0" w:leftChars="0"/>
              <w:jc w:val="center"/>
              <w:outlineLvl w:val="0"/>
              <w:rPr>
                <w:color w:val="auto"/>
              </w:rPr>
            </w:pPr>
            <w:r>
              <w:rPr>
                <w:color w:val="auto"/>
              </w:rPr>
              <w:t>根据现场勘察，项目厂界外500米范围内的大气环境保护目标如下表所示。</w:t>
            </w:r>
          </w:p>
          <w:p>
            <w:pPr>
              <w:pStyle w:val="19"/>
              <w:adjustRightInd w:val="0"/>
              <w:snapToGrid w:val="0"/>
              <w:ind w:left="0" w:leftChars="0"/>
              <w:jc w:val="center"/>
              <w:outlineLvl w:val="0"/>
              <w:rPr>
                <w:b/>
                <w:bCs/>
                <w:color w:val="auto"/>
                <w:szCs w:val="24"/>
              </w:rPr>
            </w:pPr>
            <w:r>
              <w:rPr>
                <w:b/>
                <w:bCs/>
                <w:color w:val="auto"/>
                <w:szCs w:val="24"/>
              </w:rPr>
              <w:t>表3-</w:t>
            </w:r>
            <w:r>
              <w:rPr>
                <w:rFonts w:hint="eastAsia"/>
                <w:b/>
                <w:bCs/>
                <w:color w:val="auto"/>
                <w:szCs w:val="24"/>
              </w:rPr>
              <w:t>4</w:t>
            </w:r>
            <w:r>
              <w:rPr>
                <w:b/>
                <w:bCs/>
                <w:color w:val="auto"/>
                <w:szCs w:val="24"/>
              </w:rPr>
              <w:t xml:space="preserve"> </w:t>
            </w:r>
            <w:r>
              <w:rPr>
                <w:rFonts w:hint="eastAsia"/>
                <w:b/>
                <w:bCs/>
                <w:color w:val="auto"/>
                <w:szCs w:val="24"/>
              </w:rPr>
              <w:t xml:space="preserve"> </w:t>
            </w:r>
            <w:r>
              <w:rPr>
                <w:b/>
                <w:bCs/>
                <w:color w:val="auto"/>
                <w:szCs w:val="24"/>
              </w:rPr>
              <w:t>项目大气环境保护目标</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127"/>
              <w:gridCol w:w="1131"/>
              <w:gridCol w:w="795"/>
              <w:gridCol w:w="1004"/>
              <w:gridCol w:w="1471"/>
              <w:gridCol w:w="1001"/>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名称</w:t>
                  </w:r>
                </w:p>
              </w:tc>
              <w:tc>
                <w:tcPr>
                  <w:tcW w:w="1262" w:type="pct"/>
                  <w:gridSpan w:val="2"/>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坐标/m</w:t>
                  </w:r>
                </w:p>
              </w:tc>
              <w:tc>
                <w:tcPr>
                  <w:tcW w:w="444"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保护对象</w:t>
                  </w:r>
                </w:p>
              </w:tc>
              <w:tc>
                <w:tcPr>
                  <w:tcW w:w="561"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保护</w:t>
                  </w:r>
                </w:p>
                <w:p>
                  <w:pPr>
                    <w:adjustRightInd w:val="0"/>
                    <w:snapToGrid w:val="0"/>
                    <w:ind w:left="63" w:leftChars="30" w:right="63" w:rightChars="30"/>
                    <w:jc w:val="center"/>
                    <w:rPr>
                      <w:b/>
                      <w:bCs/>
                      <w:color w:val="auto"/>
                      <w:szCs w:val="21"/>
                    </w:rPr>
                  </w:pPr>
                  <w:r>
                    <w:rPr>
                      <w:b/>
                      <w:bCs/>
                      <w:color w:val="auto"/>
                      <w:szCs w:val="21"/>
                    </w:rPr>
                    <w:t>内容</w:t>
                  </w:r>
                </w:p>
              </w:tc>
              <w:tc>
                <w:tcPr>
                  <w:tcW w:w="823" w:type="pct"/>
                  <w:vMerge w:val="restart"/>
                  <w:tcBorders>
                    <w:tl2br w:val="nil"/>
                    <w:tr2bl w:val="nil"/>
                  </w:tcBorders>
                  <w:tcMar>
                    <w:top w:w="0" w:type="dxa"/>
                    <w:left w:w="28" w:type="dxa"/>
                    <w:bottom w:w="0" w:type="dxa"/>
                    <w:right w:w="28" w:type="dxa"/>
                  </w:tcMar>
                  <w:vAlign w:val="center"/>
                </w:tcPr>
                <w:p>
                  <w:pPr>
                    <w:ind w:left="63" w:leftChars="30" w:right="63" w:rightChars="30"/>
                    <w:jc w:val="center"/>
                    <w:rPr>
                      <w:b/>
                      <w:bCs/>
                      <w:color w:val="auto"/>
                      <w:szCs w:val="21"/>
                    </w:rPr>
                  </w:pPr>
                  <w:r>
                    <w:rPr>
                      <w:b/>
                      <w:bCs/>
                      <w:color w:val="auto"/>
                      <w:szCs w:val="21"/>
                    </w:rPr>
                    <w:t>环境功能区</w:t>
                  </w:r>
                </w:p>
              </w:tc>
              <w:tc>
                <w:tcPr>
                  <w:tcW w:w="560" w:type="pct"/>
                  <w:vMerge w:val="restart"/>
                  <w:tcBorders>
                    <w:tl2br w:val="nil"/>
                    <w:tr2bl w:val="nil"/>
                  </w:tcBorders>
                  <w:tcMar>
                    <w:top w:w="0" w:type="dxa"/>
                    <w:left w:w="28" w:type="dxa"/>
                    <w:bottom w:w="0" w:type="dxa"/>
                    <w:right w:w="28" w:type="dxa"/>
                  </w:tcMar>
                  <w:vAlign w:val="center"/>
                </w:tcPr>
                <w:p>
                  <w:pPr>
                    <w:ind w:left="63" w:leftChars="30" w:right="63" w:rightChars="30"/>
                    <w:jc w:val="center"/>
                    <w:rPr>
                      <w:b/>
                      <w:bCs/>
                      <w:color w:val="auto"/>
                      <w:szCs w:val="21"/>
                    </w:rPr>
                  </w:pPr>
                  <w:r>
                    <w:rPr>
                      <w:b/>
                      <w:bCs/>
                      <w:color w:val="auto"/>
                      <w:szCs w:val="21"/>
                    </w:rPr>
                    <w:t>相对厂址方位</w:t>
                  </w:r>
                </w:p>
              </w:tc>
              <w:tc>
                <w:tcPr>
                  <w:tcW w:w="625"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auto"/>
                      <w:szCs w:val="21"/>
                    </w:rPr>
                  </w:pPr>
                </w:p>
              </w:tc>
              <w:tc>
                <w:tcPr>
                  <w:tcW w:w="630" w:type="pc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X</w:t>
                  </w:r>
                </w:p>
              </w:tc>
              <w:tc>
                <w:tcPr>
                  <w:tcW w:w="632" w:type="pc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auto"/>
                      <w:szCs w:val="21"/>
                    </w:rPr>
                  </w:pPr>
                  <w:r>
                    <w:rPr>
                      <w:b/>
                      <w:bCs/>
                      <w:color w:val="auto"/>
                      <w:szCs w:val="21"/>
                    </w:rPr>
                    <w:t>Y</w:t>
                  </w:r>
                </w:p>
              </w:tc>
              <w:tc>
                <w:tcPr>
                  <w:tcW w:w="444"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auto"/>
                      <w:szCs w:val="21"/>
                    </w:rPr>
                  </w:pPr>
                </w:p>
              </w:tc>
              <w:tc>
                <w:tcPr>
                  <w:tcW w:w="561"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auto"/>
                      <w:szCs w:val="21"/>
                    </w:rPr>
                  </w:pPr>
                </w:p>
              </w:tc>
              <w:tc>
                <w:tcPr>
                  <w:tcW w:w="823" w:type="pct"/>
                  <w:vMerge w:val="continue"/>
                  <w:tcBorders>
                    <w:tl2br w:val="nil"/>
                    <w:tr2bl w:val="nil"/>
                  </w:tcBorders>
                  <w:tcMar>
                    <w:top w:w="0" w:type="dxa"/>
                    <w:left w:w="28" w:type="dxa"/>
                    <w:bottom w:w="0" w:type="dxa"/>
                    <w:right w:w="28" w:type="dxa"/>
                  </w:tcMar>
                  <w:vAlign w:val="center"/>
                </w:tcPr>
                <w:p>
                  <w:pPr>
                    <w:ind w:left="63" w:leftChars="30" w:right="63" w:rightChars="30"/>
                    <w:jc w:val="center"/>
                    <w:rPr>
                      <w:color w:val="auto"/>
                      <w:szCs w:val="21"/>
                    </w:rPr>
                  </w:pPr>
                </w:p>
              </w:tc>
              <w:tc>
                <w:tcPr>
                  <w:tcW w:w="560" w:type="pct"/>
                  <w:vMerge w:val="continue"/>
                  <w:tcBorders>
                    <w:tl2br w:val="nil"/>
                    <w:tr2bl w:val="nil"/>
                  </w:tcBorders>
                  <w:tcMar>
                    <w:top w:w="0" w:type="dxa"/>
                    <w:left w:w="28" w:type="dxa"/>
                    <w:bottom w:w="0" w:type="dxa"/>
                    <w:right w:w="28" w:type="dxa"/>
                  </w:tcMar>
                  <w:vAlign w:val="center"/>
                </w:tcPr>
                <w:p>
                  <w:pPr>
                    <w:ind w:left="63" w:leftChars="30" w:right="63" w:rightChars="30"/>
                    <w:jc w:val="center"/>
                    <w:rPr>
                      <w:color w:val="auto"/>
                      <w:szCs w:val="21"/>
                    </w:rPr>
                  </w:pPr>
                </w:p>
              </w:tc>
              <w:tc>
                <w:tcPr>
                  <w:tcW w:w="625"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前任庄</w:t>
                  </w:r>
                </w:p>
              </w:tc>
              <w:tc>
                <w:tcPr>
                  <w:tcW w:w="630"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350</w:t>
                  </w:r>
                </w:p>
              </w:tc>
              <w:tc>
                <w:tcPr>
                  <w:tcW w:w="632"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316</w:t>
                  </w:r>
                </w:p>
              </w:tc>
              <w:tc>
                <w:tcPr>
                  <w:tcW w:w="444" w:type="pct"/>
                  <w:tcBorders>
                    <w:tl2br w:val="nil"/>
                    <w:tr2bl w:val="nil"/>
                  </w:tcBorders>
                  <w:tcMar>
                    <w:top w:w="0" w:type="dxa"/>
                    <w:left w:w="28" w:type="dxa"/>
                    <w:bottom w:w="0" w:type="dxa"/>
                    <w:right w:w="28" w:type="dxa"/>
                  </w:tcMar>
                  <w:vAlign w:val="center"/>
                </w:tcPr>
                <w:p>
                  <w:pPr>
                    <w:pStyle w:val="66"/>
                    <w:topLinePunct/>
                    <w:rPr>
                      <w:color w:val="auto"/>
                      <w:szCs w:val="21"/>
                    </w:rPr>
                  </w:pPr>
                  <w:r>
                    <w:rPr>
                      <w:color w:val="auto"/>
                      <w:szCs w:val="21"/>
                    </w:rPr>
                    <w:t>居民</w:t>
                  </w:r>
                </w:p>
              </w:tc>
              <w:tc>
                <w:tcPr>
                  <w:tcW w:w="561"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约1741</w:t>
                  </w:r>
                  <w:r>
                    <w:rPr>
                      <w:color w:val="auto"/>
                      <w:szCs w:val="21"/>
                    </w:rPr>
                    <w:t>人</w:t>
                  </w:r>
                </w:p>
              </w:tc>
              <w:tc>
                <w:tcPr>
                  <w:tcW w:w="823" w:type="pct"/>
                  <w:tcBorders>
                    <w:tl2br w:val="nil"/>
                    <w:tr2bl w:val="nil"/>
                  </w:tcBorders>
                  <w:tcMar>
                    <w:top w:w="0" w:type="dxa"/>
                    <w:left w:w="28" w:type="dxa"/>
                    <w:bottom w:w="0" w:type="dxa"/>
                    <w:right w:w="28" w:type="dxa"/>
                  </w:tcMar>
                  <w:vAlign w:val="center"/>
                </w:tcPr>
                <w:p>
                  <w:pPr>
                    <w:pStyle w:val="66"/>
                    <w:topLinePunct/>
                    <w:rPr>
                      <w:color w:val="auto"/>
                      <w:szCs w:val="21"/>
                    </w:rPr>
                  </w:pPr>
                  <w:r>
                    <w:rPr>
                      <w:color w:val="auto"/>
                      <w:szCs w:val="21"/>
                    </w:rPr>
                    <w:t>GB3095-2012中二级标准</w:t>
                  </w:r>
                </w:p>
              </w:tc>
              <w:tc>
                <w:tcPr>
                  <w:tcW w:w="560"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NE</w:t>
                  </w:r>
                </w:p>
              </w:tc>
              <w:tc>
                <w:tcPr>
                  <w:tcW w:w="625" w:type="pct"/>
                  <w:tcBorders>
                    <w:tl2br w:val="nil"/>
                    <w:tr2bl w:val="nil"/>
                  </w:tcBorders>
                  <w:tcMar>
                    <w:top w:w="0" w:type="dxa"/>
                    <w:left w:w="28" w:type="dxa"/>
                    <w:bottom w:w="0" w:type="dxa"/>
                    <w:right w:w="28" w:type="dxa"/>
                  </w:tcMar>
                  <w:vAlign w:val="center"/>
                </w:tcPr>
                <w:p>
                  <w:pPr>
                    <w:pStyle w:val="66"/>
                    <w:topLinePunct/>
                    <w:rPr>
                      <w:color w:val="auto"/>
                      <w:szCs w:val="21"/>
                    </w:rPr>
                  </w:pPr>
                  <w:r>
                    <w:rPr>
                      <w:rFonts w:hint="eastAsia"/>
                      <w:color w:val="auto"/>
                      <w:szCs w:val="21"/>
                    </w:rPr>
                    <w:t>445</w:t>
                  </w:r>
                </w:p>
              </w:tc>
            </w:tr>
          </w:tbl>
          <w:p>
            <w:pPr>
              <w:pStyle w:val="20"/>
              <w:adjustRightInd w:val="0"/>
              <w:snapToGrid w:val="0"/>
              <w:spacing w:before="120" w:beforeLines="50" w:line="336" w:lineRule="auto"/>
              <w:ind w:firstLine="480"/>
              <w:rPr>
                <w:rFonts w:ascii="Times New Roman" w:hAnsi="Times New Roman"/>
                <w:b/>
                <w:bCs/>
                <w:color w:val="auto"/>
                <w:sz w:val="24"/>
                <w:szCs w:val="24"/>
              </w:rPr>
            </w:pPr>
            <w:r>
              <w:rPr>
                <w:rFonts w:ascii="Times New Roman" w:hAnsi="Times New Roman"/>
                <w:color w:val="auto"/>
                <w:sz w:val="24"/>
                <w:szCs w:val="24"/>
              </w:rPr>
              <w:t>注：以厂界</w:t>
            </w:r>
            <w:r>
              <w:rPr>
                <w:rFonts w:hint="eastAsia" w:ascii="Times New Roman" w:hAnsi="Times New Roman"/>
                <w:color w:val="auto"/>
                <w:sz w:val="24"/>
                <w:szCs w:val="24"/>
              </w:rPr>
              <w:t>西</w:t>
            </w:r>
            <w:r>
              <w:rPr>
                <w:rFonts w:ascii="Times New Roman" w:hAnsi="Times New Roman"/>
                <w:color w:val="auto"/>
                <w:sz w:val="24"/>
                <w:szCs w:val="24"/>
              </w:rPr>
              <w:t>南点地面为坐标原点（X=0，Y=0）。</w:t>
            </w:r>
          </w:p>
          <w:p>
            <w:pPr>
              <w:pStyle w:val="20"/>
              <w:numPr>
                <w:ilvl w:val="0"/>
                <w:numId w:val="5"/>
              </w:numPr>
              <w:adjustRightInd w:val="0"/>
              <w:snapToGrid w:val="0"/>
              <w:spacing w:line="336" w:lineRule="auto"/>
              <w:ind w:firstLine="482"/>
              <w:rPr>
                <w:rFonts w:ascii="Times New Roman" w:hAnsi="Times New Roman"/>
                <w:b/>
                <w:bCs/>
                <w:color w:val="auto"/>
                <w:sz w:val="24"/>
                <w:szCs w:val="24"/>
              </w:rPr>
            </w:pPr>
            <w:r>
              <w:rPr>
                <w:rFonts w:ascii="Times New Roman" w:hAnsi="Times New Roman"/>
                <w:b/>
                <w:bCs/>
                <w:color w:val="auto"/>
                <w:sz w:val="24"/>
                <w:szCs w:val="24"/>
              </w:rPr>
              <w:t>声环境</w:t>
            </w:r>
          </w:p>
          <w:p>
            <w:pPr>
              <w:adjustRightInd w:val="0"/>
              <w:snapToGrid w:val="0"/>
              <w:spacing w:line="336" w:lineRule="auto"/>
              <w:ind w:firstLine="480" w:firstLineChars="200"/>
              <w:rPr>
                <w:color w:val="auto"/>
                <w:kern w:val="0"/>
                <w:sz w:val="24"/>
                <w:lang w:bidi="ar"/>
              </w:rPr>
            </w:pPr>
            <w:r>
              <w:rPr>
                <w:rFonts w:hint="eastAsia"/>
                <w:color w:val="auto"/>
                <w:kern w:val="0"/>
                <w:sz w:val="24"/>
                <w:lang w:bidi="ar"/>
              </w:rPr>
              <w:t>根据现场勘察，项目50米范围内无声环境保护目标</w:t>
            </w:r>
            <w:r>
              <w:rPr>
                <w:color w:val="auto"/>
                <w:kern w:val="0"/>
                <w:sz w:val="24"/>
                <w:lang w:bidi="ar"/>
              </w:rPr>
              <w:t>。</w:t>
            </w:r>
          </w:p>
          <w:p>
            <w:pPr>
              <w:pStyle w:val="20"/>
              <w:adjustRightInd w:val="0"/>
              <w:snapToGrid w:val="0"/>
              <w:spacing w:line="336" w:lineRule="auto"/>
              <w:ind w:firstLine="482"/>
              <w:rPr>
                <w:rFonts w:ascii="Times New Roman" w:hAnsi="Times New Roman"/>
                <w:b/>
                <w:bCs/>
                <w:color w:val="auto"/>
                <w:sz w:val="24"/>
                <w:szCs w:val="24"/>
              </w:rPr>
            </w:pPr>
            <w:r>
              <w:rPr>
                <w:rFonts w:ascii="Times New Roman" w:hAnsi="Times New Roman"/>
                <w:b/>
                <w:bCs/>
                <w:color w:val="auto"/>
                <w:sz w:val="24"/>
                <w:szCs w:val="24"/>
              </w:rPr>
              <w:t>3、地下水环境</w:t>
            </w:r>
          </w:p>
          <w:p>
            <w:pPr>
              <w:pStyle w:val="20"/>
              <w:adjustRightInd w:val="0"/>
              <w:snapToGrid w:val="0"/>
              <w:spacing w:line="336" w:lineRule="auto"/>
              <w:ind w:firstLine="480"/>
              <w:rPr>
                <w:rFonts w:ascii="Times New Roman" w:hAnsi="Times New Roman"/>
                <w:color w:val="auto"/>
                <w:sz w:val="24"/>
                <w:szCs w:val="24"/>
              </w:rPr>
            </w:pPr>
            <w:r>
              <w:rPr>
                <w:rFonts w:ascii="Times New Roman" w:hAnsi="Times New Roman"/>
                <w:color w:val="auto"/>
                <w:sz w:val="24"/>
                <w:szCs w:val="24"/>
              </w:rPr>
              <w:t>根据现场勘察，项目厂界外500米范围内无地下水集中式饮用水水源和热水、矿泉水、温泉等特殊地下水资源。</w:t>
            </w:r>
          </w:p>
          <w:p>
            <w:pPr>
              <w:pStyle w:val="20"/>
              <w:adjustRightInd w:val="0"/>
              <w:snapToGrid w:val="0"/>
              <w:spacing w:line="336" w:lineRule="auto"/>
              <w:ind w:firstLine="482"/>
              <w:rPr>
                <w:rFonts w:ascii="Times New Roman" w:hAnsi="Times New Roman"/>
                <w:b/>
                <w:bCs/>
                <w:color w:val="auto"/>
                <w:sz w:val="24"/>
                <w:szCs w:val="24"/>
              </w:rPr>
            </w:pPr>
            <w:r>
              <w:rPr>
                <w:rFonts w:ascii="Times New Roman" w:hAnsi="Times New Roman"/>
                <w:b/>
                <w:bCs/>
                <w:color w:val="auto"/>
                <w:sz w:val="24"/>
                <w:szCs w:val="24"/>
              </w:rPr>
              <w:t>4、生态环境</w:t>
            </w:r>
          </w:p>
          <w:p>
            <w:pPr>
              <w:pStyle w:val="20"/>
              <w:adjustRightInd w:val="0"/>
              <w:snapToGrid w:val="0"/>
              <w:spacing w:line="336" w:lineRule="auto"/>
              <w:ind w:firstLine="480"/>
              <w:rPr>
                <w:color w:val="auto"/>
              </w:rPr>
            </w:pPr>
            <w:r>
              <w:rPr>
                <w:rFonts w:hint="eastAsia" w:cs="宋体"/>
                <w:color w:val="auto"/>
                <w:kern w:val="0"/>
                <w:sz w:val="24"/>
              </w:rPr>
              <w:t>根据现场勘察，</w:t>
            </w:r>
            <w:r>
              <w:rPr>
                <w:rFonts w:cs="宋体"/>
                <w:color w:val="auto"/>
                <w:kern w:val="0"/>
                <w:sz w:val="24"/>
              </w:rPr>
              <w:t>项目地位于</w:t>
            </w:r>
            <w:r>
              <w:rPr>
                <w:rFonts w:hint="eastAsia" w:ascii="Times New Roman" w:hAnsi="Times New Roman"/>
                <w:color w:val="auto"/>
                <w:kern w:val="0"/>
                <w:sz w:val="24"/>
              </w:rPr>
              <w:t>蚌埠市固镇县新马桥镇铜陵产业园规划十二号路东侧2#厂房</w:t>
            </w:r>
            <w:r>
              <w:rPr>
                <w:rFonts w:hint="eastAsia" w:cs="宋体"/>
                <w:color w:val="auto"/>
                <w:kern w:val="0"/>
                <w:sz w:val="24"/>
              </w:rPr>
              <w:t>，不新增用地，无新增用地范围内生态环境保护目标。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Mar>
              <w:left w:w="28" w:type="dxa"/>
              <w:right w:w="28" w:type="dxa"/>
            </w:tcMar>
            <w:vAlign w:val="center"/>
          </w:tcPr>
          <w:p>
            <w:pPr>
              <w:adjustRightInd w:val="0"/>
              <w:snapToGrid w:val="0"/>
              <w:jc w:val="center"/>
              <w:rPr>
                <w:rFonts w:ascii="宋体" w:hAnsi="宋体" w:cs="宋体"/>
                <w:b/>
                <w:bCs/>
                <w:color w:val="auto"/>
                <w:kern w:val="0"/>
                <w:sz w:val="24"/>
              </w:rPr>
            </w:pPr>
            <w:r>
              <w:rPr>
                <w:rFonts w:hint="eastAsia" w:ascii="宋体" w:hAnsi="宋体" w:cs="宋体"/>
                <w:b/>
                <w:bCs/>
                <w:color w:val="auto"/>
                <w:kern w:val="0"/>
                <w:sz w:val="24"/>
              </w:rPr>
              <w:t>污染</w:t>
            </w:r>
          </w:p>
          <w:p>
            <w:pPr>
              <w:adjustRightInd w:val="0"/>
              <w:snapToGrid w:val="0"/>
              <w:jc w:val="center"/>
              <w:rPr>
                <w:rFonts w:ascii="宋体" w:hAnsi="宋体" w:cs="宋体"/>
                <w:b/>
                <w:bCs/>
                <w:color w:val="auto"/>
                <w:kern w:val="0"/>
                <w:sz w:val="24"/>
              </w:rPr>
            </w:pPr>
            <w:r>
              <w:rPr>
                <w:rFonts w:hint="eastAsia" w:ascii="宋体" w:hAnsi="宋体" w:cs="宋体"/>
                <w:b/>
                <w:bCs/>
                <w:color w:val="auto"/>
                <w:kern w:val="0"/>
                <w:sz w:val="24"/>
              </w:rPr>
              <w:t>物排</w:t>
            </w:r>
          </w:p>
          <w:p>
            <w:pPr>
              <w:adjustRightInd w:val="0"/>
              <w:snapToGrid w:val="0"/>
              <w:jc w:val="center"/>
              <w:rPr>
                <w:rFonts w:ascii="宋体" w:hAnsi="宋体" w:cs="宋体"/>
                <w:b/>
                <w:bCs/>
                <w:color w:val="auto"/>
                <w:kern w:val="0"/>
                <w:sz w:val="24"/>
              </w:rPr>
            </w:pPr>
            <w:r>
              <w:rPr>
                <w:rFonts w:hint="eastAsia" w:ascii="宋体" w:hAnsi="宋体" w:cs="宋体"/>
                <w:b/>
                <w:bCs/>
                <w:color w:val="auto"/>
                <w:kern w:val="0"/>
                <w:sz w:val="24"/>
              </w:rPr>
              <w:t>放控</w:t>
            </w:r>
          </w:p>
          <w:p>
            <w:pPr>
              <w:adjustRightInd w:val="0"/>
              <w:snapToGrid w:val="0"/>
              <w:jc w:val="center"/>
              <w:rPr>
                <w:rFonts w:ascii="宋体" w:hAnsi="宋体" w:cs="宋体"/>
                <w:b/>
                <w:bCs/>
                <w:color w:val="auto"/>
                <w:kern w:val="0"/>
                <w:sz w:val="24"/>
              </w:rPr>
            </w:pPr>
            <w:r>
              <w:rPr>
                <w:rFonts w:hint="eastAsia" w:ascii="宋体" w:hAnsi="宋体" w:cs="宋体"/>
                <w:b/>
                <w:bCs/>
                <w:color w:val="auto"/>
                <w:kern w:val="0"/>
                <w:sz w:val="24"/>
              </w:rPr>
              <w:t>制标</w:t>
            </w:r>
          </w:p>
          <w:p>
            <w:pPr>
              <w:adjustRightInd w:val="0"/>
              <w:snapToGrid w:val="0"/>
              <w:jc w:val="center"/>
              <w:rPr>
                <w:rFonts w:ascii="宋体" w:hAnsi="宋体" w:cs="宋体"/>
                <w:color w:val="auto"/>
                <w:kern w:val="0"/>
                <w:szCs w:val="21"/>
              </w:rPr>
            </w:pPr>
            <w:r>
              <w:rPr>
                <w:rFonts w:hint="eastAsia" w:ascii="宋体" w:hAnsi="宋体" w:cs="宋体"/>
                <w:b/>
                <w:bCs/>
                <w:color w:val="auto"/>
                <w:kern w:val="0"/>
                <w:sz w:val="24"/>
              </w:rPr>
              <w:t>准</w:t>
            </w:r>
          </w:p>
        </w:tc>
        <w:tc>
          <w:tcPr>
            <w:tcW w:w="9159" w:type="dxa"/>
            <w:vAlign w:val="center"/>
          </w:tcPr>
          <w:p>
            <w:pPr>
              <w:pStyle w:val="16"/>
              <w:adjustRightInd w:val="0"/>
              <w:spacing w:before="120" w:beforeLines="50" w:after="0" w:line="360" w:lineRule="auto"/>
              <w:ind w:right="0" w:firstLine="482" w:firstLineChars="200"/>
              <w:rPr>
                <w:b/>
                <w:color w:val="auto"/>
                <w:spacing w:val="-6"/>
                <w:sz w:val="24"/>
                <w:szCs w:val="24"/>
              </w:rPr>
            </w:pPr>
            <w:r>
              <w:rPr>
                <w:rFonts w:hint="eastAsia" w:ascii="宋体" w:hAnsi="宋体" w:cs="宋体"/>
                <w:b/>
                <w:color w:val="auto"/>
                <w:sz w:val="24"/>
                <w:szCs w:val="24"/>
              </w:rPr>
              <w:t>1、</w:t>
            </w:r>
            <w:r>
              <w:rPr>
                <w:b/>
                <w:color w:val="auto"/>
                <w:spacing w:val="-6"/>
                <w:sz w:val="24"/>
                <w:szCs w:val="24"/>
              </w:rPr>
              <w:t>废气</w:t>
            </w:r>
          </w:p>
          <w:p>
            <w:pPr>
              <w:pStyle w:val="16"/>
              <w:adjustRightInd w:val="0"/>
              <w:spacing w:before="0" w:after="0" w:line="360" w:lineRule="auto"/>
              <w:ind w:right="0" w:firstLine="480" w:firstLineChars="200"/>
              <w:rPr>
                <w:color w:val="auto"/>
                <w:sz w:val="24"/>
                <w:szCs w:val="24"/>
              </w:rPr>
            </w:pPr>
            <w:r>
              <w:rPr>
                <w:rFonts w:hint="eastAsia"/>
                <w:snapToGrid w:val="0"/>
                <w:color w:val="auto"/>
                <w:sz w:val="24"/>
                <w:szCs w:val="24"/>
              </w:rPr>
              <w:t>本项目运营期</w:t>
            </w:r>
            <w:r>
              <w:rPr>
                <w:snapToGrid w:val="0"/>
                <w:color w:val="auto"/>
                <w:sz w:val="24"/>
                <w:szCs w:val="24"/>
              </w:rPr>
              <w:t>产生的VOCs（以非甲烷总烃计）</w:t>
            </w:r>
            <w:r>
              <w:rPr>
                <w:rFonts w:hint="eastAsia"/>
                <w:snapToGrid w:val="0"/>
                <w:color w:val="auto"/>
                <w:sz w:val="24"/>
                <w:szCs w:val="24"/>
              </w:rPr>
              <w:t>有组织排放</w:t>
            </w:r>
            <w:r>
              <w:rPr>
                <w:snapToGrid w:val="0"/>
                <w:color w:val="auto"/>
                <w:sz w:val="24"/>
                <w:szCs w:val="24"/>
              </w:rPr>
              <w:t>执行</w:t>
            </w:r>
            <w:r>
              <w:rPr>
                <w:rFonts w:hint="eastAsia"/>
                <w:snapToGrid w:val="0"/>
                <w:color w:val="auto"/>
                <w:sz w:val="24"/>
                <w:szCs w:val="24"/>
                <w:lang w:eastAsia="zh-CN"/>
              </w:rPr>
              <w:t>《固定源挥发性有机物综合排放标准 第四部分：印刷工业》（DB34/4812.4-2024）</w:t>
            </w:r>
            <w:r>
              <w:rPr>
                <w:rFonts w:hint="eastAsia"/>
                <w:snapToGrid w:val="0"/>
                <w:color w:val="auto"/>
                <w:sz w:val="24"/>
                <w:szCs w:val="24"/>
              </w:rPr>
              <w:t>中相关标准</w:t>
            </w:r>
            <w:r>
              <w:rPr>
                <w:rStyle w:val="35"/>
                <w:rFonts w:hint="eastAsia"/>
                <w:color w:val="auto"/>
              </w:rPr>
              <w:t>；</w:t>
            </w:r>
            <w:r>
              <w:rPr>
                <w:snapToGrid w:val="0"/>
                <w:color w:val="auto"/>
                <w:sz w:val="24"/>
                <w:szCs w:val="24"/>
              </w:rPr>
              <w:t>VOCs（以非甲烷总烃计）</w:t>
            </w:r>
            <w:r>
              <w:rPr>
                <w:rFonts w:hint="eastAsia"/>
                <w:snapToGrid w:val="0"/>
                <w:color w:val="auto"/>
                <w:sz w:val="24"/>
                <w:szCs w:val="24"/>
              </w:rPr>
              <w:t>无组织排放执行《大气污染物综合排放标准》（GB16297-1996）及《合成树脂工业污染物排放标准》（GB31572-2015（含2024年修改单））中相关标准；颗粒物无组织排放</w:t>
            </w:r>
            <w:r>
              <w:rPr>
                <w:snapToGrid w:val="0"/>
                <w:color w:val="auto"/>
                <w:sz w:val="24"/>
                <w:szCs w:val="24"/>
              </w:rPr>
              <w:t>执行</w:t>
            </w:r>
            <w:r>
              <w:rPr>
                <w:rFonts w:hint="eastAsia"/>
                <w:snapToGrid w:val="0"/>
                <w:color w:val="auto"/>
                <w:sz w:val="24"/>
                <w:szCs w:val="24"/>
              </w:rPr>
              <w:t>《合成树脂工业污染物排放标准》（GB31572-2015（含2024年修改单））中相关标准；厂区内VOCs</w:t>
            </w:r>
            <w:r>
              <w:rPr>
                <w:snapToGrid w:val="0"/>
                <w:color w:val="auto"/>
                <w:sz w:val="24"/>
                <w:szCs w:val="24"/>
              </w:rPr>
              <w:t>（以非甲烷总烃计）同时需满足</w:t>
            </w:r>
            <w:bookmarkStart w:id="3" w:name="OLE_LINK2"/>
            <w:r>
              <w:rPr>
                <w:rFonts w:hint="eastAsia"/>
                <w:snapToGrid w:val="0"/>
                <w:color w:val="auto"/>
                <w:sz w:val="24"/>
                <w:szCs w:val="24"/>
              </w:rPr>
              <w:t>《固定源挥发性有机物综合排放标准 第四部分：印刷工业》（DB34/4812.4-2024）</w:t>
            </w:r>
            <w:bookmarkEnd w:id="3"/>
            <w:r>
              <w:rPr>
                <w:rFonts w:hint="eastAsia"/>
                <w:snapToGrid w:val="0"/>
                <w:color w:val="auto"/>
                <w:sz w:val="24"/>
                <w:szCs w:val="24"/>
              </w:rPr>
              <w:t>表3中标准限值要求。</w:t>
            </w:r>
          </w:p>
          <w:p>
            <w:pPr>
              <w:pStyle w:val="6"/>
              <w:tabs>
                <w:tab w:val="left" w:pos="1357"/>
                <w:tab w:val="left" w:pos="6718"/>
              </w:tabs>
              <w:adjustRightInd w:val="0"/>
              <w:snapToGrid w:val="0"/>
              <w:ind w:left="0"/>
              <w:jc w:val="center"/>
              <w:rPr>
                <w:rFonts w:ascii="Times New Roman" w:hAnsi="Times New Roman" w:cs="Times New Roman"/>
                <w:color w:val="auto"/>
                <w:sz w:val="15"/>
              </w:rPr>
            </w:pPr>
            <w:r>
              <w:rPr>
                <w:color w:val="auto"/>
              </w:rPr>
              <w:t>表</w:t>
            </w:r>
            <w:r>
              <w:rPr>
                <w:rFonts w:ascii="Times New Roman" w:eastAsia="Times New Roman"/>
                <w:color w:val="auto"/>
              </w:rPr>
              <w:t>3-</w:t>
            </w:r>
            <w:r>
              <w:rPr>
                <w:rFonts w:hint="eastAsia" w:ascii="Times New Roman"/>
                <w:color w:val="auto"/>
              </w:rPr>
              <w:t xml:space="preserve">5  </w:t>
            </w:r>
            <w:r>
              <w:rPr>
                <w:rFonts w:hint="eastAsia"/>
                <w:color w:val="auto"/>
              </w:rPr>
              <w:t>废气污染物排放标准</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41"/>
              <w:gridCol w:w="1433"/>
              <w:gridCol w:w="1669"/>
              <w:gridCol w:w="1576"/>
              <w:gridCol w:w="987"/>
              <w:gridCol w:w="17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Align w:val="center"/>
                </w:tcPr>
                <w:p>
                  <w:pPr>
                    <w:pStyle w:val="69"/>
                    <w:wordWrap w:val="0"/>
                    <w:adjustRightInd w:val="0"/>
                    <w:snapToGrid w:val="0"/>
                    <w:jc w:val="center"/>
                    <w:rPr>
                      <w:rFonts w:ascii="Times New Roman" w:hAnsi="Times New Roman" w:cs="Times New Roman"/>
                      <w:b/>
                      <w:bCs/>
                      <w:snapToGrid w:val="0"/>
                      <w:color w:val="auto"/>
                      <w:sz w:val="21"/>
                      <w:szCs w:val="21"/>
                      <w:lang w:eastAsia="zh-CN"/>
                    </w:rPr>
                  </w:pPr>
                  <w:r>
                    <w:rPr>
                      <w:rFonts w:ascii="Times New Roman" w:hAnsi="Times New Roman" w:cs="Times New Roman"/>
                      <w:b/>
                      <w:bCs/>
                      <w:snapToGrid w:val="0"/>
                      <w:color w:val="auto"/>
                      <w:sz w:val="21"/>
                      <w:szCs w:val="21"/>
                      <w:lang w:eastAsia="zh-CN"/>
                    </w:rPr>
                    <w:t>标准名称</w:t>
                  </w:r>
                </w:p>
              </w:tc>
              <w:tc>
                <w:tcPr>
                  <w:tcW w:w="802" w:type="pct"/>
                  <w:vAlign w:val="center"/>
                </w:tcPr>
                <w:p>
                  <w:pPr>
                    <w:pStyle w:val="69"/>
                    <w:wordWrap w:val="0"/>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污染物名称</w:t>
                  </w:r>
                </w:p>
              </w:tc>
              <w:tc>
                <w:tcPr>
                  <w:tcW w:w="932" w:type="pct"/>
                  <w:vAlign w:val="center"/>
                </w:tcPr>
                <w:p>
                  <w:pPr>
                    <w:pStyle w:val="69"/>
                    <w:wordWrap w:val="0"/>
                    <w:adjustRightInd w:val="0"/>
                    <w:snapToGrid w:val="0"/>
                    <w:jc w:val="center"/>
                    <w:rPr>
                      <w:rFonts w:ascii="Times New Roman" w:hAnsi="Times New Roman" w:cs="Times New Roman"/>
                      <w:b/>
                      <w:bCs/>
                      <w:snapToGrid w:val="0"/>
                      <w:color w:val="auto"/>
                      <w:sz w:val="21"/>
                      <w:szCs w:val="21"/>
                      <w:lang w:eastAsia="zh-CN"/>
                    </w:rPr>
                  </w:pPr>
                  <w:r>
                    <w:rPr>
                      <w:rFonts w:ascii="Times New Roman" w:hAnsi="Times New Roman" w:cs="Times New Roman"/>
                      <w:b/>
                      <w:bCs/>
                      <w:snapToGrid w:val="0"/>
                      <w:color w:val="auto"/>
                      <w:sz w:val="21"/>
                      <w:szCs w:val="21"/>
                      <w:lang w:eastAsia="zh-CN"/>
                    </w:rPr>
                    <w:t>最高允许排放浓度（mg/m</w:t>
                  </w:r>
                  <w:r>
                    <w:rPr>
                      <w:rFonts w:ascii="Times New Roman" w:hAnsi="Times New Roman" w:cs="Times New Roman"/>
                      <w:b/>
                      <w:bCs/>
                      <w:snapToGrid w:val="0"/>
                      <w:color w:val="auto"/>
                      <w:sz w:val="21"/>
                      <w:szCs w:val="21"/>
                      <w:vertAlign w:val="superscript"/>
                      <w:lang w:eastAsia="zh-CN"/>
                    </w:rPr>
                    <w:t>3</w:t>
                  </w:r>
                  <w:r>
                    <w:rPr>
                      <w:rFonts w:ascii="Times New Roman" w:hAnsi="Times New Roman" w:cs="Times New Roman"/>
                      <w:b/>
                      <w:bCs/>
                      <w:snapToGrid w:val="0"/>
                      <w:color w:val="auto"/>
                      <w:sz w:val="21"/>
                      <w:szCs w:val="21"/>
                      <w:lang w:eastAsia="zh-CN"/>
                    </w:rPr>
                    <w:t>）</w:t>
                  </w:r>
                </w:p>
              </w:tc>
              <w:tc>
                <w:tcPr>
                  <w:tcW w:w="880" w:type="pct"/>
                  <w:vAlign w:val="center"/>
                </w:tcPr>
                <w:p>
                  <w:pPr>
                    <w:pStyle w:val="69"/>
                    <w:wordWrap w:val="0"/>
                    <w:adjustRightInd w:val="0"/>
                    <w:snapToGrid w:val="0"/>
                    <w:jc w:val="center"/>
                    <w:rPr>
                      <w:rFonts w:ascii="Times New Roman" w:hAnsi="Times New Roman" w:cs="Times New Roman"/>
                      <w:b/>
                      <w:bCs/>
                      <w:snapToGrid w:val="0"/>
                      <w:color w:val="auto"/>
                      <w:sz w:val="21"/>
                      <w:szCs w:val="21"/>
                      <w:lang w:eastAsia="zh-CN"/>
                    </w:rPr>
                  </w:pPr>
                  <w:r>
                    <w:rPr>
                      <w:rFonts w:ascii="Times New Roman" w:hAnsi="Times New Roman" w:cs="Times New Roman"/>
                      <w:b/>
                      <w:bCs/>
                      <w:snapToGrid w:val="0"/>
                      <w:color w:val="auto"/>
                      <w:sz w:val="21"/>
                      <w:szCs w:val="21"/>
                      <w:lang w:eastAsia="zh-CN"/>
                    </w:rPr>
                    <w:t>最高允许排放速率（kg/h）</w:t>
                  </w:r>
                </w:p>
              </w:tc>
              <w:tc>
                <w:tcPr>
                  <w:tcW w:w="552" w:type="pct"/>
                  <w:vAlign w:val="center"/>
                </w:tcPr>
                <w:p>
                  <w:pPr>
                    <w:pStyle w:val="69"/>
                    <w:wordWrap w:val="0"/>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排气筒（m）</w:t>
                  </w:r>
                </w:p>
              </w:tc>
              <w:tc>
                <w:tcPr>
                  <w:tcW w:w="970" w:type="pct"/>
                  <w:vAlign w:val="center"/>
                </w:tcPr>
                <w:p>
                  <w:pPr>
                    <w:pStyle w:val="69"/>
                    <w:wordWrap w:val="0"/>
                    <w:adjustRightInd w:val="0"/>
                    <w:snapToGrid w:val="0"/>
                    <w:jc w:val="center"/>
                    <w:rPr>
                      <w:rFonts w:ascii="Times New Roman" w:hAnsi="Times New Roman" w:cs="Times New Roman"/>
                      <w:b/>
                      <w:bCs/>
                      <w:snapToGrid w:val="0"/>
                      <w:color w:val="auto"/>
                      <w:sz w:val="21"/>
                      <w:szCs w:val="21"/>
                      <w:lang w:eastAsia="zh-CN"/>
                    </w:rPr>
                  </w:pPr>
                  <w:r>
                    <w:rPr>
                      <w:rFonts w:ascii="Times New Roman" w:hAnsi="Times New Roman" w:cs="Times New Roman"/>
                      <w:b/>
                      <w:bCs/>
                      <w:color w:val="auto"/>
                      <w:sz w:val="21"/>
                      <w:szCs w:val="21"/>
                      <w:lang w:eastAsia="zh-CN"/>
                    </w:rPr>
                    <w:t>无组织排放监控浓度限值（mg/m</w:t>
                  </w:r>
                  <w:r>
                    <w:rPr>
                      <w:rFonts w:ascii="Times New Roman" w:hAnsi="Times New Roman" w:cs="Times New Roman"/>
                      <w:b/>
                      <w:bCs/>
                      <w:color w:val="auto"/>
                      <w:sz w:val="21"/>
                      <w:szCs w:val="21"/>
                      <w:vertAlign w:val="superscript"/>
                      <w:lang w:eastAsia="zh-CN"/>
                    </w:rPr>
                    <w:t>3</w:t>
                  </w:r>
                  <w:r>
                    <w:rPr>
                      <w:rFonts w:ascii="Times New Roman" w:hAnsi="Times New Roman" w:cs="Times New Roman"/>
                      <w:b/>
                      <w:bCs/>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《固定源挥发性有机物综合排放标准 第四部分：印刷工业》（DB34/4812.4-2024）</w:t>
                  </w: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VOCs（以非甲烷总烃计）</w:t>
                  </w:r>
                </w:p>
              </w:tc>
              <w:tc>
                <w:tcPr>
                  <w:tcW w:w="932" w:type="pct"/>
                  <w:vAlign w:val="center"/>
                </w:tcPr>
                <w:p>
                  <w:pPr>
                    <w:pStyle w:val="69"/>
                    <w:wordWrap w:val="0"/>
                    <w:adjustRightInd w:val="0"/>
                    <w:snapToGrid w:val="0"/>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50</w:t>
                  </w:r>
                </w:p>
              </w:tc>
              <w:tc>
                <w:tcPr>
                  <w:tcW w:w="880" w:type="pct"/>
                  <w:vAlign w:val="center"/>
                </w:tcPr>
                <w:p>
                  <w:pPr>
                    <w:wordWrap w:val="0"/>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1.5</w:t>
                  </w:r>
                </w:p>
              </w:tc>
              <w:tc>
                <w:tcPr>
                  <w:tcW w:w="552" w:type="pct"/>
                  <w:vAlign w:val="center"/>
                </w:tcPr>
                <w:p>
                  <w:pPr>
                    <w:pStyle w:val="69"/>
                    <w:wordWrap w:val="0"/>
                    <w:adjustRightInd w:val="0"/>
                    <w:snapToGrid w:val="0"/>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15</w:t>
                  </w:r>
                </w:p>
              </w:tc>
              <w:tc>
                <w:tcPr>
                  <w:tcW w:w="970" w:type="pct"/>
                  <w:vAlign w:val="center"/>
                </w:tcPr>
                <w:p>
                  <w:pPr>
                    <w:pStyle w:val="69"/>
                    <w:wordWrap w:val="0"/>
                    <w:adjustRightInd w:val="0"/>
                    <w:snapToGrid w:val="0"/>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Merge w:val="restar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《合成树脂工业污染物排放标准》（GB31572-2015（含2024年修改单））</w:t>
                  </w: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bookmarkStart w:id="4" w:name="OLE_LINK4"/>
                  <w:r>
                    <w:rPr>
                      <w:rFonts w:ascii="Times New Roman" w:hAnsi="Times New Roman" w:cs="Times New Roman"/>
                      <w:snapToGrid w:val="0"/>
                      <w:color w:val="auto"/>
                      <w:sz w:val="21"/>
                      <w:szCs w:val="21"/>
                      <w:lang w:eastAsia="zh-CN"/>
                    </w:rPr>
                    <w:t>VOCs（以非甲烷总烃计）</w:t>
                  </w:r>
                  <w:bookmarkEnd w:id="4"/>
                </w:p>
              </w:tc>
              <w:tc>
                <w:tcPr>
                  <w:tcW w:w="93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60</w:t>
                  </w:r>
                </w:p>
              </w:tc>
              <w:tc>
                <w:tcPr>
                  <w:tcW w:w="880" w:type="pct"/>
                  <w:vAlign w:val="center"/>
                </w:tcPr>
                <w:p>
                  <w:pPr>
                    <w:wordWrap w:val="0"/>
                    <w:adjustRightInd w:val="0"/>
                    <w:snapToGrid w:val="0"/>
                    <w:jc w:val="center"/>
                    <w:rPr>
                      <w:snapToGrid w:val="0"/>
                      <w:color w:val="auto"/>
                      <w:kern w:val="0"/>
                      <w:szCs w:val="21"/>
                    </w:rPr>
                  </w:pPr>
                  <w:r>
                    <w:rPr>
                      <w:snapToGrid w:val="0"/>
                      <w:color w:val="auto"/>
                      <w:kern w:val="0"/>
                      <w:szCs w:val="21"/>
                    </w:rPr>
                    <w:t>/</w:t>
                  </w:r>
                </w:p>
              </w:tc>
              <w:tc>
                <w:tcPr>
                  <w:tcW w:w="55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15</w:t>
                  </w:r>
                </w:p>
              </w:tc>
              <w:tc>
                <w:tcPr>
                  <w:tcW w:w="970"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Merge w:val="continue"/>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颗粒物</w:t>
                  </w:r>
                </w:p>
              </w:tc>
              <w:tc>
                <w:tcPr>
                  <w:tcW w:w="93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880" w:type="pct"/>
                  <w:vAlign w:val="center"/>
                </w:tcPr>
                <w:p>
                  <w:pPr>
                    <w:wordWrap w:val="0"/>
                    <w:adjustRightInd w:val="0"/>
                    <w:snapToGrid w:val="0"/>
                    <w:jc w:val="center"/>
                    <w:rPr>
                      <w:snapToGrid w:val="0"/>
                      <w:color w:val="auto"/>
                      <w:kern w:val="0"/>
                      <w:szCs w:val="21"/>
                    </w:rPr>
                  </w:pPr>
                  <w:r>
                    <w:rPr>
                      <w:snapToGrid w:val="0"/>
                      <w:color w:val="auto"/>
                      <w:kern w:val="0"/>
                      <w:szCs w:val="21"/>
                    </w:rPr>
                    <w:t>/</w:t>
                  </w:r>
                </w:p>
              </w:tc>
              <w:tc>
                <w:tcPr>
                  <w:tcW w:w="55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970"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《大气污染物综合排放标准》（GB16297-1996）</w:t>
                  </w: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VOCs（以非甲烷总烃计）</w:t>
                  </w:r>
                </w:p>
              </w:tc>
              <w:tc>
                <w:tcPr>
                  <w:tcW w:w="93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880" w:type="pct"/>
                  <w:vAlign w:val="center"/>
                </w:tcPr>
                <w:p>
                  <w:pPr>
                    <w:wordWrap w:val="0"/>
                    <w:adjustRightInd w:val="0"/>
                    <w:snapToGrid w:val="0"/>
                    <w:jc w:val="center"/>
                    <w:rPr>
                      <w:snapToGrid w:val="0"/>
                      <w:color w:val="auto"/>
                      <w:kern w:val="0"/>
                      <w:szCs w:val="21"/>
                    </w:rPr>
                  </w:pPr>
                  <w:r>
                    <w:rPr>
                      <w:snapToGrid w:val="0"/>
                      <w:color w:val="auto"/>
                      <w:kern w:val="0"/>
                      <w:szCs w:val="21"/>
                    </w:rPr>
                    <w:t>/</w:t>
                  </w:r>
                </w:p>
              </w:tc>
              <w:tc>
                <w:tcPr>
                  <w:tcW w:w="55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970"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Merge w:val="restar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本项目执行标准</w:t>
                  </w: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VOCs（以非甲烷总烃计）</w:t>
                  </w:r>
                </w:p>
              </w:tc>
              <w:tc>
                <w:tcPr>
                  <w:tcW w:w="932" w:type="pct"/>
                  <w:vAlign w:val="center"/>
                </w:tcPr>
                <w:p>
                  <w:pPr>
                    <w:pStyle w:val="69"/>
                    <w:wordWrap w:val="0"/>
                    <w:adjustRightInd w:val="0"/>
                    <w:snapToGrid w:val="0"/>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50</w:t>
                  </w:r>
                </w:p>
              </w:tc>
              <w:tc>
                <w:tcPr>
                  <w:tcW w:w="880" w:type="pct"/>
                  <w:vAlign w:val="center"/>
                </w:tcPr>
                <w:p>
                  <w:pPr>
                    <w:wordWrap w:val="0"/>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1.5</w:t>
                  </w:r>
                </w:p>
              </w:tc>
              <w:tc>
                <w:tcPr>
                  <w:tcW w:w="55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15</w:t>
                  </w:r>
                </w:p>
              </w:tc>
              <w:tc>
                <w:tcPr>
                  <w:tcW w:w="970"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61" w:type="pct"/>
                  <w:vMerge w:val="continue"/>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p>
              </w:tc>
              <w:tc>
                <w:tcPr>
                  <w:tcW w:w="80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颗粒物</w:t>
                  </w:r>
                </w:p>
              </w:tc>
              <w:tc>
                <w:tcPr>
                  <w:tcW w:w="93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880" w:type="pct"/>
                  <w:vAlign w:val="center"/>
                </w:tcPr>
                <w:p>
                  <w:pPr>
                    <w:wordWrap w:val="0"/>
                    <w:adjustRightInd w:val="0"/>
                    <w:snapToGrid w:val="0"/>
                    <w:jc w:val="center"/>
                    <w:rPr>
                      <w:snapToGrid w:val="0"/>
                      <w:color w:val="auto"/>
                      <w:kern w:val="0"/>
                      <w:szCs w:val="21"/>
                    </w:rPr>
                  </w:pPr>
                  <w:r>
                    <w:rPr>
                      <w:snapToGrid w:val="0"/>
                      <w:color w:val="auto"/>
                      <w:kern w:val="0"/>
                      <w:szCs w:val="21"/>
                    </w:rPr>
                    <w:t>/</w:t>
                  </w:r>
                </w:p>
              </w:tc>
              <w:tc>
                <w:tcPr>
                  <w:tcW w:w="552"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hint="eastAsia" w:ascii="Times New Roman" w:hAnsi="Times New Roman" w:cs="Times New Roman"/>
                      <w:snapToGrid w:val="0"/>
                      <w:color w:val="auto"/>
                      <w:sz w:val="21"/>
                      <w:szCs w:val="21"/>
                      <w:lang w:eastAsia="zh-CN"/>
                    </w:rPr>
                    <w:t>/</w:t>
                  </w:r>
                </w:p>
              </w:tc>
              <w:tc>
                <w:tcPr>
                  <w:tcW w:w="970" w:type="pct"/>
                  <w:vAlign w:val="center"/>
                </w:tcPr>
                <w:p>
                  <w:pPr>
                    <w:pStyle w:val="69"/>
                    <w:wordWrap w:val="0"/>
                    <w:adjustRightInd w:val="0"/>
                    <w:snapToGrid w:val="0"/>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1.0</w:t>
                  </w:r>
                </w:p>
              </w:tc>
            </w:tr>
          </w:tbl>
          <w:p>
            <w:pPr>
              <w:tabs>
                <w:tab w:val="left" w:pos="1218"/>
                <w:tab w:val="left" w:pos="6514"/>
              </w:tabs>
              <w:adjustRightInd w:val="0"/>
              <w:snapToGrid w:val="0"/>
              <w:spacing w:before="120" w:beforeLines="50"/>
              <w:jc w:val="center"/>
              <w:rPr>
                <w:rFonts w:eastAsia="Times New Roman"/>
                <w:b/>
                <w:color w:val="auto"/>
                <w:sz w:val="15"/>
              </w:rPr>
            </w:pPr>
            <w:r>
              <w:rPr>
                <w:b/>
                <w:color w:val="auto"/>
                <w:sz w:val="24"/>
              </w:rPr>
              <w:t>表</w:t>
            </w:r>
            <w:r>
              <w:rPr>
                <w:rFonts w:eastAsia="Times New Roman"/>
                <w:b/>
                <w:color w:val="auto"/>
                <w:sz w:val="24"/>
              </w:rPr>
              <w:t>3-</w:t>
            </w:r>
            <w:r>
              <w:rPr>
                <w:rFonts w:hint="eastAsia"/>
                <w:b/>
                <w:color w:val="auto"/>
                <w:sz w:val="24"/>
              </w:rPr>
              <w:t xml:space="preserve">6  《固定源挥发性有机物综合排放标准 第四部分：印刷工业》（DB34/4812.4-2024）  </w:t>
            </w:r>
            <w:r>
              <w:rPr>
                <w:b/>
                <w:color w:val="auto"/>
                <w:sz w:val="24"/>
              </w:rPr>
              <w:t>单位：</w:t>
            </w:r>
            <w:r>
              <w:rPr>
                <w:rFonts w:eastAsia="Times New Roman"/>
                <w:b/>
                <w:color w:val="auto"/>
                <w:sz w:val="24"/>
              </w:rPr>
              <w:t>mg/m</w:t>
            </w:r>
            <w:r>
              <w:rPr>
                <w:rFonts w:eastAsia="Times New Roman"/>
                <w:b/>
                <w:color w:val="auto"/>
                <w:position w:val="8"/>
                <w:sz w:val="15"/>
              </w:rPr>
              <w:t>3</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9"/>
              <w:gridCol w:w="2043"/>
              <w:gridCol w:w="2896"/>
              <w:gridCol w:w="21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pct"/>
                  <w:vAlign w:val="center"/>
                </w:tcPr>
                <w:p>
                  <w:pPr>
                    <w:pStyle w:val="69"/>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污染物</w:t>
                  </w:r>
                </w:p>
              </w:tc>
              <w:tc>
                <w:tcPr>
                  <w:tcW w:w="1142" w:type="pct"/>
                  <w:vAlign w:val="center"/>
                </w:tcPr>
                <w:p>
                  <w:pPr>
                    <w:pStyle w:val="69"/>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特别排放限值</w:t>
                  </w:r>
                </w:p>
              </w:tc>
              <w:tc>
                <w:tcPr>
                  <w:tcW w:w="1619" w:type="pct"/>
                  <w:vAlign w:val="center"/>
                </w:tcPr>
                <w:p>
                  <w:pPr>
                    <w:pStyle w:val="69"/>
                    <w:adjustRightInd w:val="0"/>
                    <w:snapToGrid w:val="0"/>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限值含义</w:t>
                  </w:r>
                </w:p>
              </w:tc>
              <w:tc>
                <w:tcPr>
                  <w:tcW w:w="1220" w:type="pct"/>
                  <w:vAlign w:val="center"/>
                </w:tcPr>
                <w:p>
                  <w:pPr>
                    <w:pStyle w:val="69"/>
                    <w:adjustRightInd w:val="0"/>
                    <w:snapToGrid w:val="0"/>
                    <w:spacing w:line="270" w:lineRule="atLeast"/>
                    <w:jc w:val="center"/>
                    <w:rPr>
                      <w:rFonts w:ascii="Times New Roman" w:hAnsi="Times New Roman" w:cs="Times New Roman"/>
                      <w:b/>
                      <w:bCs/>
                      <w:snapToGrid w:val="0"/>
                      <w:color w:val="auto"/>
                      <w:sz w:val="21"/>
                      <w:szCs w:val="21"/>
                    </w:rPr>
                  </w:pPr>
                  <w:r>
                    <w:rPr>
                      <w:rFonts w:ascii="Times New Roman" w:hAnsi="Times New Roman" w:cs="Times New Roman"/>
                      <w:b/>
                      <w:bCs/>
                      <w:snapToGrid w:val="0"/>
                      <w:color w:val="auto"/>
                      <w:sz w:val="21"/>
                      <w:szCs w:val="21"/>
                    </w:rPr>
                    <w:t>无组织排放监控位置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pct"/>
                  <w:vMerge w:val="restart"/>
                  <w:vAlign w:val="center"/>
                </w:tcPr>
                <w:p>
                  <w:pPr>
                    <w:pStyle w:val="69"/>
                    <w:adjustRightInd w:val="0"/>
                    <w:snapToGrid w:val="0"/>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NMHC</w:t>
                  </w:r>
                </w:p>
              </w:tc>
              <w:tc>
                <w:tcPr>
                  <w:tcW w:w="1142" w:type="pct"/>
                  <w:vAlign w:val="center"/>
                </w:tcPr>
                <w:p>
                  <w:pPr>
                    <w:pStyle w:val="69"/>
                    <w:adjustRightInd w:val="0"/>
                    <w:snapToGrid w:val="0"/>
                    <w:spacing w:line="223" w:lineRule="exact"/>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6</w:t>
                  </w:r>
                </w:p>
              </w:tc>
              <w:tc>
                <w:tcPr>
                  <w:tcW w:w="1619" w:type="pct"/>
                  <w:vAlign w:val="center"/>
                </w:tcPr>
                <w:p>
                  <w:pPr>
                    <w:pStyle w:val="69"/>
                    <w:adjustRightInd w:val="0"/>
                    <w:snapToGrid w:val="0"/>
                    <w:spacing w:line="237" w:lineRule="exact"/>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监控点处1h平均浓度值</w:t>
                  </w:r>
                </w:p>
              </w:tc>
              <w:tc>
                <w:tcPr>
                  <w:tcW w:w="1220" w:type="pct"/>
                  <w:vMerge w:val="restart"/>
                  <w:vAlign w:val="center"/>
                </w:tcPr>
                <w:p>
                  <w:pPr>
                    <w:pStyle w:val="69"/>
                    <w:adjustRightInd w:val="0"/>
                    <w:snapToGrid w:val="0"/>
                    <w:spacing w:line="270" w:lineRule="atLeast"/>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在厂房外设置监控点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pct"/>
                  <w:vMerge w:val="continue"/>
                  <w:vAlign w:val="center"/>
                </w:tcPr>
                <w:p>
                  <w:pPr>
                    <w:adjustRightInd w:val="0"/>
                    <w:snapToGrid w:val="0"/>
                    <w:jc w:val="center"/>
                    <w:rPr>
                      <w:snapToGrid w:val="0"/>
                      <w:color w:val="auto"/>
                      <w:kern w:val="0"/>
                      <w:szCs w:val="21"/>
                    </w:rPr>
                  </w:pPr>
                </w:p>
              </w:tc>
              <w:tc>
                <w:tcPr>
                  <w:tcW w:w="1142" w:type="pct"/>
                  <w:vAlign w:val="center"/>
                </w:tcPr>
                <w:p>
                  <w:pPr>
                    <w:pStyle w:val="69"/>
                    <w:adjustRightInd w:val="0"/>
                    <w:snapToGrid w:val="0"/>
                    <w:spacing w:line="222" w:lineRule="exact"/>
                    <w:jc w:val="center"/>
                    <w:rPr>
                      <w:rFonts w:ascii="Times New Roman" w:hAnsi="Times New Roman" w:cs="Times New Roman"/>
                      <w:snapToGrid w:val="0"/>
                      <w:color w:val="auto"/>
                      <w:sz w:val="21"/>
                      <w:szCs w:val="21"/>
                    </w:rPr>
                  </w:pPr>
                  <w:r>
                    <w:rPr>
                      <w:rFonts w:ascii="Times New Roman" w:hAnsi="Times New Roman" w:cs="Times New Roman"/>
                      <w:snapToGrid w:val="0"/>
                      <w:color w:val="auto"/>
                      <w:sz w:val="21"/>
                      <w:szCs w:val="21"/>
                    </w:rPr>
                    <w:t>20</w:t>
                  </w:r>
                </w:p>
              </w:tc>
              <w:tc>
                <w:tcPr>
                  <w:tcW w:w="1619" w:type="pct"/>
                  <w:vAlign w:val="center"/>
                </w:tcPr>
                <w:p>
                  <w:pPr>
                    <w:pStyle w:val="69"/>
                    <w:adjustRightInd w:val="0"/>
                    <w:snapToGrid w:val="0"/>
                    <w:spacing w:line="236" w:lineRule="exact"/>
                    <w:jc w:val="center"/>
                    <w:rPr>
                      <w:rFonts w:ascii="Times New Roman" w:hAnsi="Times New Roman" w:cs="Times New Roman"/>
                      <w:snapToGrid w:val="0"/>
                      <w:color w:val="auto"/>
                      <w:sz w:val="21"/>
                      <w:szCs w:val="21"/>
                      <w:lang w:eastAsia="zh-CN"/>
                    </w:rPr>
                  </w:pPr>
                  <w:r>
                    <w:rPr>
                      <w:rFonts w:ascii="Times New Roman" w:hAnsi="Times New Roman" w:cs="Times New Roman"/>
                      <w:snapToGrid w:val="0"/>
                      <w:color w:val="auto"/>
                      <w:sz w:val="21"/>
                      <w:szCs w:val="21"/>
                      <w:lang w:eastAsia="zh-CN"/>
                    </w:rPr>
                    <w:t>监控点处任意一次浓度值</w:t>
                  </w:r>
                </w:p>
              </w:tc>
              <w:tc>
                <w:tcPr>
                  <w:tcW w:w="1220" w:type="pct"/>
                  <w:vMerge w:val="continue"/>
                  <w:vAlign w:val="center"/>
                </w:tcPr>
                <w:p>
                  <w:pPr>
                    <w:adjustRightInd w:val="0"/>
                    <w:snapToGrid w:val="0"/>
                    <w:jc w:val="center"/>
                    <w:rPr>
                      <w:snapToGrid w:val="0"/>
                      <w:color w:val="auto"/>
                      <w:kern w:val="0"/>
                      <w:szCs w:val="21"/>
                    </w:rPr>
                  </w:pPr>
                </w:p>
              </w:tc>
            </w:tr>
          </w:tbl>
          <w:p>
            <w:pPr>
              <w:adjustRightInd w:val="0"/>
              <w:snapToGrid w:val="0"/>
              <w:spacing w:before="120" w:beforeLines="50" w:line="360" w:lineRule="auto"/>
              <w:ind w:firstLine="482" w:firstLineChars="200"/>
              <w:rPr>
                <w:b/>
                <w:color w:val="auto"/>
                <w:sz w:val="24"/>
              </w:rPr>
            </w:pPr>
            <w:r>
              <w:rPr>
                <w:b/>
                <w:color w:val="auto"/>
                <w:sz w:val="24"/>
              </w:rPr>
              <w:t>2、废水排放标准</w:t>
            </w:r>
          </w:p>
          <w:p>
            <w:pPr>
              <w:pStyle w:val="72"/>
              <w:topLinePunct/>
              <w:rPr>
                <w:color w:val="auto"/>
                <w:sz w:val="24"/>
              </w:rPr>
            </w:pPr>
            <w:r>
              <w:rPr>
                <w:rFonts w:hint="eastAsia"/>
                <w:bCs/>
                <w:color w:val="auto"/>
                <w:sz w:val="24"/>
              </w:rPr>
              <w:t>项目废水为生活污水、冷却废水，根据</w:t>
            </w:r>
            <w:r>
              <w:rPr>
                <w:rFonts w:hint="eastAsia"/>
                <w:snapToGrid w:val="0"/>
                <w:color w:val="auto"/>
                <w:sz w:val="24"/>
              </w:rPr>
              <w:t>《合成树脂工业污染物排放标准》（GB31572-2015（含2024年修改单）），废水进入园区（包括各类工业园区、开发区、工业聚集地等）污水处理厂执行间接排放限值，未规定限值的污染物项目由企业与园区污水处理厂根据其污水处理能力商定相关标准。故项目</w:t>
            </w:r>
            <w:r>
              <w:rPr>
                <w:rFonts w:hint="eastAsia"/>
                <w:snapToGrid w:val="0"/>
                <w:color w:val="auto"/>
                <w:sz w:val="24"/>
                <w:lang w:bidi="ar"/>
              </w:rPr>
              <w:t>生活污水、冷却废水</w:t>
            </w:r>
            <w:r>
              <w:rPr>
                <w:snapToGrid w:val="0"/>
                <w:color w:val="auto"/>
                <w:sz w:val="24"/>
                <w:lang w:bidi="ar"/>
              </w:rPr>
              <w:t>排放执行</w:t>
            </w:r>
            <w:r>
              <w:rPr>
                <w:rFonts w:hint="eastAsia"/>
                <w:color w:val="auto"/>
                <w:sz w:val="24"/>
              </w:rPr>
              <w:t>项目外排废水</w:t>
            </w:r>
            <w:r>
              <w:rPr>
                <w:color w:val="auto"/>
                <w:sz w:val="24"/>
              </w:rPr>
              <w:t>排放执行</w:t>
            </w:r>
            <w:r>
              <w:rPr>
                <w:rFonts w:hint="eastAsia"/>
                <w:color w:val="auto"/>
                <w:sz w:val="24"/>
                <w:lang w:eastAsia="zh-CN"/>
              </w:rPr>
              <w:t>蚌埠铜陵现代产业园污水处理厂</w:t>
            </w:r>
            <w:r>
              <w:rPr>
                <w:rFonts w:hint="eastAsia"/>
                <w:color w:val="auto"/>
                <w:sz w:val="24"/>
              </w:rPr>
              <w:t>接管限值</w:t>
            </w:r>
            <w:r>
              <w:rPr>
                <w:color w:val="auto"/>
                <w:sz w:val="24"/>
              </w:rPr>
              <w:t>；</w:t>
            </w:r>
            <w:r>
              <w:rPr>
                <w:rFonts w:hint="eastAsia"/>
                <w:color w:val="auto"/>
                <w:sz w:val="24"/>
                <w:lang w:eastAsia="zh-CN"/>
              </w:rPr>
              <w:t>蚌埠铜陵现代产业园污水处理厂</w:t>
            </w:r>
            <w:r>
              <w:rPr>
                <w:color w:val="auto"/>
                <w:sz w:val="24"/>
              </w:rPr>
              <w:t>尾水排放执行《城镇污水处理厂污染物排放标准》</w:t>
            </w:r>
            <w:r>
              <w:rPr>
                <w:rFonts w:hint="eastAsia"/>
                <w:color w:val="auto"/>
                <w:sz w:val="24"/>
              </w:rPr>
              <w:t>（</w:t>
            </w:r>
            <w:r>
              <w:rPr>
                <w:color w:val="auto"/>
                <w:sz w:val="24"/>
              </w:rPr>
              <w:t>GB</w:t>
            </w:r>
            <w:r>
              <w:rPr>
                <w:rFonts w:hint="eastAsia"/>
                <w:color w:val="auto"/>
                <w:sz w:val="24"/>
              </w:rPr>
              <w:t xml:space="preserve"> </w:t>
            </w:r>
            <w:r>
              <w:rPr>
                <w:color w:val="auto"/>
                <w:sz w:val="24"/>
              </w:rPr>
              <w:t>18918-2002）</w:t>
            </w:r>
            <w:r>
              <w:rPr>
                <w:rFonts w:hint="eastAsia"/>
                <w:color w:val="auto"/>
                <w:sz w:val="24"/>
              </w:rPr>
              <w:t>中</w:t>
            </w:r>
            <w:r>
              <w:rPr>
                <w:color w:val="auto"/>
                <w:sz w:val="24"/>
              </w:rPr>
              <w:t>一级A标准。</w:t>
            </w:r>
          </w:p>
          <w:p>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 w:val="24"/>
              </w:rPr>
              <w:t>表3-</w:t>
            </w:r>
            <w:r>
              <w:rPr>
                <w:rFonts w:hint="eastAsia"/>
                <w:b/>
                <w:color w:val="auto"/>
                <w:sz w:val="24"/>
              </w:rPr>
              <w:t>7</w:t>
            </w:r>
            <w:r>
              <w:rPr>
                <w:b/>
                <w:color w:val="auto"/>
                <w:sz w:val="24"/>
              </w:rPr>
              <w:t xml:space="preserve">  废水排放标准（单位：mg/L，pH：无量纲）</w:t>
            </w:r>
          </w:p>
          <w:tbl>
            <w:tblPr>
              <w:tblStyle w:val="28"/>
              <w:tblW w:w="9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787"/>
              <w:gridCol w:w="1029"/>
              <w:gridCol w:w="1061"/>
              <w:gridCol w:w="1060"/>
              <w:gridCol w:w="1005"/>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pStyle w:val="74"/>
                    <w:topLinePunct/>
                    <w:rPr>
                      <w:rFonts w:hint="default"/>
                      <w:color w:val="auto"/>
                      <w:szCs w:val="21"/>
                    </w:rPr>
                  </w:pPr>
                  <w:r>
                    <w:rPr>
                      <w:rFonts w:hint="default"/>
                      <w:color w:val="auto"/>
                      <w:szCs w:val="21"/>
                    </w:rPr>
                    <w:t>标准来源</w:t>
                  </w:r>
                </w:p>
              </w:tc>
              <w:tc>
                <w:tcPr>
                  <w:tcW w:w="1029" w:type="dxa"/>
                  <w:vAlign w:val="center"/>
                </w:tcPr>
                <w:p>
                  <w:pPr>
                    <w:pStyle w:val="74"/>
                    <w:topLinePunct/>
                    <w:rPr>
                      <w:rFonts w:hint="default"/>
                      <w:color w:val="auto"/>
                      <w:szCs w:val="21"/>
                    </w:rPr>
                  </w:pPr>
                  <w:r>
                    <w:rPr>
                      <w:rFonts w:hint="default"/>
                      <w:color w:val="auto"/>
                      <w:szCs w:val="21"/>
                    </w:rPr>
                    <w:t>pH</w:t>
                  </w:r>
                </w:p>
              </w:tc>
              <w:tc>
                <w:tcPr>
                  <w:tcW w:w="1061" w:type="dxa"/>
                  <w:vAlign w:val="center"/>
                </w:tcPr>
                <w:p>
                  <w:pPr>
                    <w:pStyle w:val="74"/>
                    <w:topLinePunct/>
                    <w:rPr>
                      <w:rFonts w:hint="default"/>
                      <w:color w:val="auto"/>
                      <w:szCs w:val="21"/>
                    </w:rPr>
                  </w:pPr>
                  <w:r>
                    <w:rPr>
                      <w:rFonts w:hint="default"/>
                      <w:color w:val="auto"/>
                      <w:szCs w:val="21"/>
                    </w:rPr>
                    <w:t>COD</w:t>
                  </w:r>
                </w:p>
              </w:tc>
              <w:tc>
                <w:tcPr>
                  <w:tcW w:w="1060" w:type="dxa"/>
                  <w:vAlign w:val="center"/>
                </w:tcPr>
                <w:p>
                  <w:pPr>
                    <w:pStyle w:val="74"/>
                    <w:topLinePunct/>
                    <w:rPr>
                      <w:rFonts w:hint="default"/>
                      <w:color w:val="auto"/>
                      <w:szCs w:val="21"/>
                    </w:rPr>
                  </w:pPr>
                  <w:r>
                    <w:rPr>
                      <w:rFonts w:hint="default"/>
                      <w:color w:val="auto"/>
                      <w:szCs w:val="21"/>
                    </w:rPr>
                    <w:t>BOD</w:t>
                  </w:r>
                  <w:r>
                    <w:rPr>
                      <w:rFonts w:hint="default"/>
                      <w:color w:val="auto"/>
                      <w:szCs w:val="21"/>
                      <w:vertAlign w:val="subscript"/>
                    </w:rPr>
                    <w:t>5</w:t>
                  </w:r>
                </w:p>
              </w:tc>
              <w:tc>
                <w:tcPr>
                  <w:tcW w:w="1005" w:type="dxa"/>
                  <w:vAlign w:val="center"/>
                </w:tcPr>
                <w:p>
                  <w:pPr>
                    <w:pStyle w:val="74"/>
                    <w:topLinePunct/>
                    <w:rPr>
                      <w:rFonts w:hint="default"/>
                      <w:color w:val="auto"/>
                      <w:szCs w:val="21"/>
                    </w:rPr>
                  </w:pPr>
                  <w:r>
                    <w:rPr>
                      <w:rFonts w:hint="default"/>
                      <w:color w:val="auto"/>
                      <w:szCs w:val="21"/>
                    </w:rPr>
                    <w:t>NH</w:t>
                  </w:r>
                  <w:r>
                    <w:rPr>
                      <w:rFonts w:hint="default"/>
                      <w:color w:val="auto"/>
                      <w:szCs w:val="21"/>
                      <w:vertAlign w:val="subscript"/>
                    </w:rPr>
                    <w:t>3</w:t>
                  </w:r>
                  <w:r>
                    <w:rPr>
                      <w:rFonts w:hint="default"/>
                      <w:color w:val="auto"/>
                      <w:szCs w:val="21"/>
                    </w:rPr>
                    <w:t>-N</w:t>
                  </w:r>
                </w:p>
              </w:tc>
              <w:tc>
                <w:tcPr>
                  <w:tcW w:w="1076" w:type="dxa"/>
                  <w:vAlign w:val="center"/>
                </w:tcPr>
                <w:p>
                  <w:pPr>
                    <w:pStyle w:val="74"/>
                    <w:topLinePunct/>
                    <w:rPr>
                      <w:rFonts w:hint="default"/>
                      <w:color w:val="auto"/>
                      <w:szCs w:val="21"/>
                    </w:rPr>
                  </w:pPr>
                  <w:r>
                    <w:rPr>
                      <w:rFonts w:hint="default"/>
                      <w:color w:val="auto"/>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auto"/>
                      <w:szCs w:val="21"/>
                    </w:rPr>
                  </w:pPr>
                  <w:r>
                    <w:rPr>
                      <w:rFonts w:hint="eastAsia"/>
                      <w:color w:val="auto"/>
                      <w:szCs w:val="21"/>
                      <w:lang w:eastAsia="zh-CN"/>
                    </w:rPr>
                    <w:t>蚌埠铜陵现代产业园污水处理厂</w:t>
                  </w:r>
                  <w:r>
                    <w:rPr>
                      <w:rFonts w:hint="eastAsia"/>
                      <w:color w:val="auto"/>
                      <w:szCs w:val="21"/>
                    </w:rPr>
                    <w:t>接管限值</w:t>
                  </w:r>
                </w:p>
              </w:tc>
              <w:tc>
                <w:tcPr>
                  <w:tcW w:w="1029" w:type="dxa"/>
                  <w:vAlign w:val="center"/>
                </w:tcPr>
                <w:p>
                  <w:pPr>
                    <w:topLinePunct/>
                    <w:adjustRightInd w:val="0"/>
                    <w:snapToGrid w:val="0"/>
                    <w:jc w:val="center"/>
                    <w:rPr>
                      <w:color w:val="auto"/>
                      <w:szCs w:val="21"/>
                    </w:rPr>
                  </w:pPr>
                  <w:r>
                    <w:rPr>
                      <w:color w:val="auto"/>
                      <w:szCs w:val="21"/>
                    </w:rPr>
                    <w:t>6～9</w:t>
                  </w:r>
                </w:p>
              </w:tc>
              <w:tc>
                <w:tcPr>
                  <w:tcW w:w="1061" w:type="dxa"/>
                  <w:vAlign w:val="center"/>
                </w:tcPr>
                <w:p>
                  <w:pPr>
                    <w:topLinePunct/>
                    <w:adjustRightInd w:val="0"/>
                    <w:snapToGrid w:val="0"/>
                    <w:jc w:val="center"/>
                    <w:rPr>
                      <w:color w:val="auto"/>
                      <w:szCs w:val="21"/>
                    </w:rPr>
                  </w:pPr>
                  <w:r>
                    <w:rPr>
                      <w:rFonts w:hint="eastAsia"/>
                      <w:color w:val="auto"/>
                      <w:szCs w:val="21"/>
                    </w:rPr>
                    <w:t>320</w:t>
                  </w:r>
                </w:p>
              </w:tc>
              <w:tc>
                <w:tcPr>
                  <w:tcW w:w="1060" w:type="dxa"/>
                  <w:vAlign w:val="center"/>
                </w:tcPr>
                <w:p>
                  <w:pPr>
                    <w:topLinePunct/>
                    <w:adjustRightInd w:val="0"/>
                    <w:snapToGrid w:val="0"/>
                    <w:jc w:val="center"/>
                    <w:rPr>
                      <w:color w:val="auto"/>
                      <w:szCs w:val="21"/>
                    </w:rPr>
                  </w:pPr>
                  <w:r>
                    <w:rPr>
                      <w:rFonts w:hint="eastAsia"/>
                      <w:color w:val="auto"/>
                      <w:szCs w:val="21"/>
                    </w:rPr>
                    <w:t>160</w:t>
                  </w:r>
                </w:p>
              </w:tc>
              <w:tc>
                <w:tcPr>
                  <w:tcW w:w="1005" w:type="dxa"/>
                  <w:vAlign w:val="center"/>
                </w:tcPr>
                <w:p>
                  <w:pPr>
                    <w:topLinePunct/>
                    <w:adjustRightInd w:val="0"/>
                    <w:snapToGrid w:val="0"/>
                    <w:jc w:val="center"/>
                    <w:rPr>
                      <w:color w:val="auto"/>
                      <w:szCs w:val="21"/>
                    </w:rPr>
                  </w:pPr>
                  <w:r>
                    <w:rPr>
                      <w:color w:val="auto"/>
                      <w:szCs w:val="21"/>
                    </w:rPr>
                    <w:t>30</w:t>
                  </w:r>
                </w:p>
              </w:tc>
              <w:tc>
                <w:tcPr>
                  <w:tcW w:w="1076" w:type="dxa"/>
                  <w:vAlign w:val="center"/>
                </w:tcPr>
                <w:p>
                  <w:pPr>
                    <w:topLinePunct/>
                    <w:adjustRightInd w:val="0"/>
                    <w:snapToGrid w:val="0"/>
                    <w:jc w:val="center"/>
                    <w:rPr>
                      <w:color w:val="auto"/>
                      <w:szCs w:val="21"/>
                    </w:rPr>
                  </w:pPr>
                  <w:r>
                    <w:rPr>
                      <w:color w:val="auto"/>
                      <w:szCs w:val="21"/>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auto"/>
                      <w:szCs w:val="21"/>
                    </w:rPr>
                  </w:pPr>
                  <w:r>
                    <w:rPr>
                      <w:color w:val="auto"/>
                      <w:szCs w:val="21"/>
                    </w:rPr>
                    <w:t>本项目执行标准</w:t>
                  </w:r>
                </w:p>
              </w:tc>
              <w:tc>
                <w:tcPr>
                  <w:tcW w:w="1029" w:type="dxa"/>
                  <w:vAlign w:val="center"/>
                </w:tcPr>
                <w:p>
                  <w:pPr>
                    <w:topLinePunct/>
                    <w:adjustRightInd w:val="0"/>
                    <w:snapToGrid w:val="0"/>
                    <w:jc w:val="center"/>
                    <w:rPr>
                      <w:color w:val="auto"/>
                      <w:szCs w:val="21"/>
                    </w:rPr>
                  </w:pPr>
                  <w:r>
                    <w:rPr>
                      <w:color w:val="auto"/>
                      <w:szCs w:val="21"/>
                    </w:rPr>
                    <w:t>6～9</w:t>
                  </w:r>
                </w:p>
              </w:tc>
              <w:tc>
                <w:tcPr>
                  <w:tcW w:w="1061" w:type="dxa"/>
                  <w:vAlign w:val="center"/>
                </w:tcPr>
                <w:p>
                  <w:pPr>
                    <w:topLinePunct/>
                    <w:adjustRightInd w:val="0"/>
                    <w:snapToGrid w:val="0"/>
                    <w:jc w:val="center"/>
                    <w:rPr>
                      <w:color w:val="auto"/>
                      <w:szCs w:val="21"/>
                    </w:rPr>
                  </w:pPr>
                  <w:r>
                    <w:rPr>
                      <w:rFonts w:hint="eastAsia"/>
                      <w:color w:val="auto"/>
                      <w:szCs w:val="21"/>
                    </w:rPr>
                    <w:t>320</w:t>
                  </w:r>
                </w:p>
              </w:tc>
              <w:tc>
                <w:tcPr>
                  <w:tcW w:w="1060" w:type="dxa"/>
                  <w:vAlign w:val="center"/>
                </w:tcPr>
                <w:p>
                  <w:pPr>
                    <w:topLinePunct/>
                    <w:adjustRightInd w:val="0"/>
                    <w:snapToGrid w:val="0"/>
                    <w:jc w:val="center"/>
                    <w:rPr>
                      <w:color w:val="auto"/>
                      <w:szCs w:val="21"/>
                    </w:rPr>
                  </w:pPr>
                  <w:r>
                    <w:rPr>
                      <w:color w:val="auto"/>
                      <w:szCs w:val="21"/>
                    </w:rPr>
                    <w:t>1</w:t>
                  </w:r>
                  <w:r>
                    <w:rPr>
                      <w:rFonts w:hint="eastAsia"/>
                      <w:color w:val="auto"/>
                      <w:szCs w:val="21"/>
                    </w:rPr>
                    <w:t>60</w:t>
                  </w:r>
                </w:p>
              </w:tc>
              <w:tc>
                <w:tcPr>
                  <w:tcW w:w="1005" w:type="dxa"/>
                  <w:vAlign w:val="center"/>
                </w:tcPr>
                <w:p>
                  <w:pPr>
                    <w:topLinePunct/>
                    <w:adjustRightInd w:val="0"/>
                    <w:snapToGrid w:val="0"/>
                    <w:jc w:val="center"/>
                    <w:rPr>
                      <w:color w:val="auto"/>
                      <w:szCs w:val="21"/>
                    </w:rPr>
                  </w:pPr>
                  <w:r>
                    <w:rPr>
                      <w:color w:val="auto"/>
                      <w:szCs w:val="21"/>
                    </w:rPr>
                    <w:t>30</w:t>
                  </w:r>
                </w:p>
              </w:tc>
              <w:tc>
                <w:tcPr>
                  <w:tcW w:w="1076" w:type="dxa"/>
                  <w:vAlign w:val="center"/>
                </w:tcPr>
                <w:p>
                  <w:pPr>
                    <w:topLinePunct/>
                    <w:adjustRightInd w:val="0"/>
                    <w:snapToGrid w:val="0"/>
                    <w:jc w:val="center"/>
                    <w:rPr>
                      <w:color w:val="auto"/>
                      <w:szCs w:val="21"/>
                    </w:rPr>
                  </w:pPr>
                  <w:r>
                    <w:rPr>
                      <w:color w:val="auto"/>
                      <w:szCs w:val="21"/>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auto"/>
                      <w:szCs w:val="21"/>
                    </w:rPr>
                  </w:pPr>
                  <w:r>
                    <w:rPr>
                      <w:rFonts w:hint="eastAsia"/>
                      <w:color w:val="auto"/>
                      <w:szCs w:val="21"/>
                    </w:rPr>
                    <w:t>（</w:t>
                  </w:r>
                  <w:r>
                    <w:rPr>
                      <w:color w:val="auto"/>
                      <w:szCs w:val="21"/>
                    </w:rPr>
                    <w:t>GB18918-2002）一级A标准</w:t>
                  </w:r>
                </w:p>
              </w:tc>
              <w:tc>
                <w:tcPr>
                  <w:tcW w:w="1029" w:type="dxa"/>
                  <w:vAlign w:val="center"/>
                </w:tcPr>
                <w:p>
                  <w:pPr>
                    <w:topLinePunct/>
                    <w:adjustRightInd w:val="0"/>
                    <w:snapToGrid w:val="0"/>
                    <w:jc w:val="center"/>
                    <w:rPr>
                      <w:color w:val="auto"/>
                      <w:szCs w:val="21"/>
                    </w:rPr>
                  </w:pPr>
                  <w:r>
                    <w:rPr>
                      <w:color w:val="auto"/>
                      <w:szCs w:val="21"/>
                    </w:rPr>
                    <w:t>6～9</w:t>
                  </w:r>
                </w:p>
              </w:tc>
              <w:tc>
                <w:tcPr>
                  <w:tcW w:w="1061" w:type="dxa"/>
                  <w:vAlign w:val="center"/>
                </w:tcPr>
                <w:p>
                  <w:pPr>
                    <w:topLinePunct/>
                    <w:adjustRightInd w:val="0"/>
                    <w:snapToGrid w:val="0"/>
                    <w:jc w:val="center"/>
                    <w:rPr>
                      <w:color w:val="auto"/>
                      <w:szCs w:val="21"/>
                    </w:rPr>
                  </w:pPr>
                  <w:r>
                    <w:rPr>
                      <w:rFonts w:hint="eastAsia"/>
                      <w:color w:val="auto"/>
                      <w:szCs w:val="21"/>
                    </w:rPr>
                    <w:t>50</w:t>
                  </w:r>
                </w:p>
              </w:tc>
              <w:tc>
                <w:tcPr>
                  <w:tcW w:w="1060" w:type="dxa"/>
                  <w:vAlign w:val="center"/>
                </w:tcPr>
                <w:p>
                  <w:pPr>
                    <w:topLinePunct/>
                    <w:adjustRightInd w:val="0"/>
                    <w:snapToGrid w:val="0"/>
                    <w:jc w:val="center"/>
                    <w:rPr>
                      <w:color w:val="auto"/>
                      <w:szCs w:val="21"/>
                    </w:rPr>
                  </w:pPr>
                  <w:r>
                    <w:rPr>
                      <w:rFonts w:hint="eastAsia"/>
                      <w:color w:val="auto"/>
                      <w:szCs w:val="21"/>
                    </w:rPr>
                    <w:t>10</w:t>
                  </w:r>
                </w:p>
              </w:tc>
              <w:tc>
                <w:tcPr>
                  <w:tcW w:w="1005" w:type="dxa"/>
                  <w:vAlign w:val="center"/>
                </w:tcPr>
                <w:p>
                  <w:pPr>
                    <w:topLinePunct/>
                    <w:adjustRightInd w:val="0"/>
                    <w:snapToGrid w:val="0"/>
                    <w:jc w:val="center"/>
                    <w:rPr>
                      <w:color w:val="auto"/>
                      <w:szCs w:val="21"/>
                    </w:rPr>
                  </w:pPr>
                  <w:r>
                    <w:rPr>
                      <w:rFonts w:hint="eastAsia"/>
                      <w:color w:val="auto"/>
                      <w:szCs w:val="21"/>
                    </w:rPr>
                    <w:t>5</w:t>
                  </w:r>
                </w:p>
              </w:tc>
              <w:tc>
                <w:tcPr>
                  <w:tcW w:w="1076" w:type="dxa"/>
                  <w:vAlign w:val="center"/>
                </w:tcPr>
                <w:p>
                  <w:pPr>
                    <w:topLinePunct/>
                    <w:adjustRightInd w:val="0"/>
                    <w:snapToGrid w:val="0"/>
                    <w:jc w:val="center"/>
                    <w:rPr>
                      <w:color w:val="auto"/>
                      <w:szCs w:val="21"/>
                    </w:rPr>
                  </w:pPr>
                  <w:r>
                    <w:rPr>
                      <w:rFonts w:hint="eastAsia"/>
                      <w:color w:val="auto"/>
                      <w:szCs w:val="21"/>
                    </w:rPr>
                    <w:t>10</w:t>
                  </w:r>
                </w:p>
              </w:tc>
            </w:tr>
          </w:tbl>
          <w:p>
            <w:pPr>
              <w:adjustRightInd w:val="0"/>
              <w:snapToGrid w:val="0"/>
              <w:spacing w:before="120" w:beforeLines="50" w:line="372" w:lineRule="auto"/>
              <w:ind w:firstLine="482" w:firstLineChars="200"/>
              <w:rPr>
                <w:b/>
                <w:color w:val="auto"/>
                <w:sz w:val="24"/>
              </w:rPr>
            </w:pPr>
            <w:r>
              <w:rPr>
                <w:b/>
                <w:color w:val="auto"/>
                <w:sz w:val="24"/>
              </w:rPr>
              <w:t>3、噪声排放标准</w:t>
            </w:r>
          </w:p>
          <w:p>
            <w:pPr>
              <w:adjustRightInd w:val="0"/>
              <w:snapToGrid w:val="0"/>
              <w:spacing w:line="372" w:lineRule="auto"/>
              <w:ind w:firstLine="480" w:firstLineChars="200"/>
              <w:rPr>
                <w:color w:val="auto"/>
                <w:kern w:val="0"/>
                <w:sz w:val="24"/>
                <w:lang w:bidi="ar"/>
              </w:rPr>
            </w:pPr>
            <w:r>
              <w:rPr>
                <w:color w:val="auto"/>
                <w:kern w:val="0"/>
                <w:sz w:val="24"/>
                <w:lang w:bidi="ar"/>
              </w:rPr>
              <w:t>营运期厂界噪声排放执行《工业企业厂界环境噪声排放标准》（GB 12348-2008）中</w:t>
            </w:r>
            <w:r>
              <w:rPr>
                <w:rFonts w:hint="eastAsia"/>
                <w:color w:val="auto"/>
                <w:kern w:val="0"/>
                <w:sz w:val="24"/>
                <w:lang w:bidi="ar"/>
              </w:rPr>
              <w:t>3</w:t>
            </w:r>
            <w:r>
              <w:rPr>
                <w:color w:val="auto"/>
                <w:kern w:val="0"/>
                <w:sz w:val="24"/>
                <w:lang w:bidi="ar"/>
              </w:rPr>
              <w:t>类标准限值。</w:t>
            </w:r>
          </w:p>
          <w:p>
            <w:pPr>
              <w:tabs>
                <w:tab w:val="left" w:pos="1260"/>
              </w:tabs>
              <w:adjustRightInd w:val="0"/>
              <w:snapToGrid w:val="0"/>
              <w:jc w:val="center"/>
              <w:rPr>
                <w:b/>
                <w:color w:val="auto"/>
                <w:sz w:val="24"/>
              </w:rPr>
            </w:pPr>
            <w:r>
              <w:rPr>
                <w:b/>
                <w:color w:val="auto"/>
                <w:sz w:val="24"/>
              </w:rPr>
              <w:t>表3-</w:t>
            </w:r>
            <w:r>
              <w:rPr>
                <w:rFonts w:hint="eastAsia"/>
                <w:b/>
                <w:color w:val="auto"/>
                <w:sz w:val="24"/>
              </w:rPr>
              <w:t>8</w:t>
            </w:r>
            <w:r>
              <w:rPr>
                <w:b/>
                <w:color w:val="auto"/>
                <w:sz w:val="24"/>
              </w:rPr>
              <w:t xml:space="preserve">  </w:t>
            </w:r>
            <w:r>
              <w:rPr>
                <w:rFonts w:hint="eastAsia"/>
                <w:b/>
                <w:color w:val="auto"/>
                <w:sz w:val="24"/>
              </w:rPr>
              <w:t>噪声排放标准</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30"/>
              <w:gridCol w:w="1202"/>
              <w:gridCol w:w="1203"/>
              <w:gridCol w:w="1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979" w:type="pct"/>
                  <w:vAlign w:val="center"/>
                </w:tcPr>
                <w:p>
                  <w:pPr>
                    <w:adjustRightInd w:val="0"/>
                    <w:snapToGrid w:val="0"/>
                    <w:jc w:val="center"/>
                    <w:rPr>
                      <w:b/>
                      <w:bCs/>
                      <w:color w:val="auto"/>
                      <w:szCs w:val="21"/>
                    </w:rPr>
                  </w:pPr>
                  <w:r>
                    <w:rPr>
                      <w:b/>
                      <w:bCs/>
                      <w:color w:val="auto"/>
                      <w:szCs w:val="21"/>
                    </w:rPr>
                    <w:t>标准来源</w:t>
                  </w:r>
                </w:p>
              </w:tc>
              <w:tc>
                <w:tcPr>
                  <w:tcW w:w="672" w:type="pct"/>
                  <w:vAlign w:val="center"/>
                </w:tcPr>
                <w:p>
                  <w:pPr>
                    <w:adjustRightInd w:val="0"/>
                    <w:snapToGrid w:val="0"/>
                    <w:jc w:val="center"/>
                    <w:rPr>
                      <w:b/>
                      <w:bCs/>
                      <w:color w:val="auto"/>
                      <w:szCs w:val="21"/>
                    </w:rPr>
                  </w:pPr>
                  <w:r>
                    <w:rPr>
                      <w:b/>
                      <w:bCs/>
                      <w:color w:val="auto"/>
                      <w:szCs w:val="21"/>
                    </w:rPr>
                    <w:t>单位</w:t>
                  </w:r>
                </w:p>
              </w:tc>
              <w:tc>
                <w:tcPr>
                  <w:tcW w:w="673" w:type="pct"/>
                  <w:vAlign w:val="center"/>
                </w:tcPr>
                <w:p>
                  <w:pPr>
                    <w:adjustRightInd w:val="0"/>
                    <w:snapToGrid w:val="0"/>
                    <w:jc w:val="center"/>
                    <w:rPr>
                      <w:b/>
                      <w:bCs/>
                      <w:color w:val="auto"/>
                      <w:szCs w:val="21"/>
                    </w:rPr>
                  </w:pPr>
                  <w:r>
                    <w:rPr>
                      <w:b/>
                      <w:bCs/>
                      <w:color w:val="auto"/>
                      <w:szCs w:val="21"/>
                    </w:rPr>
                    <w:t>昼间</w:t>
                  </w:r>
                </w:p>
              </w:tc>
              <w:tc>
                <w:tcPr>
                  <w:tcW w:w="673" w:type="pct"/>
                  <w:vAlign w:val="center"/>
                </w:tcPr>
                <w:p>
                  <w:pPr>
                    <w:adjustRightInd w:val="0"/>
                    <w:snapToGrid w:val="0"/>
                    <w:jc w:val="center"/>
                    <w:rPr>
                      <w:b/>
                      <w:bCs/>
                      <w:color w:val="auto"/>
                      <w:szCs w:val="21"/>
                    </w:rPr>
                  </w:pPr>
                  <w:r>
                    <w:rPr>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979" w:type="pct"/>
                  <w:vAlign w:val="center"/>
                </w:tcPr>
                <w:p>
                  <w:pPr>
                    <w:adjustRightInd w:val="0"/>
                    <w:snapToGrid w:val="0"/>
                    <w:jc w:val="center"/>
                    <w:rPr>
                      <w:bCs/>
                      <w:color w:val="auto"/>
                    </w:rPr>
                  </w:pPr>
                  <w:r>
                    <w:rPr>
                      <w:bCs/>
                      <w:color w:val="auto"/>
                    </w:rPr>
                    <w:t>《工业企业厂界环境噪声排放标准》（GB 12348-2008）</w:t>
                  </w:r>
                </w:p>
              </w:tc>
              <w:tc>
                <w:tcPr>
                  <w:tcW w:w="672" w:type="pct"/>
                  <w:vAlign w:val="center"/>
                </w:tcPr>
                <w:p>
                  <w:pPr>
                    <w:adjustRightInd w:val="0"/>
                    <w:snapToGrid w:val="0"/>
                    <w:jc w:val="center"/>
                    <w:rPr>
                      <w:bCs/>
                      <w:color w:val="auto"/>
                    </w:rPr>
                  </w:pPr>
                  <w:r>
                    <w:rPr>
                      <w:bCs/>
                      <w:color w:val="auto"/>
                    </w:rPr>
                    <w:t>dB（A）</w:t>
                  </w:r>
                </w:p>
              </w:tc>
              <w:tc>
                <w:tcPr>
                  <w:tcW w:w="673" w:type="pct"/>
                  <w:vAlign w:val="center"/>
                </w:tcPr>
                <w:p>
                  <w:pPr>
                    <w:adjustRightInd w:val="0"/>
                    <w:snapToGrid w:val="0"/>
                    <w:jc w:val="center"/>
                    <w:rPr>
                      <w:bCs/>
                      <w:color w:val="auto"/>
                    </w:rPr>
                  </w:pPr>
                  <w:r>
                    <w:rPr>
                      <w:bCs/>
                      <w:color w:val="auto"/>
                    </w:rPr>
                    <w:t>6</w:t>
                  </w:r>
                  <w:r>
                    <w:rPr>
                      <w:rFonts w:hint="eastAsia"/>
                      <w:bCs/>
                      <w:color w:val="auto"/>
                    </w:rPr>
                    <w:t>5</w:t>
                  </w:r>
                </w:p>
              </w:tc>
              <w:tc>
                <w:tcPr>
                  <w:tcW w:w="673" w:type="pct"/>
                  <w:vAlign w:val="center"/>
                </w:tcPr>
                <w:p>
                  <w:pPr>
                    <w:adjustRightInd w:val="0"/>
                    <w:snapToGrid w:val="0"/>
                    <w:jc w:val="center"/>
                    <w:rPr>
                      <w:bCs/>
                      <w:color w:val="auto"/>
                    </w:rPr>
                  </w:pPr>
                  <w:r>
                    <w:rPr>
                      <w:rFonts w:hint="eastAsia"/>
                      <w:bCs/>
                      <w:color w:val="auto"/>
                    </w:rPr>
                    <w:t>55</w:t>
                  </w:r>
                </w:p>
              </w:tc>
            </w:tr>
          </w:tbl>
          <w:p>
            <w:pPr>
              <w:pStyle w:val="27"/>
              <w:widowControl w:val="0"/>
              <w:adjustRightInd w:val="0"/>
              <w:spacing w:before="120" w:beforeLines="50" w:after="0" w:line="372" w:lineRule="auto"/>
              <w:ind w:right="0" w:firstLine="482" w:firstLineChars="200"/>
              <w:rPr>
                <w:rFonts w:ascii="宋体" w:hAnsi="宋体" w:cs="宋体"/>
                <w:b/>
                <w:color w:val="auto"/>
                <w:sz w:val="24"/>
              </w:rPr>
            </w:pPr>
            <w:r>
              <w:rPr>
                <w:rFonts w:hint="eastAsia" w:ascii="宋体" w:hAnsi="宋体" w:cs="宋体"/>
                <w:b/>
                <w:color w:val="auto"/>
                <w:sz w:val="24"/>
              </w:rPr>
              <w:t>4、固体废物</w:t>
            </w:r>
          </w:p>
          <w:p>
            <w:pPr>
              <w:adjustRightInd w:val="0"/>
              <w:snapToGrid w:val="0"/>
              <w:spacing w:line="372" w:lineRule="auto"/>
              <w:ind w:firstLine="480" w:firstLineChars="200"/>
              <w:rPr>
                <w:rFonts w:ascii="宋体" w:hAnsi="宋体" w:cs="宋体"/>
                <w:color w:val="auto"/>
                <w:kern w:val="0"/>
                <w:sz w:val="24"/>
              </w:rPr>
            </w:pPr>
            <w:r>
              <w:rPr>
                <w:color w:val="auto"/>
                <w:sz w:val="24"/>
              </w:rPr>
              <w:t>一般工业固体废物贮存执行《安徽省实施〈中华人民共和国固体废物污染环境防治法〉办法》</w:t>
            </w:r>
            <w:r>
              <w:rPr>
                <w:rFonts w:hint="eastAsia"/>
                <w:color w:val="auto"/>
                <w:sz w:val="24"/>
              </w:rPr>
              <w:t>中规定</w:t>
            </w:r>
            <w:r>
              <w:rPr>
                <w:color w:val="auto"/>
                <w:sz w:val="24"/>
              </w:rPr>
              <w:t>；危险废物贮存执行</w:t>
            </w:r>
            <w:r>
              <w:rPr>
                <w:rFonts w:hint="eastAsia"/>
                <w:color w:val="auto"/>
                <w:sz w:val="24"/>
              </w:rPr>
              <w:t>《危险废物贮存污染控制标准》（GB 18597-2023）中相关要求</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0" w:hRule="atLeast"/>
          <w:jc w:val="center"/>
        </w:trPr>
        <w:tc>
          <w:tcPr>
            <w:tcW w:w="582" w:type="dxa"/>
            <w:vAlign w:val="center"/>
          </w:tcPr>
          <w:p>
            <w:pPr>
              <w:adjustRightInd w:val="0"/>
              <w:snapToGrid w:val="0"/>
              <w:ind w:left="-105" w:leftChars="-50" w:right="-105" w:rightChars="-50"/>
              <w:jc w:val="center"/>
              <w:rPr>
                <w:b/>
                <w:bCs/>
                <w:color w:val="auto"/>
                <w:kern w:val="0"/>
                <w:sz w:val="24"/>
              </w:rPr>
            </w:pPr>
            <w:r>
              <w:rPr>
                <w:b/>
                <w:bCs/>
                <w:color w:val="auto"/>
                <w:kern w:val="0"/>
                <w:sz w:val="24"/>
              </w:rPr>
              <w:t>总量</w:t>
            </w:r>
          </w:p>
          <w:p>
            <w:pPr>
              <w:adjustRightInd w:val="0"/>
              <w:snapToGrid w:val="0"/>
              <w:ind w:left="-105" w:leftChars="-50" w:right="-105" w:rightChars="-50"/>
              <w:jc w:val="center"/>
              <w:rPr>
                <w:b/>
                <w:bCs/>
                <w:color w:val="auto"/>
                <w:kern w:val="0"/>
                <w:sz w:val="24"/>
              </w:rPr>
            </w:pPr>
            <w:r>
              <w:rPr>
                <w:b/>
                <w:bCs/>
                <w:color w:val="auto"/>
                <w:kern w:val="0"/>
                <w:sz w:val="24"/>
              </w:rPr>
              <w:t>控制</w:t>
            </w:r>
          </w:p>
          <w:p>
            <w:pPr>
              <w:adjustRightInd w:val="0"/>
              <w:snapToGrid w:val="0"/>
              <w:ind w:left="-105" w:leftChars="-50" w:right="-105" w:rightChars="-50"/>
              <w:jc w:val="center"/>
              <w:rPr>
                <w:color w:val="auto"/>
                <w:kern w:val="0"/>
                <w:sz w:val="24"/>
              </w:rPr>
            </w:pPr>
            <w:r>
              <w:rPr>
                <w:b/>
                <w:bCs/>
                <w:color w:val="auto"/>
                <w:kern w:val="0"/>
                <w:sz w:val="24"/>
              </w:rPr>
              <w:t>指标</w:t>
            </w:r>
          </w:p>
        </w:tc>
        <w:tc>
          <w:tcPr>
            <w:tcW w:w="9159" w:type="dxa"/>
          </w:tcPr>
          <w:p>
            <w:pPr>
              <w:pStyle w:val="45"/>
              <w:spacing w:before="120" w:beforeLines="50" w:line="372" w:lineRule="auto"/>
              <w:rPr>
                <w:color w:val="auto"/>
                <w:sz w:val="24"/>
              </w:rPr>
            </w:pPr>
            <w:r>
              <w:rPr>
                <w:rFonts w:cs="宋体"/>
                <w:color w:val="auto"/>
                <w:sz w:val="24"/>
                <w:lang w:bidi="ar"/>
              </w:rPr>
              <w:t>根据《安徽省生态环境厅关于进一步加强建设项目新增</w:t>
            </w:r>
            <w:r>
              <w:rPr>
                <w:rFonts w:hint="eastAsia" w:cs="宋体"/>
                <w:color w:val="auto"/>
                <w:sz w:val="24"/>
                <w:lang w:bidi="ar"/>
              </w:rPr>
              <w:t>大气</w:t>
            </w:r>
            <w:r>
              <w:rPr>
                <w:rFonts w:cs="宋体"/>
                <w:color w:val="auto"/>
                <w:sz w:val="24"/>
                <w:lang w:bidi="ar"/>
              </w:rPr>
              <w:t>主要污染物总量指标管理工作的通知》，纳入大气污染物总量控制的指标从两项增加为四项，在二氧化硫和氮氧化物的基础上增加烟</w:t>
            </w:r>
            <w:r>
              <w:rPr>
                <w:rFonts w:hint="eastAsia" w:cs="宋体"/>
                <w:color w:val="auto"/>
                <w:sz w:val="24"/>
                <w:lang w:bidi="ar"/>
              </w:rPr>
              <w:t>（</w:t>
            </w:r>
            <w:r>
              <w:rPr>
                <w:rFonts w:cs="宋体"/>
                <w:color w:val="auto"/>
                <w:sz w:val="24"/>
                <w:lang w:bidi="ar"/>
              </w:rPr>
              <w:t>粉）尘和VOCs，因此现阶段纳入总量控制指标的污染物为COD</w:t>
            </w:r>
            <w:r>
              <w:rPr>
                <w:rFonts w:hint="eastAsia" w:cs="宋体"/>
                <w:color w:val="auto"/>
                <w:sz w:val="24"/>
                <w:lang w:bidi="ar"/>
              </w:rPr>
              <w:t>cr</w:t>
            </w:r>
            <w:r>
              <w:rPr>
                <w:rFonts w:cs="宋体"/>
                <w:color w:val="auto"/>
                <w:sz w:val="24"/>
                <w:lang w:bidi="ar"/>
              </w:rPr>
              <w:t>、NH</w:t>
            </w:r>
            <w:r>
              <w:rPr>
                <w:rFonts w:cs="宋体"/>
                <w:color w:val="auto"/>
                <w:sz w:val="24"/>
                <w:vertAlign w:val="subscript"/>
                <w:lang w:bidi="ar"/>
              </w:rPr>
              <w:t>3</w:t>
            </w:r>
            <w:r>
              <w:rPr>
                <w:rFonts w:cs="宋体"/>
                <w:color w:val="auto"/>
                <w:sz w:val="24"/>
                <w:lang w:bidi="ar"/>
              </w:rPr>
              <w:t>-N、SO</w:t>
            </w:r>
            <w:r>
              <w:rPr>
                <w:rFonts w:cs="宋体"/>
                <w:color w:val="auto"/>
                <w:sz w:val="24"/>
                <w:vertAlign w:val="subscript"/>
                <w:lang w:bidi="ar"/>
              </w:rPr>
              <w:t>2</w:t>
            </w:r>
            <w:r>
              <w:rPr>
                <w:rFonts w:cs="宋体"/>
                <w:color w:val="auto"/>
                <w:sz w:val="24"/>
                <w:lang w:bidi="ar"/>
              </w:rPr>
              <w:t>、NOx、烟</w:t>
            </w:r>
            <w:r>
              <w:rPr>
                <w:rFonts w:hint="eastAsia" w:cs="宋体"/>
                <w:color w:val="auto"/>
                <w:sz w:val="24"/>
                <w:lang w:bidi="ar"/>
              </w:rPr>
              <w:t>（</w:t>
            </w:r>
            <w:r>
              <w:rPr>
                <w:rFonts w:cs="宋体"/>
                <w:color w:val="auto"/>
                <w:sz w:val="24"/>
                <w:lang w:bidi="ar"/>
              </w:rPr>
              <w:t>粉）尘和VOCs。</w:t>
            </w:r>
          </w:p>
          <w:p>
            <w:pPr>
              <w:pStyle w:val="45"/>
              <w:spacing w:line="372" w:lineRule="auto"/>
              <w:rPr>
                <w:color w:val="auto"/>
                <w:sz w:val="24"/>
              </w:rPr>
            </w:pPr>
            <w:r>
              <w:rPr>
                <w:rFonts w:hint="eastAsia"/>
                <w:color w:val="auto"/>
                <w:sz w:val="24"/>
              </w:rPr>
              <w:t>本项目营运期产生的废气主要为注塑废气、热转印废气、破碎粉尘，</w:t>
            </w:r>
            <w:r>
              <w:rPr>
                <w:rFonts w:hint="eastAsia"/>
                <w:color w:val="auto"/>
                <w:sz w:val="24"/>
                <w:lang w:eastAsia="zh-CN"/>
              </w:rPr>
              <w:t>注塑废气、热转印废气</w:t>
            </w:r>
            <w:r>
              <w:rPr>
                <w:rFonts w:hint="eastAsia"/>
                <w:color w:val="auto"/>
                <w:sz w:val="24"/>
              </w:rPr>
              <w:t>经集气罩收集后通过二级活性炭吸附装置吸附处理后由15m高排气筒（DA001）排放，破碎粉尘</w:t>
            </w:r>
            <w:r>
              <w:rPr>
                <w:rFonts w:hint="eastAsia"/>
                <w:color w:val="auto"/>
                <w:sz w:val="24"/>
                <w:lang w:val="en-US" w:eastAsia="zh-CN"/>
              </w:rPr>
              <w:t>经布袋除尘处理后</w:t>
            </w:r>
            <w:r>
              <w:rPr>
                <w:rFonts w:hint="eastAsia"/>
                <w:color w:val="auto"/>
                <w:sz w:val="24"/>
              </w:rPr>
              <w:t>车间内无组织排放；项目</w:t>
            </w:r>
            <w:r>
              <w:rPr>
                <w:color w:val="auto"/>
                <w:sz w:val="24"/>
              </w:rPr>
              <w:t>废水</w:t>
            </w:r>
            <w:r>
              <w:rPr>
                <w:rFonts w:hint="eastAsia"/>
                <w:bCs/>
                <w:color w:val="auto"/>
                <w:sz w:val="24"/>
              </w:rPr>
              <w:t>为生活污水、冷却废水，生活污水经化粪池收集后与冷却废水接管至</w:t>
            </w:r>
            <w:r>
              <w:rPr>
                <w:rFonts w:hint="eastAsia"/>
                <w:bCs/>
                <w:color w:val="auto"/>
                <w:sz w:val="24"/>
                <w:lang w:eastAsia="zh-CN"/>
              </w:rPr>
              <w:t>蚌埠铜陵现代产业园污水处理厂</w:t>
            </w:r>
            <w:r>
              <w:rPr>
                <w:rFonts w:hint="eastAsia"/>
                <w:bCs/>
                <w:color w:val="auto"/>
                <w:sz w:val="24"/>
              </w:rPr>
              <w:t>处理最终排入北淝河</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372" w:lineRule="auto"/>
              <w:ind w:firstLine="480" w:firstLineChars="200"/>
              <w:textAlignment w:val="auto"/>
              <w:rPr>
                <w:color w:val="auto"/>
                <w:sz w:val="24"/>
              </w:rPr>
            </w:pPr>
            <w:bookmarkStart w:id="5" w:name="OLE_LINK1"/>
            <w:r>
              <w:rPr>
                <w:rFonts w:hint="eastAsia"/>
                <w:color w:val="auto"/>
                <w:sz w:val="24"/>
              </w:rPr>
              <w:t>综上所述，本项目纳入总量控制指标的污染物为</w:t>
            </w:r>
            <w:r>
              <w:rPr>
                <w:rFonts w:cs="宋体"/>
                <w:color w:val="auto"/>
                <w:sz w:val="24"/>
                <w:lang w:bidi="ar"/>
              </w:rPr>
              <w:t>COD</w:t>
            </w:r>
            <w:r>
              <w:rPr>
                <w:rFonts w:hint="eastAsia" w:cs="宋体"/>
                <w:color w:val="auto"/>
                <w:sz w:val="24"/>
                <w:lang w:bidi="ar"/>
              </w:rPr>
              <w:t>cr</w:t>
            </w:r>
            <w:r>
              <w:rPr>
                <w:rFonts w:cs="宋体"/>
                <w:color w:val="auto"/>
                <w:sz w:val="24"/>
                <w:lang w:bidi="ar"/>
              </w:rPr>
              <w:t>、NH</w:t>
            </w:r>
            <w:r>
              <w:rPr>
                <w:rFonts w:cs="宋体"/>
                <w:color w:val="auto"/>
                <w:sz w:val="24"/>
                <w:vertAlign w:val="subscript"/>
                <w:lang w:bidi="ar"/>
              </w:rPr>
              <w:t>3</w:t>
            </w:r>
            <w:r>
              <w:rPr>
                <w:rFonts w:cs="宋体"/>
                <w:color w:val="auto"/>
                <w:sz w:val="24"/>
                <w:lang w:bidi="ar"/>
              </w:rPr>
              <w:t>-N</w:t>
            </w:r>
            <w:r>
              <w:rPr>
                <w:rFonts w:hint="eastAsia" w:cs="宋体"/>
                <w:color w:val="auto"/>
                <w:sz w:val="24"/>
                <w:lang w:bidi="ar"/>
              </w:rPr>
              <w:t>、</w:t>
            </w:r>
            <w:r>
              <w:rPr>
                <w:rFonts w:cs="宋体"/>
                <w:color w:val="auto"/>
                <w:sz w:val="24"/>
                <w:lang w:bidi="ar"/>
              </w:rPr>
              <w:t>VOCs</w:t>
            </w:r>
            <w:r>
              <w:rPr>
                <w:rFonts w:hint="eastAsia"/>
                <w:color w:val="auto"/>
                <w:sz w:val="24"/>
              </w:rPr>
              <w:t>，全厂需申请排放总量为：</w:t>
            </w:r>
            <w:r>
              <w:rPr>
                <w:rFonts w:cs="宋体"/>
                <w:color w:val="auto"/>
                <w:sz w:val="24"/>
                <w:lang w:bidi="ar"/>
              </w:rPr>
              <w:t>COD</w:t>
            </w:r>
            <w:r>
              <w:rPr>
                <w:rFonts w:hint="eastAsia" w:cs="宋体"/>
                <w:color w:val="auto"/>
                <w:sz w:val="24"/>
                <w:lang w:bidi="ar"/>
              </w:rPr>
              <w:t>cr</w:t>
            </w:r>
            <w:r>
              <w:rPr>
                <w:rFonts w:hint="eastAsia"/>
                <w:color w:val="auto"/>
                <w:sz w:val="24"/>
              </w:rPr>
              <w:t>：0.0182t/a</w:t>
            </w:r>
            <w:r>
              <w:rPr>
                <w:rFonts w:cs="宋体"/>
                <w:color w:val="auto"/>
                <w:sz w:val="24"/>
                <w:lang w:bidi="ar"/>
              </w:rPr>
              <w:t>、NH</w:t>
            </w:r>
            <w:r>
              <w:rPr>
                <w:rFonts w:cs="宋体"/>
                <w:color w:val="auto"/>
                <w:sz w:val="24"/>
                <w:vertAlign w:val="subscript"/>
                <w:lang w:bidi="ar"/>
              </w:rPr>
              <w:t>3</w:t>
            </w:r>
            <w:r>
              <w:rPr>
                <w:rFonts w:cs="宋体"/>
                <w:color w:val="auto"/>
                <w:sz w:val="24"/>
                <w:lang w:bidi="ar"/>
              </w:rPr>
              <w:t>-N</w:t>
            </w:r>
            <w:r>
              <w:rPr>
                <w:rFonts w:hint="eastAsia"/>
                <w:color w:val="auto"/>
                <w:sz w:val="24"/>
              </w:rPr>
              <w:t>：0.0018t/a</w:t>
            </w:r>
            <w:r>
              <w:rPr>
                <w:rFonts w:hint="eastAsia" w:cs="宋体"/>
                <w:color w:val="auto"/>
                <w:sz w:val="24"/>
                <w:lang w:bidi="ar"/>
              </w:rPr>
              <w:t>、</w:t>
            </w:r>
            <w:r>
              <w:rPr>
                <w:rFonts w:hint="eastAsia"/>
                <w:color w:val="auto"/>
                <w:sz w:val="24"/>
              </w:rPr>
              <w:t>VOCs：</w:t>
            </w:r>
            <w:r>
              <w:rPr>
                <w:rFonts w:hint="eastAsia"/>
                <w:color w:val="auto"/>
                <w:sz w:val="24"/>
                <w:lang w:eastAsia="zh-CN"/>
              </w:rPr>
              <w:t>0.0737</w:t>
            </w:r>
            <w:r>
              <w:rPr>
                <w:rFonts w:hint="eastAsia"/>
                <w:color w:val="auto"/>
                <w:sz w:val="24"/>
              </w:rPr>
              <w:t>t/a。</w:t>
            </w:r>
          </w:p>
          <w:bookmarkEnd w:id="5"/>
          <w:p>
            <w:pPr>
              <w:adjustRightInd w:val="0"/>
              <w:snapToGrid w:val="0"/>
              <w:spacing w:line="372" w:lineRule="auto"/>
              <w:ind w:firstLine="480" w:firstLineChars="200"/>
              <w:rPr>
                <w:rFonts w:cs="宋体"/>
                <w:color w:val="auto"/>
                <w:kern w:val="0"/>
                <w:sz w:val="24"/>
                <w:lang w:bidi="ar"/>
              </w:rPr>
            </w:pPr>
            <w:r>
              <w:rPr>
                <w:rFonts w:cs="宋体"/>
                <w:color w:val="auto"/>
                <w:kern w:val="0"/>
                <w:sz w:val="24"/>
                <w:lang w:bidi="ar"/>
              </w:rPr>
              <w:t>根据《安徽省环保厅关于进一步加强建设项目新增大气主要污染物总量指标管理工作的通知》（皖环发〔2017〕19号）：上年度PM</w:t>
            </w:r>
            <w:r>
              <w:rPr>
                <w:rFonts w:cs="宋体"/>
                <w:color w:val="auto"/>
                <w:kern w:val="0"/>
                <w:sz w:val="24"/>
                <w:vertAlign w:val="subscript"/>
                <w:lang w:bidi="ar"/>
              </w:rPr>
              <w:t>2.5</w:t>
            </w:r>
            <w:r>
              <w:rPr>
                <w:rFonts w:cs="宋体"/>
                <w:color w:val="auto"/>
                <w:kern w:val="0"/>
                <w:sz w:val="24"/>
                <w:lang w:bidi="ar"/>
              </w:rPr>
              <w:t>不达标的城市，新增SO</w:t>
            </w:r>
            <w:r>
              <w:rPr>
                <w:rFonts w:cs="宋体"/>
                <w:color w:val="auto"/>
                <w:kern w:val="0"/>
                <w:sz w:val="24"/>
                <w:vertAlign w:val="subscript"/>
                <w:lang w:bidi="ar"/>
              </w:rPr>
              <w:t>2</w:t>
            </w:r>
            <w:r>
              <w:rPr>
                <w:rFonts w:cs="宋体"/>
                <w:color w:val="auto"/>
                <w:kern w:val="0"/>
                <w:sz w:val="24"/>
                <w:lang w:bidi="ar"/>
              </w:rPr>
              <w:t>、NOx和VOCs指标均要执行</w:t>
            </w:r>
            <w:r>
              <w:rPr>
                <w:rFonts w:hint="eastAsia" w:ascii="宋体" w:hAnsi="宋体" w:cs="宋体"/>
                <w:color w:val="auto"/>
                <w:kern w:val="0"/>
                <w:sz w:val="24"/>
                <w:lang w:bidi="ar"/>
              </w:rPr>
              <w:t>“倍量替代”</w:t>
            </w:r>
            <w:r>
              <w:rPr>
                <w:rFonts w:cs="宋体"/>
                <w:color w:val="auto"/>
                <w:kern w:val="0"/>
                <w:sz w:val="24"/>
                <w:lang w:bidi="ar"/>
              </w:rPr>
              <w:t>，上年度PM</w:t>
            </w:r>
            <w:r>
              <w:rPr>
                <w:rFonts w:cs="宋体"/>
                <w:color w:val="auto"/>
                <w:kern w:val="0"/>
                <w:sz w:val="24"/>
                <w:vertAlign w:val="subscript"/>
                <w:lang w:bidi="ar"/>
              </w:rPr>
              <w:t>10</w:t>
            </w:r>
            <w:r>
              <w:rPr>
                <w:rFonts w:cs="宋体"/>
                <w:color w:val="auto"/>
                <w:kern w:val="0"/>
                <w:sz w:val="24"/>
                <w:lang w:bidi="ar"/>
              </w:rPr>
              <w:t>不达标的城市，新增烟（粉）尘指标要执行</w:t>
            </w:r>
            <w:r>
              <w:rPr>
                <w:rFonts w:hint="eastAsia" w:ascii="宋体" w:hAnsi="宋体" w:cs="宋体"/>
                <w:color w:val="auto"/>
                <w:kern w:val="0"/>
                <w:sz w:val="24"/>
                <w:lang w:bidi="ar"/>
              </w:rPr>
              <w:t>“倍量替代”</w:t>
            </w:r>
            <w:r>
              <w:rPr>
                <w:rFonts w:cs="宋体"/>
                <w:color w:val="auto"/>
                <w:kern w:val="0"/>
                <w:sz w:val="24"/>
                <w:lang w:bidi="ar"/>
              </w:rPr>
              <w:t>。</w:t>
            </w:r>
            <w:r>
              <w:rPr>
                <w:rFonts w:hint="eastAsia"/>
                <w:color w:val="auto"/>
                <w:sz w:val="24"/>
              </w:rPr>
              <w:t>蚌埠市2024年度</w:t>
            </w:r>
            <w:r>
              <w:rPr>
                <w:rFonts w:cs="宋体"/>
                <w:color w:val="auto"/>
                <w:kern w:val="0"/>
                <w:sz w:val="24"/>
                <w:lang w:bidi="ar"/>
              </w:rPr>
              <w:t>PM</w:t>
            </w:r>
            <w:r>
              <w:rPr>
                <w:rFonts w:cs="宋体"/>
                <w:color w:val="auto"/>
                <w:kern w:val="0"/>
                <w:sz w:val="24"/>
                <w:vertAlign w:val="subscript"/>
                <w:lang w:bidi="ar"/>
              </w:rPr>
              <w:t>2.5</w:t>
            </w:r>
            <w:r>
              <w:rPr>
                <w:rFonts w:cs="宋体"/>
                <w:color w:val="auto"/>
                <w:kern w:val="0"/>
                <w:sz w:val="24"/>
                <w:lang w:bidi="ar"/>
              </w:rPr>
              <w:t>不达标</w:t>
            </w:r>
            <w:r>
              <w:rPr>
                <w:rFonts w:hint="eastAsia" w:cs="宋体"/>
                <w:color w:val="auto"/>
                <w:kern w:val="0"/>
                <w:sz w:val="24"/>
                <w:lang w:bidi="ar"/>
              </w:rPr>
              <w:t>，故本项目需</w:t>
            </w:r>
            <w:r>
              <w:rPr>
                <w:rFonts w:cs="宋体"/>
                <w:color w:val="auto"/>
                <w:kern w:val="0"/>
                <w:sz w:val="24"/>
                <w:lang w:bidi="ar"/>
              </w:rPr>
              <w:t>实行区域倍量替代。</w:t>
            </w:r>
          </w:p>
          <w:p>
            <w:pPr>
              <w:adjustRightInd w:val="0"/>
              <w:snapToGrid w:val="0"/>
              <w:spacing w:line="372" w:lineRule="auto"/>
              <w:ind w:firstLine="480" w:firstLineChars="200"/>
              <w:rPr>
                <w:rFonts w:cs="宋体"/>
                <w:color w:val="auto"/>
                <w:kern w:val="0"/>
                <w:sz w:val="24"/>
                <w:lang w:bidi="ar"/>
              </w:rPr>
            </w:pPr>
            <w:r>
              <w:rPr>
                <w:rFonts w:cs="宋体"/>
                <w:color w:val="auto"/>
                <w:kern w:val="0"/>
                <w:sz w:val="24"/>
                <w:lang w:bidi="ar"/>
              </w:rPr>
              <w:t>根据安徽省生态环境厅等4部门印发的《安徽省排污权有偿使用和交易管理办法（试行）》（皖环发〔2023〕72号）等政策要求，实施排污权交易的污染物种类为：化学需氧量（COD）、氨氮（NH</w:t>
            </w:r>
            <w:r>
              <w:rPr>
                <w:rFonts w:cs="宋体"/>
                <w:color w:val="auto"/>
                <w:kern w:val="0"/>
                <w:sz w:val="24"/>
                <w:vertAlign w:val="subscript"/>
                <w:lang w:bidi="ar"/>
              </w:rPr>
              <w:t>3</w:t>
            </w:r>
            <w:r>
              <w:rPr>
                <w:rFonts w:cs="宋体"/>
                <w:color w:val="auto"/>
                <w:kern w:val="0"/>
                <w:sz w:val="24"/>
                <w:lang w:bidi="ar"/>
              </w:rPr>
              <w:t>-N）、二氧化硫（SO</w:t>
            </w:r>
            <w:r>
              <w:rPr>
                <w:rFonts w:cs="宋体"/>
                <w:color w:val="auto"/>
                <w:kern w:val="0"/>
                <w:sz w:val="24"/>
                <w:vertAlign w:val="subscript"/>
                <w:lang w:bidi="ar"/>
              </w:rPr>
              <w:t>2</w:t>
            </w:r>
            <w:r>
              <w:rPr>
                <w:rFonts w:cs="宋体"/>
                <w:color w:val="auto"/>
                <w:kern w:val="0"/>
                <w:sz w:val="24"/>
                <w:lang w:bidi="ar"/>
              </w:rPr>
              <w:t>）、氮氧化物（NO</w:t>
            </w:r>
            <w:r>
              <w:rPr>
                <w:rFonts w:cs="宋体"/>
                <w:color w:val="auto"/>
                <w:kern w:val="0"/>
                <w:sz w:val="24"/>
                <w:vertAlign w:val="subscript"/>
                <w:lang w:bidi="ar"/>
              </w:rPr>
              <w:t>X</w:t>
            </w:r>
            <w:r>
              <w:rPr>
                <w:rFonts w:cs="宋体"/>
                <w:color w:val="auto"/>
                <w:kern w:val="0"/>
                <w:sz w:val="24"/>
                <w:lang w:bidi="ar"/>
              </w:rPr>
              <w:t>）4类；实施的排污单位为：全省列入排污许可重点和简化管理范围内有污染物许可排放量要求的排污单位。</w:t>
            </w:r>
            <w:r>
              <w:rPr>
                <w:rFonts w:hint="eastAsia" w:cs="宋体"/>
                <w:color w:val="auto"/>
                <w:kern w:val="0"/>
                <w:sz w:val="24"/>
                <w:lang w:bidi="ar"/>
              </w:rPr>
              <w:t>本项目属于</w:t>
            </w:r>
            <w:r>
              <w:rPr>
                <w:rFonts w:cs="宋体"/>
                <w:color w:val="auto"/>
                <w:kern w:val="0"/>
                <w:sz w:val="24"/>
                <w:lang w:bidi="ar"/>
              </w:rPr>
              <w:t>排污许可</w:t>
            </w:r>
            <w:r>
              <w:rPr>
                <w:rFonts w:hint="eastAsia" w:cs="宋体"/>
                <w:color w:val="auto"/>
                <w:kern w:val="0"/>
                <w:sz w:val="24"/>
                <w:lang w:bidi="ar"/>
              </w:rPr>
              <w:t>登记管理单位，故本项目无需进行排污权</w:t>
            </w:r>
            <w:r>
              <w:rPr>
                <w:rFonts w:cs="宋体"/>
                <w:color w:val="auto"/>
                <w:kern w:val="0"/>
                <w:sz w:val="24"/>
                <w:lang w:bidi="ar"/>
              </w:rPr>
              <w:t>有偿使用和交易</w:t>
            </w:r>
            <w:r>
              <w:rPr>
                <w:rFonts w:hint="eastAsia" w:cs="宋体"/>
                <w:color w:val="auto"/>
                <w:kern w:val="0"/>
                <w:sz w:val="24"/>
                <w:lang w:bidi="ar"/>
              </w:rPr>
              <w:t>。</w:t>
            </w: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spacing w:line="372" w:lineRule="auto"/>
              <w:ind w:firstLine="480" w:firstLineChars="200"/>
              <w:rPr>
                <w:rFonts w:cs="宋体"/>
                <w:color w:val="auto"/>
                <w:kern w:val="0"/>
                <w:sz w:val="24"/>
                <w:lang w:bidi="ar"/>
              </w:rPr>
            </w:pPr>
          </w:p>
          <w:p>
            <w:pPr>
              <w:adjustRightInd w:val="0"/>
              <w:snapToGrid w:val="0"/>
              <w:rPr>
                <w:color w:val="auto"/>
                <w:kern w:val="0"/>
                <w:sz w:val="24"/>
              </w:rPr>
            </w:pPr>
          </w:p>
        </w:tc>
      </w:tr>
    </w:tbl>
    <w:p>
      <w:pPr>
        <w:pStyle w:val="25"/>
        <w:adjustRightInd w:val="0"/>
        <w:snapToGrid w:val="0"/>
        <w:spacing w:before="120" w:beforeLines="50" w:beforeAutospacing="0" w:after="120" w:afterLines="50" w:afterAutospacing="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8"/>
        <w:tblW w:w="96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left w:w="28" w:type="dxa"/>
              <w:right w:w="28" w:type="dxa"/>
            </w:tcMar>
            <w:vAlign w:val="center"/>
          </w:tcPr>
          <w:p>
            <w:pPr>
              <w:pStyle w:val="25"/>
              <w:keepLines/>
              <w:widowControl w:val="0"/>
              <w:adjustRightInd w:val="0"/>
              <w:snapToGrid w:val="0"/>
              <w:spacing w:before="0" w:beforeAutospacing="0" w:after="0" w:afterAutospacing="0"/>
              <w:ind w:left="-105" w:leftChars="-50" w:right="-105" w:rightChars="-50"/>
              <w:jc w:val="center"/>
              <w:rPr>
                <w:rFonts w:cs="宋体"/>
                <w:b/>
                <w:bCs/>
                <w:color w:val="auto"/>
                <w:kern w:val="2"/>
                <w:szCs w:val="24"/>
              </w:rPr>
            </w:pPr>
            <w:r>
              <w:rPr>
                <w:rFonts w:hint="eastAsia" w:cs="宋体"/>
                <w:b/>
                <w:bCs/>
                <w:color w:val="auto"/>
                <w:kern w:val="2"/>
                <w:szCs w:val="24"/>
              </w:rPr>
              <w:t>施工</w:t>
            </w:r>
          </w:p>
          <w:p>
            <w:pPr>
              <w:pStyle w:val="25"/>
              <w:keepLines/>
              <w:widowControl w:val="0"/>
              <w:adjustRightInd w:val="0"/>
              <w:snapToGrid w:val="0"/>
              <w:spacing w:before="0" w:beforeAutospacing="0" w:after="0" w:afterAutospacing="0"/>
              <w:ind w:left="-105" w:leftChars="-50" w:right="-105" w:rightChars="-50"/>
              <w:jc w:val="center"/>
              <w:rPr>
                <w:rFonts w:cs="宋体"/>
                <w:b/>
                <w:bCs/>
                <w:color w:val="auto"/>
                <w:kern w:val="2"/>
                <w:szCs w:val="24"/>
              </w:rPr>
            </w:pPr>
            <w:r>
              <w:rPr>
                <w:rFonts w:hint="eastAsia" w:cs="宋体"/>
                <w:b/>
                <w:bCs/>
                <w:color w:val="auto"/>
                <w:kern w:val="2"/>
                <w:szCs w:val="24"/>
              </w:rPr>
              <w:t>期环</w:t>
            </w:r>
          </w:p>
          <w:p>
            <w:pPr>
              <w:pStyle w:val="25"/>
              <w:keepLines/>
              <w:widowControl w:val="0"/>
              <w:adjustRightInd w:val="0"/>
              <w:snapToGrid w:val="0"/>
              <w:spacing w:before="0" w:beforeAutospacing="0" w:after="0" w:afterAutospacing="0"/>
              <w:ind w:left="-105" w:leftChars="-50" w:right="-105" w:rightChars="-50"/>
              <w:jc w:val="center"/>
              <w:rPr>
                <w:rFonts w:cs="宋体"/>
                <w:b/>
                <w:bCs/>
                <w:color w:val="auto"/>
                <w:kern w:val="2"/>
                <w:szCs w:val="24"/>
              </w:rPr>
            </w:pPr>
            <w:r>
              <w:rPr>
                <w:rFonts w:hint="eastAsia" w:cs="宋体"/>
                <w:b/>
                <w:bCs/>
                <w:color w:val="auto"/>
                <w:kern w:val="2"/>
                <w:szCs w:val="24"/>
              </w:rPr>
              <w:t>境保</w:t>
            </w:r>
          </w:p>
          <w:p>
            <w:pPr>
              <w:pStyle w:val="25"/>
              <w:keepLines/>
              <w:widowControl w:val="0"/>
              <w:adjustRightInd w:val="0"/>
              <w:snapToGrid w:val="0"/>
              <w:spacing w:before="0" w:beforeAutospacing="0" w:after="0" w:afterAutospacing="0"/>
              <w:ind w:left="-105" w:leftChars="-50" w:right="-105" w:rightChars="-50"/>
              <w:jc w:val="center"/>
              <w:rPr>
                <w:rFonts w:cs="宋体"/>
                <w:b/>
                <w:bCs/>
                <w:color w:val="auto"/>
                <w:kern w:val="2"/>
                <w:szCs w:val="24"/>
              </w:rPr>
            </w:pPr>
            <w:r>
              <w:rPr>
                <w:rFonts w:hint="eastAsia" w:cs="宋体"/>
                <w:b/>
                <w:bCs/>
                <w:color w:val="auto"/>
                <w:kern w:val="2"/>
                <w:szCs w:val="24"/>
              </w:rPr>
              <w:t>护措</w:t>
            </w:r>
          </w:p>
          <w:p>
            <w:pPr>
              <w:pStyle w:val="25"/>
              <w:keepLines/>
              <w:widowControl w:val="0"/>
              <w:adjustRightInd w:val="0"/>
              <w:snapToGrid w:val="0"/>
              <w:spacing w:before="0" w:beforeAutospacing="0" w:after="0" w:afterAutospacing="0"/>
              <w:ind w:left="-105" w:leftChars="-50" w:right="-105" w:rightChars="-50"/>
              <w:jc w:val="center"/>
              <w:rPr>
                <w:rFonts w:cs="宋体"/>
                <w:bCs/>
                <w:color w:val="auto"/>
                <w:kern w:val="2"/>
                <w:szCs w:val="24"/>
              </w:rPr>
            </w:pPr>
            <w:r>
              <w:rPr>
                <w:rFonts w:hint="eastAsia" w:cs="宋体"/>
                <w:b/>
                <w:bCs/>
                <w:color w:val="auto"/>
                <w:kern w:val="2"/>
                <w:szCs w:val="24"/>
              </w:rPr>
              <w:t>施</w:t>
            </w:r>
          </w:p>
        </w:tc>
        <w:tc>
          <w:tcPr>
            <w:tcW w:w="9008" w:type="dxa"/>
            <w:vAlign w:val="center"/>
          </w:tcPr>
          <w:p>
            <w:pPr>
              <w:keepLines/>
              <w:adjustRightInd w:val="0"/>
              <w:snapToGrid w:val="0"/>
              <w:spacing w:before="120" w:beforeLines="50" w:line="348" w:lineRule="auto"/>
              <w:ind w:firstLine="480" w:firstLineChars="200"/>
              <w:rPr>
                <w:bCs/>
                <w:color w:val="auto"/>
                <w:spacing w:val="-10"/>
                <w:sz w:val="24"/>
              </w:rPr>
            </w:pPr>
            <w:r>
              <w:rPr>
                <w:color w:val="auto"/>
                <w:sz w:val="24"/>
              </w:rPr>
              <w:t>本项目</w:t>
            </w:r>
            <w:r>
              <w:rPr>
                <w:rFonts w:hint="eastAsia"/>
                <w:color w:val="auto"/>
                <w:sz w:val="24"/>
              </w:rPr>
              <w:t>租赁固镇正艺装饰材料有限公司已建成厂房作为生产厂房进行</w:t>
            </w:r>
            <w:r>
              <w:rPr>
                <w:color w:val="auto"/>
                <w:sz w:val="24"/>
              </w:rPr>
              <w:t>项目建设。项目施工期工程内容主要</w:t>
            </w:r>
            <w:r>
              <w:rPr>
                <w:rFonts w:hint="eastAsia"/>
                <w:color w:val="auto"/>
                <w:sz w:val="24"/>
              </w:rPr>
              <w:t>为</w:t>
            </w:r>
            <w:r>
              <w:rPr>
                <w:color w:val="auto"/>
                <w:sz w:val="24"/>
              </w:rPr>
              <w:t>室内装修</w:t>
            </w:r>
            <w:r>
              <w:rPr>
                <w:rFonts w:hint="eastAsia"/>
                <w:color w:val="auto"/>
                <w:sz w:val="24"/>
              </w:rPr>
              <w:t>及</w:t>
            </w:r>
            <w:r>
              <w:rPr>
                <w:color w:val="auto"/>
                <w:sz w:val="24"/>
              </w:rPr>
              <w:t>设备安装调试。由于工程量较小，施工时间较短。</w:t>
            </w:r>
            <w:r>
              <w:rPr>
                <w:rFonts w:hint="eastAsia"/>
                <w:color w:val="auto"/>
                <w:sz w:val="24"/>
              </w:rPr>
              <w:t>项目</w:t>
            </w:r>
            <w:r>
              <w:rPr>
                <w:color w:val="auto"/>
                <w:sz w:val="24"/>
              </w:rPr>
              <w:t>在采取选用环保装修材料、选用低噪声施工设备</w:t>
            </w:r>
            <w:r>
              <w:rPr>
                <w:rFonts w:hint="eastAsia"/>
                <w:color w:val="auto"/>
                <w:sz w:val="24"/>
              </w:rPr>
              <w:t>、</w:t>
            </w:r>
            <w:r>
              <w:rPr>
                <w:color w:val="auto"/>
                <w:sz w:val="24"/>
              </w:rPr>
              <w:t>加强施工活动管理等措施后，施工期环境影响较小</w:t>
            </w:r>
            <w:r>
              <w:rPr>
                <w:rFonts w:hint="eastAsia"/>
                <w:color w:val="auto"/>
                <w:sz w:val="24"/>
              </w:rPr>
              <w:t>，</w:t>
            </w:r>
            <w:r>
              <w:rPr>
                <w:color w:val="auto"/>
                <w:kern w:val="0"/>
                <w:sz w:val="24"/>
                <w:lang w:bidi="ar"/>
              </w:rPr>
              <w:t>本次环评对施工期的环境影响不做分析</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left w:w="28" w:type="dxa"/>
              <w:right w:w="28" w:type="dxa"/>
            </w:tcMar>
            <w:vAlign w:val="center"/>
          </w:tcPr>
          <w:p>
            <w:pPr>
              <w:keepLines/>
              <w:adjustRightInd w:val="0"/>
              <w:snapToGrid w:val="0"/>
              <w:ind w:left="-105" w:leftChars="-50" w:right="-105" w:rightChars="-50"/>
              <w:jc w:val="center"/>
              <w:rPr>
                <w:rFonts w:ascii="宋体" w:hAnsi="宋体" w:cs="宋体"/>
                <w:b/>
                <w:color w:val="auto"/>
                <w:sz w:val="24"/>
              </w:rPr>
            </w:pPr>
            <w:r>
              <w:rPr>
                <w:rFonts w:hint="eastAsia" w:ascii="宋体" w:hAnsi="宋体" w:cs="宋体"/>
                <w:b/>
                <w:color w:val="auto"/>
                <w:sz w:val="24"/>
              </w:rPr>
              <w:t>运营</w:t>
            </w:r>
          </w:p>
          <w:p>
            <w:pPr>
              <w:keepLines/>
              <w:adjustRightInd w:val="0"/>
              <w:snapToGrid w:val="0"/>
              <w:ind w:left="-105" w:leftChars="-50" w:right="-105" w:rightChars="-50"/>
              <w:jc w:val="center"/>
              <w:rPr>
                <w:rFonts w:ascii="宋体" w:hAnsi="宋体" w:cs="宋体"/>
                <w:b/>
                <w:color w:val="auto"/>
                <w:sz w:val="24"/>
              </w:rPr>
            </w:pPr>
            <w:r>
              <w:rPr>
                <w:rFonts w:hint="eastAsia" w:ascii="宋体" w:hAnsi="宋体" w:cs="宋体"/>
                <w:b/>
                <w:color w:val="auto"/>
                <w:sz w:val="24"/>
              </w:rPr>
              <w:t>期环</w:t>
            </w:r>
          </w:p>
          <w:p>
            <w:pPr>
              <w:keepLines/>
              <w:adjustRightInd w:val="0"/>
              <w:snapToGrid w:val="0"/>
              <w:ind w:left="-105" w:leftChars="-50" w:right="-105" w:rightChars="-50"/>
              <w:jc w:val="center"/>
              <w:rPr>
                <w:rFonts w:ascii="宋体" w:hAnsi="宋体" w:cs="宋体"/>
                <w:b/>
                <w:color w:val="auto"/>
                <w:sz w:val="24"/>
              </w:rPr>
            </w:pPr>
            <w:r>
              <w:rPr>
                <w:rFonts w:hint="eastAsia" w:ascii="宋体" w:hAnsi="宋体" w:cs="宋体"/>
                <w:b/>
                <w:color w:val="auto"/>
                <w:sz w:val="24"/>
              </w:rPr>
              <w:t>境影</w:t>
            </w:r>
          </w:p>
          <w:p>
            <w:pPr>
              <w:keepLines/>
              <w:adjustRightInd w:val="0"/>
              <w:snapToGrid w:val="0"/>
              <w:ind w:left="-105" w:leftChars="-50" w:right="-105" w:rightChars="-50"/>
              <w:jc w:val="center"/>
              <w:rPr>
                <w:rFonts w:ascii="宋体" w:hAnsi="宋体" w:cs="宋体"/>
                <w:b/>
                <w:color w:val="auto"/>
                <w:sz w:val="24"/>
              </w:rPr>
            </w:pPr>
            <w:r>
              <w:rPr>
                <w:rFonts w:hint="eastAsia" w:ascii="宋体" w:hAnsi="宋体" w:cs="宋体"/>
                <w:b/>
                <w:color w:val="auto"/>
                <w:sz w:val="24"/>
              </w:rPr>
              <w:t>响和</w:t>
            </w:r>
          </w:p>
          <w:p>
            <w:pPr>
              <w:keepLines/>
              <w:adjustRightInd w:val="0"/>
              <w:snapToGrid w:val="0"/>
              <w:ind w:left="-105" w:leftChars="-50" w:right="-105" w:rightChars="-50"/>
              <w:jc w:val="center"/>
              <w:rPr>
                <w:rFonts w:ascii="宋体" w:hAnsi="宋体" w:cs="宋体"/>
                <w:b/>
                <w:color w:val="auto"/>
                <w:sz w:val="24"/>
              </w:rPr>
            </w:pPr>
            <w:r>
              <w:rPr>
                <w:rFonts w:hint="eastAsia" w:ascii="宋体" w:hAnsi="宋体" w:cs="宋体"/>
                <w:b/>
                <w:color w:val="auto"/>
                <w:sz w:val="24"/>
              </w:rPr>
              <w:t>保护</w:t>
            </w:r>
          </w:p>
          <w:p>
            <w:pPr>
              <w:keepLines/>
              <w:adjustRightInd w:val="0"/>
              <w:snapToGrid w:val="0"/>
              <w:ind w:left="-105" w:leftChars="-50" w:right="-105" w:rightChars="-50"/>
              <w:jc w:val="center"/>
              <w:rPr>
                <w:rFonts w:ascii="宋体" w:hAnsi="宋体" w:cs="宋体"/>
                <w:bCs/>
                <w:color w:val="auto"/>
                <w:szCs w:val="21"/>
              </w:rPr>
            </w:pPr>
            <w:r>
              <w:rPr>
                <w:rFonts w:hint="eastAsia" w:ascii="宋体" w:hAnsi="宋体" w:cs="宋体"/>
                <w:b/>
                <w:color w:val="auto"/>
                <w:sz w:val="24"/>
              </w:rPr>
              <w:t>措施</w:t>
            </w:r>
          </w:p>
        </w:tc>
        <w:tc>
          <w:tcPr>
            <w:tcW w:w="9008" w:type="dxa"/>
            <w:vAlign w:val="center"/>
          </w:tcPr>
          <w:p>
            <w:pPr>
              <w:keepNext w:val="0"/>
              <w:keepLines/>
              <w:pageBreakBefore w:val="0"/>
              <w:widowControl w:val="0"/>
              <w:kinsoku/>
              <w:wordWrap/>
              <w:overflowPunct/>
              <w:autoSpaceDE/>
              <w:autoSpaceDN/>
              <w:bidi w:val="0"/>
              <w:adjustRightInd w:val="0"/>
              <w:snapToGrid w:val="0"/>
              <w:spacing w:before="120" w:beforeLines="50" w:line="360" w:lineRule="auto"/>
              <w:ind w:firstLine="482" w:firstLineChars="200"/>
              <w:textAlignment w:val="auto"/>
              <w:rPr>
                <w:rFonts w:ascii="宋体" w:hAnsi="宋体" w:cs="宋体"/>
                <w:color w:val="auto"/>
                <w:sz w:val="24"/>
              </w:rPr>
            </w:pPr>
            <w:r>
              <w:rPr>
                <w:rFonts w:hint="eastAsia" w:ascii="宋体" w:hAnsi="宋体" w:cs="宋体"/>
                <w:b/>
                <w:bCs/>
                <w:color w:val="auto"/>
                <w:kern w:val="0"/>
                <w:sz w:val="24"/>
              </w:rPr>
              <w:t>一、废气</w:t>
            </w:r>
          </w:p>
          <w:p>
            <w:pPr>
              <w:keepNext w:val="0"/>
              <w:keepLines/>
              <w:pageBreakBefore w:val="0"/>
              <w:widowControl w:val="0"/>
              <w:kinsoku/>
              <w:wordWrap/>
              <w:overflowPunct/>
              <w:autoSpaceDE/>
              <w:autoSpaceDN/>
              <w:bidi w:val="0"/>
              <w:adjustRightInd w:val="0"/>
              <w:snapToGrid w:val="0"/>
              <w:spacing w:line="360" w:lineRule="auto"/>
              <w:ind w:firstLine="482" w:firstLineChars="200"/>
              <w:textAlignment w:val="auto"/>
              <w:rPr>
                <w:rFonts w:ascii="宋体" w:hAnsi="宋体" w:cs="宋体"/>
                <w:b/>
                <w:bCs/>
                <w:color w:val="auto"/>
                <w:sz w:val="24"/>
              </w:rPr>
            </w:pPr>
            <w:r>
              <w:rPr>
                <w:rFonts w:hint="eastAsia" w:ascii="宋体" w:hAnsi="宋体" w:cs="宋体"/>
                <w:b/>
                <w:bCs/>
                <w:color w:val="auto"/>
                <w:sz w:val="24"/>
              </w:rPr>
              <w:t>1、废气污染源源强分析</w:t>
            </w:r>
          </w:p>
          <w:p>
            <w:pPr>
              <w:keepNext w:val="0"/>
              <w:keepLines/>
              <w:pageBreakBefore w:val="0"/>
              <w:widowControl w:val="0"/>
              <w:kinsoku/>
              <w:wordWrap/>
              <w:overflowPunct/>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本项目所产生的废气主要为注塑废气、热转印废气、破碎粉尘。</w:t>
            </w:r>
          </w:p>
          <w:p>
            <w:pPr>
              <w:keepNext w:val="0"/>
              <w:keepLines/>
              <w:pageBreakBefore w:val="0"/>
              <w:widowControl w:val="0"/>
              <w:numPr>
                <w:ilvl w:val="0"/>
                <w:numId w:val="6"/>
              </w:numPr>
              <w:kinsoku/>
              <w:wordWrap/>
              <w:overflowPunct/>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注塑废气</w:t>
            </w:r>
          </w:p>
          <w:p>
            <w:pPr>
              <w:keepNext w:val="0"/>
              <w:pageBreakBefore w:val="0"/>
              <w:widowControl w:val="0"/>
              <w:kinsoku/>
              <w:wordWrap/>
              <w:overflowPunct/>
              <w:autoSpaceDE/>
              <w:autoSpaceDN/>
              <w:bidi w:val="0"/>
              <w:adjustRightInd w:val="0"/>
              <w:snapToGrid w:val="0"/>
              <w:spacing w:line="360" w:lineRule="auto"/>
              <w:ind w:firstLine="480" w:firstLineChars="200"/>
              <w:textAlignment w:val="auto"/>
              <w:rPr>
                <w:color w:val="auto"/>
                <w:sz w:val="24"/>
              </w:rPr>
            </w:pPr>
            <w:r>
              <w:rPr>
                <w:color w:val="auto"/>
                <w:sz w:val="24"/>
              </w:rPr>
              <w:t>本项目</w:t>
            </w:r>
            <w:r>
              <w:rPr>
                <w:rFonts w:hint="eastAsia"/>
                <w:color w:val="auto"/>
                <w:sz w:val="24"/>
              </w:rPr>
              <w:t>注塑成型过程中产生有机废气，</w:t>
            </w:r>
            <w:r>
              <w:rPr>
                <w:color w:val="auto"/>
                <w:sz w:val="24"/>
              </w:rPr>
              <w:t>参照《排放源统计调查产排污核算方法和系数手册》</w:t>
            </w:r>
            <w:r>
              <w:rPr>
                <w:rFonts w:hint="eastAsia"/>
                <w:color w:val="auto"/>
                <w:sz w:val="24"/>
              </w:rPr>
              <w:t>“日用</w:t>
            </w:r>
            <w:r>
              <w:rPr>
                <w:color w:val="auto"/>
                <w:sz w:val="24"/>
              </w:rPr>
              <w:t>塑料制品制造行业系数手册</w:t>
            </w:r>
            <w:r>
              <w:rPr>
                <w:rFonts w:hint="eastAsia"/>
                <w:color w:val="auto"/>
                <w:sz w:val="24"/>
              </w:rPr>
              <w:t>”，塑料件注塑工序VOCs（以非甲烷总烃计）产污系数为2.70千克/吨-产品。本项目注塑产品约303吨，则VOCs（以非甲烷总烃计）产生量为0.8181t/a。注塑废气经集气罩收集后通过二级活性炭吸附装置处理后通过15m高排气筒排放（集气罩收集效率为90%，二级活性炭吸附装置处理效率为90%）。</w:t>
            </w:r>
          </w:p>
          <w:p>
            <w:pPr>
              <w:keepNext w:val="0"/>
              <w:keepLines/>
              <w:pageBreakBefore w:val="0"/>
              <w:widowControl w:val="0"/>
              <w:numPr>
                <w:ilvl w:val="0"/>
                <w:numId w:val="6"/>
              </w:numPr>
              <w:kinsoku/>
              <w:wordWrap/>
              <w:overflowPunct/>
              <w:autoSpaceDE/>
              <w:autoSpaceDN/>
              <w:bidi w:val="0"/>
              <w:adjustRightInd w:val="0"/>
              <w:snapToGrid w:val="0"/>
              <w:spacing w:line="360" w:lineRule="auto"/>
              <w:ind w:firstLine="480" w:firstLineChars="200"/>
              <w:textAlignment w:val="auto"/>
              <w:rPr>
                <w:color w:val="auto"/>
                <w:sz w:val="24"/>
              </w:rPr>
            </w:pPr>
            <w:r>
              <w:rPr>
                <w:rFonts w:hint="eastAsia"/>
                <w:color w:val="auto"/>
                <w:sz w:val="24"/>
              </w:rPr>
              <w:t>热转印废气</w:t>
            </w:r>
          </w:p>
          <w:p>
            <w:pPr>
              <w:keepNext w:val="0"/>
              <w:pageBreakBefore w:val="0"/>
              <w:widowControl w:val="0"/>
              <w:kinsoku/>
              <w:wordWrap/>
              <w:overflowPunct/>
              <w:autoSpaceDE/>
              <w:autoSpaceDN/>
              <w:bidi w:val="0"/>
              <w:adjustRightInd w:val="0"/>
              <w:snapToGrid w:val="0"/>
              <w:spacing w:line="360" w:lineRule="auto"/>
              <w:ind w:firstLine="480" w:firstLineChars="200"/>
              <w:textAlignment w:val="auto"/>
              <w:rPr>
                <w:color w:val="auto"/>
                <w:sz w:val="24"/>
              </w:rPr>
            </w:pPr>
            <w:r>
              <w:rPr>
                <w:color w:val="auto"/>
                <w:sz w:val="24"/>
              </w:rPr>
              <w:t>本项目</w:t>
            </w:r>
            <w:r>
              <w:rPr>
                <w:rFonts w:hint="eastAsia"/>
                <w:color w:val="auto"/>
                <w:sz w:val="24"/>
              </w:rPr>
              <w:t>热转印工序使用热转印膜，热转印温度为120~130℃，考虑热转印膜的油墨图层在该工序会产生有机废气（以非甲烷总烃计）。本项目所使用的热转印膜油墨图层为水性油墨，根据其MSDS报告（详见附件）可知，成分为水性树脂30-45%、有机硅助剂3-8%、无机颜料0-15%、水35-50%，其中挥发份为有机硅助剂，含量取最大值8%计算。本项目热转印膜用量为800㎡/a，约200kg/a，油墨图层的质量占比约为</w:t>
            </w:r>
            <w:r>
              <w:rPr>
                <w:rFonts w:hint="eastAsia"/>
                <w:color w:val="auto"/>
                <w:sz w:val="24"/>
                <w:lang w:val="en-US" w:eastAsia="zh-CN"/>
              </w:rPr>
              <w:t>热转印膜的</w:t>
            </w:r>
            <w:r>
              <w:rPr>
                <w:rFonts w:hint="eastAsia"/>
                <w:color w:val="auto"/>
                <w:sz w:val="24"/>
              </w:rPr>
              <w:t>5%，考虑有机硅助剂全挥发，故热转印废气产生量为0.0008t/a。</w:t>
            </w:r>
            <w:r>
              <w:rPr>
                <w:rFonts w:hint="eastAsia" w:ascii="宋体" w:hAnsi="宋体" w:cs="宋体"/>
                <w:color w:val="auto"/>
                <w:sz w:val="24"/>
                <w:lang w:val="en-US" w:eastAsia="zh-CN"/>
              </w:rPr>
              <w:t>热转印废气</w:t>
            </w:r>
            <w:r>
              <w:rPr>
                <w:rFonts w:hint="eastAsia"/>
                <w:color w:val="auto"/>
                <w:sz w:val="24"/>
              </w:rPr>
              <w:t>经集气罩收集后通过二级活性炭吸附装置处理后通过15m高排气筒排放（集气罩收集效率为90%，二级活性炭吸附装置处理效率为90%）。</w:t>
            </w:r>
          </w:p>
          <w:p>
            <w:pPr>
              <w:keepNext w:val="0"/>
              <w:pageBreakBefore w:val="0"/>
              <w:widowControl w:val="0"/>
              <w:kinsoku/>
              <w:wordWrap/>
              <w:overflowPunct/>
              <w:autoSpaceDE/>
              <w:autoSpaceDN/>
              <w:bidi w:val="0"/>
              <w:adjustRightInd w:val="0"/>
              <w:snapToGrid w:val="0"/>
              <w:spacing w:line="360" w:lineRule="auto"/>
              <w:ind w:firstLine="480" w:firstLineChars="200"/>
              <w:textAlignment w:val="auto"/>
              <w:rPr>
                <w:color w:val="auto"/>
                <w:sz w:val="24"/>
              </w:rPr>
            </w:pPr>
            <w:r>
              <w:rPr>
                <w:rFonts w:hint="eastAsia"/>
                <w:color w:val="auto"/>
                <w:sz w:val="24"/>
              </w:rPr>
              <w:t>（3）破碎粉尘</w:t>
            </w:r>
          </w:p>
          <w:p>
            <w:pPr>
              <w:keepNext w:val="0"/>
              <w:pageBreakBefore w:val="0"/>
              <w:widowControl w:val="0"/>
              <w:kinsoku/>
              <w:wordWrap/>
              <w:overflowPunct/>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本项目生产过程中产生一定量的边角料及不合格品，经破碎后回用于生产，破碎过程中产生破碎粉尘，项目边角料及不合格品产生量约为15.15t/a。参考《排放源统计调查产排污核算方法和系数手册》中42废弃资源综合利用行业系数手册，聚丙烯干法破碎颗粒物产生量为375克/吨-原料，故破碎过程中破碎粉尘产生量为0.0057t/a。破碎粉尘产生量较少，破碎于密闭破碎间进行并要求进行破碎作业时加盖封闭，作业结束先静置一段时间后再开盖，</w:t>
            </w:r>
            <w:r>
              <w:rPr>
                <w:rFonts w:hint="eastAsia"/>
                <w:color w:val="auto"/>
                <w:sz w:val="24"/>
                <w:lang w:val="en-US" w:eastAsia="zh-CN"/>
              </w:rPr>
              <w:t>破碎机出气口接布袋除尘装置，</w:t>
            </w:r>
            <w:r>
              <w:rPr>
                <w:rFonts w:hint="eastAsia"/>
                <w:color w:val="auto"/>
                <w:sz w:val="24"/>
              </w:rPr>
              <w:t>破碎粉尘</w:t>
            </w:r>
            <w:r>
              <w:rPr>
                <w:rFonts w:hint="eastAsia"/>
                <w:color w:val="auto"/>
                <w:sz w:val="24"/>
                <w:lang w:val="en-US" w:eastAsia="zh-CN"/>
              </w:rPr>
              <w:t>经布袋除尘（处理效率：99%）处理后</w:t>
            </w:r>
            <w:r>
              <w:rPr>
                <w:rFonts w:hint="eastAsia"/>
                <w:color w:val="auto"/>
                <w:sz w:val="24"/>
              </w:rPr>
              <w:t>于车间内无组织排放。</w:t>
            </w:r>
          </w:p>
          <w:p>
            <w:pPr>
              <w:keepNext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cs="宋体"/>
                <w:color w:val="auto"/>
                <w:kern w:val="0"/>
                <w:sz w:val="24"/>
                <w:lang w:bidi="ar"/>
              </w:rPr>
            </w:pPr>
            <w:r>
              <w:rPr>
                <w:rFonts w:hint="eastAsia" w:cs="宋体"/>
                <w:b/>
                <w:bCs/>
                <w:color w:val="auto"/>
                <w:kern w:val="0"/>
                <w:sz w:val="24"/>
                <w:lang w:bidi="ar"/>
              </w:rPr>
              <w:t>项目废气集气设施设置如下：</w:t>
            </w:r>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本项目共</w:t>
            </w:r>
            <w:r>
              <w:rPr>
                <w:rFonts w:hint="eastAsia" w:cs="宋体"/>
                <w:color w:val="auto"/>
                <w:kern w:val="0"/>
                <w:sz w:val="24"/>
                <w:lang w:val="en-US" w:eastAsia="zh-CN" w:bidi="ar"/>
              </w:rPr>
              <w:t>设</w:t>
            </w:r>
            <w:r>
              <w:rPr>
                <w:rFonts w:hint="eastAsia" w:cs="宋体"/>
                <w:color w:val="auto"/>
                <w:kern w:val="0"/>
                <w:sz w:val="24"/>
                <w:lang w:bidi="ar"/>
              </w:rPr>
              <w:t>12台注塑机，每台注塑机出料口上安装集气罩，集气罩尺寸为0.4m×0.4m</w:t>
            </w:r>
            <w:r>
              <w:rPr>
                <w:rFonts w:hint="eastAsia" w:cs="宋体"/>
                <w:color w:val="auto"/>
                <w:kern w:val="0"/>
                <w:sz w:val="24"/>
                <w:lang w:eastAsia="zh-CN" w:bidi="ar"/>
              </w:rPr>
              <w:t>；</w:t>
            </w:r>
            <w:r>
              <w:rPr>
                <w:rFonts w:hint="eastAsia" w:cs="宋体"/>
                <w:color w:val="auto"/>
                <w:kern w:val="0"/>
                <w:sz w:val="24"/>
                <w:lang w:val="en-US" w:eastAsia="zh-CN" w:bidi="ar"/>
              </w:rPr>
              <w:t>共设4台印花机，每台印花机上安装集气罩，</w:t>
            </w:r>
            <w:r>
              <w:rPr>
                <w:rFonts w:hint="eastAsia" w:cs="宋体"/>
                <w:color w:val="auto"/>
                <w:kern w:val="0"/>
                <w:sz w:val="24"/>
                <w:lang w:bidi="ar"/>
              </w:rPr>
              <w:t>集气罩尺寸为0.4m×0.</w:t>
            </w:r>
            <w:r>
              <w:rPr>
                <w:rFonts w:hint="eastAsia" w:cs="宋体"/>
                <w:color w:val="auto"/>
                <w:kern w:val="0"/>
                <w:sz w:val="24"/>
                <w:lang w:val="en-US" w:eastAsia="zh-CN" w:bidi="ar"/>
              </w:rPr>
              <w:t>2</w:t>
            </w:r>
            <w:r>
              <w:rPr>
                <w:rFonts w:hint="eastAsia" w:cs="宋体"/>
                <w:color w:val="auto"/>
                <w:kern w:val="0"/>
                <w:sz w:val="24"/>
                <w:lang w:bidi="ar"/>
              </w:rPr>
              <w:t>m。</w:t>
            </w:r>
          </w:p>
          <w:p>
            <w:pPr>
              <w:keepNext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cs="宋体"/>
                <w:b/>
                <w:bCs/>
                <w:color w:val="auto"/>
                <w:kern w:val="0"/>
                <w:sz w:val="24"/>
                <w:lang w:bidi="ar"/>
              </w:rPr>
            </w:pPr>
            <w:r>
              <w:rPr>
                <w:rFonts w:hint="eastAsia" w:cs="宋体"/>
                <w:b/>
                <w:bCs/>
                <w:color w:val="auto"/>
                <w:kern w:val="0"/>
                <w:sz w:val="24"/>
                <w:lang w:bidi="ar"/>
              </w:rPr>
              <w:t>集气设施风量的计算：</w:t>
            </w:r>
          </w:p>
          <w:p>
            <w:pPr>
              <w:keepNext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参照《环境工程设计手册》，集气罩的风量计算如下：</w:t>
            </w:r>
          </w:p>
          <w:p>
            <w:pPr>
              <w:keepNext w:val="0"/>
              <w:pageBreakBefore w:val="0"/>
              <w:widowControl w:val="0"/>
              <w:kinsoku/>
              <w:wordWrap/>
              <w:overflowPunct/>
              <w:topLinePunct/>
              <w:autoSpaceDE/>
              <w:autoSpaceDN/>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10"/>
                <w:sz w:val="24"/>
                <w:lang w:bidi="ar"/>
              </w:rPr>
              <w:object>
                <v:shape id="_x0000_i1028" o:spt="75" type="#_x0000_t75" style="height:17.65pt;width:148.1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keepNext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式中：L--集气罩的风量，m³/h；</w:t>
            </w:r>
          </w:p>
          <w:p>
            <w:pPr>
              <w:keepNext w:val="0"/>
              <w:pageBreakBefore w:val="0"/>
              <w:widowControl w:val="0"/>
              <w:kinsoku/>
              <w:wordWrap/>
              <w:overflowPunct/>
              <w:topLinePunct/>
              <w:autoSpaceDE/>
              <w:autoSpaceDN/>
              <w:bidi w:val="0"/>
              <w:adjustRightInd w:val="0"/>
              <w:snapToGrid w:val="0"/>
              <w:spacing w:line="360" w:lineRule="auto"/>
              <w:ind w:firstLine="1200" w:firstLineChars="500"/>
              <w:textAlignment w:val="auto"/>
              <w:rPr>
                <w:color w:val="auto"/>
                <w:kern w:val="0"/>
                <w:sz w:val="24"/>
                <w:lang w:bidi="ar"/>
              </w:rPr>
            </w:pPr>
            <w:r>
              <w:rPr>
                <w:rFonts w:hint="eastAsia"/>
                <w:color w:val="auto"/>
                <w:kern w:val="0"/>
                <w:sz w:val="24"/>
                <w:lang w:bidi="ar"/>
              </w:rPr>
              <w:t>k--</w:t>
            </w:r>
            <w:r>
              <w:rPr>
                <w:rFonts w:hint="eastAsia" w:cs="宋体"/>
                <w:color w:val="auto"/>
                <w:kern w:val="0"/>
                <w:sz w:val="24"/>
                <w:lang w:bidi="ar"/>
              </w:rPr>
              <w:t>安全系数</w:t>
            </w:r>
            <w:r>
              <w:rPr>
                <w:rFonts w:hint="eastAsia"/>
                <w:color w:val="auto"/>
                <w:kern w:val="0"/>
                <w:sz w:val="24"/>
                <w:lang w:bidi="ar"/>
              </w:rPr>
              <w:t>，一般取k=1.4；</w:t>
            </w:r>
          </w:p>
          <w:p>
            <w:pPr>
              <w:keepNext w:val="0"/>
              <w:pageBreakBefore w:val="0"/>
              <w:widowControl w:val="0"/>
              <w:kinsoku/>
              <w:wordWrap/>
              <w:overflowPunct/>
              <w:topLinePunct/>
              <w:autoSpaceDE/>
              <w:autoSpaceDN/>
              <w:bidi w:val="0"/>
              <w:adjustRightInd w:val="0"/>
              <w:snapToGrid w:val="0"/>
              <w:spacing w:before="120" w:beforeLines="50" w:line="360" w:lineRule="auto"/>
              <w:ind w:firstLine="1200" w:firstLineChars="500"/>
              <w:textAlignment w:val="auto"/>
              <w:rPr>
                <w:color w:val="auto"/>
                <w:kern w:val="0"/>
                <w:sz w:val="24"/>
                <w:lang w:bidi="ar"/>
              </w:rPr>
            </w:pPr>
            <w:r>
              <w:rPr>
                <w:rFonts w:hint="eastAsia"/>
                <w:color w:val="auto"/>
                <w:kern w:val="0"/>
                <w:sz w:val="24"/>
                <w:lang w:bidi="ar"/>
              </w:rPr>
              <w:t>P--</w:t>
            </w:r>
            <w:r>
              <w:rPr>
                <w:rFonts w:hint="eastAsia" w:cs="宋体"/>
                <w:color w:val="auto"/>
                <w:kern w:val="0"/>
                <w:sz w:val="24"/>
                <w:lang w:bidi="ar"/>
              </w:rPr>
              <w:t>集气罩口敞开面的周长</w:t>
            </w:r>
            <w:r>
              <w:rPr>
                <w:rFonts w:hint="eastAsia"/>
                <w:color w:val="auto"/>
                <w:kern w:val="0"/>
                <w:sz w:val="24"/>
                <w:lang w:bidi="ar"/>
              </w:rPr>
              <w:t>，m；</w:t>
            </w:r>
          </w:p>
          <w:p>
            <w:pPr>
              <w:keepNext w:val="0"/>
              <w:pageBreakBefore w:val="0"/>
              <w:widowControl w:val="0"/>
              <w:kinsoku/>
              <w:wordWrap/>
              <w:overflowPunct/>
              <w:topLinePunct/>
              <w:autoSpaceDE/>
              <w:autoSpaceDN/>
              <w:bidi w:val="0"/>
              <w:adjustRightInd w:val="0"/>
              <w:snapToGrid w:val="0"/>
              <w:spacing w:line="360" w:lineRule="auto"/>
              <w:ind w:firstLine="1200" w:firstLineChars="500"/>
              <w:textAlignment w:val="auto"/>
              <w:rPr>
                <w:color w:val="auto"/>
                <w:kern w:val="0"/>
                <w:sz w:val="24"/>
                <w:lang w:bidi="ar"/>
              </w:rPr>
            </w:pPr>
            <w:r>
              <w:rPr>
                <w:color w:val="auto"/>
                <w:kern w:val="0"/>
                <w:sz w:val="24"/>
                <w:lang w:bidi="ar"/>
              </w:rPr>
              <w:t>υ--</w:t>
            </w:r>
            <w:r>
              <w:rPr>
                <w:rFonts w:hint="eastAsia" w:cs="宋体"/>
                <w:color w:val="auto"/>
                <w:kern w:val="0"/>
                <w:sz w:val="24"/>
                <w:lang w:bidi="ar"/>
              </w:rPr>
              <w:t>污染源边缘控制风速</w:t>
            </w:r>
            <w:r>
              <w:rPr>
                <w:rFonts w:hint="eastAsia"/>
                <w:color w:val="auto"/>
                <w:kern w:val="0"/>
                <w:sz w:val="24"/>
                <w:lang w:bidi="ar"/>
              </w:rPr>
              <w:t>，m/s，项目可取0.3～1.5m/s，本次取0.3m/s；</w:t>
            </w:r>
          </w:p>
          <w:p>
            <w:pPr>
              <w:keepNext w:val="0"/>
              <w:pageBreakBefore w:val="0"/>
              <w:widowControl w:val="0"/>
              <w:numPr>
                <w:ilvl w:val="0"/>
                <w:numId w:val="7"/>
              </w:numPr>
              <w:kinsoku/>
              <w:wordWrap/>
              <w:overflowPunct/>
              <w:topLinePunct/>
              <w:autoSpaceDE/>
              <w:autoSpaceDN/>
              <w:bidi w:val="0"/>
              <w:adjustRightInd w:val="0"/>
              <w:snapToGrid w:val="0"/>
              <w:spacing w:line="360" w:lineRule="auto"/>
              <w:ind w:firstLine="1200" w:firstLineChars="500"/>
              <w:textAlignment w:val="auto"/>
              <w:rPr>
                <w:rFonts w:hint="eastAsia" w:cs="宋体"/>
                <w:color w:val="auto"/>
                <w:kern w:val="0"/>
                <w:sz w:val="24"/>
                <w:lang w:val="en-US" w:eastAsia="zh-CN" w:bidi="ar"/>
              </w:rPr>
            </w:pPr>
            <w:r>
              <w:rPr>
                <w:rFonts w:hint="eastAsia"/>
                <w:color w:val="auto"/>
                <w:kern w:val="0"/>
                <w:sz w:val="24"/>
                <w:lang w:bidi="ar"/>
              </w:rPr>
              <w:t>-</w:t>
            </w:r>
            <w:r>
              <w:rPr>
                <w:rFonts w:hint="eastAsia" w:cs="宋体"/>
                <w:color w:val="auto"/>
                <w:kern w:val="0"/>
                <w:sz w:val="24"/>
                <w:lang w:bidi="ar"/>
              </w:rPr>
              <w:t>罩口距污染源的距离，m，本次取0.</w:t>
            </w:r>
            <w:r>
              <w:rPr>
                <w:rFonts w:hint="eastAsia" w:cs="宋体"/>
                <w:color w:val="auto"/>
                <w:kern w:val="0"/>
                <w:sz w:val="24"/>
                <w:lang w:val="en-US" w:eastAsia="zh-CN" w:bidi="ar"/>
              </w:rPr>
              <w:t>4</w:t>
            </w:r>
          </w:p>
          <w:p>
            <w:pPr>
              <w:keepNext w:val="0"/>
              <w:pageBreakBefore w:val="0"/>
              <w:widowControl w:val="0"/>
              <w:numPr>
                <w:ilvl w:val="0"/>
                <w:numId w:val="7"/>
              </w:numPr>
              <w:kinsoku/>
              <w:wordWrap/>
              <w:overflowPunct/>
              <w:topLinePunct/>
              <w:autoSpaceDE/>
              <w:autoSpaceDN/>
              <w:bidi w:val="0"/>
              <w:adjustRightInd w:val="0"/>
              <w:snapToGrid w:val="0"/>
              <w:spacing w:line="360" w:lineRule="auto"/>
              <w:ind w:firstLine="1200" w:firstLineChars="500"/>
              <w:textAlignment w:val="auto"/>
              <w:rPr>
                <w:color w:val="auto"/>
                <w:kern w:val="0"/>
                <w:sz w:val="24"/>
                <w:lang w:bidi="ar"/>
              </w:rPr>
            </w:pPr>
            <w:r>
              <w:rPr>
                <w:rFonts w:hint="eastAsia" w:cs="宋体"/>
                <w:color w:val="auto"/>
                <w:kern w:val="0"/>
                <w:sz w:val="24"/>
                <w:lang w:bidi="ar"/>
              </w:rPr>
              <w:t>m</w:t>
            </w:r>
            <w:r>
              <w:rPr>
                <w:rFonts w:hint="eastAsia"/>
                <w:color w:val="auto"/>
                <w:kern w:val="0"/>
                <w:sz w:val="24"/>
                <w:lang w:bidi="ar"/>
              </w:rPr>
              <w:t>。</w:t>
            </w:r>
          </w:p>
          <w:p>
            <w:pPr>
              <w:keepNext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经计算，项目</w:t>
            </w:r>
            <w:r>
              <w:rPr>
                <w:rFonts w:hint="eastAsia" w:cs="宋体"/>
                <w:color w:val="auto"/>
                <w:kern w:val="0"/>
                <w:sz w:val="24"/>
                <w:lang w:eastAsia="zh-CN" w:bidi="ar"/>
              </w:rPr>
              <w:t>注塑废气、热转印废气</w:t>
            </w:r>
            <w:r>
              <w:rPr>
                <w:rFonts w:hint="eastAsia" w:cs="宋体"/>
                <w:color w:val="auto"/>
                <w:kern w:val="0"/>
                <w:sz w:val="24"/>
                <w:lang w:bidi="ar"/>
              </w:rPr>
              <w:t>处理设</w:t>
            </w:r>
            <w:r>
              <w:rPr>
                <w:color w:val="auto"/>
                <w:kern w:val="0"/>
                <w:sz w:val="24"/>
                <w:lang w:bidi="ar"/>
              </w:rPr>
              <w:t>施风机所需风量为</w:t>
            </w:r>
            <w:r>
              <w:rPr>
                <w:rFonts w:hint="eastAsia"/>
                <w:color w:val="auto"/>
                <w:kern w:val="0"/>
                <w:sz w:val="24"/>
                <w:lang w:val="en-US" w:eastAsia="zh-CN" w:bidi="ar"/>
              </w:rPr>
              <w:t>17418.24</w:t>
            </w:r>
            <w:r>
              <w:rPr>
                <w:color w:val="auto"/>
                <w:kern w:val="0"/>
                <w:sz w:val="24"/>
                <w:lang w:bidi="ar"/>
              </w:rPr>
              <w:t>m³/h，考虑风量损失问题，设计风量取</w:t>
            </w:r>
            <w:r>
              <w:rPr>
                <w:rFonts w:hint="eastAsia"/>
                <w:color w:val="auto"/>
                <w:kern w:val="0"/>
                <w:sz w:val="24"/>
                <w:lang w:bidi="ar"/>
              </w:rPr>
              <w:t>计算风量的1.2倍并取整：</w:t>
            </w:r>
            <w:r>
              <w:rPr>
                <w:rFonts w:hint="eastAsia"/>
                <w:color w:val="auto"/>
                <w:kern w:val="0"/>
                <w:sz w:val="24"/>
                <w:lang w:eastAsia="zh-CN" w:bidi="ar"/>
              </w:rPr>
              <w:t>21000</w:t>
            </w:r>
            <w:r>
              <w:rPr>
                <w:color w:val="auto"/>
                <w:kern w:val="0"/>
                <w:sz w:val="24"/>
                <w:lang w:bidi="ar"/>
              </w:rPr>
              <w:t>m³/h。</w:t>
            </w:r>
          </w:p>
          <w:p>
            <w:pPr>
              <w:keepNext w:val="0"/>
              <w:pageBreakBefore w:val="0"/>
              <w:widowControl w:val="0"/>
              <w:kinsoku/>
              <w:wordWrap/>
              <w:overflowPunct/>
              <w:autoSpaceDE/>
              <w:autoSpaceDN/>
              <w:bidi w:val="0"/>
              <w:adjustRightInd w:val="0"/>
              <w:snapToGrid w:val="0"/>
              <w:spacing w:line="360" w:lineRule="auto"/>
              <w:ind w:firstLine="480" w:firstLineChars="200"/>
              <w:textAlignment w:val="auto"/>
              <w:rPr>
                <w:color w:val="auto"/>
              </w:rPr>
            </w:pPr>
            <w:r>
              <w:rPr>
                <w:rFonts w:hint="eastAsia" w:cs="宋体"/>
                <w:color w:val="auto"/>
                <w:kern w:val="0"/>
                <w:sz w:val="24"/>
                <w:lang w:bidi="ar"/>
              </w:rPr>
              <w:t>项目有组织废气产生和</w:t>
            </w:r>
            <w:r>
              <w:rPr>
                <w:rFonts w:cs="宋体"/>
                <w:color w:val="auto"/>
                <w:kern w:val="0"/>
                <w:sz w:val="24"/>
                <w:lang w:bidi="ar"/>
              </w:rPr>
              <w:t>排放情况</w:t>
            </w:r>
            <w:r>
              <w:rPr>
                <w:rFonts w:hint="eastAsia" w:cs="宋体"/>
                <w:color w:val="auto"/>
                <w:kern w:val="0"/>
                <w:sz w:val="24"/>
                <w:lang w:bidi="ar"/>
              </w:rPr>
              <w:t>，见下表。</w:t>
            </w:r>
          </w:p>
          <w:p>
            <w:pPr>
              <w:keepNext w:val="0"/>
              <w:keepLines w:val="0"/>
              <w:pageBreakBefore w:val="0"/>
              <w:widowControl w:val="0"/>
              <w:kinsoku/>
              <w:wordWrap/>
              <w:overflowPunct/>
              <w:topLinePunct/>
              <w:autoSpaceDE/>
              <w:autoSpaceDN/>
              <w:bidi w:val="0"/>
              <w:adjustRightInd/>
              <w:snapToGrid/>
              <w:jc w:val="center"/>
              <w:textAlignment w:val="auto"/>
              <w:rPr>
                <w:b/>
                <w:color w:val="auto"/>
                <w:sz w:val="24"/>
              </w:rPr>
            </w:pPr>
            <w:r>
              <w:rPr>
                <w:rFonts w:hint="eastAsia"/>
                <w:b/>
                <w:color w:val="auto"/>
                <w:sz w:val="24"/>
              </w:rPr>
              <w:t>表4-1  项目有组织废气产生和排放情况表</w:t>
            </w:r>
          </w:p>
          <w:tbl>
            <w:tblPr>
              <w:tblStyle w:val="28"/>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6"/>
              <w:gridCol w:w="930"/>
              <w:gridCol w:w="660"/>
              <w:gridCol w:w="735"/>
              <w:gridCol w:w="838"/>
              <w:gridCol w:w="992"/>
              <w:gridCol w:w="825"/>
              <w:gridCol w:w="555"/>
              <w:gridCol w:w="825"/>
              <w:gridCol w:w="870"/>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Merge w:val="restart"/>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污染源编号</w:t>
                  </w:r>
                </w:p>
              </w:tc>
              <w:tc>
                <w:tcPr>
                  <w:tcW w:w="930" w:type="dxa"/>
                  <w:vMerge w:val="restart"/>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60" w:type="dxa"/>
                  <w:vMerge w:val="restart"/>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废气量m³/h</w:t>
                  </w:r>
                </w:p>
              </w:tc>
              <w:tc>
                <w:tcPr>
                  <w:tcW w:w="2565" w:type="dxa"/>
                  <w:gridSpan w:val="3"/>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1380" w:type="dxa"/>
                  <w:gridSpan w:val="2"/>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2668" w:type="dxa"/>
                  <w:gridSpan w:val="3"/>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Merge w:val="continue"/>
                  <w:vAlign w:val="center"/>
                </w:tcPr>
                <w:p>
                  <w:pPr>
                    <w:pStyle w:val="74"/>
                    <w:topLinePunct/>
                    <w:jc w:val="center"/>
                    <w:rPr>
                      <w:rFonts w:hint="default" w:ascii="Times New Roman" w:hAnsi="Times New Roman" w:eastAsia="宋体" w:cs="Times New Roman"/>
                      <w:color w:val="auto"/>
                      <w:sz w:val="21"/>
                      <w:szCs w:val="21"/>
                    </w:rPr>
                  </w:pPr>
                </w:p>
              </w:tc>
              <w:tc>
                <w:tcPr>
                  <w:tcW w:w="930" w:type="dxa"/>
                  <w:vMerge w:val="continue"/>
                  <w:vAlign w:val="center"/>
                </w:tcPr>
                <w:p>
                  <w:pPr>
                    <w:pStyle w:val="74"/>
                    <w:topLinePunct/>
                    <w:jc w:val="center"/>
                    <w:rPr>
                      <w:rFonts w:hint="default" w:ascii="Times New Roman" w:hAnsi="Times New Roman" w:eastAsia="宋体" w:cs="Times New Roman"/>
                      <w:color w:val="auto"/>
                      <w:sz w:val="21"/>
                      <w:szCs w:val="21"/>
                    </w:rPr>
                  </w:pPr>
                </w:p>
              </w:tc>
              <w:tc>
                <w:tcPr>
                  <w:tcW w:w="660" w:type="dxa"/>
                  <w:vMerge w:val="continue"/>
                  <w:vAlign w:val="center"/>
                </w:tcPr>
                <w:p>
                  <w:pPr>
                    <w:pStyle w:val="74"/>
                    <w:topLinePunct/>
                    <w:jc w:val="center"/>
                    <w:rPr>
                      <w:rFonts w:hint="default" w:ascii="Times New Roman" w:hAnsi="Times New Roman" w:eastAsia="宋体" w:cs="Times New Roman"/>
                      <w:color w:val="auto"/>
                      <w:sz w:val="21"/>
                      <w:szCs w:val="21"/>
                    </w:rPr>
                  </w:pPr>
                </w:p>
              </w:tc>
              <w:tc>
                <w:tcPr>
                  <w:tcW w:w="735"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38"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产生速率kg/h</w:t>
                  </w:r>
                </w:p>
              </w:tc>
              <w:tc>
                <w:tcPr>
                  <w:tcW w:w="992"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产生浓度mg/m³</w:t>
                  </w:r>
                </w:p>
              </w:tc>
              <w:tc>
                <w:tcPr>
                  <w:tcW w:w="825"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治理设施</w:t>
                  </w:r>
                </w:p>
              </w:tc>
              <w:tc>
                <w:tcPr>
                  <w:tcW w:w="555"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825"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870"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973" w:type="dxa"/>
                  <w:vAlign w:val="center"/>
                </w:tcPr>
                <w:p>
                  <w:pPr>
                    <w:pStyle w:val="74"/>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Align w:val="center"/>
                </w:tcPr>
                <w:p>
                  <w:pPr>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9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VOCs（非甲烷总烃）</w:t>
                  </w:r>
                </w:p>
              </w:tc>
              <w:tc>
                <w:tcPr>
                  <w:tcW w:w="660" w:type="dxa"/>
                  <w:vAlign w:val="center"/>
                </w:tcPr>
                <w:p>
                  <w:pPr>
                    <w:topLinePun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21000</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0.7370</w:t>
                  </w:r>
                </w:p>
              </w:tc>
              <w:tc>
                <w:tcPr>
                  <w:tcW w:w="83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0.1638</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7.7990</w:t>
                  </w:r>
                </w:p>
              </w:tc>
              <w:tc>
                <w:tcPr>
                  <w:tcW w:w="825" w:type="dxa"/>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二级活性炭吸附装置</w:t>
                  </w:r>
                </w:p>
              </w:tc>
              <w:tc>
                <w:tcPr>
                  <w:tcW w:w="555" w:type="dxa"/>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w:t>
                  </w:r>
                </w:p>
              </w:tc>
              <w:tc>
                <w:tcPr>
                  <w:tcW w:w="82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0.0737</w:t>
                  </w:r>
                </w:p>
              </w:tc>
              <w:tc>
                <w:tcPr>
                  <w:tcW w:w="87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0.0164</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0.7799</w:t>
                  </w:r>
                </w:p>
              </w:tc>
            </w:tr>
          </w:tbl>
          <w:p>
            <w:pPr>
              <w:topLinePunct/>
              <w:adjustRightInd w:val="0"/>
              <w:snapToGrid w:val="0"/>
              <w:spacing w:before="120" w:beforeLines="50" w:line="348" w:lineRule="auto"/>
              <w:ind w:firstLine="480" w:firstLineChars="200"/>
              <w:rPr>
                <w:rFonts w:hint="eastAsia" w:cs="宋体"/>
                <w:color w:val="auto"/>
                <w:kern w:val="0"/>
                <w:sz w:val="24"/>
                <w:lang w:bidi="ar"/>
              </w:rPr>
            </w:pPr>
            <w:r>
              <w:rPr>
                <w:rFonts w:hint="eastAsia" w:cs="宋体"/>
                <w:color w:val="auto"/>
                <w:kern w:val="0"/>
                <w:sz w:val="24"/>
                <w:lang w:bidi="ar"/>
              </w:rPr>
              <w:t>项目</w:t>
            </w:r>
            <w:r>
              <w:rPr>
                <w:rFonts w:hint="eastAsia" w:cs="宋体"/>
                <w:color w:val="auto"/>
                <w:kern w:val="0"/>
                <w:sz w:val="24"/>
                <w:lang w:val="en-US" w:eastAsia="zh-CN" w:bidi="ar"/>
              </w:rPr>
              <w:t>无</w:t>
            </w:r>
            <w:r>
              <w:rPr>
                <w:rFonts w:hint="eastAsia" w:cs="宋体"/>
                <w:color w:val="auto"/>
                <w:kern w:val="0"/>
                <w:sz w:val="24"/>
                <w:lang w:bidi="ar"/>
              </w:rPr>
              <w:t>组织废气产生和</w:t>
            </w:r>
            <w:r>
              <w:rPr>
                <w:rFonts w:cs="宋体"/>
                <w:color w:val="auto"/>
                <w:kern w:val="0"/>
                <w:sz w:val="24"/>
                <w:lang w:bidi="ar"/>
              </w:rPr>
              <w:t>排放情况</w:t>
            </w:r>
            <w:r>
              <w:rPr>
                <w:rFonts w:hint="eastAsia" w:cs="宋体"/>
                <w:color w:val="auto"/>
                <w:kern w:val="0"/>
                <w:sz w:val="24"/>
                <w:lang w:bidi="ar"/>
              </w:rPr>
              <w:t>，见下表。</w:t>
            </w:r>
          </w:p>
          <w:p>
            <w:pPr>
              <w:keepNext w:val="0"/>
              <w:keepLines w:val="0"/>
              <w:pageBreakBefore w:val="0"/>
              <w:widowControl w:val="0"/>
              <w:kinsoku/>
              <w:wordWrap/>
              <w:overflowPunct/>
              <w:topLinePunct/>
              <w:autoSpaceDE/>
              <w:autoSpaceDN/>
              <w:bidi w:val="0"/>
              <w:adjustRightInd w:val="0"/>
              <w:snapToGrid w:val="0"/>
              <w:spacing w:before="0" w:beforeLines="0"/>
              <w:jc w:val="center"/>
              <w:textAlignment w:val="auto"/>
              <w:rPr>
                <w:rFonts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表4-2  项目无组织废气产生和排放情况一览表</w:t>
            </w:r>
          </w:p>
          <w:tbl>
            <w:tblPr>
              <w:tblStyle w:val="28"/>
              <w:tblW w:w="895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89"/>
              <w:gridCol w:w="1214"/>
              <w:gridCol w:w="750"/>
              <w:gridCol w:w="812"/>
              <w:gridCol w:w="868"/>
              <w:gridCol w:w="855"/>
              <w:gridCol w:w="816"/>
              <w:gridCol w:w="816"/>
              <w:gridCol w:w="816"/>
              <w:gridCol w:w="81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89"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废气种类</w:t>
                  </w:r>
                </w:p>
              </w:tc>
              <w:tc>
                <w:tcPr>
                  <w:tcW w:w="1214" w:type="dxa"/>
                  <w:tcBorders>
                    <w:tl2br w:val="nil"/>
                    <w:tr2bl w:val="nil"/>
                  </w:tcBorders>
                  <w:vAlign w:val="center"/>
                </w:tcPr>
                <w:p>
                  <w:pPr>
                    <w:pStyle w:val="74"/>
                    <w:topLinePunct/>
                    <w:rPr>
                      <w:rFonts w:ascii="Times New Roman" w:hAnsi="Times New Roman" w:eastAsia="宋体" w:cs="Times New Roman"/>
                      <w:b/>
                      <w:bCs/>
                      <w:snapToGrid w:val="0"/>
                      <w:color w:val="auto"/>
                      <w:kern w:val="0"/>
                      <w:sz w:val="21"/>
                      <w:szCs w:val="21"/>
                      <w:lang w:val="en-US" w:eastAsia="zh-CN" w:bidi="ar-SA"/>
                    </w:rPr>
                  </w:pPr>
                  <w:r>
                    <w:rPr>
                      <w:rFonts w:hint="default"/>
                      <w:color w:val="auto"/>
                      <w:szCs w:val="21"/>
                    </w:rPr>
                    <w:t>污染物</w:t>
                  </w:r>
                </w:p>
              </w:tc>
              <w:tc>
                <w:tcPr>
                  <w:tcW w:w="750"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年生产时间h</w:t>
                  </w:r>
                </w:p>
              </w:tc>
              <w:tc>
                <w:tcPr>
                  <w:tcW w:w="812"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产生速率kg/h</w:t>
                  </w:r>
                </w:p>
              </w:tc>
              <w:tc>
                <w:tcPr>
                  <w:tcW w:w="868"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产生量t/a</w:t>
                  </w:r>
                </w:p>
              </w:tc>
              <w:tc>
                <w:tcPr>
                  <w:tcW w:w="855"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污染治理设施</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收集效率%</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处理效率%</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排放速率kg/h</w:t>
                  </w:r>
                </w:p>
              </w:tc>
              <w:tc>
                <w:tcPr>
                  <w:tcW w:w="819"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b/>
                      <w:bCs/>
                      <w:snapToGrid w:val="0"/>
                      <w:color w:val="auto"/>
                      <w:kern w:val="0"/>
                      <w:sz w:val="21"/>
                      <w:szCs w:val="21"/>
                      <w:lang w:val="en-US" w:eastAsia="zh-CN" w:bidi="ar-SA"/>
                    </w:rPr>
                  </w:pPr>
                  <w:r>
                    <w:rPr>
                      <w:rFonts w:ascii="Times New Roman" w:hAnsi="Times New Roman" w:eastAsia="宋体" w:cs="Times New Roman"/>
                      <w:b/>
                      <w:bCs/>
                      <w:snapToGrid w:val="0"/>
                      <w:color w:val="auto"/>
                      <w:kern w:val="0"/>
                      <w:sz w:val="21"/>
                      <w:szCs w:val="21"/>
                      <w:lang w:val="en-US" w:eastAsia="zh-CN" w:bidi="ar-SA"/>
                    </w:rPr>
                    <w:t>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89"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注塑废气</w:t>
                  </w:r>
                </w:p>
              </w:tc>
              <w:tc>
                <w:tcPr>
                  <w:tcW w:w="1214" w:type="dxa"/>
                  <w:vMerge w:val="restart"/>
                  <w:tcBorders>
                    <w:tl2br w:val="nil"/>
                    <w:tr2bl w:val="nil"/>
                  </w:tcBorders>
                  <w:vAlign w:val="center"/>
                </w:tcPr>
                <w:p>
                  <w:pPr>
                    <w:jc w:val="center"/>
                    <w:rPr>
                      <w:rFonts w:hint="eastAsia" w:ascii="Times New Roman" w:hAnsi="Times New Roman" w:eastAsia="宋体" w:cs="Times New Roman"/>
                      <w:snapToGrid w:val="0"/>
                      <w:color w:val="auto"/>
                      <w:kern w:val="0"/>
                      <w:sz w:val="21"/>
                      <w:szCs w:val="21"/>
                      <w:lang w:val="en-US" w:eastAsia="zh-CN" w:bidi="ar-SA"/>
                    </w:rPr>
                  </w:pPr>
                  <w:r>
                    <w:rPr>
                      <w:color w:val="auto"/>
                      <w:szCs w:val="21"/>
                    </w:rPr>
                    <w:t>VOCs（非甲烷总烃）</w:t>
                  </w:r>
                </w:p>
              </w:tc>
              <w:tc>
                <w:tcPr>
                  <w:tcW w:w="750" w:type="dxa"/>
                  <w:vMerge w:val="restart"/>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1500</w:t>
                  </w:r>
                </w:p>
              </w:tc>
              <w:tc>
                <w:tcPr>
                  <w:tcW w:w="812" w:type="dxa"/>
                  <w:vMerge w:val="restart"/>
                  <w:tcBorders>
                    <w:tl2br w:val="nil"/>
                    <w:tr2bl w:val="nil"/>
                  </w:tcBorders>
                  <w:vAlign w:val="center"/>
                </w:tcPr>
                <w:p>
                  <w:pPr>
                    <w:widowControl/>
                    <w:jc w:val="center"/>
                    <w:textAlignment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bidi="ar"/>
                    </w:rPr>
                    <w:t>0.0546</w:t>
                  </w:r>
                </w:p>
              </w:tc>
              <w:tc>
                <w:tcPr>
                  <w:tcW w:w="868" w:type="dxa"/>
                  <w:vMerge w:val="restart"/>
                  <w:tcBorders>
                    <w:tl2br w:val="nil"/>
                    <w:tr2bl w:val="nil"/>
                  </w:tcBorders>
                  <w:vAlign w:val="center"/>
                </w:tcPr>
                <w:p>
                  <w:pPr>
                    <w:widowControl/>
                    <w:adjustRightInd w:val="0"/>
                    <w:snapToGrid w:val="0"/>
                    <w:jc w:val="center"/>
                    <w:textAlignment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bidi="ar"/>
                    </w:rPr>
                    <w:t>0.0819</w:t>
                  </w:r>
                </w:p>
              </w:tc>
              <w:tc>
                <w:tcPr>
                  <w:tcW w:w="855" w:type="dxa"/>
                  <w:vMerge w:val="restart"/>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816" w:type="dxa"/>
                  <w:vMerge w:val="restart"/>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816" w:type="dxa"/>
                  <w:vMerge w:val="restart"/>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816" w:type="dxa"/>
                  <w:vMerge w:val="restart"/>
                  <w:tcBorders>
                    <w:tl2br w:val="nil"/>
                    <w:tr2bl w:val="nil"/>
                  </w:tcBorders>
                  <w:vAlign w:val="center"/>
                </w:tcPr>
                <w:p>
                  <w:pPr>
                    <w:widowControl/>
                    <w:jc w:val="center"/>
                    <w:textAlignment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bidi="ar"/>
                    </w:rPr>
                    <w:t>0.0546</w:t>
                  </w:r>
                </w:p>
              </w:tc>
              <w:tc>
                <w:tcPr>
                  <w:tcW w:w="819" w:type="dxa"/>
                  <w:vMerge w:val="restart"/>
                  <w:tcBorders>
                    <w:tl2br w:val="nil"/>
                    <w:tr2bl w:val="nil"/>
                  </w:tcBorders>
                  <w:vAlign w:val="center"/>
                </w:tcPr>
                <w:p>
                  <w:pPr>
                    <w:widowControl/>
                    <w:adjustRightInd w:val="0"/>
                    <w:snapToGrid w:val="0"/>
                    <w:jc w:val="center"/>
                    <w:textAlignment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bidi="ar"/>
                    </w:rPr>
                    <w:t>0.0819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89"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热转印废气</w:t>
                  </w:r>
                </w:p>
              </w:tc>
              <w:tc>
                <w:tcPr>
                  <w:tcW w:w="1214"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750"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2400</w:t>
                  </w:r>
                </w:p>
              </w:tc>
              <w:tc>
                <w:tcPr>
                  <w:tcW w:w="812"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1.583</w:t>
                  </w:r>
                </w:p>
              </w:tc>
              <w:tc>
                <w:tcPr>
                  <w:tcW w:w="868"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3.800</w:t>
                  </w:r>
                </w:p>
              </w:tc>
              <w:tc>
                <w:tcPr>
                  <w:tcW w:w="855"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喷雾抑尘设备</w:t>
                  </w:r>
                </w:p>
              </w:tc>
              <w:tc>
                <w:tcPr>
                  <w:tcW w:w="816"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816"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90</w:t>
                  </w:r>
                </w:p>
              </w:tc>
              <w:tc>
                <w:tcPr>
                  <w:tcW w:w="816"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0.158</w:t>
                  </w:r>
                </w:p>
              </w:tc>
              <w:tc>
                <w:tcPr>
                  <w:tcW w:w="819" w:type="dxa"/>
                  <w:vMerge w:val="continue"/>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0.380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89" w:type="dxa"/>
                  <w:tcBorders>
                    <w:tl2br w:val="nil"/>
                    <w:tr2bl w:val="nil"/>
                  </w:tcBorders>
                  <w:shd w:val="clear" w:color="auto" w:fill="auto"/>
                  <w:vAlign w:val="center"/>
                </w:tcPr>
                <w:p>
                  <w:pPr>
                    <w:widowControl w:val="0"/>
                    <w:topLinePunct/>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val="0"/>
                      <w:color w:val="auto"/>
                      <w:kern w:val="2"/>
                      <w:sz w:val="21"/>
                      <w:szCs w:val="20"/>
                      <w:lang w:val="en-US" w:eastAsia="zh-CN" w:bidi="ar-SA"/>
                    </w:rPr>
                    <w:t>破碎粉尘</w:t>
                  </w:r>
                </w:p>
              </w:tc>
              <w:tc>
                <w:tcPr>
                  <w:tcW w:w="1214" w:type="dxa"/>
                  <w:tcBorders>
                    <w:tl2br w:val="nil"/>
                    <w:tr2bl w:val="nil"/>
                  </w:tcBorders>
                  <w:vAlign w:val="center"/>
                </w:tcPr>
                <w:p>
                  <w:pPr>
                    <w:widowControl w:val="0"/>
                    <w:topLinePunct/>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val="0"/>
                      <w:color w:val="auto"/>
                      <w:kern w:val="2"/>
                      <w:sz w:val="21"/>
                      <w:szCs w:val="20"/>
                      <w:lang w:val="en-US" w:eastAsia="zh-CN" w:bidi="ar-SA"/>
                    </w:rPr>
                    <w:t>颗粒物</w:t>
                  </w:r>
                </w:p>
              </w:tc>
              <w:tc>
                <w:tcPr>
                  <w:tcW w:w="750"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200</w:t>
                  </w:r>
                </w:p>
              </w:tc>
              <w:tc>
                <w:tcPr>
                  <w:tcW w:w="812" w:type="dxa"/>
                  <w:tcBorders>
                    <w:tl2br w:val="nil"/>
                    <w:tr2bl w:val="nil"/>
                  </w:tcBorders>
                  <w:vAlign w:val="center"/>
                </w:tcPr>
                <w:p>
                  <w:pPr>
                    <w:widowControl/>
                    <w:jc w:val="center"/>
                    <w:textAlignment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szCs w:val="21"/>
                      <w:lang w:bidi="ar"/>
                    </w:rPr>
                    <w:t>0.0285</w:t>
                  </w:r>
                </w:p>
              </w:tc>
              <w:tc>
                <w:tcPr>
                  <w:tcW w:w="868" w:type="dxa"/>
                  <w:tcBorders>
                    <w:tl2br w:val="nil"/>
                    <w:tr2bl w:val="nil"/>
                  </w:tcBorders>
                  <w:vAlign w:val="center"/>
                </w:tcPr>
                <w:p>
                  <w:pPr>
                    <w:widowControl/>
                    <w:adjustRightInd w:val="0"/>
                    <w:snapToGrid w:val="0"/>
                    <w:jc w:val="center"/>
                    <w:textAlignment w:val="center"/>
                    <w:rPr>
                      <w:rFonts w:ascii="Times New Roman" w:hAnsi="Times New Roman" w:eastAsia="宋体" w:cs="Times New Roman"/>
                      <w:snapToGrid w:val="0"/>
                      <w:color w:val="auto"/>
                      <w:kern w:val="0"/>
                      <w:sz w:val="21"/>
                      <w:szCs w:val="21"/>
                      <w:lang w:val="en-US" w:eastAsia="zh-CN" w:bidi="ar-SA"/>
                    </w:rPr>
                  </w:pPr>
                  <w:r>
                    <w:rPr>
                      <w:color w:val="auto"/>
                      <w:kern w:val="0"/>
                      <w:szCs w:val="21"/>
                      <w:lang w:bidi="ar"/>
                    </w:rPr>
                    <w:t>0.0057</w:t>
                  </w:r>
                </w:p>
              </w:tc>
              <w:tc>
                <w:tcPr>
                  <w:tcW w:w="855"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color w:val="auto"/>
                      <w:lang w:val="en-US" w:eastAsia="zh-CN"/>
                    </w:rPr>
                    <w:t>布袋除尘装置</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100</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99</w:t>
                  </w:r>
                </w:p>
              </w:tc>
              <w:tc>
                <w:tcPr>
                  <w:tcW w:w="816" w:type="dxa"/>
                  <w:tcBorders>
                    <w:tl2br w:val="nil"/>
                    <w:tr2bl w:val="nil"/>
                  </w:tcBorders>
                  <w:vAlign w:val="center"/>
                </w:tcPr>
                <w:p>
                  <w:pPr>
                    <w:widowControl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0.0005</w:t>
                  </w:r>
                </w:p>
              </w:tc>
              <w:tc>
                <w:tcPr>
                  <w:tcW w:w="819" w:type="dxa"/>
                  <w:tcBorders>
                    <w:tl2br w:val="nil"/>
                    <w:tr2bl w:val="nil"/>
                  </w:tcBorders>
                  <w:vAlign w:val="center"/>
                </w:tcPr>
                <w:p>
                  <w:pPr>
                    <w:widowControl/>
                    <w:adjustRightInd w:val="0"/>
                    <w:snapToGrid w:val="0"/>
                    <w:jc w:val="center"/>
                    <w:textAlignment w:val="center"/>
                    <w:rPr>
                      <w:rFonts w:hint="eastAsia" w:ascii="Times New Roman" w:hAnsi="Times New Roman" w:eastAsia="宋体" w:cs="Times New Roman"/>
                      <w:snapToGrid w:val="0"/>
                      <w:color w:val="auto"/>
                      <w:kern w:val="0"/>
                      <w:szCs w:val="21"/>
                      <w:lang w:eastAsia="zh-CN" w:bidi="ar"/>
                    </w:rPr>
                  </w:pP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w:t>
                  </w: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01</w:t>
                  </w:r>
                </w:p>
              </w:tc>
            </w:tr>
          </w:tbl>
          <w:p>
            <w:pPr>
              <w:topLinePunct/>
              <w:adjustRightInd w:val="0"/>
              <w:snapToGrid w:val="0"/>
              <w:spacing w:before="120" w:beforeLines="50" w:line="348" w:lineRule="auto"/>
              <w:ind w:firstLine="480" w:firstLineChars="200"/>
              <w:rPr>
                <w:rFonts w:cs="宋体"/>
                <w:color w:val="auto"/>
                <w:kern w:val="0"/>
                <w:sz w:val="24"/>
                <w:lang w:bidi="ar"/>
              </w:rPr>
            </w:pPr>
            <w:r>
              <w:rPr>
                <w:rFonts w:hint="eastAsia" w:cs="宋体"/>
                <w:color w:val="auto"/>
                <w:kern w:val="0"/>
                <w:sz w:val="24"/>
                <w:lang w:bidi="ar"/>
              </w:rPr>
              <w:t>项目有组织废气排放口基本情况，见下表。</w:t>
            </w:r>
          </w:p>
          <w:p>
            <w:pPr>
              <w:topLinePunct/>
              <w:adjustRightInd w:val="0"/>
              <w:snapToGrid w:val="0"/>
              <w:jc w:val="center"/>
              <w:rPr>
                <w:b/>
                <w:color w:val="auto"/>
                <w:sz w:val="24"/>
              </w:rPr>
            </w:pPr>
            <w:r>
              <w:rPr>
                <w:rFonts w:hint="eastAsia"/>
                <w:b/>
                <w:color w:val="auto"/>
                <w:sz w:val="24"/>
              </w:rPr>
              <w:t>表4-</w:t>
            </w:r>
            <w:r>
              <w:rPr>
                <w:rFonts w:hint="eastAsia"/>
                <w:b/>
                <w:color w:val="auto"/>
                <w:sz w:val="24"/>
                <w:lang w:val="en-US" w:eastAsia="zh-CN"/>
              </w:rPr>
              <w:t>3</w:t>
            </w:r>
            <w:r>
              <w:rPr>
                <w:rFonts w:hint="eastAsia"/>
                <w:b/>
                <w:color w:val="auto"/>
                <w:sz w:val="24"/>
              </w:rPr>
              <w:t xml:space="preserve">  项目废气排放口基本情况表</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20"/>
              <w:gridCol w:w="1234"/>
              <w:gridCol w:w="1134"/>
              <w:gridCol w:w="1134"/>
              <w:gridCol w:w="964"/>
              <w:gridCol w:w="907"/>
              <w:gridCol w:w="907"/>
              <w:gridCol w:w="850"/>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20" w:type="dxa"/>
                  <w:vMerge w:val="restart"/>
                  <w:vAlign w:val="center"/>
                </w:tcPr>
                <w:p>
                  <w:pPr>
                    <w:pStyle w:val="74"/>
                    <w:topLinePunct/>
                    <w:rPr>
                      <w:rFonts w:hint="default"/>
                      <w:color w:val="auto"/>
                      <w:szCs w:val="21"/>
                    </w:rPr>
                  </w:pPr>
                  <w:r>
                    <w:rPr>
                      <w:rFonts w:hint="default"/>
                      <w:color w:val="auto"/>
                      <w:szCs w:val="21"/>
                    </w:rPr>
                    <w:t>污染源</w:t>
                  </w:r>
                </w:p>
                <w:p>
                  <w:pPr>
                    <w:pStyle w:val="74"/>
                    <w:topLinePunct/>
                    <w:rPr>
                      <w:rFonts w:hint="default"/>
                      <w:color w:val="auto"/>
                      <w:szCs w:val="21"/>
                    </w:rPr>
                  </w:pPr>
                  <w:r>
                    <w:rPr>
                      <w:rFonts w:hint="default"/>
                      <w:color w:val="auto"/>
                      <w:szCs w:val="21"/>
                    </w:rPr>
                    <w:t>编号</w:t>
                  </w:r>
                </w:p>
              </w:tc>
              <w:tc>
                <w:tcPr>
                  <w:tcW w:w="1234" w:type="dxa"/>
                  <w:vMerge w:val="restart"/>
                  <w:vAlign w:val="center"/>
                </w:tcPr>
                <w:p>
                  <w:pPr>
                    <w:pStyle w:val="74"/>
                    <w:topLinePunct/>
                    <w:rPr>
                      <w:rFonts w:hint="default"/>
                      <w:color w:val="auto"/>
                      <w:szCs w:val="21"/>
                    </w:rPr>
                  </w:pPr>
                  <w:r>
                    <w:rPr>
                      <w:rFonts w:hint="default"/>
                      <w:color w:val="auto"/>
                      <w:szCs w:val="21"/>
                    </w:rPr>
                    <w:t>污染源</w:t>
                  </w:r>
                </w:p>
                <w:p>
                  <w:pPr>
                    <w:pStyle w:val="74"/>
                    <w:topLinePunct/>
                    <w:rPr>
                      <w:rFonts w:hint="default"/>
                      <w:color w:val="auto"/>
                      <w:szCs w:val="21"/>
                    </w:rPr>
                  </w:pPr>
                  <w:r>
                    <w:rPr>
                      <w:color w:val="auto"/>
                      <w:szCs w:val="21"/>
                    </w:rPr>
                    <w:t>名称</w:t>
                  </w:r>
                </w:p>
              </w:tc>
              <w:tc>
                <w:tcPr>
                  <w:tcW w:w="2268" w:type="dxa"/>
                  <w:gridSpan w:val="2"/>
                  <w:vAlign w:val="center"/>
                </w:tcPr>
                <w:p>
                  <w:pPr>
                    <w:pStyle w:val="74"/>
                    <w:topLinePunct/>
                    <w:rPr>
                      <w:rFonts w:hint="default"/>
                      <w:color w:val="auto"/>
                      <w:szCs w:val="21"/>
                    </w:rPr>
                  </w:pPr>
                  <w:r>
                    <w:rPr>
                      <w:color w:val="auto"/>
                      <w:szCs w:val="21"/>
                    </w:rPr>
                    <w:t>地理坐标</w:t>
                  </w:r>
                </w:p>
              </w:tc>
              <w:tc>
                <w:tcPr>
                  <w:tcW w:w="964" w:type="dxa"/>
                  <w:vMerge w:val="restart"/>
                  <w:vAlign w:val="center"/>
                </w:tcPr>
                <w:p>
                  <w:pPr>
                    <w:pStyle w:val="74"/>
                    <w:topLinePunct/>
                    <w:rPr>
                      <w:rFonts w:hint="default"/>
                      <w:color w:val="auto"/>
                      <w:szCs w:val="21"/>
                    </w:rPr>
                  </w:pPr>
                  <w:r>
                    <w:rPr>
                      <w:rFonts w:hint="default"/>
                      <w:color w:val="auto"/>
                      <w:szCs w:val="21"/>
                    </w:rPr>
                    <w:t>废气量m³/h</w:t>
                  </w:r>
                </w:p>
              </w:tc>
              <w:tc>
                <w:tcPr>
                  <w:tcW w:w="907" w:type="dxa"/>
                  <w:vMerge w:val="restart"/>
                  <w:vAlign w:val="center"/>
                </w:tcPr>
                <w:p>
                  <w:pPr>
                    <w:pStyle w:val="74"/>
                    <w:topLinePunct/>
                    <w:rPr>
                      <w:rFonts w:hint="default"/>
                      <w:color w:val="auto"/>
                      <w:szCs w:val="21"/>
                    </w:rPr>
                  </w:pPr>
                  <w:r>
                    <w:rPr>
                      <w:rFonts w:hint="default"/>
                      <w:color w:val="auto"/>
                      <w:szCs w:val="21"/>
                    </w:rPr>
                    <w:t>排放</w:t>
                  </w:r>
                </w:p>
                <w:p>
                  <w:pPr>
                    <w:pStyle w:val="74"/>
                    <w:topLinePunct/>
                    <w:rPr>
                      <w:rFonts w:hint="default"/>
                      <w:color w:val="auto"/>
                      <w:szCs w:val="21"/>
                    </w:rPr>
                  </w:pPr>
                  <w:r>
                    <w:rPr>
                      <w:rFonts w:hint="default"/>
                      <w:color w:val="auto"/>
                      <w:szCs w:val="21"/>
                    </w:rPr>
                    <w:t>高度</w:t>
                  </w:r>
                </w:p>
                <w:p>
                  <w:pPr>
                    <w:pStyle w:val="74"/>
                    <w:topLinePunct/>
                    <w:rPr>
                      <w:rFonts w:hint="default"/>
                      <w:color w:val="auto"/>
                      <w:szCs w:val="21"/>
                    </w:rPr>
                  </w:pPr>
                  <w:r>
                    <w:rPr>
                      <w:rFonts w:hint="default"/>
                      <w:color w:val="auto"/>
                      <w:szCs w:val="21"/>
                    </w:rPr>
                    <w:t>m</w:t>
                  </w:r>
                </w:p>
              </w:tc>
              <w:tc>
                <w:tcPr>
                  <w:tcW w:w="907" w:type="dxa"/>
                  <w:vMerge w:val="restart"/>
                  <w:vAlign w:val="center"/>
                </w:tcPr>
                <w:p>
                  <w:pPr>
                    <w:pStyle w:val="74"/>
                    <w:topLinePunct/>
                    <w:rPr>
                      <w:rFonts w:hint="default"/>
                      <w:color w:val="auto"/>
                      <w:szCs w:val="21"/>
                    </w:rPr>
                  </w:pPr>
                  <w:r>
                    <w:rPr>
                      <w:rFonts w:hint="default"/>
                      <w:color w:val="auto"/>
                      <w:szCs w:val="21"/>
                    </w:rPr>
                    <w:t>管道</w:t>
                  </w:r>
                </w:p>
                <w:p>
                  <w:pPr>
                    <w:pStyle w:val="74"/>
                    <w:topLinePunct/>
                    <w:rPr>
                      <w:rFonts w:hint="default"/>
                      <w:color w:val="auto"/>
                      <w:szCs w:val="21"/>
                    </w:rPr>
                  </w:pPr>
                  <w:r>
                    <w:rPr>
                      <w:rFonts w:hint="default"/>
                      <w:color w:val="auto"/>
                      <w:szCs w:val="21"/>
                    </w:rPr>
                    <w:t>内径</w:t>
                  </w:r>
                </w:p>
                <w:p>
                  <w:pPr>
                    <w:pStyle w:val="74"/>
                    <w:topLinePunct/>
                    <w:rPr>
                      <w:rFonts w:hint="default"/>
                      <w:color w:val="auto"/>
                      <w:szCs w:val="21"/>
                    </w:rPr>
                  </w:pPr>
                  <w:r>
                    <w:rPr>
                      <w:rFonts w:hint="default"/>
                      <w:color w:val="auto"/>
                      <w:szCs w:val="21"/>
                    </w:rPr>
                    <w:t>m</w:t>
                  </w:r>
                </w:p>
              </w:tc>
              <w:tc>
                <w:tcPr>
                  <w:tcW w:w="850" w:type="dxa"/>
                  <w:vMerge w:val="restart"/>
                  <w:vAlign w:val="center"/>
                </w:tcPr>
                <w:p>
                  <w:pPr>
                    <w:pStyle w:val="74"/>
                    <w:topLinePunct/>
                    <w:rPr>
                      <w:rFonts w:hint="default"/>
                      <w:color w:val="auto"/>
                      <w:szCs w:val="21"/>
                    </w:rPr>
                  </w:pPr>
                  <w:r>
                    <w:rPr>
                      <w:color w:val="auto"/>
                      <w:szCs w:val="21"/>
                    </w:rPr>
                    <w:t>温度</w:t>
                  </w:r>
                </w:p>
                <w:p>
                  <w:pPr>
                    <w:pStyle w:val="74"/>
                    <w:topLinePunct/>
                    <w:rPr>
                      <w:rFonts w:hint="default"/>
                      <w:color w:val="auto"/>
                      <w:szCs w:val="21"/>
                    </w:rPr>
                  </w:pPr>
                  <w:r>
                    <w:rPr>
                      <w:color w:val="auto"/>
                      <w:szCs w:val="21"/>
                    </w:rPr>
                    <w:t>℃</w:t>
                  </w:r>
                </w:p>
              </w:tc>
              <w:tc>
                <w:tcPr>
                  <w:tcW w:w="907" w:type="dxa"/>
                  <w:vMerge w:val="restart"/>
                  <w:vAlign w:val="center"/>
                </w:tcPr>
                <w:p>
                  <w:pPr>
                    <w:pStyle w:val="74"/>
                    <w:topLinePunct/>
                    <w:rPr>
                      <w:rFonts w:hint="default"/>
                      <w:color w:val="auto"/>
                      <w:szCs w:val="21"/>
                    </w:rPr>
                  </w:pPr>
                  <w:r>
                    <w:rPr>
                      <w:color w:val="auto"/>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20" w:type="dxa"/>
                  <w:vMerge w:val="continue"/>
                  <w:vAlign w:val="center"/>
                </w:tcPr>
                <w:p>
                  <w:pPr>
                    <w:topLinePunct/>
                    <w:jc w:val="center"/>
                    <w:rPr>
                      <w:color w:val="auto"/>
                      <w:szCs w:val="21"/>
                    </w:rPr>
                  </w:pPr>
                </w:p>
              </w:tc>
              <w:tc>
                <w:tcPr>
                  <w:tcW w:w="1234" w:type="dxa"/>
                  <w:vMerge w:val="continue"/>
                  <w:vAlign w:val="center"/>
                </w:tcPr>
                <w:p>
                  <w:pPr>
                    <w:topLinePunct/>
                    <w:jc w:val="center"/>
                    <w:rPr>
                      <w:color w:val="auto"/>
                      <w:szCs w:val="21"/>
                    </w:rPr>
                  </w:pPr>
                </w:p>
              </w:tc>
              <w:tc>
                <w:tcPr>
                  <w:tcW w:w="1134" w:type="dxa"/>
                  <w:vAlign w:val="center"/>
                </w:tcPr>
                <w:p>
                  <w:pPr>
                    <w:pStyle w:val="74"/>
                    <w:topLinePunct/>
                    <w:rPr>
                      <w:rFonts w:hint="default"/>
                      <w:color w:val="auto"/>
                      <w:szCs w:val="21"/>
                    </w:rPr>
                  </w:pPr>
                  <w:r>
                    <w:rPr>
                      <w:color w:val="auto"/>
                      <w:szCs w:val="21"/>
                    </w:rPr>
                    <w:t>经度</w:t>
                  </w:r>
                </w:p>
              </w:tc>
              <w:tc>
                <w:tcPr>
                  <w:tcW w:w="1134" w:type="dxa"/>
                  <w:vAlign w:val="center"/>
                </w:tcPr>
                <w:p>
                  <w:pPr>
                    <w:pStyle w:val="74"/>
                    <w:topLinePunct/>
                    <w:rPr>
                      <w:rFonts w:hint="default"/>
                      <w:color w:val="auto"/>
                      <w:szCs w:val="21"/>
                    </w:rPr>
                  </w:pPr>
                  <w:r>
                    <w:rPr>
                      <w:color w:val="auto"/>
                      <w:szCs w:val="21"/>
                    </w:rPr>
                    <w:t>纬度</w:t>
                  </w:r>
                </w:p>
              </w:tc>
              <w:tc>
                <w:tcPr>
                  <w:tcW w:w="964" w:type="dxa"/>
                  <w:vMerge w:val="continue"/>
                  <w:vAlign w:val="center"/>
                </w:tcPr>
                <w:p>
                  <w:pPr>
                    <w:topLinePunct/>
                    <w:jc w:val="center"/>
                    <w:rPr>
                      <w:color w:val="auto"/>
                      <w:szCs w:val="21"/>
                    </w:rPr>
                  </w:pPr>
                </w:p>
              </w:tc>
              <w:tc>
                <w:tcPr>
                  <w:tcW w:w="907" w:type="dxa"/>
                  <w:vMerge w:val="continue"/>
                  <w:vAlign w:val="center"/>
                </w:tcPr>
                <w:p>
                  <w:pPr>
                    <w:topLinePunct/>
                    <w:jc w:val="center"/>
                    <w:rPr>
                      <w:color w:val="auto"/>
                      <w:szCs w:val="21"/>
                    </w:rPr>
                  </w:pPr>
                </w:p>
              </w:tc>
              <w:tc>
                <w:tcPr>
                  <w:tcW w:w="907" w:type="dxa"/>
                  <w:vMerge w:val="continue"/>
                  <w:vAlign w:val="center"/>
                </w:tcPr>
                <w:p>
                  <w:pPr>
                    <w:topLinePunct/>
                    <w:jc w:val="center"/>
                    <w:rPr>
                      <w:color w:val="auto"/>
                      <w:szCs w:val="21"/>
                    </w:rPr>
                  </w:pPr>
                </w:p>
              </w:tc>
              <w:tc>
                <w:tcPr>
                  <w:tcW w:w="850" w:type="dxa"/>
                  <w:vMerge w:val="continue"/>
                  <w:vAlign w:val="center"/>
                </w:tcPr>
                <w:p>
                  <w:pPr>
                    <w:topLinePunct/>
                    <w:jc w:val="center"/>
                    <w:rPr>
                      <w:color w:val="auto"/>
                      <w:szCs w:val="21"/>
                    </w:rPr>
                  </w:pPr>
                </w:p>
              </w:tc>
              <w:tc>
                <w:tcPr>
                  <w:tcW w:w="907" w:type="dxa"/>
                  <w:vMerge w:val="continue"/>
                  <w:vAlign w:val="center"/>
                </w:tcPr>
                <w:p>
                  <w:pPr>
                    <w:topLinePunct/>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20" w:type="dxa"/>
                  <w:vAlign w:val="center"/>
                </w:tcPr>
                <w:p>
                  <w:pPr>
                    <w:topLinePunct/>
                    <w:jc w:val="center"/>
                    <w:rPr>
                      <w:color w:val="auto"/>
                      <w:szCs w:val="21"/>
                    </w:rPr>
                  </w:pPr>
                  <w:r>
                    <w:rPr>
                      <w:rFonts w:hint="eastAsia"/>
                      <w:color w:val="auto"/>
                      <w:szCs w:val="21"/>
                    </w:rPr>
                    <w:t>DA001</w:t>
                  </w:r>
                </w:p>
              </w:tc>
              <w:tc>
                <w:tcPr>
                  <w:tcW w:w="1234" w:type="dxa"/>
                  <w:vAlign w:val="center"/>
                </w:tcPr>
                <w:p>
                  <w:pPr>
                    <w:topLinePunct/>
                    <w:jc w:val="center"/>
                    <w:rPr>
                      <w:rFonts w:hint="default" w:eastAsia="宋体"/>
                      <w:color w:val="auto"/>
                      <w:szCs w:val="21"/>
                      <w:lang w:val="en-US" w:eastAsia="zh-CN"/>
                    </w:rPr>
                  </w:pPr>
                  <w:r>
                    <w:rPr>
                      <w:rFonts w:hint="eastAsia"/>
                      <w:color w:val="auto"/>
                      <w:szCs w:val="21"/>
                    </w:rPr>
                    <w:t>注塑废气</w:t>
                  </w:r>
                  <w:r>
                    <w:rPr>
                      <w:rFonts w:hint="eastAsia"/>
                      <w:color w:val="auto"/>
                      <w:szCs w:val="21"/>
                      <w:lang w:eastAsia="zh-CN"/>
                    </w:rPr>
                    <w:t>、</w:t>
                  </w:r>
                  <w:r>
                    <w:rPr>
                      <w:rFonts w:hint="eastAsia"/>
                      <w:color w:val="auto"/>
                      <w:szCs w:val="21"/>
                      <w:lang w:val="en-US" w:eastAsia="zh-CN"/>
                    </w:rPr>
                    <w:t>热转印废气</w:t>
                  </w:r>
                </w:p>
              </w:tc>
              <w:tc>
                <w:tcPr>
                  <w:tcW w:w="1134" w:type="dxa"/>
                  <w:vAlign w:val="center"/>
                </w:tcPr>
                <w:p>
                  <w:pPr>
                    <w:topLinePunct/>
                    <w:jc w:val="center"/>
                    <w:rPr>
                      <w:color w:val="auto"/>
                      <w:szCs w:val="21"/>
                    </w:rPr>
                  </w:pPr>
                  <w:r>
                    <w:rPr>
                      <w:rFonts w:hint="eastAsia"/>
                      <w:color w:val="auto"/>
                      <w:szCs w:val="21"/>
                    </w:rPr>
                    <w:t>117.40284627°</w:t>
                  </w:r>
                </w:p>
              </w:tc>
              <w:tc>
                <w:tcPr>
                  <w:tcW w:w="1134" w:type="dxa"/>
                  <w:vAlign w:val="center"/>
                </w:tcPr>
                <w:p>
                  <w:pPr>
                    <w:topLinePunct/>
                    <w:jc w:val="center"/>
                    <w:rPr>
                      <w:color w:val="auto"/>
                      <w:szCs w:val="21"/>
                    </w:rPr>
                  </w:pPr>
                  <w:r>
                    <w:rPr>
                      <w:rFonts w:hint="eastAsia"/>
                      <w:color w:val="auto"/>
                      <w:szCs w:val="21"/>
                    </w:rPr>
                    <w:t>33.11438755°</w:t>
                  </w:r>
                </w:p>
              </w:tc>
              <w:tc>
                <w:tcPr>
                  <w:tcW w:w="964" w:type="dxa"/>
                  <w:vAlign w:val="center"/>
                </w:tcPr>
                <w:p>
                  <w:pPr>
                    <w:topLinePunct/>
                    <w:jc w:val="center"/>
                    <w:rPr>
                      <w:rFonts w:hint="eastAsia" w:eastAsia="宋体"/>
                      <w:color w:val="auto"/>
                      <w:szCs w:val="21"/>
                      <w:lang w:eastAsia="zh-CN"/>
                    </w:rPr>
                  </w:pPr>
                  <w:r>
                    <w:rPr>
                      <w:rFonts w:hint="eastAsia"/>
                      <w:color w:val="auto"/>
                      <w:szCs w:val="21"/>
                      <w:lang w:eastAsia="zh-CN"/>
                    </w:rPr>
                    <w:t>21000</w:t>
                  </w:r>
                </w:p>
              </w:tc>
              <w:tc>
                <w:tcPr>
                  <w:tcW w:w="907" w:type="dxa"/>
                  <w:vAlign w:val="center"/>
                </w:tcPr>
                <w:p>
                  <w:pPr>
                    <w:topLinePunct/>
                    <w:jc w:val="center"/>
                    <w:rPr>
                      <w:color w:val="auto"/>
                      <w:szCs w:val="21"/>
                    </w:rPr>
                  </w:pPr>
                  <w:r>
                    <w:rPr>
                      <w:rFonts w:hint="eastAsia"/>
                      <w:color w:val="auto"/>
                      <w:szCs w:val="21"/>
                    </w:rPr>
                    <w:t>15</w:t>
                  </w:r>
                </w:p>
              </w:tc>
              <w:tc>
                <w:tcPr>
                  <w:tcW w:w="907" w:type="dxa"/>
                  <w:vAlign w:val="center"/>
                </w:tcPr>
                <w:p>
                  <w:pPr>
                    <w:topLinePunct/>
                    <w:jc w:val="center"/>
                    <w:rPr>
                      <w:color w:val="auto"/>
                      <w:szCs w:val="21"/>
                    </w:rPr>
                  </w:pPr>
                  <w:r>
                    <w:rPr>
                      <w:rFonts w:hint="eastAsia"/>
                      <w:color w:val="auto"/>
                      <w:szCs w:val="21"/>
                    </w:rPr>
                    <w:t>0.4</w:t>
                  </w:r>
                </w:p>
              </w:tc>
              <w:tc>
                <w:tcPr>
                  <w:tcW w:w="850" w:type="dxa"/>
                  <w:vAlign w:val="center"/>
                </w:tcPr>
                <w:p>
                  <w:pPr>
                    <w:topLinePunct/>
                    <w:jc w:val="center"/>
                    <w:rPr>
                      <w:color w:val="auto"/>
                      <w:szCs w:val="21"/>
                    </w:rPr>
                  </w:pPr>
                  <w:r>
                    <w:rPr>
                      <w:rFonts w:hint="eastAsia"/>
                      <w:color w:val="auto"/>
                      <w:szCs w:val="21"/>
                    </w:rPr>
                    <w:t>25</w:t>
                  </w:r>
                </w:p>
              </w:tc>
              <w:tc>
                <w:tcPr>
                  <w:tcW w:w="907" w:type="dxa"/>
                  <w:vAlign w:val="center"/>
                </w:tcPr>
                <w:p>
                  <w:pPr>
                    <w:topLinePunct/>
                    <w:jc w:val="center"/>
                    <w:rPr>
                      <w:color w:val="auto"/>
                      <w:szCs w:val="21"/>
                    </w:rPr>
                  </w:pPr>
                  <w:r>
                    <w:rPr>
                      <w:rFonts w:hint="eastAsia"/>
                      <w:color w:val="auto"/>
                      <w:szCs w:val="21"/>
                    </w:rPr>
                    <w:t>一般排放口</w:t>
                  </w:r>
                </w:p>
              </w:tc>
            </w:tr>
          </w:tbl>
          <w:p>
            <w:pPr>
              <w:adjustRightInd w:val="0"/>
              <w:snapToGrid w:val="0"/>
              <w:spacing w:before="120" w:beforeLines="50" w:line="348" w:lineRule="auto"/>
              <w:ind w:firstLine="480" w:firstLineChars="200"/>
              <w:rPr>
                <w:b/>
                <w:color w:val="auto"/>
                <w:sz w:val="24"/>
              </w:rPr>
            </w:pPr>
            <w:r>
              <w:rPr>
                <w:color w:val="auto"/>
                <w:sz w:val="24"/>
              </w:rPr>
              <w:t>项目大气污染物有组织排放量核算结果见下表。</w:t>
            </w:r>
          </w:p>
          <w:p>
            <w:pPr>
              <w:adjustRightInd w:val="0"/>
              <w:snapToGrid w:val="0"/>
              <w:spacing w:before="120" w:beforeLines="50"/>
              <w:jc w:val="center"/>
              <w:rPr>
                <w:b/>
                <w:bCs/>
                <w:color w:val="auto"/>
                <w:sz w:val="24"/>
              </w:rPr>
            </w:pPr>
            <w:r>
              <w:rPr>
                <w:b/>
                <w:color w:val="auto"/>
                <w:sz w:val="24"/>
              </w:rPr>
              <w:t>表4-</w:t>
            </w:r>
            <w:r>
              <w:rPr>
                <w:rFonts w:hint="eastAsia"/>
                <w:b/>
                <w:color w:val="auto"/>
                <w:sz w:val="24"/>
                <w:lang w:val="en-US" w:eastAsia="zh-CN"/>
              </w:rPr>
              <w:t>4</w:t>
            </w:r>
            <w:r>
              <w:rPr>
                <w:rFonts w:hint="eastAsia"/>
                <w:b/>
                <w:color w:val="auto"/>
                <w:sz w:val="24"/>
              </w:rPr>
              <w:t xml:space="preserve"> </w:t>
            </w:r>
            <w:r>
              <w:rPr>
                <w:b/>
                <w:color w:val="auto"/>
                <w:sz w:val="24"/>
              </w:rPr>
              <w:t xml:space="preserve"> </w:t>
            </w:r>
            <w:r>
              <w:rPr>
                <w:b/>
                <w:bCs/>
                <w:color w:val="auto"/>
                <w:sz w:val="24"/>
              </w:rPr>
              <w:t>大气污染物有组织排放量核算表</w:t>
            </w:r>
          </w:p>
          <w:tbl>
            <w:tblPr>
              <w:tblStyle w:val="28"/>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98"/>
              <w:gridCol w:w="1110"/>
              <w:gridCol w:w="2262"/>
              <w:gridCol w:w="1623"/>
              <w:gridCol w:w="1593"/>
              <w:gridCol w:w="15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40"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632"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排放源编号</w:t>
                  </w:r>
                </w:p>
              </w:tc>
              <w:tc>
                <w:tcPr>
                  <w:tcW w:w="1288"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924"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核算排放速率</w:t>
                  </w:r>
                </w:p>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（kg/h）</w:t>
                  </w:r>
                </w:p>
              </w:tc>
              <w:tc>
                <w:tcPr>
                  <w:tcW w:w="907"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核算排放浓度</w:t>
                  </w:r>
                </w:p>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（mg/m³）</w:t>
                  </w:r>
                </w:p>
              </w:tc>
              <w:tc>
                <w:tcPr>
                  <w:tcW w:w="907" w:type="pct"/>
                  <w:vAlign w:val="center"/>
                </w:tcPr>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核算年排放量</w:t>
                  </w:r>
                </w:p>
                <w:p>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6"/>
                  <w:vAlign w:val="center"/>
                </w:tcPr>
                <w:p>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40" w:type="pct"/>
                  <w:vAlign w:val="center"/>
                </w:tcPr>
                <w:p>
                  <w:pPr>
                    <w:widowControl/>
                    <w:adjustRightInd w:val="0"/>
                    <w:snapToGrid w:val="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kern w:val="0"/>
                      <w:sz w:val="21"/>
                      <w:szCs w:val="21"/>
                    </w:rPr>
                    <w:t>1</w:t>
                  </w:r>
                </w:p>
              </w:tc>
              <w:tc>
                <w:tcPr>
                  <w:tcW w:w="632" w:type="pct"/>
                  <w:vAlign w:val="center"/>
                </w:tcPr>
                <w:p>
                  <w:pPr>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128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VOCs（非甲烷总烃）</w:t>
                  </w:r>
                </w:p>
              </w:tc>
              <w:tc>
                <w:tcPr>
                  <w:tcW w:w="924"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0.0164</w:t>
                  </w:r>
                </w:p>
              </w:tc>
              <w:tc>
                <w:tcPr>
                  <w:tcW w:w="90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0.7799</w:t>
                  </w:r>
                </w:p>
              </w:tc>
              <w:tc>
                <w:tcPr>
                  <w:tcW w:w="907" w:type="pct"/>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bidi="ar"/>
                    </w:rPr>
                    <w:t>0.0737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6"/>
                  <w:vAlign w:val="center"/>
                </w:tcPr>
                <w:p>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2" w:type="pct"/>
                  <w:gridSpan w:val="2"/>
                  <w:vAlign w:val="center"/>
                </w:tcPr>
                <w:p>
                  <w:pPr>
                    <w:widowControl/>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有组织排放总计</w:t>
                  </w:r>
                </w:p>
              </w:tc>
              <w:tc>
                <w:tcPr>
                  <w:tcW w:w="3119" w:type="pct"/>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VOCs（非甲烷总烃）</w:t>
                  </w:r>
                </w:p>
              </w:tc>
              <w:tc>
                <w:tcPr>
                  <w:tcW w:w="907" w:type="pct"/>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bidi="ar"/>
                    </w:rPr>
                    <w:t>0.0737</w:t>
                  </w:r>
                </w:p>
              </w:tc>
            </w:tr>
          </w:tbl>
          <w:p>
            <w:pPr>
              <w:spacing w:before="120" w:beforeLines="50" w:line="348" w:lineRule="auto"/>
              <w:ind w:firstLine="480" w:firstLineChars="200"/>
              <w:rPr>
                <w:rFonts w:ascii="宋体" w:hAnsi="宋体" w:cs="宋体"/>
                <w:color w:val="auto"/>
                <w:sz w:val="24"/>
              </w:rPr>
            </w:pPr>
            <w:r>
              <w:rPr>
                <w:rFonts w:hint="eastAsia" w:ascii="宋体" w:hAnsi="宋体" w:cs="宋体"/>
                <w:color w:val="auto"/>
                <w:sz w:val="24"/>
              </w:rPr>
              <w:t>项目大气污染物无组织排放量核算结果见下表。</w:t>
            </w:r>
          </w:p>
          <w:p>
            <w:pPr>
              <w:adjustRightInd w:val="0"/>
              <w:snapToGrid w:val="0"/>
              <w:jc w:val="center"/>
              <w:rPr>
                <w:b/>
                <w:bCs/>
                <w:color w:val="auto"/>
                <w:sz w:val="24"/>
              </w:rPr>
            </w:pPr>
            <w:r>
              <w:rPr>
                <w:b/>
                <w:bCs/>
                <w:color w:val="auto"/>
                <w:sz w:val="24"/>
              </w:rPr>
              <w:t>表4-</w:t>
            </w:r>
            <w:r>
              <w:rPr>
                <w:rFonts w:hint="eastAsia"/>
                <w:b/>
                <w:bCs/>
                <w:color w:val="auto"/>
                <w:sz w:val="24"/>
                <w:lang w:val="en-US" w:eastAsia="zh-CN"/>
              </w:rPr>
              <w:t>5</w:t>
            </w:r>
            <w:r>
              <w:rPr>
                <w:b/>
                <w:bCs/>
                <w:color w:val="auto"/>
                <w:sz w:val="24"/>
              </w:rPr>
              <w:t xml:space="preserve"> </w:t>
            </w:r>
            <w:r>
              <w:rPr>
                <w:rFonts w:hint="eastAsia"/>
                <w:b/>
                <w:bCs/>
                <w:color w:val="auto"/>
                <w:sz w:val="24"/>
              </w:rPr>
              <w:t xml:space="preserve"> </w:t>
            </w:r>
            <w:r>
              <w:rPr>
                <w:b/>
                <w:bCs/>
                <w:color w:val="auto"/>
                <w:sz w:val="24"/>
              </w:rPr>
              <w:t>大气污染物无组织排放量核算表</w:t>
            </w:r>
          </w:p>
          <w:tbl>
            <w:tblPr>
              <w:tblStyle w:val="28"/>
              <w:tblW w:w="88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54"/>
              <w:gridCol w:w="2070"/>
              <w:gridCol w:w="1336"/>
              <w:gridCol w:w="1284"/>
              <w:gridCol w:w="1719"/>
              <w:gridCol w:w="17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widowControl/>
                    <w:adjustRightInd w:val="0"/>
                    <w:snapToGrid w:val="0"/>
                    <w:jc w:val="center"/>
                    <w:rPr>
                      <w:b/>
                      <w:bCs/>
                      <w:color w:val="auto"/>
                      <w:kern w:val="0"/>
                      <w:szCs w:val="21"/>
                    </w:rPr>
                  </w:pPr>
                  <w:r>
                    <w:rPr>
                      <w:b/>
                      <w:bCs/>
                      <w:color w:val="auto"/>
                      <w:kern w:val="0"/>
                      <w:szCs w:val="21"/>
                    </w:rPr>
                    <w:t>序号</w:t>
                  </w:r>
                </w:p>
              </w:tc>
              <w:tc>
                <w:tcPr>
                  <w:tcW w:w="2070" w:type="dxa"/>
                  <w:vAlign w:val="center"/>
                </w:tcPr>
                <w:p>
                  <w:pPr>
                    <w:widowControl/>
                    <w:adjustRightInd w:val="0"/>
                    <w:snapToGrid w:val="0"/>
                    <w:jc w:val="center"/>
                    <w:rPr>
                      <w:b/>
                      <w:bCs/>
                      <w:color w:val="auto"/>
                      <w:kern w:val="0"/>
                      <w:szCs w:val="21"/>
                    </w:rPr>
                  </w:pPr>
                  <w:r>
                    <w:rPr>
                      <w:b/>
                      <w:bCs/>
                      <w:color w:val="auto"/>
                      <w:kern w:val="0"/>
                      <w:szCs w:val="21"/>
                    </w:rPr>
                    <w:t>排放源</w:t>
                  </w:r>
                </w:p>
              </w:tc>
              <w:tc>
                <w:tcPr>
                  <w:tcW w:w="2620" w:type="dxa"/>
                  <w:gridSpan w:val="2"/>
                  <w:vAlign w:val="center"/>
                </w:tcPr>
                <w:p>
                  <w:pPr>
                    <w:widowControl/>
                    <w:adjustRightInd w:val="0"/>
                    <w:snapToGrid w:val="0"/>
                    <w:jc w:val="center"/>
                    <w:rPr>
                      <w:b/>
                      <w:bCs/>
                      <w:color w:val="auto"/>
                      <w:kern w:val="0"/>
                      <w:szCs w:val="21"/>
                    </w:rPr>
                  </w:pPr>
                  <w:r>
                    <w:rPr>
                      <w:b/>
                      <w:bCs/>
                      <w:color w:val="auto"/>
                      <w:kern w:val="0"/>
                      <w:szCs w:val="21"/>
                    </w:rPr>
                    <w:t>污染物</w:t>
                  </w:r>
                </w:p>
              </w:tc>
              <w:tc>
                <w:tcPr>
                  <w:tcW w:w="1719" w:type="dxa"/>
                  <w:vAlign w:val="center"/>
                </w:tcPr>
                <w:p>
                  <w:pPr>
                    <w:widowControl/>
                    <w:adjustRightInd w:val="0"/>
                    <w:snapToGrid w:val="0"/>
                    <w:jc w:val="center"/>
                    <w:rPr>
                      <w:b/>
                      <w:bCs/>
                      <w:color w:val="auto"/>
                      <w:kern w:val="0"/>
                      <w:szCs w:val="21"/>
                    </w:rPr>
                  </w:pPr>
                  <w:r>
                    <w:rPr>
                      <w:b/>
                      <w:bCs/>
                      <w:color w:val="auto"/>
                      <w:kern w:val="0"/>
                      <w:szCs w:val="21"/>
                    </w:rPr>
                    <w:t>核算排放速率</w:t>
                  </w:r>
                </w:p>
                <w:p>
                  <w:pPr>
                    <w:widowControl/>
                    <w:adjustRightInd w:val="0"/>
                    <w:snapToGrid w:val="0"/>
                    <w:jc w:val="center"/>
                    <w:rPr>
                      <w:b/>
                      <w:bCs/>
                      <w:color w:val="auto"/>
                      <w:kern w:val="0"/>
                      <w:szCs w:val="21"/>
                    </w:rPr>
                  </w:pPr>
                  <w:r>
                    <w:rPr>
                      <w:b/>
                      <w:bCs/>
                      <w:color w:val="auto"/>
                      <w:kern w:val="0"/>
                      <w:szCs w:val="21"/>
                    </w:rPr>
                    <w:t>（kg/h）</w:t>
                  </w:r>
                </w:p>
              </w:tc>
              <w:tc>
                <w:tcPr>
                  <w:tcW w:w="1769" w:type="dxa"/>
                  <w:vAlign w:val="center"/>
                </w:tcPr>
                <w:p>
                  <w:pPr>
                    <w:widowControl/>
                    <w:adjustRightInd w:val="0"/>
                    <w:snapToGrid w:val="0"/>
                    <w:jc w:val="center"/>
                    <w:rPr>
                      <w:b/>
                      <w:bCs/>
                      <w:color w:val="auto"/>
                      <w:kern w:val="0"/>
                      <w:szCs w:val="21"/>
                    </w:rPr>
                  </w:pPr>
                  <w:r>
                    <w:rPr>
                      <w:b/>
                      <w:bCs/>
                      <w:color w:val="auto"/>
                      <w:kern w:val="0"/>
                      <w:szCs w:val="21"/>
                    </w:rPr>
                    <w:t>核算年排放量</w:t>
                  </w:r>
                </w:p>
                <w:p>
                  <w:pPr>
                    <w:widowControl/>
                    <w:adjustRightInd w:val="0"/>
                    <w:snapToGrid w:val="0"/>
                    <w:jc w:val="center"/>
                    <w:rPr>
                      <w:b/>
                      <w:bCs/>
                      <w:color w:val="auto"/>
                      <w:kern w:val="0"/>
                      <w:szCs w:val="21"/>
                    </w:rPr>
                  </w:pPr>
                  <w:r>
                    <w:rPr>
                      <w:b/>
                      <w:bCs/>
                      <w:color w:val="auto"/>
                      <w:kern w:val="0"/>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832" w:type="dxa"/>
                  <w:gridSpan w:val="6"/>
                  <w:vAlign w:val="center"/>
                </w:tcPr>
                <w:p>
                  <w:pPr>
                    <w:widowControl/>
                    <w:adjustRightInd w:val="0"/>
                    <w:snapToGrid w:val="0"/>
                    <w:jc w:val="center"/>
                    <w:rPr>
                      <w:color w:val="auto"/>
                      <w:kern w:val="0"/>
                      <w:szCs w:val="21"/>
                    </w:rPr>
                  </w:pPr>
                  <w:r>
                    <w:rPr>
                      <w:color w:val="auto"/>
                      <w:kern w:val="0"/>
                      <w:szCs w:val="21"/>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widowControl/>
                    <w:adjustRightInd w:val="0"/>
                    <w:snapToGrid w:val="0"/>
                    <w:jc w:val="center"/>
                    <w:textAlignment w:val="center"/>
                    <w:rPr>
                      <w:color w:val="auto"/>
                      <w:kern w:val="0"/>
                      <w:szCs w:val="21"/>
                    </w:rPr>
                  </w:pPr>
                  <w:r>
                    <w:rPr>
                      <w:color w:val="auto"/>
                      <w:kern w:val="0"/>
                      <w:szCs w:val="21"/>
                      <w:lang w:bidi="ar"/>
                    </w:rPr>
                    <w:t>1</w:t>
                  </w:r>
                </w:p>
              </w:tc>
              <w:tc>
                <w:tcPr>
                  <w:tcW w:w="2070" w:type="dxa"/>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注塑废气</w:t>
                  </w:r>
                </w:p>
              </w:tc>
              <w:tc>
                <w:tcPr>
                  <w:tcW w:w="2620" w:type="dxa"/>
                  <w:gridSpan w:val="2"/>
                  <w:vMerge w:val="restart"/>
                  <w:vAlign w:val="center"/>
                </w:tcPr>
                <w:p>
                  <w:pPr>
                    <w:widowControl/>
                    <w:adjustRightInd w:val="0"/>
                    <w:snapToGrid w:val="0"/>
                    <w:jc w:val="center"/>
                    <w:textAlignment w:val="center"/>
                    <w:rPr>
                      <w:snapToGrid w:val="0"/>
                      <w:color w:val="auto"/>
                      <w:kern w:val="0"/>
                      <w:szCs w:val="21"/>
                    </w:rPr>
                  </w:pPr>
                  <w:r>
                    <w:rPr>
                      <w:color w:val="auto"/>
                      <w:kern w:val="0"/>
                      <w:szCs w:val="21"/>
                      <w:lang w:bidi="ar"/>
                    </w:rPr>
                    <w:t>VOCs</w:t>
                  </w:r>
                  <w:r>
                    <w:rPr>
                      <w:rFonts w:hint="eastAsia" w:ascii="宋体" w:hAnsi="宋体" w:cs="宋体"/>
                      <w:color w:val="auto"/>
                      <w:kern w:val="0"/>
                      <w:szCs w:val="21"/>
                      <w:lang w:bidi="ar"/>
                    </w:rPr>
                    <w:t>（非甲烷总烃）</w:t>
                  </w:r>
                </w:p>
              </w:tc>
              <w:tc>
                <w:tcPr>
                  <w:tcW w:w="1719" w:type="dxa"/>
                  <w:vMerge w:val="restar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0.0546</w:t>
                  </w:r>
                </w:p>
              </w:tc>
              <w:tc>
                <w:tcPr>
                  <w:tcW w:w="1769" w:type="dxa"/>
                  <w:vMerge w:val="restart"/>
                  <w:vAlign w:val="center"/>
                </w:tcPr>
                <w:p>
                  <w:pPr>
                    <w:widowControl/>
                    <w:adjustRightInd w:val="0"/>
                    <w:snapToGri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0.0819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widowControl/>
                    <w:adjustRightInd w:val="0"/>
                    <w:snapToGrid w:val="0"/>
                    <w:jc w:val="center"/>
                    <w:textAlignment w:val="center"/>
                    <w:rPr>
                      <w:color w:val="auto"/>
                      <w:kern w:val="0"/>
                      <w:szCs w:val="21"/>
                    </w:rPr>
                  </w:pPr>
                  <w:r>
                    <w:rPr>
                      <w:color w:val="auto"/>
                      <w:kern w:val="0"/>
                      <w:szCs w:val="21"/>
                      <w:lang w:bidi="ar"/>
                    </w:rPr>
                    <w:t>2</w:t>
                  </w:r>
                </w:p>
              </w:tc>
              <w:tc>
                <w:tcPr>
                  <w:tcW w:w="2070" w:type="dxa"/>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热转印废气</w:t>
                  </w:r>
                </w:p>
              </w:tc>
              <w:tc>
                <w:tcPr>
                  <w:tcW w:w="2620" w:type="dxa"/>
                  <w:gridSpan w:val="2"/>
                  <w:vMerge w:val="continue"/>
                  <w:vAlign w:val="center"/>
                </w:tcPr>
                <w:p>
                  <w:pPr>
                    <w:widowControl/>
                    <w:adjustRightInd w:val="0"/>
                    <w:snapToGrid w:val="0"/>
                    <w:jc w:val="center"/>
                    <w:textAlignment w:val="center"/>
                    <w:rPr>
                      <w:snapToGrid w:val="0"/>
                      <w:color w:val="auto"/>
                      <w:kern w:val="0"/>
                      <w:szCs w:val="21"/>
                    </w:rPr>
                  </w:pPr>
                </w:p>
              </w:tc>
              <w:tc>
                <w:tcPr>
                  <w:tcW w:w="1719" w:type="dxa"/>
                  <w:vMerge w:val="continue"/>
                  <w:vAlign w:val="center"/>
                </w:tcPr>
                <w:p>
                  <w:pPr>
                    <w:widowControl/>
                    <w:jc w:val="center"/>
                    <w:textAlignment w:val="center"/>
                    <w:rPr>
                      <w:color w:val="auto"/>
                      <w:kern w:val="0"/>
                      <w:szCs w:val="21"/>
                      <w:lang w:bidi="ar"/>
                    </w:rPr>
                  </w:pPr>
                </w:p>
              </w:tc>
              <w:tc>
                <w:tcPr>
                  <w:tcW w:w="1769" w:type="dxa"/>
                  <w:vMerge w:val="continue"/>
                  <w:vAlign w:val="center"/>
                </w:tcPr>
                <w:p>
                  <w:pPr>
                    <w:widowControl/>
                    <w:adjustRightInd w:val="0"/>
                    <w:snapToGrid w:val="0"/>
                    <w:jc w:val="center"/>
                    <w:textAlignment w:val="center"/>
                    <w:rPr>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widowControl/>
                    <w:adjustRightInd w:val="0"/>
                    <w:snapToGrid w:val="0"/>
                    <w:jc w:val="center"/>
                    <w:textAlignment w:val="center"/>
                    <w:rPr>
                      <w:color w:val="auto"/>
                      <w:kern w:val="0"/>
                      <w:szCs w:val="21"/>
                    </w:rPr>
                  </w:pPr>
                  <w:r>
                    <w:rPr>
                      <w:color w:val="auto"/>
                      <w:kern w:val="0"/>
                      <w:szCs w:val="21"/>
                      <w:lang w:bidi="ar"/>
                    </w:rPr>
                    <w:t>3</w:t>
                  </w:r>
                </w:p>
              </w:tc>
              <w:tc>
                <w:tcPr>
                  <w:tcW w:w="2070" w:type="dxa"/>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破碎粉尘</w:t>
                  </w:r>
                </w:p>
              </w:tc>
              <w:tc>
                <w:tcPr>
                  <w:tcW w:w="2620" w:type="dxa"/>
                  <w:gridSpan w:val="2"/>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颗粒物</w:t>
                  </w:r>
                </w:p>
              </w:tc>
              <w:tc>
                <w:tcPr>
                  <w:tcW w:w="1719" w:type="dxa"/>
                  <w:vAlign w:val="center"/>
                </w:tcPr>
                <w:p>
                  <w:pPr>
                    <w:widowControl w:val="0"/>
                    <w:adjustRightInd w:val="0"/>
                    <w:snapToGrid w:val="0"/>
                    <w:spacing w:beforeLines="0" w:afterLines="0" w:line="240" w:lineRule="auto"/>
                    <w:ind w:firstLine="0" w:firstLineChars="0"/>
                    <w:jc w:val="center"/>
                    <w:textAlignment w:val="baseline"/>
                    <w:rPr>
                      <w:snapToGrid w:val="0"/>
                      <w:color w:val="auto"/>
                      <w:kern w:val="0"/>
                      <w:szCs w:val="21"/>
                    </w:rPr>
                  </w:pPr>
                  <w:r>
                    <w:rPr>
                      <w:rFonts w:hint="eastAsia" w:ascii="Times New Roman" w:hAnsi="Times New Roman" w:eastAsia="宋体" w:cs="Times New Roman"/>
                      <w:snapToGrid w:val="0"/>
                      <w:color w:val="auto"/>
                      <w:kern w:val="0"/>
                      <w:sz w:val="21"/>
                      <w:szCs w:val="21"/>
                      <w:lang w:val="en-US" w:eastAsia="zh-CN" w:bidi="ar-SA"/>
                    </w:rPr>
                    <w:t>0.0005</w:t>
                  </w:r>
                </w:p>
              </w:tc>
              <w:tc>
                <w:tcPr>
                  <w:tcW w:w="1769" w:type="dxa"/>
                  <w:vAlign w:val="center"/>
                </w:tcPr>
                <w:p>
                  <w:pPr>
                    <w:widowControl/>
                    <w:adjustRightInd w:val="0"/>
                    <w:snapToGrid w:val="0"/>
                    <w:jc w:val="center"/>
                    <w:textAlignment w:val="center"/>
                    <w:rPr>
                      <w:snapToGrid w:val="0"/>
                      <w:color w:val="auto"/>
                      <w:kern w:val="0"/>
                      <w:szCs w:val="21"/>
                    </w:rPr>
                  </w:pP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w:t>
                  </w: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832" w:type="dxa"/>
                  <w:gridSpan w:val="6"/>
                  <w:vAlign w:val="center"/>
                </w:tcPr>
                <w:p>
                  <w:pPr>
                    <w:widowControl/>
                    <w:adjustRightInd w:val="0"/>
                    <w:snapToGrid w:val="0"/>
                    <w:jc w:val="center"/>
                    <w:textAlignment w:val="center"/>
                    <w:rPr>
                      <w:color w:val="auto"/>
                      <w:kern w:val="0"/>
                      <w:szCs w:val="21"/>
                    </w:rPr>
                  </w:pPr>
                  <w:r>
                    <w:rPr>
                      <w:rFonts w:hint="eastAsia" w:ascii="宋体" w:hAnsi="宋体" w:cs="宋体"/>
                      <w:color w:val="auto"/>
                      <w:kern w:val="0"/>
                      <w:szCs w:val="21"/>
                      <w:lang w:bidi="ar"/>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60" w:type="dxa"/>
                  <w:gridSpan w:val="3"/>
                  <w:vMerge w:val="restart"/>
                  <w:vAlign w:val="center"/>
                </w:tcPr>
                <w:p>
                  <w:pPr>
                    <w:widowControl/>
                    <w:adjustRightInd w:val="0"/>
                    <w:snapToGrid w:val="0"/>
                    <w:jc w:val="center"/>
                    <w:textAlignment w:val="center"/>
                    <w:rPr>
                      <w:color w:val="auto"/>
                      <w:kern w:val="0"/>
                      <w:szCs w:val="21"/>
                    </w:rPr>
                  </w:pPr>
                  <w:r>
                    <w:rPr>
                      <w:rFonts w:hint="eastAsia" w:ascii="宋体" w:hAnsi="宋体" w:cs="宋体"/>
                      <w:color w:val="auto"/>
                      <w:kern w:val="0"/>
                      <w:szCs w:val="21"/>
                      <w:lang w:bidi="ar"/>
                    </w:rPr>
                    <w:t>无组织排放总计</w:t>
                  </w:r>
                </w:p>
              </w:tc>
              <w:tc>
                <w:tcPr>
                  <w:tcW w:w="3003" w:type="dxa"/>
                  <w:gridSpan w:val="2"/>
                  <w:vAlign w:val="center"/>
                </w:tcPr>
                <w:p>
                  <w:pPr>
                    <w:widowControl/>
                    <w:adjustRightInd w:val="0"/>
                    <w:snapToGrid w:val="0"/>
                    <w:jc w:val="center"/>
                    <w:textAlignment w:val="center"/>
                    <w:rPr>
                      <w:color w:val="auto"/>
                      <w:szCs w:val="21"/>
                    </w:rPr>
                  </w:pPr>
                  <w:r>
                    <w:rPr>
                      <w:color w:val="auto"/>
                      <w:kern w:val="0"/>
                      <w:szCs w:val="21"/>
                      <w:lang w:bidi="ar"/>
                    </w:rPr>
                    <w:t>VOCs</w:t>
                  </w:r>
                  <w:r>
                    <w:rPr>
                      <w:rFonts w:hint="eastAsia" w:ascii="宋体" w:hAnsi="宋体" w:cs="宋体"/>
                      <w:color w:val="auto"/>
                      <w:kern w:val="0"/>
                      <w:szCs w:val="21"/>
                      <w:lang w:bidi="ar"/>
                    </w:rPr>
                    <w:t>（非甲烷总烃）</w:t>
                  </w:r>
                </w:p>
              </w:tc>
              <w:tc>
                <w:tcPr>
                  <w:tcW w:w="1769" w:type="dxa"/>
                  <w:vAlign w:val="center"/>
                </w:tcPr>
                <w:p>
                  <w:pPr>
                    <w:widowControl/>
                    <w:adjustRightInd w:val="0"/>
                    <w:snapToGrid w:val="0"/>
                    <w:jc w:val="center"/>
                    <w:textAlignment w:val="center"/>
                    <w:rPr>
                      <w:snapToGrid w:val="0"/>
                      <w:color w:val="auto"/>
                      <w:kern w:val="0"/>
                      <w:szCs w:val="21"/>
                    </w:rPr>
                  </w:pPr>
                  <w:r>
                    <w:rPr>
                      <w:rFonts w:hint="eastAsia"/>
                      <w:color w:val="auto"/>
                      <w:kern w:val="0"/>
                      <w:szCs w:val="21"/>
                      <w:lang w:val="en-US" w:eastAsia="zh-CN" w:bidi="ar"/>
                    </w:rPr>
                    <w:t>0.0819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60" w:type="dxa"/>
                  <w:gridSpan w:val="3"/>
                  <w:vMerge w:val="continue"/>
                  <w:vAlign w:val="center"/>
                </w:tcPr>
                <w:p>
                  <w:pPr>
                    <w:widowControl/>
                    <w:adjustRightInd w:val="0"/>
                    <w:snapToGrid w:val="0"/>
                    <w:jc w:val="center"/>
                    <w:rPr>
                      <w:color w:val="auto"/>
                      <w:kern w:val="0"/>
                      <w:szCs w:val="21"/>
                    </w:rPr>
                  </w:pPr>
                </w:p>
              </w:tc>
              <w:tc>
                <w:tcPr>
                  <w:tcW w:w="3003" w:type="dxa"/>
                  <w:gridSpan w:val="2"/>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颗粒物</w:t>
                  </w:r>
                </w:p>
              </w:tc>
              <w:tc>
                <w:tcPr>
                  <w:tcW w:w="1769" w:type="dxa"/>
                  <w:vAlign w:val="center"/>
                </w:tcPr>
                <w:p>
                  <w:pPr>
                    <w:widowControl/>
                    <w:adjustRightInd w:val="0"/>
                    <w:snapToGrid w:val="0"/>
                    <w:jc w:val="center"/>
                    <w:textAlignment w:val="center"/>
                    <w:rPr>
                      <w:color w:val="auto"/>
                      <w:spacing w:val="-2"/>
                      <w:szCs w:val="21"/>
                    </w:rPr>
                  </w:pP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w:t>
                  </w:r>
                  <w:r>
                    <w:rPr>
                      <w:rFonts w:hint="eastAsia" w:ascii="Times New Roman" w:hAnsi="Times New Roman" w:eastAsia="宋体" w:cs="Times New Roman"/>
                      <w:snapToGrid w:val="0"/>
                      <w:color w:val="auto"/>
                      <w:kern w:val="0"/>
                      <w:szCs w:val="21"/>
                      <w:lang w:bidi="ar"/>
                    </w:rPr>
                    <w:t>0</w:t>
                  </w:r>
                  <w:r>
                    <w:rPr>
                      <w:rFonts w:hint="eastAsia" w:ascii="Times New Roman" w:hAnsi="Times New Roman" w:eastAsia="宋体" w:cs="Times New Roman"/>
                      <w:snapToGrid w:val="0"/>
                      <w:color w:val="auto"/>
                      <w:kern w:val="0"/>
                      <w:szCs w:val="21"/>
                      <w:lang w:val="en-US" w:eastAsia="zh-CN" w:bidi="ar"/>
                    </w:rPr>
                    <w:t>01</w:t>
                  </w:r>
                </w:p>
              </w:tc>
            </w:tr>
          </w:tbl>
          <w:p>
            <w:pPr>
              <w:adjustRightInd w:val="0"/>
              <w:snapToGrid w:val="0"/>
              <w:spacing w:before="120" w:beforeLines="50" w:line="348" w:lineRule="auto"/>
              <w:ind w:firstLine="480" w:firstLineChars="200"/>
              <w:rPr>
                <w:rFonts w:ascii="宋体" w:hAnsi="宋体" w:cs="宋体"/>
                <w:color w:val="auto"/>
                <w:sz w:val="24"/>
              </w:rPr>
            </w:pPr>
            <w:r>
              <w:rPr>
                <w:rFonts w:hint="eastAsia" w:ascii="宋体" w:hAnsi="宋体" w:cs="宋体"/>
                <w:color w:val="auto"/>
                <w:sz w:val="24"/>
              </w:rPr>
              <w:t>本项目大气污染物年排放量核算结果如下表。</w:t>
            </w:r>
          </w:p>
          <w:p>
            <w:pPr>
              <w:adjustRightInd w:val="0"/>
              <w:snapToGrid w:val="0"/>
              <w:jc w:val="center"/>
              <w:rPr>
                <w:b/>
                <w:bCs/>
                <w:color w:val="auto"/>
                <w:sz w:val="24"/>
              </w:rPr>
            </w:pPr>
            <w:r>
              <w:rPr>
                <w:b/>
                <w:bCs/>
                <w:color w:val="auto"/>
                <w:sz w:val="24"/>
              </w:rPr>
              <w:t>表4-</w:t>
            </w:r>
            <w:r>
              <w:rPr>
                <w:rFonts w:hint="eastAsia"/>
                <w:b/>
                <w:bCs/>
                <w:color w:val="auto"/>
                <w:sz w:val="24"/>
                <w:lang w:val="en-US" w:eastAsia="zh-CN"/>
              </w:rPr>
              <w:t>6</w:t>
            </w:r>
            <w:r>
              <w:rPr>
                <w:b/>
                <w:bCs/>
                <w:color w:val="auto"/>
                <w:sz w:val="24"/>
              </w:rPr>
              <w:t xml:space="preserve"> </w:t>
            </w:r>
            <w:r>
              <w:rPr>
                <w:rFonts w:hint="eastAsia"/>
                <w:b/>
                <w:bCs/>
                <w:color w:val="auto"/>
                <w:sz w:val="24"/>
              </w:rPr>
              <w:t xml:space="preserve"> </w:t>
            </w:r>
            <w:r>
              <w:rPr>
                <w:b/>
                <w:bCs/>
                <w:color w:val="auto"/>
                <w:sz w:val="24"/>
              </w:rPr>
              <w:t>大气污染物年排放量核算表</w:t>
            </w:r>
          </w:p>
          <w:tbl>
            <w:tblPr>
              <w:tblStyle w:val="28"/>
              <w:tblW w:w="880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928"/>
              <w:gridCol w:w="3477"/>
              <w:gridCol w:w="34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b/>
                      <w:bCs/>
                      <w:color w:val="auto"/>
                      <w:kern w:val="0"/>
                      <w:szCs w:val="21"/>
                    </w:rPr>
                  </w:pPr>
                  <w:r>
                    <w:rPr>
                      <w:b/>
                      <w:bCs/>
                      <w:color w:val="auto"/>
                      <w:kern w:val="0"/>
                      <w:szCs w:val="21"/>
                    </w:rPr>
                    <w:t>序号</w:t>
                  </w:r>
                </w:p>
              </w:tc>
              <w:tc>
                <w:tcPr>
                  <w:tcW w:w="3477" w:type="dxa"/>
                  <w:vAlign w:val="center"/>
                </w:tcPr>
                <w:p>
                  <w:pPr>
                    <w:widowControl/>
                    <w:adjustRightInd w:val="0"/>
                    <w:snapToGrid w:val="0"/>
                    <w:jc w:val="center"/>
                    <w:rPr>
                      <w:b/>
                      <w:bCs/>
                      <w:color w:val="auto"/>
                      <w:kern w:val="0"/>
                      <w:szCs w:val="21"/>
                    </w:rPr>
                  </w:pPr>
                  <w:r>
                    <w:rPr>
                      <w:b/>
                      <w:bCs/>
                      <w:color w:val="auto"/>
                      <w:kern w:val="0"/>
                      <w:szCs w:val="21"/>
                    </w:rPr>
                    <w:t>污染物</w:t>
                  </w:r>
                </w:p>
              </w:tc>
              <w:tc>
                <w:tcPr>
                  <w:tcW w:w="3402" w:type="dxa"/>
                  <w:vAlign w:val="center"/>
                </w:tcPr>
                <w:p>
                  <w:pPr>
                    <w:widowControl/>
                    <w:adjustRightInd w:val="0"/>
                    <w:snapToGrid w:val="0"/>
                    <w:jc w:val="center"/>
                    <w:rPr>
                      <w:b/>
                      <w:bCs/>
                      <w:color w:val="auto"/>
                      <w:kern w:val="0"/>
                      <w:szCs w:val="21"/>
                    </w:rPr>
                  </w:pPr>
                  <w:r>
                    <w:rPr>
                      <w:b/>
                      <w:bCs/>
                      <w:color w:val="auto"/>
                      <w:kern w:val="0"/>
                      <w:szCs w:val="21"/>
                    </w:rPr>
                    <w:t>年排放量</w:t>
                  </w:r>
                  <w:r>
                    <w:rPr>
                      <w:rFonts w:hint="eastAsia"/>
                      <w:b/>
                      <w:bCs/>
                      <w:color w:val="auto"/>
                      <w:kern w:val="0"/>
                      <w:szCs w:val="21"/>
                    </w:rPr>
                    <w:t>（</w:t>
                  </w:r>
                  <w:r>
                    <w:rPr>
                      <w:b/>
                      <w:bCs/>
                      <w:color w:val="auto"/>
                      <w:kern w:val="0"/>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color w:val="auto"/>
                      <w:kern w:val="0"/>
                      <w:szCs w:val="21"/>
                    </w:rPr>
                  </w:pPr>
                  <w:r>
                    <w:rPr>
                      <w:color w:val="auto"/>
                      <w:kern w:val="0"/>
                      <w:szCs w:val="21"/>
                    </w:rPr>
                    <w:t>1</w:t>
                  </w:r>
                </w:p>
              </w:tc>
              <w:tc>
                <w:tcPr>
                  <w:tcW w:w="3477" w:type="dxa"/>
                  <w:vAlign w:val="center"/>
                </w:tcPr>
                <w:p>
                  <w:pPr>
                    <w:widowControl/>
                    <w:adjustRightInd w:val="0"/>
                    <w:snapToGrid w:val="0"/>
                    <w:jc w:val="center"/>
                    <w:textAlignment w:val="center"/>
                    <w:rPr>
                      <w:color w:val="auto"/>
                      <w:szCs w:val="21"/>
                    </w:rPr>
                  </w:pPr>
                  <w:r>
                    <w:rPr>
                      <w:color w:val="auto"/>
                      <w:kern w:val="0"/>
                      <w:szCs w:val="21"/>
                      <w:lang w:bidi="ar"/>
                    </w:rPr>
                    <w:t>VOCs</w:t>
                  </w:r>
                  <w:r>
                    <w:rPr>
                      <w:rFonts w:hint="eastAsia" w:ascii="宋体" w:hAnsi="宋体" w:cs="宋体"/>
                      <w:color w:val="auto"/>
                      <w:kern w:val="0"/>
                      <w:szCs w:val="21"/>
                      <w:lang w:bidi="ar"/>
                    </w:rPr>
                    <w:t>（非甲烷总烃）</w:t>
                  </w:r>
                </w:p>
              </w:tc>
              <w:tc>
                <w:tcPr>
                  <w:tcW w:w="3402" w:type="dxa"/>
                  <w:vAlign w:val="center"/>
                </w:tcPr>
                <w:p>
                  <w:pPr>
                    <w:widowControl/>
                    <w:adjustRightInd w:val="0"/>
                    <w:snapToGrid w:val="0"/>
                    <w:jc w:val="center"/>
                    <w:textAlignment w:val="center"/>
                    <w:rPr>
                      <w:rFonts w:hint="eastAsia" w:eastAsia="宋体"/>
                      <w:snapToGrid w:val="0"/>
                      <w:color w:val="auto"/>
                      <w:kern w:val="0"/>
                      <w:szCs w:val="21"/>
                      <w:lang w:eastAsia="zh-CN"/>
                    </w:rPr>
                  </w:pPr>
                  <w:r>
                    <w:rPr>
                      <w:rFonts w:hint="eastAsia"/>
                      <w:color w:val="auto"/>
                      <w:kern w:val="0"/>
                      <w:szCs w:val="21"/>
                      <w:lang w:eastAsia="zh-CN" w:bidi="ar"/>
                    </w:rPr>
                    <w:t>0.1556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color w:val="auto"/>
                      <w:kern w:val="0"/>
                      <w:szCs w:val="21"/>
                    </w:rPr>
                  </w:pPr>
                  <w:r>
                    <w:rPr>
                      <w:rFonts w:hint="eastAsia"/>
                      <w:color w:val="auto"/>
                      <w:kern w:val="0"/>
                      <w:szCs w:val="21"/>
                    </w:rPr>
                    <w:t>2</w:t>
                  </w:r>
                </w:p>
              </w:tc>
              <w:tc>
                <w:tcPr>
                  <w:tcW w:w="3477" w:type="dxa"/>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颗粒物</w:t>
                  </w:r>
                </w:p>
              </w:tc>
              <w:tc>
                <w:tcPr>
                  <w:tcW w:w="3402" w:type="dxa"/>
                  <w:vAlign w:val="center"/>
                </w:tcPr>
                <w:p>
                  <w:pPr>
                    <w:widowControl/>
                    <w:adjustRightInd w:val="0"/>
                    <w:snapToGrid w:val="0"/>
                    <w:jc w:val="center"/>
                    <w:textAlignment w:val="center"/>
                    <w:rPr>
                      <w:rFonts w:hint="eastAsia" w:eastAsia="宋体"/>
                      <w:color w:val="auto"/>
                      <w:spacing w:val="-2"/>
                      <w:szCs w:val="21"/>
                      <w:lang w:eastAsia="zh-CN"/>
                    </w:rPr>
                  </w:pPr>
                  <w:r>
                    <w:rPr>
                      <w:rFonts w:hint="eastAsia"/>
                      <w:color w:val="auto"/>
                      <w:kern w:val="0"/>
                      <w:szCs w:val="21"/>
                      <w:lang w:eastAsia="zh-CN" w:bidi="ar"/>
                    </w:rPr>
                    <w:t>0.0001</w:t>
                  </w:r>
                </w:p>
              </w:tc>
            </w:tr>
          </w:tbl>
          <w:p>
            <w:pPr>
              <w:topLinePunct/>
              <w:adjustRightInd w:val="0"/>
              <w:snapToGrid w:val="0"/>
              <w:spacing w:before="120" w:beforeLines="50" w:line="360" w:lineRule="auto"/>
              <w:ind w:firstLine="482" w:firstLineChars="200"/>
              <w:rPr>
                <w:rFonts w:cs="宋体"/>
                <w:b/>
                <w:bCs/>
                <w:color w:val="auto"/>
                <w:sz w:val="24"/>
              </w:rPr>
            </w:pPr>
            <w:r>
              <w:rPr>
                <w:rFonts w:hint="eastAsia"/>
                <w:b/>
                <w:bCs/>
                <w:color w:val="auto"/>
                <w:sz w:val="24"/>
                <w:lang w:bidi="ar"/>
              </w:rPr>
              <w:t>2、</w:t>
            </w:r>
            <w:r>
              <w:rPr>
                <w:rFonts w:cs="宋体"/>
                <w:b/>
                <w:bCs/>
                <w:color w:val="auto"/>
                <w:sz w:val="24"/>
              </w:rPr>
              <w:t>废气达标排放及污染防治措施可行性分析</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w:t>
            </w:r>
            <w:r>
              <w:rPr>
                <w:rFonts w:cs="宋体"/>
                <w:color w:val="auto"/>
                <w:kern w:val="0"/>
                <w:sz w:val="24"/>
                <w:lang w:bidi="ar"/>
              </w:rPr>
              <w:t>1）废气达标排放分析</w:t>
            </w:r>
          </w:p>
          <w:p>
            <w:pPr>
              <w:topLinePunct/>
              <w:adjustRightInd w:val="0"/>
              <w:snapToGrid w:val="0"/>
              <w:spacing w:line="360" w:lineRule="auto"/>
              <w:ind w:firstLine="480" w:firstLineChars="200"/>
              <w:rPr>
                <w:rFonts w:cs="宋体"/>
                <w:color w:val="auto"/>
                <w:kern w:val="0"/>
                <w:sz w:val="24"/>
                <w:lang w:bidi="ar"/>
              </w:rPr>
            </w:pPr>
            <w:r>
              <w:rPr>
                <w:rFonts w:cs="宋体"/>
                <w:color w:val="auto"/>
                <w:kern w:val="0"/>
                <w:sz w:val="24"/>
                <w:lang w:bidi="ar"/>
              </w:rPr>
              <w:t>项目运营期</w:t>
            </w:r>
            <w:r>
              <w:rPr>
                <w:rFonts w:hint="eastAsia" w:cs="宋体"/>
                <w:color w:val="auto"/>
                <w:kern w:val="0"/>
                <w:sz w:val="24"/>
                <w:lang w:bidi="ar"/>
              </w:rPr>
              <w:t>有组织排放的</w:t>
            </w:r>
            <w:r>
              <w:rPr>
                <w:rFonts w:cs="宋体"/>
                <w:color w:val="auto"/>
                <w:kern w:val="0"/>
                <w:sz w:val="24"/>
                <w:lang w:bidi="ar"/>
              </w:rPr>
              <w:t>废气为</w:t>
            </w:r>
            <w:r>
              <w:rPr>
                <w:rFonts w:hint="eastAsia" w:cs="宋体"/>
                <w:color w:val="auto"/>
                <w:kern w:val="0"/>
                <w:sz w:val="24"/>
                <w:lang w:eastAsia="zh-CN" w:bidi="ar"/>
              </w:rPr>
              <w:t>注塑废气、热转印废气</w:t>
            </w:r>
            <w:r>
              <w:rPr>
                <w:rFonts w:cs="宋体"/>
                <w:color w:val="auto"/>
                <w:kern w:val="0"/>
                <w:sz w:val="24"/>
                <w:lang w:bidi="ar"/>
              </w:rPr>
              <w:t>。</w:t>
            </w:r>
          </w:p>
          <w:p>
            <w:pPr>
              <w:topLinePunct/>
              <w:adjustRightInd w:val="0"/>
              <w:snapToGrid w:val="0"/>
              <w:spacing w:line="360" w:lineRule="auto"/>
              <w:ind w:firstLine="480" w:firstLineChars="200"/>
              <w:rPr>
                <w:color w:val="auto"/>
                <w:sz w:val="24"/>
              </w:rPr>
            </w:pPr>
            <w:r>
              <w:rPr>
                <w:rFonts w:cs="宋体"/>
                <w:color w:val="auto"/>
                <w:kern w:val="0"/>
                <w:sz w:val="24"/>
                <w:lang w:bidi="ar"/>
              </w:rPr>
              <w:t>根据前文中废气污染源源强分析可知：</w:t>
            </w:r>
            <w:r>
              <w:rPr>
                <w:rFonts w:hint="eastAsia" w:cs="宋体"/>
                <w:color w:val="auto"/>
                <w:kern w:val="0"/>
                <w:sz w:val="24"/>
                <w:lang w:bidi="ar"/>
              </w:rPr>
              <w:t>本项目</w:t>
            </w:r>
            <w:r>
              <w:rPr>
                <w:rFonts w:hint="eastAsia"/>
                <w:color w:val="auto"/>
                <w:sz w:val="24"/>
                <w:lang w:eastAsia="zh-CN"/>
              </w:rPr>
              <w:t>注塑废气、热转印废气</w:t>
            </w:r>
            <w:r>
              <w:rPr>
                <w:rFonts w:hint="eastAsia"/>
                <w:color w:val="auto"/>
                <w:sz w:val="24"/>
              </w:rPr>
              <w:t>经集气罩收集后由二级活性炭吸附装置吸附</w:t>
            </w:r>
            <w:r>
              <w:rPr>
                <w:color w:val="auto"/>
                <w:sz w:val="24"/>
              </w:rPr>
              <w:t>处理后通过1根</w:t>
            </w:r>
            <w:r>
              <w:rPr>
                <w:rFonts w:hint="eastAsia"/>
                <w:color w:val="auto"/>
                <w:sz w:val="24"/>
              </w:rPr>
              <w:t>15</w:t>
            </w:r>
            <w:r>
              <w:rPr>
                <w:color w:val="auto"/>
                <w:sz w:val="24"/>
              </w:rPr>
              <w:t>m高排气筒（DA00</w:t>
            </w:r>
            <w:r>
              <w:rPr>
                <w:rFonts w:hint="eastAsia"/>
                <w:color w:val="auto"/>
                <w:sz w:val="24"/>
              </w:rPr>
              <w:t>1</w:t>
            </w:r>
            <w:r>
              <w:rPr>
                <w:color w:val="auto"/>
                <w:sz w:val="24"/>
              </w:rPr>
              <w:t>）排放</w:t>
            </w:r>
            <w:r>
              <w:rPr>
                <w:rFonts w:hint="eastAsia"/>
                <w:color w:val="auto"/>
                <w:sz w:val="24"/>
              </w:rPr>
              <w:t>，</w:t>
            </w:r>
            <w:r>
              <w:rPr>
                <w:color w:val="auto"/>
                <w:sz w:val="24"/>
              </w:rPr>
              <w:t>处理后</w:t>
            </w:r>
            <w:r>
              <w:rPr>
                <w:rFonts w:hint="eastAsia"/>
                <w:color w:val="auto"/>
                <w:sz w:val="24"/>
              </w:rPr>
              <w:t>VOCs（非甲烷总烃）</w:t>
            </w:r>
            <w:r>
              <w:rPr>
                <w:color w:val="auto"/>
                <w:sz w:val="24"/>
              </w:rPr>
              <w:t>的排放浓度为</w:t>
            </w:r>
            <w:r>
              <w:rPr>
                <w:rFonts w:hint="eastAsia"/>
                <w:color w:val="auto"/>
                <w:sz w:val="24"/>
                <w:lang w:eastAsia="zh-CN"/>
              </w:rPr>
              <w:t>0.7799</w:t>
            </w:r>
            <w:r>
              <w:rPr>
                <w:color w:val="auto"/>
                <w:sz w:val="24"/>
              </w:rPr>
              <w:t>mg/m³</w:t>
            </w:r>
            <w:r>
              <w:rPr>
                <w:rFonts w:hint="eastAsia"/>
                <w:color w:val="auto"/>
                <w:sz w:val="24"/>
                <w:lang w:eastAsia="zh-CN"/>
              </w:rPr>
              <w:t>，</w:t>
            </w:r>
            <w:r>
              <w:rPr>
                <w:rFonts w:hint="eastAsia"/>
                <w:color w:val="auto"/>
                <w:sz w:val="24"/>
                <w:lang w:val="en-US" w:eastAsia="zh-CN"/>
              </w:rPr>
              <w:t>排放速率为0.0164kg/h</w:t>
            </w:r>
            <w:r>
              <w:rPr>
                <w:color w:val="auto"/>
                <w:sz w:val="24"/>
              </w:rPr>
              <w:t>，满足</w:t>
            </w:r>
            <w:r>
              <w:rPr>
                <w:rFonts w:hint="eastAsia"/>
                <w:snapToGrid w:val="0"/>
                <w:color w:val="auto"/>
                <w:sz w:val="24"/>
                <w:lang w:eastAsia="zh-CN"/>
              </w:rPr>
              <w:t>《固定源挥发性有机物综合排放标准 第四部分：印刷工业》（DB34/4812.4-2024）</w:t>
            </w:r>
            <w:r>
              <w:rPr>
                <w:rFonts w:hint="eastAsia"/>
                <w:snapToGrid w:val="0"/>
                <w:color w:val="auto"/>
                <w:sz w:val="24"/>
              </w:rPr>
              <w:t>中排放限值（非甲烷总烃：</w:t>
            </w:r>
            <w:r>
              <w:rPr>
                <w:rFonts w:hint="eastAsia"/>
                <w:snapToGrid w:val="0"/>
                <w:color w:val="auto"/>
                <w:sz w:val="24"/>
                <w:lang w:val="en-US" w:eastAsia="zh-CN"/>
              </w:rPr>
              <w:t>50</w:t>
            </w:r>
            <w:r>
              <w:rPr>
                <w:color w:val="auto"/>
                <w:sz w:val="24"/>
              </w:rPr>
              <w:t>mg/m³</w:t>
            </w:r>
            <w:r>
              <w:rPr>
                <w:rFonts w:hint="eastAsia"/>
                <w:color w:val="auto"/>
                <w:sz w:val="24"/>
                <w:lang w:eastAsia="zh-CN"/>
              </w:rPr>
              <w:t>，</w:t>
            </w:r>
            <w:r>
              <w:rPr>
                <w:rFonts w:hint="eastAsia"/>
                <w:color w:val="auto"/>
                <w:sz w:val="24"/>
                <w:lang w:val="en-US" w:eastAsia="zh-CN"/>
              </w:rPr>
              <w:t>1.5kg/h</w:t>
            </w:r>
            <w:r>
              <w:rPr>
                <w:rFonts w:hint="eastAsia"/>
                <w:snapToGrid w:val="0"/>
                <w:color w:val="auto"/>
                <w:sz w:val="24"/>
              </w:rPr>
              <w:t>）</w:t>
            </w:r>
            <w:r>
              <w:rPr>
                <w:rFonts w:hint="eastAsia"/>
                <w:color w:val="auto"/>
                <w:sz w:val="24"/>
              </w:rPr>
              <w:t>。</w:t>
            </w:r>
            <w:r>
              <w:rPr>
                <w:rFonts w:hint="eastAsia" w:cs="宋体"/>
                <w:color w:val="auto"/>
                <w:kern w:val="0"/>
                <w:sz w:val="24"/>
                <w:lang w:bidi="ar"/>
              </w:rPr>
              <w:t>因此，项目废气在采取相应环保措施处理后均能达标排放。</w:t>
            </w:r>
          </w:p>
          <w:p>
            <w:pPr>
              <w:topLinePunct/>
              <w:adjustRightInd w:val="0"/>
              <w:snapToGrid w:val="0"/>
              <w:spacing w:line="360" w:lineRule="auto"/>
              <w:ind w:firstLine="480" w:firstLineChars="200"/>
              <w:rPr>
                <w:rFonts w:cs="宋体"/>
                <w:color w:val="auto"/>
                <w:kern w:val="0"/>
                <w:sz w:val="24"/>
                <w:lang w:bidi="ar"/>
              </w:rPr>
            </w:pPr>
            <w:r>
              <w:rPr>
                <w:rFonts w:hint="eastAsia" w:cs="宋体"/>
                <w:color w:val="auto"/>
                <w:kern w:val="0"/>
                <w:sz w:val="24"/>
                <w:lang w:bidi="ar"/>
              </w:rPr>
              <w:t>（</w:t>
            </w:r>
            <w:r>
              <w:rPr>
                <w:rFonts w:cs="宋体"/>
                <w:color w:val="auto"/>
                <w:kern w:val="0"/>
                <w:sz w:val="24"/>
                <w:lang w:bidi="ar"/>
              </w:rPr>
              <w:t>2）污染防治措施可行性分析</w:t>
            </w:r>
          </w:p>
          <w:p>
            <w:pPr>
              <w:topLinePunct/>
              <w:adjustRightInd w:val="0"/>
              <w:snapToGrid w:val="0"/>
              <w:spacing w:line="360" w:lineRule="auto"/>
              <w:ind w:firstLine="480" w:firstLineChars="200"/>
              <w:rPr>
                <w:rFonts w:cs="宋体"/>
                <w:color w:val="auto"/>
                <w:kern w:val="0"/>
                <w:sz w:val="24"/>
                <w:szCs w:val="22"/>
                <w:lang w:bidi="ar"/>
              </w:rPr>
            </w:pPr>
            <w:r>
              <w:rPr>
                <w:rFonts w:hint="eastAsia" w:cs="宋体"/>
                <w:color w:val="auto"/>
                <w:kern w:val="0"/>
                <w:sz w:val="24"/>
                <w:szCs w:val="22"/>
                <w:lang w:bidi="ar"/>
              </w:rPr>
              <w:t>项目</w:t>
            </w:r>
            <w:r>
              <w:rPr>
                <w:rFonts w:hint="eastAsia" w:cs="宋体"/>
                <w:color w:val="auto"/>
                <w:kern w:val="0"/>
                <w:sz w:val="24"/>
                <w:szCs w:val="22"/>
                <w:lang w:eastAsia="zh-CN" w:bidi="ar"/>
              </w:rPr>
              <w:t>注塑废气、热转印废气</w:t>
            </w:r>
            <w:r>
              <w:rPr>
                <w:rFonts w:hint="eastAsia" w:cs="宋体"/>
                <w:color w:val="auto"/>
                <w:kern w:val="0"/>
                <w:sz w:val="24"/>
                <w:szCs w:val="22"/>
                <w:lang w:bidi="ar"/>
              </w:rPr>
              <w:t>的处理设施为二级活性炭吸附装置</w:t>
            </w:r>
            <w:r>
              <w:rPr>
                <w:rFonts w:hint="eastAsia" w:cs="宋体"/>
                <w:color w:val="auto"/>
                <w:kern w:val="0"/>
                <w:sz w:val="24"/>
                <w:szCs w:val="22"/>
                <w:lang w:eastAsia="zh-CN" w:bidi="ar"/>
              </w:rPr>
              <w:t>，</w:t>
            </w:r>
            <w:r>
              <w:rPr>
                <w:rFonts w:hint="eastAsia" w:cs="宋体"/>
                <w:color w:val="auto"/>
                <w:kern w:val="0"/>
                <w:sz w:val="24"/>
                <w:szCs w:val="22"/>
                <w:lang w:val="en-US" w:eastAsia="zh-CN" w:bidi="ar"/>
              </w:rPr>
              <w:t>破碎粉尘处理设施为布袋除尘装置</w:t>
            </w:r>
            <w:r>
              <w:rPr>
                <w:rFonts w:hint="eastAsia" w:cs="宋体"/>
                <w:color w:val="auto"/>
                <w:kern w:val="0"/>
                <w:sz w:val="24"/>
                <w:szCs w:val="22"/>
                <w:lang w:bidi="ar"/>
              </w:rPr>
              <w:t>。</w:t>
            </w:r>
            <w:r>
              <w:rPr>
                <w:rFonts w:hint="eastAsia" w:cs="宋体"/>
                <w:color w:val="auto"/>
                <w:kern w:val="0"/>
                <w:sz w:val="24"/>
                <w:lang w:bidi="ar"/>
              </w:rPr>
              <w:t>根据《排污许可证申请与核发技术规范 橡胶和塑料制品工业》（HJ1122—2020）中表A.2 塑料制品工业排污单位废气污染防治可行技术参考表，产生的VOCs（以非甲烷总烃计）防治可行技术为：喷淋；吸附；吸附浓缩+热力燃烧/催化燃烧</w:t>
            </w:r>
            <w:r>
              <w:rPr>
                <w:rFonts w:hint="eastAsia" w:cs="宋体"/>
                <w:color w:val="auto"/>
                <w:kern w:val="0"/>
                <w:sz w:val="24"/>
                <w:lang w:eastAsia="zh-CN" w:bidi="ar"/>
              </w:rPr>
              <w:t>，</w:t>
            </w:r>
            <w:r>
              <w:rPr>
                <w:rFonts w:hint="eastAsia" w:cs="宋体"/>
                <w:color w:val="auto"/>
                <w:kern w:val="0"/>
                <w:sz w:val="24"/>
                <w:lang w:val="en-US" w:eastAsia="zh-CN" w:bidi="ar"/>
              </w:rPr>
              <w:t>颗粒物防治可行技术为：袋式除尘；滤筒/滤芯除尘</w:t>
            </w:r>
            <w:r>
              <w:rPr>
                <w:rFonts w:hint="eastAsia" w:cs="宋体"/>
                <w:color w:val="auto"/>
                <w:kern w:val="0"/>
                <w:sz w:val="24"/>
                <w:lang w:bidi="ar"/>
              </w:rPr>
              <w:t>。</w:t>
            </w:r>
          </w:p>
          <w:p>
            <w:pPr>
              <w:numPr>
                <w:ilvl w:val="0"/>
                <w:numId w:val="8"/>
              </w:numPr>
              <w:topLinePunct/>
              <w:adjustRightInd w:val="0"/>
              <w:snapToGrid w:val="0"/>
              <w:spacing w:line="360" w:lineRule="auto"/>
              <w:ind w:firstLine="480" w:firstLineChars="200"/>
              <w:rPr>
                <w:rFonts w:hint="eastAsia" w:cs="宋体"/>
                <w:color w:val="auto"/>
                <w:kern w:val="0"/>
                <w:sz w:val="24"/>
                <w:szCs w:val="22"/>
                <w:lang w:bidi="ar"/>
              </w:rPr>
            </w:pPr>
            <w:r>
              <w:rPr>
                <w:rFonts w:hint="eastAsia" w:cs="宋体"/>
                <w:color w:val="auto"/>
                <w:kern w:val="0"/>
                <w:sz w:val="24"/>
                <w:szCs w:val="22"/>
                <w:lang w:bidi="ar"/>
              </w:rPr>
              <w:t>二级活性炭吸附装置</w:t>
            </w:r>
          </w:p>
          <w:p>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szCs w:val="22"/>
                <w:lang w:bidi="ar"/>
              </w:rPr>
            </w:pPr>
            <w:r>
              <w:rPr>
                <w:rFonts w:hint="eastAsia" w:cs="宋体"/>
                <w:color w:val="auto"/>
                <w:kern w:val="0"/>
                <w:sz w:val="24"/>
                <w:szCs w:val="22"/>
                <w:lang w:bidi="ar"/>
              </w:rPr>
              <w:t>本项目</w:t>
            </w:r>
            <w:r>
              <w:rPr>
                <w:color w:val="auto"/>
                <w:kern w:val="0"/>
                <w:sz w:val="24"/>
                <w:szCs w:val="22"/>
                <w:lang w:bidi="ar"/>
              </w:rPr>
              <w:t>所采用的</w:t>
            </w:r>
            <w:r>
              <w:rPr>
                <w:rFonts w:hint="eastAsia"/>
                <w:color w:val="auto"/>
                <w:kern w:val="0"/>
                <w:sz w:val="24"/>
                <w:szCs w:val="22"/>
                <w:lang w:bidi="ar"/>
              </w:rPr>
              <w:t>二级活性炭</w:t>
            </w:r>
            <w:r>
              <w:rPr>
                <w:color w:val="auto"/>
                <w:kern w:val="0"/>
                <w:sz w:val="24"/>
                <w:szCs w:val="22"/>
                <w:lang w:bidi="ar"/>
              </w:rPr>
              <w:t>吸附装置</w:t>
            </w:r>
            <w:r>
              <w:rPr>
                <w:rFonts w:hint="eastAsia"/>
                <w:color w:val="auto"/>
                <w:kern w:val="0"/>
                <w:sz w:val="24"/>
                <w:szCs w:val="22"/>
                <w:lang w:bidi="ar"/>
              </w:rPr>
              <w:t>其</w:t>
            </w:r>
            <w:r>
              <w:rPr>
                <w:rFonts w:hint="eastAsia" w:ascii="Arial" w:hAnsi="Arial" w:cs="Arial"/>
                <w:color w:val="auto"/>
                <w:kern w:val="0"/>
                <w:sz w:val="24"/>
                <w:szCs w:val="22"/>
                <w:lang w:bidi="ar"/>
              </w:rPr>
              <w:t>所填充的活性炭为颗粒活性炭，填充量为</w:t>
            </w:r>
            <w:r>
              <w:rPr>
                <w:rFonts w:hint="eastAsia"/>
                <w:color w:val="auto"/>
                <w:sz w:val="24"/>
              </w:rPr>
              <w:t>0.82</w:t>
            </w:r>
            <w:r>
              <w:rPr>
                <w:rFonts w:hint="eastAsia"/>
                <w:color w:val="auto"/>
                <w:sz w:val="24"/>
                <w:lang w:val="en-US" w:eastAsia="zh-CN"/>
              </w:rPr>
              <w:t>92</w:t>
            </w:r>
            <w:r>
              <w:rPr>
                <w:rFonts w:hint="eastAsia"/>
                <w:color w:val="auto"/>
                <w:sz w:val="24"/>
              </w:rPr>
              <w:t>t，每季度更换一次</w:t>
            </w:r>
            <w:r>
              <w:rPr>
                <w:rFonts w:hint="eastAsia" w:ascii="Arial" w:hAnsi="Arial" w:cs="Arial"/>
                <w:color w:val="auto"/>
                <w:kern w:val="0"/>
                <w:sz w:val="24"/>
                <w:szCs w:val="22"/>
                <w:lang w:bidi="ar"/>
              </w:rPr>
              <w:t>。</w:t>
            </w:r>
            <w:r>
              <w:rPr>
                <w:rFonts w:hint="eastAsia" w:cs="宋体"/>
                <w:color w:val="auto"/>
                <w:kern w:val="0"/>
                <w:sz w:val="24"/>
                <w:szCs w:val="22"/>
                <w:lang w:bidi="ar"/>
              </w:rPr>
              <w:t>活性炭吸附法是以活性炭作为吸附剂，把废气中有机物溶剂的蒸汽吸附到固相表面，从而达到净化废气的方法。活性炭是一种具有非极性表面、疏水性、亲有机物的吸附剂。活性炭是由各种含碳物质（如木材、泥煤、果核、椰壳等原料）在高温下炭化后，再用水蒸气或化学药品（如氯化锌、氯化锰、氯化钙和磷酸等）进行活化处理，然后制成的孔隙十分丰富的吸附剂，其孔径平均为（10～40）×10</w:t>
            </w:r>
            <w:r>
              <w:rPr>
                <w:rFonts w:hint="eastAsia" w:cs="宋体"/>
                <w:color w:val="auto"/>
                <w:kern w:val="0"/>
                <w:sz w:val="24"/>
                <w:szCs w:val="22"/>
                <w:vertAlign w:val="superscript"/>
                <w:lang w:bidi="ar"/>
              </w:rPr>
              <w:t>-8</w:t>
            </w:r>
            <w:r>
              <w:rPr>
                <w:rFonts w:hint="eastAsia" w:cs="宋体"/>
                <w:color w:val="auto"/>
                <w:kern w:val="0"/>
                <w:sz w:val="24"/>
                <w:szCs w:val="22"/>
                <w:lang w:bidi="ar"/>
              </w:rPr>
              <w:t>cm，比表面积一般在600～1500m</w:t>
            </w:r>
            <w:r>
              <w:rPr>
                <w:rFonts w:hint="eastAsia" w:cs="宋体"/>
                <w:color w:val="auto"/>
                <w:kern w:val="0"/>
                <w:sz w:val="24"/>
                <w:szCs w:val="22"/>
                <w:vertAlign w:val="superscript"/>
                <w:lang w:bidi="ar"/>
              </w:rPr>
              <w:t>2</w:t>
            </w:r>
            <w:r>
              <w:rPr>
                <w:rFonts w:hint="eastAsia" w:cs="宋体"/>
                <w:color w:val="auto"/>
                <w:kern w:val="0"/>
                <w:sz w:val="24"/>
                <w:szCs w:val="22"/>
                <w:lang w:bidi="ar"/>
              </w:rPr>
              <w:t>/g范围内，具有优良的吸附能力。</w:t>
            </w:r>
          </w:p>
          <w:p>
            <w:pPr>
              <w:topLinePunct/>
              <w:adjustRightInd w:val="0"/>
              <w:snapToGrid w:val="0"/>
              <w:spacing w:line="360" w:lineRule="auto"/>
              <w:ind w:firstLine="480" w:firstLineChars="200"/>
              <w:rPr>
                <w:rFonts w:cs="宋体"/>
                <w:color w:val="auto"/>
                <w:kern w:val="0"/>
                <w:sz w:val="24"/>
                <w:szCs w:val="22"/>
                <w:lang w:bidi="ar"/>
              </w:rPr>
            </w:pPr>
            <w:r>
              <w:rPr>
                <w:rFonts w:hint="eastAsia" w:cs="宋体"/>
                <w:color w:val="auto"/>
                <w:kern w:val="0"/>
                <w:sz w:val="24"/>
                <w:lang w:bidi="ar"/>
              </w:rPr>
              <w:t>废气通过活性炭吸附层时，大部分的吸附质被吸附在吸附层内，随着吸附时间的延续，活性炭的吸附能力将下降，其有效部分将越来越薄，当活性炭全部达到饱和时，活性炭被穿透。为确保装置处理效率，需定期对活性炭进行更换。</w:t>
            </w:r>
          </w:p>
          <w:p>
            <w:pPr>
              <w:topLinePunct/>
              <w:adjustRightInd w:val="0"/>
              <w:snapToGrid w:val="0"/>
              <w:jc w:val="center"/>
              <w:rPr>
                <w:b/>
                <w:color w:val="auto"/>
                <w:sz w:val="24"/>
              </w:rPr>
            </w:pPr>
            <w:r>
              <w:rPr>
                <w:b/>
                <w:color w:val="auto"/>
                <w:sz w:val="24"/>
              </w:rPr>
              <w:t>表4-</w:t>
            </w:r>
            <w:r>
              <w:rPr>
                <w:rFonts w:hint="eastAsia"/>
                <w:b/>
                <w:color w:val="auto"/>
                <w:sz w:val="24"/>
                <w:lang w:val="en-US" w:eastAsia="zh-CN"/>
              </w:rPr>
              <w:t>7</w:t>
            </w:r>
            <w:r>
              <w:rPr>
                <w:rFonts w:hint="eastAsia"/>
                <w:b/>
                <w:color w:val="auto"/>
                <w:sz w:val="24"/>
              </w:rPr>
              <w:t xml:space="preserve">  </w:t>
            </w:r>
            <w:r>
              <w:rPr>
                <w:b/>
                <w:color w:val="auto"/>
                <w:sz w:val="24"/>
              </w:rPr>
              <w:t>活性炭吸附装置设计控制参数一览表</w:t>
            </w:r>
          </w:p>
          <w:tbl>
            <w:tblPr>
              <w:tblStyle w:val="28"/>
              <w:tblW w:w="8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733"/>
              <w:gridCol w:w="5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b/>
                      <w:bCs/>
                      <w:color w:val="auto"/>
                      <w:szCs w:val="21"/>
                    </w:rPr>
                  </w:pPr>
                  <w:r>
                    <w:rPr>
                      <w:b/>
                      <w:bCs/>
                      <w:color w:val="auto"/>
                      <w:szCs w:val="21"/>
                    </w:rPr>
                    <w:t>序号</w:t>
                  </w:r>
                </w:p>
              </w:tc>
              <w:tc>
                <w:tcPr>
                  <w:tcW w:w="1733" w:type="dxa"/>
                  <w:vAlign w:val="center"/>
                </w:tcPr>
                <w:p>
                  <w:pPr>
                    <w:topLinePunct/>
                    <w:adjustRightInd w:val="0"/>
                    <w:snapToGrid w:val="0"/>
                    <w:jc w:val="center"/>
                    <w:rPr>
                      <w:b/>
                      <w:bCs/>
                      <w:color w:val="auto"/>
                      <w:szCs w:val="21"/>
                    </w:rPr>
                  </w:pPr>
                  <w:r>
                    <w:rPr>
                      <w:b/>
                      <w:bCs/>
                      <w:color w:val="auto"/>
                      <w:szCs w:val="21"/>
                    </w:rPr>
                    <w:t>项目</w:t>
                  </w:r>
                </w:p>
              </w:tc>
              <w:tc>
                <w:tcPr>
                  <w:tcW w:w="5898" w:type="dxa"/>
                  <w:vAlign w:val="center"/>
                </w:tcPr>
                <w:p>
                  <w:pPr>
                    <w:topLinePunct/>
                    <w:adjustRightInd w:val="0"/>
                    <w:snapToGrid w:val="0"/>
                    <w:jc w:val="center"/>
                    <w:rPr>
                      <w:b/>
                      <w:bCs/>
                      <w:color w:val="auto"/>
                      <w:szCs w:val="21"/>
                    </w:rPr>
                  </w:pPr>
                  <w:r>
                    <w:rPr>
                      <w:b/>
                      <w:bCs/>
                      <w:color w:val="auto"/>
                      <w:szCs w:val="21"/>
                    </w:rPr>
                    <w:t>控制参数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1</w:t>
                  </w:r>
                </w:p>
              </w:tc>
              <w:tc>
                <w:tcPr>
                  <w:tcW w:w="1733" w:type="dxa"/>
                  <w:vMerge w:val="restart"/>
                  <w:vAlign w:val="center"/>
                </w:tcPr>
                <w:p>
                  <w:pPr>
                    <w:topLinePunct/>
                    <w:adjustRightInd w:val="0"/>
                    <w:snapToGrid w:val="0"/>
                    <w:jc w:val="center"/>
                    <w:rPr>
                      <w:color w:val="auto"/>
                      <w:szCs w:val="21"/>
                    </w:rPr>
                  </w:pPr>
                  <w:r>
                    <w:rPr>
                      <w:color w:val="auto"/>
                      <w:szCs w:val="21"/>
                    </w:rPr>
                    <w:t>预处理要求</w:t>
                  </w:r>
                </w:p>
              </w:tc>
              <w:tc>
                <w:tcPr>
                  <w:tcW w:w="5898" w:type="dxa"/>
                  <w:vAlign w:val="center"/>
                </w:tcPr>
                <w:p>
                  <w:pPr>
                    <w:topLinePunct/>
                    <w:adjustRightInd w:val="0"/>
                    <w:snapToGrid w:val="0"/>
                    <w:jc w:val="center"/>
                    <w:rPr>
                      <w:color w:val="auto"/>
                      <w:szCs w:val="21"/>
                    </w:rPr>
                  </w:pPr>
                  <w:r>
                    <w:rPr>
                      <w:color w:val="auto"/>
                      <w:szCs w:val="21"/>
                    </w:rPr>
                    <w:t>若颗粒物浓度超过1mg/m</w:t>
                  </w:r>
                  <w:r>
                    <w:rPr>
                      <w:color w:val="auto"/>
                      <w:szCs w:val="21"/>
                      <w:vertAlign w:val="superscript"/>
                    </w:rPr>
                    <w:t>3</w:t>
                  </w:r>
                  <w:r>
                    <w:rPr>
                      <w:color w:val="auto"/>
                      <w:szCs w:val="21"/>
                    </w:rPr>
                    <w:t>时，采取过滤或洗涤等方式进行预处理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2</w:t>
                  </w:r>
                </w:p>
              </w:tc>
              <w:tc>
                <w:tcPr>
                  <w:tcW w:w="1733" w:type="dxa"/>
                  <w:vMerge w:val="continue"/>
                  <w:vAlign w:val="center"/>
                </w:tcPr>
                <w:p>
                  <w:pPr>
                    <w:topLinePunct/>
                    <w:adjustRightInd w:val="0"/>
                    <w:snapToGrid w:val="0"/>
                    <w:jc w:val="center"/>
                    <w:rPr>
                      <w:color w:val="auto"/>
                      <w:szCs w:val="21"/>
                    </w:rPr>
                  </w:pPr>
                </w:p>
              </w:tc>
              <w:tc>
                <w:tcPr>
                  <w:tcW w:w="5898" w:type="dxa"/>
                  <w:vAlign w:val="center"/>
                </w:tcPr>
                <w:p>
                  <w:pPr>
                    <w:topLinePunct/>
                    <w:adjustRightInd w:val="0"/>
                    <w:snapToGrid w:val="0"/>
                    <w:jc w:val="center"/>
                    <w:rPr>
                      <w:color w:val="auto"/>
                      <w:szCs w:val="21"/>
                    </w:rPr>
                  </w:pPr>
                  <w:r>
                    <w:rPr>
                      <w:color w:val="auto"/>
                      <w:szCs w:val="21"/>
                    </w:rPr>
                    <w:t>若进气温度高于40℃时，采取换热或稀释等方式进行调节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3</w:t>
                  </w:r>
                </w:p>
              </w:tc>
              <w:tc>
                <w:tcPr>
                  <w:tcW w:w="1733" w:type="dxa"/>
                  <w:vMerge w:val="continue"/>
                  <w:vAlign w:val="center"/>
                </w:tcPr>
                <w:p>
                  <w:pPr>
                    <w:topLinePunct/>
                    <w:adjustRightInd w:val="0"/>
                    <w:snapToGrid w:val="0"/>
                    <w:jc w:val="center"/>
                    <w:rPr>
                      <w:color w:val="auto"/>
                      <w:szCs w:val="21"/>
                    </w:rPr>
                  </w:pPr>
                </w:p>
              </w:tc>
              <w:tc>
                <w:tcPr>
                  <w:tcW w:w="5898" w:type="dxa"/>
                  <w:vAlign w:val="center"/>
                </w:tcPr>
                <w:p>
                  <w:pPr>
                    <w:topLinePunct/>
                    <w:adjustRightInd w:val="0"/>
                    <w:snapToGrid w:val="0"/>
                    <w:jc w:val="center"/>
                    <w:rPr>
                      <w:color w:val="auto"/>
                      <w:szCs w:val="21"/>
                    </w:rPr>
                  </w:pPr>
                  <w:r>
                    <w:rPr>
                      <w:color w:val="auto"/>
                      <w:szCs w:val="21"/>
                    </w:rPr>
                    <w:t>过滤装置两端装设压差计，当阻力超过规定值时及时清理或更换过滤材料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4</w:t>
                  </w:r>
                </w:p>
              </w:tc>
              <w:tc>
                <w:tcPr>
                  <w:tcW w:w="1733" w:type="dxa"/>
                  <w:vMerge w:val="restart"/>
                  <w:vAlign w:val="center"/>
                </w:tcPr>
                <w:p>
                  <w:pPr>
                    <w:topLinePunct/>
                    <w:adjustRightInd w:val="0"/>
                    <w:snapToGrid w:val="0"/>
                    <w:jc w:val="center"/>
                    <w:rPr>
                      <w:color w:val="auto"/>
                      <w:szCs w:val="21"/>
                    </w:rPr>
                  </w:pPr>
                  <w:r>
                    <w:rPr>
                      <w:color w:val="auto"/>
                      <w:szCs w:val="21"/>
                    </w:rPr>
                    <w:t>吸附材质要求</w:t>
                  </w:r>
                </w:p>
              </w:tc>
              <w:tc>
                <w:tcPr>
                  <w:tcW w:w="5898" w:type="dxa"/>
                  <w:vAlign w:val="center"/>
                </w:tcPr>
                <w:p>
                  <w:pPr>
                    <w:topLinePunct/>
                    <w:adjustRightInd w:val="0"/>
                    <w:snapToGrid w:val="0"/>
                    <w:jc w:val="center"/>
                    <w:rPr>
                      <w:color w:val="auto"/>
                      <w:szCs w:val="21"/>
                    </w:rPr>
                  </w:pPr>
                  <w:r>
                    <w:rPr>
                      <w:color w:val="auto"/>
                      <w:szCs w:val="21"/>
                    </w:rPr>
                    <w:t>颗粒活性炭作为吸附剂时，其碘值不宜低于800mg/g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5</w:t>
                  </w:r>
                </w:p>
              </w:tc>
              <w:tc>
                <w:tcPr>
                  <w:tcW w:w="1733" w:type="dxa"/>
                  <w:vMerge w:val="continue"/>
                  <w:vAlign w:val="center"/>
                </w:tcPr>
                <w:p>
                  <w:pPr>
                    <w:topLinePunct/>
                    <w:adjustRightInd w:val="0"/>
                    <w:snapToGrid w:val="0"/>
                    <w:jc w:val="center"/>
                    <w:rPr>
                      <w:color w:val="auto"/>
                      <w:szCs w:val="21"/>
                    </w:rPr>
                  </w:pPr>
                </w:p>
              </w:tc>
              <w:tc>
                <w:tcPr>
                  <w:tcW w:w="5898" w:type="dxa"/>
                  <w:vAlign w:val="center"/>
                </w:tcPr>
                <w:p>
                  <w:pPr>
                    <w:topLinePunct/>
                    <w:adjustRightInd w:val="0"/>
                    <w:snapToGrid w:val="0"/>
                    <w:jc w:val="center"/>
                    <w:rPr>
                      <w:color w:val="auto"/>
                      <w:szCs w:val="21"/>
                    </w:rPr>
                  </w:pPr>
                  <w:r>
                    <w:rPr>
                      <w:color w:val="auto"/>
                      <w:szCs w:val="21"/>
                    </w:rPr>
                    <w:t>颗粒活性炭最好选择柱状活性炭，直径≤5mm，比表面积≥1200㎡/g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vAlign w:val="center"/>
                </w:tcPr>
                <w:p>
                  <w:pPr>
                    <w:topLinePunct/>
                    <w:adjustRightInd w:val="0"/>
                    <w:snapToGrid w:val="0"/>
                    <w:jc w:val="center"/>
                    <w:rPr>
                      <w:color w:val="auto"/>
                      <w:szCs w:val="21"/>
                    </w:rPr>
                  </w:pPr>
                  <w:r>
                    <w:rPr>
                      <w:color w:val="auto"/>
                      <w:szCs w:val="21"/>
                    </w:rPr>
                    <w:t>6</w:t>
                  </w:r>
                </w:p>
              </w:tc>
              <w:tc>
                <w:tcPr>
                  <w:tcW w:w="1733" w:type="dxa"/>
                  <w:vAlign w:val="center"/>
                </w:tcPr>
                <w:p>
                  <w:pPr>
                    <w:topLinePunct/>
                    <w:adjustRightInd w:val="0"/>
                    <w:snapToGrid w:val="0"/>
                    <w:jc w:val="center"/>
                    <w:rPr>
                      <w:color w:val="auto"/>
                      <w:szCs w:val="21"/>
                    </w:rPr>
                  </w:pPr>
                  <w:r>
                    <w:rPr>
                      <w:color w:val="auto"/>
                      <w:szCs w:val="21"/>
                    </w:rPr>
                    <w:t>工艺参数</w:t>
                  </w:r>
                </w:p>
              </w:tc>
              <w:tc>
                <w:tcPr>
                  <w:tcW w:w="5898" w:type="dxa"/>
                  <w:vAlign w:val="center"/>
                </w:tcPr>
                <w:p>
                  <w:pPr>
                    <w:topLinePunct/>
                    <w:adjustRightInd w:val="0"/>
                    <w:snapToGrid w:val="0"/>
                    <w:jc w:val="center"/>
                    <w:rPr>
                      <w:color w:val="auto"/>
                      <w:szCs w:val="21"/>
                    </w:rPr>
                  </w:pPr>
                  <w:r>
                    <w:rPr>
                      <w:color w:val="auto"/>
                      <w:szCs w:val="21"/>
                    </w:rPr>
                    <w:t>采用颗粒状吸附剂时，箱内气速宜低于0.6m/s</w:t>
                  </w:r>
                </w:p>
              </w:tc>
            </w:tr>
          </w:tbl>
          <w:p>
            <w:pPr>
              <w:numPr>
                <w:ilvl w:val="0"/>
                <w:numId w:val="8"/>
              </w:numPr>
              <w:topLinePunct/>
              <w:adjustRightInd w:val="0"/>
              <w:snapToGrid w:val="0"/>
              <w:spacing w:before="120" w:beforeLines="50" w:line="360" w:lineRule="auto"/>
              <w:ind w:left="0" w:leftChars="0" w:firstLine="480" w:firstLineChars="200"/>
              <w:rPr>
                <w:rFonts w:hint="eastAsia" w:cs="宋体"/>
                <w:color w:val="auto"/>
                <w:kern w:val="0"/>
                <w:sz w:val="24"/>
                <w:szCs w:val="22"/>
                <w:lang w:val="en-US" w:eastAsia="zh-CN" w:bidi="ar"/>
              </w:rPr>
            </w:pPr>
            <w:r>
              <w:rPr>
                <w:rFonts w:hint="eastAsia" w:cs="宋体"/>
                <w:color w:val="auto"/>
                <w:kern w:val="0"/>
                <w:sz w:val="24"/>
                <w:szCs w:val="22"/>
                <w:lang w:val="en-US" w:eastAsia="zh-CN" w:bidi="ar"/>
              </w:rPr>
              <w:t>布袋除尘装置</w:t>
            </w:r>
          </w:p>
          <w:p>
            <w:pPr>
              <w:keepNext w:val="0"/>
              <w:keepLines w:val="0"/>
              <w:pageBreakBefore w:val="0"/>
              <w:widowControl w:val="0"/>
              <w:numPr>
                <w:ilvl w:val="0"/>
                <w:numId w:val="0"/>
              </w:numPr>
              <w:kinsoku/>
              <w:wordWrap/>
              <w:overflowPunct/>
              <w:topLinePunct/>
              <w:autoSpaceDE/>
              <w:autoSpaceDN/>
              <w:bidi w:val="0"/>
              <w:adjustRightInd w:val="0"/>
              <w:snapToGrid w:val="0"/>
              <w:spacing w:before="120" w:beforeLines="50" w:line="360" w:lineRule="auto"/>
              <w:ind w:leftChars="0" w:firstLine="480" w:firstLineChars="200"/>
              <w:jc w:val="both"/>
              <w:textAlignment w:val="auto"/>
              <w:rPr>
                <w:rFonts w:hint="eastAsia" w:cs="宋体"/>
                <w:color w:val="auto"/>
                <w:kern w:val="0"/>
                <w:sz w:val="24"/>
                <w:szCs w:val="22"/>
                <w:lang w:val="en-US" w:eastAsia="zh-CN" w:bidi="ar"/>
              </w:rPr>
            </w:pPr>
            <w:r>
              <w:rPr>
                <w:rFonts w:hint="eastAsia" w:cs="宋体"/>
                <w:color w:val="auto"/>
                <w:kern w:val="0"/>
                <w:sz w:val="24"/>
                <w:szCs w:val="22"/>
                <w:lang w:val="en-US" w:eastAsia="zh-CN" w:bidi="ar"/>
              </w:rPr>
              <w:t>布袋采用纺织的滤布或非纺织的毡制成，利用纤维织物的过滤作用对含尘气体进行过滤，当含尘气体进入布袋除尘器，颗粒大、比重大的粉尘，由于重力的作用沉降下来，含有较细小粉尘的气体在通过滤料时，粉尘被阻留，使气体得到净化。</w:t>
            </w:r>
          </w:p>
          <w:p>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auto"/>
                <w:kern w:val="0"/>
                <w:sz w:val="24"/>
                <w:szCs w:val="22"/>
                <w:lang w:bidi="ar"/>
              </w:rPr>
            </w:pPr>
            <w:r>
              <w:rPr>
                <w:rFonts w:hint="eastAsia" w:cs="宋体"/>
                <w:color w:val="auto"/>
                <w:kern w:val="0"/>
                <w:sz w:val="24"/>
                <w:szCs w:val="22"/>
                <w:lang w:bidi="ar"/>
              </w:rPr>
              <w:t>综上所述，</w:t>
            </w:r>
            <w:r>
              <w:rPr>
                <w:rFonts w:hint="eastAsia" w:cs="宋体"/>
                <w:color w:val="auto"/>
                <w:kern w:val="0"/>
                <w:sz w:val="24"/>
                <w:lang w:bidi="ar"/>
              </w:rPr>
              <w:t>本项目所采取的废气处理措施属于可行技术。</w:t>
            </w:r>
          </w:p>
          <w:p>
            <w:pPr>
              <w:adjustRightInd w:val="0"/>
              <w:snapToGrid w:val="0"/>
              <w:spacing w:line="360" w:lineRule="auto"/>
              <w:ind w:firstLine="482" w:firstLineChars="200"/>
              <w:rPr>
                <w:b/>
                <w:bCs/>
                <w:color w:val="auto"/>
                <w:sz w:val="24"/>
                <w:lang w:bidi="ar"/>
              </w:rPr>
            </w:pPr>
            <w:r>
              <w:rPr>
                <w:rFonts w:hint="eastAsia"/>
                <w:b/>
                <w:bCs/>
                <w:color w:val="auto"/>
                <w:sz w:val="24"/>
                <w:lang w:bidi="ar"/>
              </w:rPr>
              <w:t>3、</w:t>
            </w:r>
            <w:r>
              <w:rPr>
                <w:b/>
                <w:bCs/>
                <w:color w:val="auto"/>
                <w:sz w:val="24"/>
                <w:lang w:bidi="ar"/>
              </w:rPr>
              <w:t>非正常情况</w:t>
            </w:r>
          </w:p>
          <w:p>
            <w:pPr>
              <w:adjustRightInd w:val="0"/>
              <w:snapToGrid w:val="0"/>
              <w:spacing w:line="360" w:lineRule="auto"/>
              <w:ind w:firstLine="480" w:firstLineChars="200"/>
              <w:rPr>
                <w:rFonts w:ascii="宋体" w:hAnsi="宋体" w:cs="宋体"/>
                <w:color w:val="auto"/>
                <w:sz w:val="24"/>
                <w:lang w:bidi="ar"/>
              </w:rPr>
            </w:pPr>
            <w:r>
              <w:rPr>
                <w:rFonts w:hint="eastAsia" w:ascii="宋体" w:hAnsi="宋体" w:cs="宋体"/>
                <w:color w:val="auto"/>
                <w:sz w:val="24"/>
                <w:lang w:bidi="ar"/>
              </w:rPr>
              <w:t>非正常排放指生产过程中开停车（工、炉）、设备检修、工艺设备运转异常等非正常工况下的污染物排放，以及污染物排放控制措施达不到应有效率等情况下的排放。</w:t>
            </w:r>
          </w:p>
          <w:p>
            <w:pPr>
              <w:adjustRightInd w:val="0"/>
              <w:snapToGrid w:val="0"/>
              <w:spacing w:line="360" w:lineRule="auto"/>
              <w:ind w:firstLine="480" w:firstLineChars="200"/>
              <w:rPr>
                <w:rFonts w:ascii="宋体" w:hAnsi="宋体" w:cs="宋体"/>
                <w:color w:val="auto"/>
                <w:sz w:val="24"/>
                <w:lang w:bidi="ar"/>
              </w:rPr>
            </w:pPr>
            <w:r>
              <w:rPr>
                <w:rFonts w:hint="eastAsia" w:ascii="宋体" w:hAnsi="宋体" w:cs="宋体"/>
                <w:color w:val="auto"/>
                <w:sz w:val="24"/>
                <w:lang w:bidi="ar"/>
              </w:rPr>
              <w:t>非正常情况下（废</w:t>
            </w:r>
            <w:r>
              <w:rPr>
                <w:color w:val="auto"/>
                <w:sz w:val="24"/>
                <w:lang w:bidi="ar"/>
              </w:rPr>
              <w:t>气处理设施</w:t>
            </w:r>
            <w:r>
              <w:rPr>
                <w:rFonts w:hint="eastAsia"/>
                <w:color w:val="auto"/>
                <w:sz w:val="24"/>
                <w:lang w:bidi="ar"/>
              </w:rPr>
              <w:t>处理效率</w:t>
            </w:r>
            <w:r>
              <w:rPr>
                <w:color w:val="auto"/>
                <w:sz w:val="24"/>
                <w:lang w:bidi="ar"/>
              </w:rPr>
              <w:t>按0%计）</w:t>
            </w:r>
            <w:r>
              <w:rPr>
                <w:rFonts w:hint="eastAsia" w:ascii="宋体" w:hAnsi="宋体" w:cs="宋体"/>
                <w:color w:val="auto"/>
                <w:sz w:val="24"/>
                <w:lang w:bidi="ar"/>
              </w:rPr>
              <w:t>，项目废气排放状况见下表。</w:t>
            </w:r>
          </w:p>
          <w:p>
            <w:pPr>
              <w:adjustRightInd w:val="0"/>
              <w:snapToGrid w:val="0"/>
              <w:jc w:val="center"/>
              <w:rPr>
                <w:b/>
                <w:bCs/>
                <w:color w:val="auto"/>
                <w:sz w:val="24"/>
              </w:rPr>
            </w:pPr>
            <w:r>
              <w:rPr>
                <w:rFonts w:hint="eastAsia"/>
                <w:b/>
                <w:bCs/>
                <w:color w:val="auto"/>
                <w:sz w:val="24"/>
              </w:rPr>
              <w:t>表4-</w:t>
            </w:r>
            <w:r>
              <w:rPr>
                <w:rFonts w:hint="eastAsia"/>
                <w:b/>
                <w:bCs/>
                <w:color w:val="auto"/>
                <w:sz w:val="24"/>
                <w:lang w:val="en-US" w:eastAsia="zh-CN"/>
              </w:rPr>
              <w:t>8</w:t>
            </w:r>
            <w:r>
              <w:rPr>
                <w:rFonts w:hint="eastAsia"/>
                <w:b/>
                <w:bCs/>
                <w:color w:val="auto"/>
                <w:sz w:val="24"/>
              </w:rPr>
              <w:t xml:space="preserve">  非正常情况下项目废气排放状况</w:t>
            </w:r>
          </w:p>
          <w:tbl>
            <w:tblPr>
              <w:tblStyle w:val="28"/>
              <w:tblW w:w="88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26"/>
              <w:gridCol w:w="1461"/>
              <w:gridCol w:w="1289"/>
              <w:gridCol w:w="996"/>
              <w:gridCol w:w="996"/>
              <w:gridCol w:w="996"/>
              <w:gridCol w:w="997"/>
              <w:gridCol w:w="9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Merge w:val="restart"/>
                  <w:vAlign w:val="center"/>
                </w:tcPr>
                <w:p>
                  <w:pPr>
                    <w:widowControl/>
                    <w:adjustRightInd w:val="0"/>
                    <w:snapToGrid w:val="0"/>
                    <w:jc w:val="center"/>
                    <w:rPr>
                      <w:b/>
                      <w:bCs/>
                      <w:color w:val="auto"/>
                      <w:kern w:val="0"/>
                      <w:szCs w:val="21"/>
                    </w:rPr>
                  </w:pPr>
                  <w:r>
                    <w:rPr>
                      <w:b/>
                      <w:bCs/>
                      <w:color w:val="auto"/>
                      <w:kern w:val="0"/>
                      <w:szCs w:val="21"/>
                    </w:rPr>
                    <w:t>污染源编号</w:t>
                  </w:r>
                </w:p>
              </w:tc>
              <w:tc>
                <w:tcPr>
                  <w:tcW w:w="1461" w:type="dxa"/>
                  <w:vMerge w:val="restart"/>
                  <w:vAlign w:val="center"/>
                </w:tcPr>
                <w:p>
                  <w:pPr>
                    <w:widowControl/>
                    <w:adjustRightInd w:val="0"/>
                    <w:snapToGrid w:val="0"/>
                    <w:jc w:val="center"/>
                    <w:rPr>
                      <w:b/>
                      <w:bCs/>
                      <w:color w:val="auto"/>
                      <w:kern w:val="0"/>
                      <w:szCs w:val="21"/>
                    </w:rPr>
                  </w:pPr>
                  <w:r>
                    <w:rPr>
                      <w:b/>
                      <w:bCs/>
                      <w:color w:val="auto"/>
                      <w:kern w:val="0"/>
                      <w:szCs w:val="21"/>
                    </w:rPr>
                    <w:t>处理设施</w:t>
                  </w:r>
                </w:p>
              </w:tc>
              <w:tc>
                <w:tcPr>
                  <w:tcW w:w="1289" w:type="dxa"/>
                  <w:vMerge w:val="restart"/>
                  <w:vAlign w:val="center"/>
                </w:tcPr>
                <w:p>
                  <w:pPr>
                    <w:widowControl/>
                    <w:adjustRightInd w:val="0"/>
                    <w:snapToGrid w:val="0"/>
                    <w:jc w:val="center"/>
                    <w:rPr>
                      <w:b/>
                      <w:bCs/>
                      <w:color w:val="auto"/>
                      <w:kern w:val="0"/>
                      <w:szCs w:val="21"/>
                    </w:rPr>
                  </w:pPr>
                  <w:r>
                    <w:rPr>
                      <w:b/>
                      <w:bCs/>
                      <w:color w:val="auto"/>
                      <w:kern w:val="0"/>
                      <w:szCs w:val="21"/>
                    </w:rPr>
                    <w:t>污染物</w:t>
                  </w:r>
                </w:p>
              </w:tc>
              <w:tc>
                <w:tcPr>
                  <w:tcW w:w="4983" w:type="dxa"/>
                  <w:gridSpan w:val="5"/>
                  <w:vAlign w:val="center"/>
                </w:tcPr>
                <w:p>
                  <w:pPr>
                    <w:widowControl/>
                    <w:adjustRightInd w:val="0"/>
                    <w:snapToGrid w:val="0"/>
                    <w:jc w:val="center"/>
                    <w:rPr>
                      <w:b/>
                      <w:bCs/>
                      <w:color w:val="auto"/>
                      <w:kern w:val="0"/>
                      <w:szCs w:val="21"/>
                    </w:rPr>
                  </w:pPr>
                  <w:r>
                    <w:rPr>
                      <w:b/>
                      <w:bCs/>
                      <w:color w:val="auto"/>
                      <w:szCs w:val="21"/>
                    </w:rPr>
                    <w:t>非正常情况废气排放状况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Merge w:val="continue"/>
                  <w:vAlign w:val="center"/>
                </w:tcPr>
                <w:p>
                  <w:pPr>
                    <w:widowControl/>
                    <w:adjustRightInd w:val="0"/>
                    <w:snapToGrid w:val="0"/>
                    <w:jc w:val="center"/>
                    <w:rPr>
                      <w:color w:val="auto"/>
                      <w:szCs w:val="21"/>
                    </w:rPr>
                  </w:pPr>
                </w:p>
              </w:tc>
              <w:tc>
                <w:tcPr>
                  <w:tcW w:w="1461" w:type="dxa"/>
                  <w:vMerge w:val="continue"/>
                  <w:vAlign w:val="center"/>
                </w:tcPr>
                <w:p>
                  <w:pPr>
                    <w:widowControl/>
                    <w:adjustRightInd w:val="0"/>
                    <w:snapToGrid w:val="0"/>
                    <w:jc w:val="center"/>
                    <w:rPr>
                      <w:color w:val="auto"/>
                      <w:szCs w:val="21"/>
                    </w:rPr>
                  </w:pPr>
                </w:p>
              </w:tc>
              <w:tc>
                <w:tcPr>
                  <w:tcW w:w="1289" w:type="dxa"/>
                  <w:vMerge w:val="continue"/>
                  <w:vAlign w:val="center"/>
                </w:tcPr>
                <w:p>
                  <w:pPr>
                    <w:widowControl/>
                    <w:adjustRightInd w:val="0"/>
                    <w:snapToGrid w:val="0"/>
                    <w:jc w:val="center"/>
                    <w:rPr>
                      <w:color w:val="auto"/>
                      <w:szCs w:val="21"/>
                    </w:rPr>
                  </w:pPr>
                </w:p>
              </w:tc>
              <w:tc>
                <w:tcPr>
                  <w:tcW w:w="996" w:type="dxa"/>
                  <w:vAlign w:val="center"/>
                </w:tcPr>
                <w:p>
                  <w:pPr>
                    <w:widowControl/>
                    <w:adjustRightInd w:val="0"/>
                    <w:snapToGrid w:val="0"/>
                    <w:jc w:val="center"/>
                    <w:rPr>
                      <w:b/>
                      <w:bCs/>
                      <w:color w:val="auto"/>
                      <w:kern w:val="0"/>
                      <w:szCs w:val="21"/>
                    </w:rPr>
                  </w:pPr>
                  <w:r>
                    <w:rPr>
                      <w:b/>
                      <w:bCs/>
                      <w:color w:val="auto"/>
                      <w:kern w:val="0"/>
                      <w:szCs w:val="21"/>
                    </w:rPr>
                    <w:t>排放浓度（mg/m³）</w:t>
                  </w:r>
                </w:p>
              </w:tc>
              <w:tc>
                <w:tcPr>
                  <w:tcW w:w="996" w:type="dxa"/>
                  <w:vAlign w:val="center"/>
                </w:tcPr>
                <w:p>
                  <w:pPr>
                    <w:widowControl/>
                    <w:adjustRightInd w:val="0"/>
                    <w:snapToGrid w:val="0"/>
                    <w:jc w:val="center"/>
                    <w:rPr>
                      <w:b/>
                      <w:bCs/>
                      <w:color w:val="auto"/>
                      <w:kern w:val="0"/>
                      <w:szCs w:val="21"/>
                    </w:rPr>
                  </w:pPr>
                  <w:r>
                    <w:rPr>
                      <w:b/>
                      <w:bCs/>
                      <w:color w:val="auto"/>
                      <w:kern w:val="0"/>
                      <w:szCs w:val="21"/>
                    </w:rPr>
                    <w:t>排放速率（kg/h）</w:t>
                  </w:r>
                </w:p>
              </w:tc>
              <w:tc>
                <w:tcPr>
                  <w:tcW w:w="996" w:type="dxa"/>
                  <w:vAlign w:val="center"/>
                </w:tcPr>
                <w:p>
                  <w:pPr>
                    <w:widowControl/>
                    <w:adjustRightInd w:val="0"/>
                    <w:snapToGrid w:val="0"/>
                    <w:jc w:val="center"/>
                    <w:rPr>
                      <w:b/>
                      <w:bCs/>
                      <w:color w:val="auto"/>
                      <w:kern w:val="0"/>
                      <w:szCs w:val="21"/>
                    </w:rPr>
                  </w:pPr>
                  <w:r>
                    <w:rPr>
                      <w:b/>
                      <w:bCs/>
                      <w:color w:val="auto"/>
                      <w:kern w:val="0"/>
                      <w:szCs w:val="21"/>
                    </w:rPr>
                    <w:t>排放频次</w:t>
                  </w:r>
                </w:p>
              </w:tc>
              <w:tc>
                <w:tcPr>
                  <w:tcW w:w="997" w:type="dxa"/>
                  <w:vAlign w:val="center"/>
                </w:tcPr>
                <w:p>
                  <w:pPr>
                    <w:widowControl/>
                    <w:adjustRightInd w:val="0"/>
                    <w:snapToGrid w:val="0"/>
                    <w:jc w:val="center"/>
                    <w:rPr>
                      <w:b/>
                      <w:bCs/>
                      <w:color w:val="auto"/>
                      <w:kern w:val="0"/>
                      <w:szCs w:val="21"/>
                    </w:rPr>
                  </w:pPr>
                  <w:r>
                    <w:rPr>
                      <w:b/>
                      <w:bCs/>
                      <w:color w:val="auto"/>
                      <w:kern w:val="0"/>
                      <w:szCs w:val="21"/>
                    </w:rPr>
                    <w:t>持续时间（h）</w:t>
                  </w:r>
                </w:p>
              </w:tc>
              <w:tc>
                <w:tcPr>
                  <w:tcW w:w="998" w:type="dxa"/>
                  <w:vAlign w:val="center"/>
                </w:tcPr>
                <w:p>
                  <w:pPr>
                    <w:widowControl/>
                    <w:adjustRightInd w:val="0"/>
                    <w:snapToGrid w:val="0"/>
                    <w:jc w:val="center"/>
                    <w:rPr>
                      <w:b/>
                      <w:bCs/>
                      <w:color w:val="auto"/>
                      <w:kern w:val="0"/>
                      <w:szCs w:val="21"/>
                    </w:rPr>
                  </w:pPr>
                  <w:r>
                    <w:rPr>
                      <w:b/>
                      <w:bCs/>
                      <w:color w:val="auto"/>
                      <w:kern w:val="0"/>
                      <w:szCs w:val="21"/>
                    </w:rPr>
                    <w:t>排放量（kg/a）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Align w:val="center"/>
                </w:tcPr>
                <w:p>
                  <w:pPr>
                    <w:topLinePunct/>
                    <w:jc w:val="center"/>
                    <w:rPr>
                      <w:color w:val="auto"/>
                      <w:szCs w:val="21"/>
                    </w:rPr>
                  </w:pPr>
                  <w:r>
                    <w:rPr>
                      <w:color w:val="auto"/>
                      <w:szCs w:val="21"/>
                    </w:rPr>
                    <w:t>DA001</w:t>
                  </w:r>
                </w:p>
              </w:tc>
              <w:tc>
                <w:tcPr>
                  <w:tcW w:w="1461" w:type="dxa"/>
                  <w:vAlign w:val="center"/>
                </w:tcPr>
                <w:p>
                  <w:pPr>
                    <w:topLinePunct/>
                    <w:jc w:val="center"/>
                    <w:rPr>
                      <w:color w:val="auto"/>
                      <w:szCs w:val="21"/>
                    </w:rPr>
                  </w:pPr>
                  <w:r>
                    <w:rPr>
                      <w:color w:val="auto"/>
                      <w:szCs w:val="21"/>
                    </w:rPr>
                    <w:t>二级活性炭吸附装置</w:t>
                  </w:r>
                </w:p>
              </w:tc>
              <w:tc>
                <w:tcPr>
                  <w:tcW w:w="1289" w:type="dxa"/>
                  <w:vAlign w:val="center"/>
                </w:tcPr>
                <w:p>
                  <w:pPr>
                    <w:jc w:val="center"/>
                    <w:rPr>
                      <w:color w:val="auto"/>
                      <w:szCs w:val="21"/>
                    </w:rPr>
                  </w:pPr>
                  <w:r>
                    <w:rPr>
                      <w:color w:val="auto"/>
                      <w:szCs w:val="21"/>
                    </w:rPr>
                    <w:t>VOCs（非甲烷总烃）</w:t>
                  </w:r>
                </w:p>
              </w:tc>
              <w:tc>
                <w:tcPr>
                  <w:tcW w:w="996" w:type="dxa"/>
                  <w:vAlign w:val="center"/>
                </w:tcPr>
                <w:p>
                  <w:pPr>
                    <w:jc w:val="center"/>
                    <w:rPr>
                      <w:rFonts w:hint="default" w:eastAsia="宋体"/>
                      <w:color w:val="auto"/>
                      <w:szCs w:val="21"/>
                      <w:lang w:val="en-US" w:eastAsia="zh-CN"/>
                    </w:rPr>
                  </w:pPr>
                  <w:r>
                    <w:rPr>
                      <w:rFonts w:hint="eastAsia"/>
                      <w:color w:val="auto"/>
                      <w:kern w:val="0"/>
                      <w:szCs w:val="21"/>
                      <w:lang w:val="en-US" w:eastAsia="zh-CN" w:bidi="ar"/>
                    </w:rPr>
                    <w:t>7.7990</w:t>
                  </w:r>
                </w:p>
              </w:tc>
              <w:tc>
                <w:tcPr>
                  <w:tcW w:w="996" w:type="dxa"/>
                  <w:vAlign w:val="center"/>
                </w:tcPr>
                <w:p>
                  <w:pPr>
                    <w:widowControl/>
                    <w:jc w:val="center"/>
                    <w:textAlignment w:val="center"/>
                    <w:rPr>
                      <w:rFonts w:hint="eastAsia" w:eastAsia="宋体"/>
                      <w:color w:val="auto"/>
                      <w:szCs w:val="21"/>
                      <w:lang w:val="en-US" w:eastAsia="zh-CN"/>
                    </w:rPr>
                  </w:pPr>
                  <w:r>
                    <w:rPr>
                      <w:rFonts w:hint="eastAsia"/>
                      <w:color w:val="auto"/>
                      <w:kern w:val="0"/>
                      <w:szCs w:val="21"/>
                      <w:lang w:eastAsia="zh-CN" w:bidi="ar"/>
                    </w:rPr>
                    <w:t>0.1638</w:t>
                  </w:r>
                </w:p>
              </w:tc>
              <w:tc>
                <w:tcPr>
                  <w:tcW w:w="996" w:type="dxa"/>
                  <w:vAlign w:val="center"/>
                </w:tcPr>
                <w:p>
                  <w:pPr>
                    <w:adjustRightInd w:val="0"/>
                    <w:snapToGrid w:val="0"/>
                    <w:jc w:val="center"/>
                    <w:rPr>
                      <w:color w:val="auto"/>
                      <w:szCs w:val="21"/>
                    </w:rPr>
                  </w:pPr>
                  <w:r>
                    <w:rPr>
                      <w:color w:val="auto"/>
                      <w:szCs w:val="21"/>
                    </w:rPr>
                    <w:t>1次/a</w:t>
                  </w:r>
                </w:p>
              </w:tc>
              <w:tc>
                <w:tcPr>
                  <w:tcW w:w="997" w:type="dxa"/>
                  <w:vAlign w:val="center"/>
                </w:tcPr>
                <w:p>
                  <w:pPr>
                    <w:adjustRightInd w:val="0"/>
                    <w:snapToGrid w:val="0"/>
                    <w:jc w:val="center"/>
                    <w:rPr>
                      <w:color w:val="auto"/>
                      <w:szCs w:val="21"/>
                    </w:rPr>
                  </w:pPr>
                  <w:r>
                    <w:rPr>
                      <w:color w:val="auto"/>
                      <w:szCs w:val="21"/>
                    </w:rPr>
                    <w:t>4</w:t>
                  </w:r>
                </w:p>
              </w:tc>
              <w:tc>
                <w:tcPr>
                  <w:tcW w:w="998"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0.6552</w:t>
                  </w:r>
                </w:p>
              </w:tc>
            </w:tr>
          </w:tbl>
          <w:p>
            <w:pPr>
              <w:adjustRightInd w:val="0"/>
              <w:snapToGrid w:val="0"/>
              <w:spacing w:before="120" w:beforeLines="50" w:line="324" w:lineRule="auto"/>
              <w:ind w:firstLine="480" w:firstLineChars="200"/>
              <w:rPr>
                <w:rFonts w:ascii="宋体" w:hAnsi="宋体" w:cs="宋体"/>
                <w:color w:val="auto"/>
                <w:sz w:val="24"/>
                <w:lang w:bidi="ar"/>
              </w:rPr>
            </w:pPr>
            <w:r>
              <w:rPr>
                <w:rFonts w:hint="eastAsia" w:ascii="宋体" w:hAnsi="宋体" w:cs="宋体"/>
                <w:color w:val="auto"/>
                <w:sz w:val="24"/>
                <w:lang w:bidi="ar"/>
              </w:rPr>
              <w:t>为防止生产废气非正常工况排放，企业必须加强废气处理设施的管理，定期检修，确保废气处理设施正常运行，在废气处理设备停止运行或出现故障时，产生废气的各工序也必须停止生产。为杜绝废气非正常排放，应采取以下措施：</w:t>
            </w:r>
          </w:p>
          <w:p>
            <w:pPr>
              <w:adjustRightInd w:val="0"/>
              <w:snapToGrid w:val="0"/>
              <w:spacing w:line="324" w:lineRule="auto"/>
              <w:ind w:firstLine="480" w:firstLineChars="200"/>
              <w:rPr>
                <w:rFonts w:ascii="宋体" w:hAnsi="宋体" w:cs="宋体"/>
                <w:color w:val="auto"/>
                <w:sz w:val="24"/>
                <w:lang w:bidi="ar"/>
              </w:rPr>
            </w:pPr>
            <w:r>
              <w:rPr>
                <w:rFonts w:hint="eastAsia" w:ascii="宋体" w:hAnsi="宋体" w:cs="宋体"/>
                <w:color w:val="auto"/>
                <w:sz w:val="24"/>
                <w:lang w:bidi="ar"/>
              </w:rPr>
              <w:t>①安排专人负责环保设备的日常维护和管理，每隔固定时间检查、汇报情况，及时发现废气处理设备的隐患，确保废气处理系统正常运行；</w:t>
            </w:r>
          </w:p>
          <w:p>
            <w:pPr>
              <w:adjustRightInd w:val="0"/>
              <w:snapToGrid w:val="0"/>
              <w:spacing w:line="324" w:lineRule="auto"/>
              <w:ind w:firstLine="480" w:firstLineChars="200"/>
              <w:rPr>
                <w:rFonts w:ascii="宋体" w:hAnsi="宋体" w:cs="宋体"/>
                <w:color w:val="auto"/>
                <w:sz w:val="24"/>
                <w:lang w:bidi="ar"/>
              </w:rPr>
            </w:pPr>
            <w:r>
              <w:rPr>
                <w:rFonts w:hint="eastAsia" w:ascii="宋体" w:hAnsi="宋体" w:cs="宋体"/>
                <w:color w:val="auto"/>
                <w:sz w:val="24"/>
                <w:lang w:bidi="ar"/>
              </w:rPr>
              <w:t>②建立健全环保管理机构，对环保管理人员和技术人员进行岗位培训，委托具有专业资质的环境检测单位对项目排放的各类污染物进行定期检测；</w:t>
            </w:r>
          </w:p>
          <w:p>
            <w:pPr>
              <w:adjustRightInd w:val="0"/>
              <w:snapToGrid w:val="0"/>
              <w:spacing w:line="324" w:lineRule="auto"/>
              <w:ind w:firstLine="480" w:firstLineChars="200"/>
              <w:rPr>
                <w:rFonts w:ascii="宋体" w:hAnsi="宋体" w:cs="宋体"/>
                <w:color w:val="auto"/>
                <w:sz w:val="24"/>
                <w:lang w:bidi="ar"/>
              </w:rPr>
            </w:pPr>
            <w:r>
              <w:rPr>
                <w:rFonts w:hint="eastAsia" w:ascii="宋体" w:hAnsi="宋体" w:cs="宋体"/>
                <w:color w:val="auto"/>
                <w:sz w:val="24"/>
                <w:lang w:bidi="ar"/>
              </w:rPr>
              <w:t>③定期维护、检修废气净化装置，以保持废气处理装置的净化能力和净化容量。</w:t>
            </w:r>
          </w:p>
          <w:p>
            <w:pPr>
              <w:pStyle w:val="10"/>
              <w:adjustRightInd w:val="0"/>
              <w:snapToGrid w:val="0"/>
              <w:spacing w:after="0" w:line="324" w:lineRule="auto"/>
              <w:ind w:left="0" w:leftChars="0" w:firstLine="482"/>
              <w:rPr>
                <w:b/>
                <w:bCs/>
                <w:color w:val="auto"/>
                <w:szCs w:val="24"/>
              </w:rPr>
            </w:pPr>
            <w:r>
              <w:rPr>
                <w:rFonts w:hint="eastAsia"/>
                <w:b/>
                <w:bCs/>
                <w:color w:val="auto"/>
                <w:szCs w:val="24"/>
              </w:rPr>
              <w:t>4</w:t>
            </w:r>
            <w:r>
              <w:rPr>
                <w:b/>
                <w:bCs/>
                <w:color w:val="auto"/>
                <w:szCs w:val="24"/>
              </w:rPr>
              <w:t>、废气监测计划</w:t>
            </w:r>
          </w:p>
          <w:p>
            <w:pPr>
              <w:spacing w:line="324" w:lineRule="auto"/>
              <w:ind w:firstLine="480" w:firstLineChars="200"/>
              <w:outlineLvl w:val="2"/>
              <w:rPr>
                <w:bCs/>
                <w:color w:val="auto"/>
                <w:sz w:val="24"/>
              </w:rPr>
            </w:pPr>
            <w:r>
              <w:rPr>
                <w:rFonts w:hint="eastAsia"/>
                <w:bCs/>
                <w:color w:val="auto"/>
                <w:sz w:val="24"/>
                <w:szCs w:val="20"/>
              </w:rPr>
              <w:t>本项目</w:t>
            </w:r>
            <w:r>
              <w:rPr>
                <w:bCs/>
                <w:color w:val="auto"/>
                <w:sz w:val="24"/>
                <w:szCs w:val="20"/>
              </w:rPr>
              <w:t>属于登记管理，无需申领排污许可证，故亦无需开展自行监测，鉴于企业运营期有污染物外排，建议企业运营期开展污染物排放监测</w:t>
            </w:r>
            <w:r>
              <w:rPr>
                <w:rFonts w:hint="eastAsia"/>
                <w:bCs/>
                <w:color w:val="auto"/>
                <w:sz w:val="24"/>
                <w:szCs w:val="20"/>
              </w:rPr>
              <w:t>。</w:t>
            </w:r>
            <w:r>
              <w:rPr>
                <w:bCs/>
                <w:color w:val="auto"/>
                <w:sz w:val="24"/>
                <w:szCs w:val="20"/>
              </w:rPr>
              <w:t>根据</w:t>
            </w:r>
            <w:r>
              <w:rPr>
                <w:rFonts w:hint="eastAsia"/>
                <w:bCs/>
                <w:color w:val="auto"/>
                <w:sz w:val="24"/>
                <w:szCs w:val="20"/>
              </w:rPr>
              <w:t>《排污单位自行监测技术指南 总则》（HJ819-2017）、《排污单位自行监测技术指南 橡胶和塑料制品》（HJ 1207-2021）</w:t>
            </w:r>
            <w:r>
              <w:rPr>
                <w:bCs/>
                <w:color w:val="auto"/>
                <w:sz w:val="24"/>
                <w:szCs w:val="20"/>
              </w:rPr>
              <w:t>及其他相关要求，废气监测计划见下表。</w:t>
            </w:r>
          </w:p>
          <w:p>
            <w:pPr>
              <w:jc w:val="center"/>
              <w:rPr>
                <w:b/>
                <w:color w:val="auto"/>
                <w:sz w:val="24"/>
              </w:rPr>
            </w:pPr>
            <w:r>
              <w:rPr>
                <w:b/>
                <w:color w:val="auto"/>
                <w:sz w:val="24"/>
              </w:rPr>
              <w:t>表4-</w:t>
            </w:r>
            <w:r>
              <w:rPr>
                <w:rFonts w:hint="eastAsia"/>
                <w:b/>
                <w:color w:val="auto"/>
                <w:sz w:val="24"/>
                <w:lang w:val="en-US" w:eastAsia="zh-CN"/>
              </w:rPr>
              <w:t>9</w:t>
            </w:r>
            <w:r>
              <w:rPr>
                <w:b/>
                <w:color w:val="auto"/>
                <w:sz w:val="24"/>
              </w:rPr>
              <w:t xml:space="preserve">  环境监测计划</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64"/>
              <w:gridCol w:w="1696"/>
              <w:gridCol w:w="3952"/>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tcBorders>
                    <w:tl2br w:val="nil"/>
                    <w:tr2bl w:val="nil"/>
                  </w:tcBorders>
                  <w:vAlign w:val="center"/>
                </w:tcPr>
                <w:p>
                  <w:pPr>
                    <w:pStyle w:val="61"/>
                    <w:widowControl w:val="0"/>
                    <w:pBdr>
                      <w:left w:val="none" w:color="auto" w:sz="0" w:space="0"/>
                      <w:bottom w:val="none" w:color="auto" w:sz="0" w:space="0"/>
                      <w:right w:val="none" w:color="auto" w:sz="0" w:space="0"/>
                    </w:pBdr>
                    <w:spacing w:before="0" w:beforeAutospacing="0" w:after="0" w:afterAutospacing="0"/>
                    <w:rPr>
                      <w:color w:val="auto"/>
                    </w:rPr>
                  </w:pPr>
                  <w:r>
                    <w:rPr>
                      <w:b/>
                      <w:bCs/>
                      <w:color w:val="auto"/>
                      <w:kern w:val="2"/>
                    </w:rPr>
                    <w:t>类别</w:t>
                  </w:r>
                </w:p>
              </w:tc>
              <w:tc>
                <w:tcPr>
                  <w:tcW w:w="1513" w:type="pct"/>
                  <w:gridSpan w:val="2"/>
                  <w:tcBorders>
                    <w:tl2br w:val="nil"/>
                    <w:tr2bl w:val="nil"/>
                  </w:tcBorders>
                  <w:vAlign w:val="center"/>
                </w:tcPr>
                <w:p>
                  <w:pPr>
                    <w:jc w:val="center"/>
                    <w:rPr>
                      <w:color w:val="auto"/>
                      <w:szCs w:val="21"/>
                    </w:rPr>
                  </w:pPr>
                  <w:r>
                    <w:rPr>
                      <w:b/>
                      <w:bCs/>
                      <w:color w:val="auto"/>
                      <w:szCs w:val="21"/>
                    </w:rPr>
                    <w:t>监测地点</w:t>
                  </w:r>
                </w:p>
              </w:tc>
              <w:tc>
                <w:tcPr>
                  <w:tcW w:w="2248" w:type="pct"/>
                  <w:tcBorders>
                    <w:tl2br w:val="nil"/>
                    <w:tr2bl w:val="nil"/>
                  </w:tcBorders>
                  <w:vAlign w:val="center"/>
                </w:tcPr>
                <w:p>
                  <w:pPr>
                    <w:jc w:val="center"/>
                    <w:rPr>
                      <w:color w:val="auto"/>
                      <w:szCs w:val="21"/>
                    </w:rPr>
                  </w:pPr>
                  <w:r>
                    <w:rPr>
                      <w:b/>
                      <w:bCs/>
                      <w:color w:val="auto"/>
                      <w:szCs w:val="21"/>
                    </w:rPr>
                    <w:t>监测项目</w:t>
                  </w:r>
                </w:p>
              </w:tc>
              <w:tc>
                <w:tcPr>
                  <w:tcW w:w="735" w:type="pct"/>
                  <w:tcBorders>
                    <w:tl2br w:val="nil"/>
                    <w:tr2bl w:val="nil"/>
                  </w:tcBorders>
                  <w:vAlign w:val="center"/>
                </w:tcPr>
                <w:p>
                  <w:pPr>
                    <w:jc w:val="center"/>
                    <w:rPr>
                      <w:color w:val="auto"/>
                      <w:szCs w:val="21"/>
                    </w:rPr>
                  </w:pPr>
                  <w:r>
                    <w:rPr>
                      <w:b/>
                      <w:bCs/>
                      <w:color w:val="auto"/>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restart"/>
                  <w:tcBorders>
                    <w:tl2br w:val="nil"/>
                    <w:tr2bl w:val="nil"/>
                  </w:tcBorders>
                  <w:vAlign w:val="center"/>
                </w:tcPr>
                <w:p>
                  <w:pPr>
                    <w:jc w:val="center"/>
                    <w:rPr>
                      <w:bCs/>
                      <w:color w:val="auto"/>
                      <w:szCs w:val="21"/>
                    </w:rPr>
                  </w:pPr>
                  <w:r>
                    <w:rPr>
                      <w:bCs/>
                      <w:color w:val="auto"/>
                      <w:szCs w:val="21"/>
                    </w:rPr>
                    <w:t>废气</w:t>
                  </w:r>
                </w:p>
              </w:tc>
              <w:tc>
                <w:tcPr>
                  <w:tcW w:w="548" w:type="pct"/>
                  <w:tcBorders>
                    <w:tl2br w:val="nil"/>
                    <w:tr2bl w:val="nil"/>
                  </w:tcBorders>
                  <w:vAlign w:val="center"/>
                </w:tcPr>
                <w:p>
                  <w:pPr>
                    <w:jc w:val="center"/>
                    <w:rPr>
                      <w:bCs/>
                      <w:color w:val="auto"/>
                      <w:szCs w:val="21"/>
                    </w:rPr>
                  </w:pPr>
                  <w:r>
                    <w:rPr>
                      <w:bCs/>
                      <w:color w:val="auto"/>
                      <w:szCs w:val="21"/>
                    </w:rPr>
                    <w:t>有组织</w:t>
                  </w:r>
                </w:p>
              </w:tc>
              <w:tc>
                <w:tcPr>
                  <w:tcW w:w="965" w:type="pct"/>
                  <w:tcBorders>
                    <w:tl2br w:val="nil"/>
                    <w:tr2bl w:val="nil"/>
                  </w:tcBorders>
                  <w:vAlign w:val="center"/>
                </w:tcPr>
                <w:p>
                  <w:pPr>
                    <w:topLinePunct/>
                    <w:jc w:val="center"/>
                    <w:rPr>
                      <w:color w:val="auto"/>
                      <w:szCs w:val="20"/>
                    </w:rPr>
                  </w:pPr>
                  <w:r>
                    <w:rPr>
                      <w:rFonts w:hint="eastAsia"/>
                      <w:bCs/>
                      <w:color w:val="auto"/>
                      <w:szCs w:val="21"/>
                    </w:rPr>
                    <w:t>DA001排气筒</w:t>
                  </w:r>
                </w:p>
              </w:tc>
              <w:tc>
                <w:tcPr>
                  <w:tcW w:w="2248" w:type="pct"/>
                  <w:tcBorders>
                    <w:tl2br w:val="nil"/>
                    <w:tr2bl w:val="nil"/>
                  </w:tcBorders>
                  <w:vAlign w:val="center"/>
                </w:tcPr>
                <w:p>
                  <w:pPr>
                    <w:jc w:val="center"/>
                    <w:rPr>
                      <w:color w:val="auto"/>
                      <w:szCs w:val="21"/>
                    </w:rPr>
                  </w:pPr>
                  <w:r>
                    <w:rPr>
                      <w:rFonts w:hint="eastAsia"/>
                      <w:color w:val="auto"/>
                      <w:szCs w:val="21"/>
                    </w:rPr>
                    <w:t>VOCs（非甲烷总烃）</w:t>
                  </w:r>
                </w:p>
              </w:tc>
              <w:tc>
                <w:tcPr>
                  <w:tcW w:w="735" w:type="pct"/>
                  <w:tcBorders>
                    <w:tl2br w:val="nil"/>
                    <w:tr2bl w:val="nil"/>
                  </w:tcBorders>
                  <w:vAlign w:val="center"/>
                </w:tcPr>
                <w:p>
                  <w:pPr>
                    <w:jc w:val="center"/>
                    <w:rPr>
                      <w:bCs/>
                      <w:color w:val="auto"/>
                      <w:szCs w:val="21"/>
                    </w:rPr>
                  </w:pPr>
                  <w:r>
                    <w:rPr>
                      <w:bCs/>
                      <w:color w:val="auto"/>
                      <w:szCs w:val="21"/>
                    </w:rPr>
                    <w:t>1次/</w:t>
                  </w:r>
                  <w:r>
                    <w:rPr>
                      <w:rFonts w:hint="eastAsia"/>
                      <w:bCs/>
                      <w:color w:val="auto"/>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continue"/>
                  <w:tcBorders>
                    <w:tl2br w:val="nil"/>
                    <w:tr2bl w:val="nil"/>
                  </w:tcBorders>
                  <w:vAlign w:val="center"/>
                </w:tcPr>
                <w:p>
                  <w:pPr>
                    <w:jc w:val="center"/>
                    <w:rPr>
                      <w:bCs/>
                      <w:color w:val="auto"/>
                      <w:szCs w:val="21"/>
                    </w:rPr>
                  </w:pPr>
                </w:p>
              </w:tc>
              <w:tc>
                <w:tcPr>
                  <w:tcW w:w="548" w:type="pct"/>
                  <w:vMerge w:val="restart"/>
                  <w:tcBorders>
                    <w:tl2br w:val="nil"/>
                    <w:tr2bl w:val="nil"/>
                  </w:tcBorders>
                  <w:vAlign w:val="center"/>
                </w:tcPr>
                <w:p>
                  <w:pPr>
                    <w:jc w:val="center"/>
                    <w:rPr>
                      <w:bCs/>
                      <w:color w:val="auto"/>
                      <w:szCs w:val="21"/>
                    </w:rPr>
                  </w:pPr>
                  <w:r>
                    <w:rPr>
                      <w:bCs/>
                      <w:color w:val="auto"/>
                      <w:szCs w:val="21"/>
                    </w:rPr>
                    <w:t>无组织</w:t>
                  </w:r>
                </w:p>
              </w:tc>
              <w:tc>
                <w:tcPr>
                  <w:tcW w:w="965" w:type="pct"/>
                  <w:tcBorders>
                    <w:tl2br w:val="nil"/>
                    <w:tr2bl w:val="nil"/>
                  </w:tcBorders>
                  <w:vAlign w:val="center"/>
                </w:tcPr>
                <w:p>
                  <w:pPr>
                    <w:jc w:val="center"/>
                    <w:rPr>
                      <w:rFonts w:hint="eastAsia" w:eastAsia="宋体"/>
                      <w:bCs/>
                      <w:color w:val="auto"/>
                      <w:szCs w:val="21"/>
                      <w:lang w:eastAsia="zh-CN"/>
                    </w:rPr>
                  </w:pPr>
                  <w:r>
                    <w:rPr>
                      <w:rFonts w:hint="eastAsia"/>
                      <w:bCs/>
                      <w:color w:val="auto"/>
                      <w:szCs w:val="21"/>
                      <w:lang w:eastAsia="zh-CN"/>
                    </w:rPr>
                    <w:t>厂界</w:t>
                  </w:r>
                </w:p>
              </w:tc>
              <w:tc>
                <w:tcPr>
                  <w:tcW w:w="2248" w:type="pct"/>
                  <w:tcBorders>
                    <w:tl2br w:val="nil"/>
                    <w:tr2bl w:val="nil"/>
                  </w:tcBorders>
                  <w:vAlign w:val="center"/>
                </w:tcPr>
                <w:p>
                  <w:pPr>
                    <w:jc w:val="center"/>
                    <w:rPr>
                      <w:bCs/>
                      <w:color w:val="auto"/>
                      <w:szCs w:val="21"/>
                    </w:rPr>
                  </w:pPr>
                  <w:r>
                    <w:rPr>
                      <w:rFonts w:hint="eastAsia"/>
                      <w:bCs/>
                      <w:color w:val="auto"/>
                      <w:szCs w:val="21"/>
                    </w:rPr>
                    <w:t>颗粒物、</w:t>
                  </w:r>
                  <w:r>
                    <w:rPr>
                      <w:rFonts w:hint="eastAsia"/>
                      <w:color w:val="auto"/>
                      <w:szCs w:val="21"/>
                    </w:rPr>
                    <w:t>VOCs（非甲烷总烃）</w:t>
                  </w:r>
                </w:p>
              </w:tc>
              <w:tc>
                <w:tcPr>
                  <w:tcW w:w="735" w:type="pct"/>
                  <w:tcBorders>
                    <w:tl2br w:val="nil"/>
                    <w:tr2bl w:val="nil"/>
                  </w:tcBorders>
                  <w:vAlign w:val="center"/>
                </w:tcPr>
                <w:p>
                  <w:pPr>
                    <w:jc w:val="center"/>
                    <w:rPr>
                      <w:bCs/>
                      <w:color w:val="auto"/>
                      <w:szCs w:val="21"/>
                    </w:rPr>
                  </w:pPr>
                  <w:r>
                    <w:rPr>
                      <w:bCs/>
                      <w:color w:val="auto"/>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2" w:type="pct"/>
                  <w:vMerge w:val="continue"/>
                  <w:tcBorders>
                    <w:tl2br w:val="nil"/>
                    <w:tr2bl w:val="nil"/>
                  </w:tcBorders>
                  <w:vAlign w:val="center"/>
                </w:tcPr>
                <w:p>
                  <w:pPr>
                    <w:jc w:val="center"/>
                    <w:rPr>
                      <w:bCs/>
                      <w:color w:val="auto"/>
                      <w:szCs w:val="21"/>
                    </w:rPr>
                  </w:pPr>
                </w:p>
              </w:tc>
              <w:tc>
                <w:tcPr>
                  <w:tcW w:w="548" w:type="pct"/>
                  <w:vMerge w:val="continue"/>
                  <w:tcBorders>
                    <w:tl2br w:val="nil"/>
                    <w:tr2bl w:val="nil"/>
                  </w:tcBorders>
                  <w:vAlign w:val="center"/>
                </w:tcPr>
                <w:p>
                  <w:pPr>
                    <w:jc w:val="center"/>
                    <w:rPr>
                      <w:bCs/>
                      <w:color w:val="auto"/>
                      <w:szCs w:val="21"/>
                    </w:rPr>
                  </w:pPr>
                </w:p>
              </w:tc>
              <w:tc>
                <w:tcPr>
                  <w:tcW w:w="965" w:type="pct"/>
                  <w:tcBorders>
                    <w:tl2br w:val="nil"/>
                    <w:tr2bl w:val="nil"/>
                  </w:tcBorders>
                  <w:vAlign w:val="center"/>
                </w:tcPr>
                <w:p>
                  <w:pPr>
                    <w:jc w:val="center"/>
                    <w:rPr>
                      <w:bCs/>
                      <w:color w:val="auto"/>
                      <w:szCs w:val="21"/>
                    </w:rPr>
                  </w:pPr>
                  <w:r>
                    <w:rPr>
                      <w:rFonts w:hint="eastAsia"/>
                      <w:bCs/>
                      <w:color w:val="auto"/>
                      <w:szCs w:val="21"/>
                    </w:rPr>
                    <w:t>厂区内</w:t>
                  </w:r>
                </w:p>
              </w:tc>
              <w:tc>
                <w:tcPr>
                  <w:tcW w:w="2248" w:type="pct"/>
                  <w:tcBorders>
                    <w:tl2br w:val="nil"/>
                    <w:tr2bl w:val="nil"/>
                  </w:tcBorders>
                  <w:vAlign w:val="center"/>
                </w:tcPr>
                <w:p>
                  <w:pPr>
                    <w:jc w:val="center"/>
                    <w:rPr>
                      <w:bCs/>
                      <w:color w:val="auto"/>
                      <w:szCs w:val="21"/>
                    </w:rPr>
                  </w:pPr>
                  <w:r>
                    <w:rPr>
                      <w:rFonts w:hint="eastAsia"/>
                      <w:color w:val="auto"/>
                      <w:szCs w:val="21"/>
                    </w:rPr>
                    <w:t>VOCs（非甲烷总烃）</w:t>
                  </w:r>
                </w:p>
              </w:tc>
              <w:tc>
                <w:tcPr>
                  <w:tcW w:w="735" w:type="pct"/>
                  <w:tcBorders>
                    <w:tl2br w:val="nil"/>
                    <w:tr2bl w:val="nil"/>
                  </w:tcBorders>
                  <w:vAlign w:val="center"/>
                </w:tcPr>
                <w:p>
                  <w:pPr>
                    <w:jc w:val="center"/>
                    <w:rPr>
                      <w:bCs/>
                      <w:color w:val="auto"/>
                      <w:szCs w:val="21"/>
                    </w:rPr>
                  </w:pPr>
                  <w:r>
                    <w:rPr>
                      <w:bCs/>
                      <w:color w:val="auto"/>
                      <w:szCs w:val="21"/>
                    </w:rPr>
                    <w:t>1次/年</w:t>
                  </w:r>
                </w:p>
              </w:tc>
            </w:tr>
          </w:tbl>
          <w:p>
            <w:pPr>
              <w:pStyle w:val="10"/>
              <w:keepNext w:val="0"/>
              <w:pageBreakBefore w:val="0"/>
              <w:kinsoku/>
              <w:wordWrap/>
              <w:overflowPunct/>
              <w:bidi w:val="0"/>
              <w:adjustRightInd w:val="0"/>
              <w:snapToGrid w:val="0"/>
              <w:spacing w:before="120" w:beforeLines="50" w:after="0" w:line="372" w:lineRule="auto"/>
              <w:ind w:left="0" w:leftChars="0" w:firstLine="482"/>
              <w:textAlignment w:val="auto"/>
              <w:rPr>
                <w:b/>
                <w:bCs/>
                <w:color w:val="auto"/>
                <w:szCs w:val="24"/>
              </w:rPr>
            </w:pPr>
            <w:r>
              <w:rPr>
                <w:rFonts w:hint="eastAsia"/>
                <w:b/>
                <w:bCs/>
                <w:color w:val="auto"/>
                <w:szCs w:val="24"/>
              </w:rPr>
              <w:t>5</w:t>
            </w:r>
            <w:r>
              <w:rPr>
                <w:b/>
                <w:bCs/>
                <w:color w:val="auto"/>
                <w:szCs w:val="24"/>
              </w:rPr>
              <w:t>、废气排放的环境影响分析</w:t>
            </w:r>
          </w:p>
          <w:p>
            <w:pPr>
              <w:keepNext w:val="0"/>
              <w:pageBreakBefore w:val="0"/>
              <w:widowControl/>
              <w:kinsoku/>
              <w:wordWrap/>
              <w:overflowPunct/>
              <w:bidi w:val="0"/>
              <w:adjustRightInd w:val="0"/>
              <w:snapToGrid w:val="0"/>
              <w:spacing w:line="372" w:lineRule="auto"/>
              <w:ind w:firstLine="480" w:firstLineChars="200"/>
              <w:textAlignment w:val="auto"/>
              <w:rPr>
                <w:color w:val="auto"/>
                <w:sz w:val="24"/>
              </w:rPr>
            </w:pPr>
            <w:r>
              <w:rPr>
                <w:color w:val="auto"/>
                <w:sz w:val="24"/>
              </w:rPr>
              <w:t>根据</w:t>
            </w:r>
            <w:r>
              <w:rPr>
                <w:rFonts w:hint="eastAsia"/>
                <w:color w:val="auto"/>
                <w:sz w:val="24"/>
              </w:rPr>
              <w:t>《</w:t>
            </w:r>
            <w:r>
              <w:rPr>
                <w:rFonts w:hint="eastAsia"/>
                <w:color w:val="auto"/>
                <w:kern w:val="0"/>
                <w:sz w:val="24"/>
                <w:lang w:bidi="ar"/>
              </w:rPr>
              <w:t>2024年蚌埠市生态环境质量状况公报</w:t>
            </w:r>
            <w:r>
              <w:rPr>
                <w:rFonts w:hint="eastAsia"/>
                <w:color w:val="auto"/>
                <w:sz w:val="24"/>
              </w:rPr>
              <w:t>》</w:t>
            </w:r>
            <w:r>
              <w:rPr>
                <w:color w:val="auto"/>
                <w:sz w:val="24"/>
              </w:rPr>
              <w:t>可知，项目区域PM</w:t>
            </w:r>
            <w:r>
              <w:rPr>
                <w:color w:val="auto"/>
                <w:sz w:val="24"/>
                <w:vertAlign w:val="subscript"/>
              </w:rPr>
              <w:t>2.5</w:t>
            </w:r>
            <w:r>
              <w:rPr>
                <w:rFonts w:hint="eastAsia"/>
                <w:color w:val="auto"/>
                <w:kern w:val="0"/>
                <w:sz w:val="24"/>
                <w:lang w:bidi="ar"/>
              </w:rPr>
              <w:t>、</w:t>
            </w:r>
            <w:r>
              <w:rPr>
                <w:color w:val="auto"/>
                <w:kern w:val="0"/>
                <w:sz w:val="24"/>
                <w:lang w:bidi="ar"/>
              </w:rPr>
              <w:t>O₃</w:t>
            </w:r>
            <w:r>
              <w:rPr>
                <w:color w:val="auto"/>
                <w:sz w:val="24"/>
              </w:rPr>
              <w:t>不满足《环境空气质量标准》（GB 3095-2012）中二级标准要求，为不达标区。蚌埠市人民政府以蚌政秘〔2021〕10号文下发了</w:t>
            </w:r>
            <w:r>
              <w:rPr>
                <w:rFonts w:hint="eastAsia"/>
                <w:color w:val="auto"/>
                <w:sz w:val="24"/>
              </w:rPr>
              <w:t>“</w:t>
            </w:r>
            <w:r>
              <w:rPr>
                <w:color w:val="auto"/>
                <w:sz w:val="24"/>
              </w:rPr>
              <w:t>蚌埠市人民政府关于印发《蚌埠市环境空气质量达标规划（2019-2030年）》的通知</w:t>
            </w:r>
            <w:r>
              <w:rPr>
                <w:rFonts w:hint="eastAsia"/>
                <w:color w:val="auto"/>
                <w:sz w:val="24"/>
              </w:rPr>
              <w:t>”</w:t>
            </w:r>
            <w:r>
              <w:rPr>
                <w:color w:val="auto"/>
                <w:sz w:val="24"/>
              </w:rPr>
              <w:t>，通过积极落实相关大气污染防治工作，预计区域环境空气质量将会进一步好转。</w:t>
            </w:r>
          </w:p>
          <w:p>
            <w:pPr>
              <w:pStyle w:val="10"/>
              <w:keepNext w:val="0"/>
              <w:pageBreakBefore w:val="0"/>
              <w:kinsoku/>
              <w:wordWrap/>
              <w:overflowPunct/>
              <w:bidi w:val="0"/>
              <w:adjustRightInd w:val="0"/>
              <w:snapToGrid w:val="0"/>
              <w:spacing w:after="0" w:line="372" w:lineRule="auto"/>
              <w:ind w:left="0" w:leftChars="0" w:firstLine="480"/>
              <w:textAlignment w:val="auto"/>
              <w:rPr>
                <w:color w:val="auto"/>
                <w:szCs w:val="24"/>
              </w:rPr>
            </w:pPr>
            <w:r>
              <w:rPr>
                <w:color w:val="auto"/>
              </w:rPr>
              <w:t>项目周边500米范围内</w:t>
            </w:r>
            <w:r>
              <w:rPr>
                <w:rFonts w:hint="eastAsia"/>
                <w:color w:val="auto"/>
              </w:rPr>
              <w:t>存在环境保护目标</w:t>
            </w:r>
            <w:r>
              <w:rPr>
                <w:color w:val="auto"/>
              </w:rPr>
              <w:t>，</w:t>
            </w:r>
            <w:r>
              <w:rPr>
                <w:rFonts w:hint="eastAsia"/>
                <w:color w:val="auto"/>
              </w:rPr>
              <w:t>但本项目废气已采取相应的处理措施</w:t>
            </w:r>
            <w:r>
              <w:rPr>
                <w:color w:val="auto"/>
              </w:rPr>
              <w:t>，排放的废气对环境保护目标影响较小。</w:t>
            </w:r>
          </w:p>
          <w:p>
            <w:pPr>
              <w:pStyle w:val="10"/>
              <w:keepNext w:val="0"/>
              <w:pageBreakBefore w:val="0"/>
              <w:kinsoku/>
              <w:wordWrap/>
              <w:overflowPunct/>
              <w:bidi w:val="0"/>
              <w:adjustRightInd w:val="0"/>
              <w:snapToGrid w:val="0"/>
              <w:spacing w:after="0" w:line="372" w:lineRule="auto"/>
              <w:ind w:left="0" w:leftChars="0" w:firstLine="480"/>
              <w:textAlignment w:val="auto"/>
              <w:rPr>
                <w:color w:val="auto"/>
                <w:szCs w:val="24"/>
              </w:rPr>
            </w:pPr>
            <w:r>
              <w:rPr>
                <w:color w:val="auto"/>
              </w:rPr>
              <w:t>根据前文分析，</w:t>
            </w:r>
            <w:r>
              <w:rPr>
                <w:rFonts w:hint="eastAsia" w:cs="宋体"/>
                <w:color w:val="auto"/>
                <w:lang w:bidi="ar"/>
              </w:rPr>
              <w:t>本项目</w:t>
            </w:r>
            <w:r>
              <w:rPr>
                <w:rFonts w:hint="eastAsia"/>
                <w:color w:val="auto"/>
                <w:szCs w:val="24"/>
                <w:lang w:eastAsia="zh-CN"/>
              </w:rPr>
              <w:t>注塑废气、热转印废气</w:t>
            </w:r>
            <w:r>
              <w:rPr>
                <w:rFonts w:hint="eastAsia"/>
                <w:color w:val="auto"/>
              </w:rPr>
              <w:t>经集气罩收集后由二级活性炭吸附装置吸附</w:t>
            </w:r>
            <w:r>
              <w:rPr>
                <w:color w:val="auto"/>
              </w:rPr>
              <w:t>处理后通过1根</w:t>
            </w:r>
            <w:r>
              <w:rPr>
                <w:rFonts w:hint="eastAsia"/>
                <w:color w:val="auto"/>
              </w:rPr>
              <w:t>15</w:t>
            </w:r>
            <w:r>
              <w:rPr>
                <w:color w:val="auto"/>
              </w:rPr>
              <w:t>m高排气筒（</w:t>
            </w:r>
            <w:r>
              <w:rPr>
                <w:rFonts w:hint="eastAsia"/>
                <w:color w:val="auto"/>
              </w:rPr>
              <w:t>DA001</w:t>
            </w:r>
            <w:r>
              <w:rPr>
                <w:color w:val="auto"/>
              </w:rPr>
              <w:t>）排放</w:t>
            </w:r>
            <w:r>
              <w:rPr>
                <w:rFonts w:hint="eastAsia"/>
                <w:color w:val="auto"/>
                <w:szCs w:val="24"/>
              </w:rPr>
              <w:t>，</w:t>
            </w:r>
            <w:r>
              <w:rPr>
                <w:color w:val="auto"/>
                <w:szCs w:val="24"/>
              </w:rPr>
              <w:t>处理后VOCs的排放浓度为</w:t>
            </w:r>
            <w:r>
              <w:rPr>
                <w:rFonts w:hint="eastAsia"/>
                <w:color w:val="auto"/>
                <w:szCs w:val="24"/>
                <w:lang w:eastAsia="zh-CN"/>
              </w:rPr>
              <w:t>0.7799</w:t>
            </w:r>
            <w:r>
              <w:rPr>
                <w:color w:val="auto"/>
                <w:szCs w:val="24"/>
              </w:rPr>
              <w:t>mg/m³，</w:t>
            </w:r>
            <w:r>
              <w:rPr>
                <w:rFonts w:hint="eastAsia"/>
                <w:color w:val="auto"/>
                <w:sz w:val="24"/>
                <w:lang w:val="en-US" w:eastAsia="zh-CN"/>
              </w:rPr>
              <w:t>排放速率为0.0164kg/h</w:t>
            </w:r>
            <w:r>
              <w:rPr>
                <w:color w:val="auto"/>
                <w:sz w:val="24"/>
              </w:rPr>
              <w:t>，</w:t>
            </w:r>
            <w:r>
              <w:rPr>
                <w:color w:val="auto"/>
                <w:szCs w:val="24"/>
              </w:rPr>
              <w:t>满足</w:t>
            </w:r>
            <w:r>
              <w:rPr>
                <w:rFonts w:hint="eastAsia"/>
                <w:snapToGrid w:val="0"/>
                <w:color w:val="auto"/>
                <w:szCs w:val="24"/>
                <w:lang w:eastAsia="zh-CN"/>
              </w:rPr>
              <w:t>《固定源挥发性有机物综合排放标准 第四部分：印刷工业》（DB34/4812.4-2024）</w:t>
            </w:r>
            <w:r>
              <w:rPr>
                <w:rFonts w:hint="eastAsia"/>
                <w:snapToGrid w:val="0"/>
                <w:color w:val="auto"/>
                <w:szCs w:val="24"/>
              </w:rPr>
              <w:t>中排放限值（非甲烷总烃：</w:t>
            </w:r>
            <w:r>
              <w:rPr>
                <w:rFonts w:hint="eastAsia"/>
                <w:snapToGrid w:val="0"/>
                <w:color w:val="auto"/>
                <w:szCs w:val="24"/>
                <w:lang w:val="en-US" w:eastAsia="zh-CN"/>
              </w:rPr>
              <w:t>50</w:t>
            </w:r>
            <w:r>
              <w:rPr>
                <w:color w:val="auto"/>
                <w:szCs w:val="24"/>
              </w:rPr>
              <w:t>mg/m³</w:t>
            </w:r>
            <w:r>
              <w:rPr>
                <w:rFonts w:hint="eastAsia"/>
                <w:color w:val="auto"/>
                <w:szCs w:val="24"/>
                <w:lang w:eastAsia="zh-CN"/>
              </w:rPr>
              <w:t>，</w:t>
            </w:r>
            <w:r>
              <w:rPr>
                <w:rFonts w:hint="eastAsia"/>
                <w:color w:val="auto"/>
                <w:szCs w:val="24"/>
                <w:lang w:val="en-US" w:eastAsia="zh-CN"/>
              </w:rPr>
              <w:t>1.5kg/h</w:t>
            </w:r>
            <w:r>
              <w:rPr>
                <w:rFonts w:hint="eastAsia"/>
                <w:snapToGrid w:val="0"/>
                <w:color w:val="auto"/>
                <w:szCs w:val="24"/>
              </w:rPr>
              <w:t>）</w:t>
            </w:r>
            <w:r>
              <w:rPr>
                <w:color w:val="auto"/>
                <w:szCs w:val="24"/>
              </w:rPr>
              <w:t>。项目废气在采取相应环保措施处理后均能达标排放，污染物排放量较小，对周边大气环境影响较小。</w:t>
            </w:r>
          </w:p>
          <w:p>
            <w:pPr>
              <w:pStyle w:val="10"/>
              <w:keepNext w:val="0"/>
              <w:keepLines/>
              <w:pageBreakBefore w:val="0"/>
              <w:kinsoku/>
              <w:wordWrap/>
              <w:overflowPunct/>
              <w:bidi w:val="0"/>
              <w:adjustRightInd w:val="0"/>
              <w:snapToGrid w:val="0"/>
              <w:spacing w:after="0" w:line="372" w:lineRule="auto"/>
              <w:ind w:left="0" w:leftChars="0" w:firstLine="480"/>
              <w:textAlignment w:val="auto"/>
              <w:rPr>
                <w:color w:val="auto"/>
                <w:szCs w:val="24"/>
              </w:rPr>
            </w:pPr>
            <w:r>
              <w:rPr>
                <w:color w:val="auto"/>
                <w:szCs w:val="24"/>
              </w:rPr>
              <w:t>综上所述，本项目各污染治理措施是可行的，各污染物均能达标排放，并满足相应的废气排放标准限值，不会降低周围环境空气质量现状。</w:t>
            </w:r>
          </w:p>
          <w:p>
            <w:pPr>
              <w:keepNext w:val="0"/>
              <w:keepLines/>
              <w:pageBreakBefore w:val="0"/>
              <w:kinsoku/>
              <w:wordWrap/>
              <w:overflowPunct/>
              <w:autoSpaceDE w:val="0"/>
              <w:autoSpaceDN w:val="0"/>
              <w:bidi w:val="0"/>
              <w:adjustRightInd w:val="0"/>
              <w:snapToGrid w:val="0"/>
              <w:spacing w:line="372" w:lineRule="auto"/>
              <w:ind w:firstLine="482" w:firstLineChars="200"/>
              <w:textAlignment w:val="auto"/>
              <w:rPr>
                <w:rFonts w:ascii="宋体" w:hAnsi="宋体" w:cs="宋体"/>
                <w:color w:val="auto"/>
                <w:sz w:val="24"/>
              </w:rPr>
            </w:pPr>
            <w:r>
              <w:rPr>
                <w:rFonts w:hint="eastAsia" w:ascii="宋体" w:hAnsi="宋体" w:cs="宋体"/>
                <w:b/>
                <w:bCs/>
                <w:color w:val="auto"/>
                <w:kern w:val="0"/>
                <w:sz w:val="24"/>
              </w:rPr>
              <w:t>二、废水</w:t>
            </w:r>
          </w:p>
          <w:p>
            <w:pPr>
              <w:keepNext w:val="0"/>
              <w:keepLines/>
              <w:pageBreakBefore w:val="0"/>
              <w:kinsoku/>
              <w:wordWrap/>
              <w:overflowPunct/>
              <w:topLinePunct/>
              <w:bidi w:val="0"/>
              <w:adjustRightInd w:val="0"/>
              <w:snapToGrid w:val="0"/>
              <w:spacing w:line="372" w:lineRule="auto"/>
              <w:ind w:firstLine="482" w:firstLineChars="200"/>
              <w:textAlignment w:val="auto"/>
              <w:rPr>
                <w:b/>
                <w:bCs/>
                <w:color w:val="auto"/>
                <w:sz w:val="24"/>
              </w:rPr>
            </w:pPr>
            <w:r>
              <w:rPr>
                <w:b/>
                <w:bCs/>
                <w:color w:val="auto"/>
                <w:sz w:val="24"/>
              </w:rPr>
              <w:t>1、废水污染源源强分析</w:t>
            </w:r>
          </w:p>
          <w:p>
            <w:pPr>
              <w:pStyle w:val="20"/>
              <w:keepNext w:val="0"/>
              <w:pageBreakBefore w:val="0"/>
              <w:kinsoku/>
              <w:wordWrap/>
              <w:overflowPunct/>
              <w:bidi w:val="0"/>
              <w:adjustRightInd w:val="0"/>
              <w:snapToGrid w:val="0"/>
              <w:spacing w:line="372" w:lineRule="auto"/>
              <w:ind w:firstLine="480"/>
              <w:textAlignment w:val="auto"/>
              <w:rPr>
                <w:rFonts w:ascii="Times New Roman" w:hAnsi="Times New Roman"/>
                <w:color w:val="auto"/>
                <w:sz w:val="24"/>
                <w:szCs w:val="24"/>
              </w:rPr>
            </w:pPr>
            <w:r>
              <w:rPr>
                <w:rFonts w:hint="eastAsia" w:ascii="Times New Roman" w:hAnsi="Times New Roman"/>
                <w:color w:val="auto"/>
                <w:sz w:val="24"/>
                <w:szCs w:val="24"/>
              </w:rPr>
              <w:t>项目</w:t>
            </w:r>
            <w:r>
              <w:rPr>
                <w:rFonts w:ascii="Times New Roman" w:hAnsi="Times New Roman"/>
                <w:color w:val="auto"/>
                <w:sz w:val="24"/>
                <w:szCs w:val="24"/>
              </w:rPr>
              <w:t>外排废水主要为生活污水</w:t>
            </w:r>
            <w:r>
              <w:rPr>
                <w:rFonts w:hint="eastAsia" w:ascii="Times New Roman" w:hAnsi="Times New Roman"/>
                <w:color w:val="auto"/>
                <w:sz w:val="24"/>
                <w:szCs w:val="24"/>
              </w:rPr>
              <w:t>、冷却废水</w:t>
            </w:r>
            <w:r>
              <w:rPr>
                <w:rFonts w:ascii="Times New Roman" w:hAnsi="Times New Roman"/>
                <w:color w:val="auto"/>
                <w:sz w:val="24"/>
                <w:szCs w:val="24"/>
              </w:rPr>
              <w:t>。</w:t>
            </w:r>
          </w:p>
          <w:p>
            <w:pPr>
              <w:pStyle w:val="20"/>
              <w:keepNext w:val="0"/>
              <w:pageBreakBefore w:val="0"/>
              <w:numPr>
                <w:ilvl w:val="0"/>
                <w:numId w:val="9"/>
              </w:numPr>
              <w:kinsoku/>
              <w:wordWrap/>
              <w:overflowPunct/>
              <w:bidi w:val="0"/>
              <w:adjustRightInd w:val="0"/>
              <w:snapToGrid w:val="0"/>
              <w:spacing w:line="372" w:lineRule="auto"/>
              <w:ind w:firstLine="480"/>
              <w:textAlignment w:val="auto"/>
              <w:rPr>
                <w:rFonts w:ascii="Times New Roman" w:hAnsi="Times New Roman"/>
                <w:color w:val="auto"/>
                <w:sz w:val="24"/>
                <w:szCs w:val="24"/>
              </w:rPr>
            </w:pPr>
            <w:r>
              <w:rPr>
                <w:rFonts w:ascii="Times New Roman" w:hAnsi="Times New Roman"/>
                <w:color w:val="auto"/>
                <w:sz w:val="24"/>
                <w:szCs w:val="24"/>
              </w:rPr>
              <w:t>生活污水</w:t>
            </w:r>
          </w:p>
          <w:p>
            <w:pPr>
              <w:pStyle w:val="20"/>
              <w:keepNext w:val="0"/>
              <w:pageBreakBefore w:val="0"/>
              <w:kinsoku/>
              <w:wordWrap/>
              <w:overflowPunct/>
              <w:bidi w:val="0"/>
              <w:adjustRightInd w:val="0"/>
              <w:snapToGrid w:val="0"/>
              <w:spacing w:line="372" w:lineRule="auto"/>
              <w:ind w:firstLine="480"/>
              <w:textAlignment w:val="auto"/>
              <w:rPr>
                <w:rFonts w:ascii="Times New Roman" w:hAnsi="Times New Roman"/>
                <w:color w:val="auto"/>
                <w:sz w:val="24"/>
                <w:szCs w:val="24"/>
              </w:rPr>
            </w:pPr>
            <w:r>
              <w:rPr>
                <w:rFonts w:ascii="Times New Roman" w:hAnsi="Times New Roman"/>
                <w:color w:val="auto"/>
                <w:sz w:val="24"/>
                <w:szCs w:val="24"/>
              </w:rPr>
              <w:t>本项目生活用水量为</w:t>
            </w:r>
            <w:r>
              <w:rPr>
                <w:rFonts w:hint="eastAsia" w:ascii="Times New Roman" w:hAnsi="Times New Roman"/>
                <w:color w:val="auto"/>
                <w:sz w:val="24"/>
                <w:szCs w:val="24"/>
              </w:rPr>
              <w:t>450</w:t>
            </w:r>
            <w:r>
              <w:rPr>
                <w:rFonts w:ascii="Times New Roman" w:hAnsi="Times New Roman"/>
                <w:color w:val="auto"/>
                <w:sz w:val="24"/>
                <w:szCs w:val="24"/>
              </w:rPr>
              <w:t>t/a（</w:t>
            </w:r>
            <w:r>
              <w:rPr>
                <w:rFonts w:hint="eastAsia" w:ascii="Times New Roman" w:hAnsi="Times New Roman"/>
                <w:color w:val="auto"/>
                <w:sz w:val="24"/>
                <w:szCs w:val="24"/>
              </w:rPr>
              <w:t>1.5</w:t>
            </w:r>
            <w:r>
              <w:rPr>
                <w:rFonts w:ascii="Times New Roman" w:hAnsi="Times New Roman"/>
                <w:color w:val="auto"/>
                <w:sz w:val="24"/>
                <w:szCs w:val="24"/>
              </w:rPr>
              <w:t>t/d），生活污水排放系数取0.8，则生活污水产生量为</w:t>
            </w:r>
            <w:r>
              <w:rPr>
                <w:rFonts w:hint="eastAsia" w:ascii="Times New Roman" w:hAnsi="Times New Roman"/>
                <w:color w:val="auto"/>
                <w:sz w:val="24"/>
                <w:szCs w:val="24"/>
              </w:rPr>
              <w:t>360</w:t>
            </w:r>
            <w:r>
              <w:rPr>
                <w:rFonts w:ascii="Times New Roman" w:hAnsi="Times New Roman"/>
                <w:color w:val="auto"/>
                <w:sz w:val="24"/>
                <w:szCs w:val="24"/>
              </w:rPr>
              <w:t>t/a（</w:t>
            </w:r>
            <w:r>
              <w:rPr>
                <w:rFonts w:hint="eastAsia" w:ascii="Times New Roman" w:hAnsi="Times New Roman"/>
                <w:color w:val="auto"/>
                <w:sz w:val="24"/>
                <w:szCs w:val="24"/>
              </w:rPr>
              <w:t>1.44</w:t>
            </w:r>
            <w:r>
              <w:rPr>
                <w:rFonts w:ascii="Times New Roman" w:hAnsi="Times New Roman"/>
                <w:color w:val="auto"/>
                <w:sz w:val="24"/>
                <w:szCs w:val="24"/>
              </w:rPr>
              <w:t>t/a），生活污水经化粪池收集后接管至</w:t>
            </w:r>
            <w:r>
              <w:rPr>
                <w:rFonts w:hint="eastAsia" w:ascii="Times New Roman" w:hAnsi="Times New Roman"/>
                <w:color w:val="auto"/>
                <w:sz w:val="24"/>
                <w:szCs w:val="24"/>
                <w:lang w:eastAsia="zh-CN"/>
              </w:rPr>
              <w:t>蚌埠铜陵现代产业园污水处理厂</w:t>
            </w:r>
            <w:r>
              <w:rPr>
                <w:rFonts w:ascii="Times New Roman" w:hAnsi="Times New Roman"/>
                <w:color w:val="auto"/>
                <w:sz w:val="24"/>
                <w:szCs w:val="24"/>
              </w:rPr>
              <w:t>处理最终排入北淝河。</w:t>
            </w:r>
          </w:p>
          <w:p>
            <w:pPr>
              <w:pStyle w:val="20"/>
              <w:keepNext w:val="0"/>
              <w:pageBreakBefore w:val="0"/>
              <w:numPr>
                <w:ilvl w:val="0"/>
                <w:numId w:val="9"/>
              </w:numPr>
              <w:kinsoku/>
              <w:wordWrap/>
              <w:overflowPunct/>
              <w:bidi w:val="0"/>
              <w:adjustRightInd w:val="0"/>
              <w:snapToGrid w:val="0"/>
              <w:spacing w:line="372" w:lineRule="auto"/>
              <w:ind w:firstLine="480"/>
              <w:textAlignment w:val="auto"/>
              <w:rPr>
                <w:rFonts w:ascii="Times New Roman" w:hAnsi="Times New Roman"/>
                <w:color w:val="auto"/>
                <w:sz w:val="24"/>
                <w:szCs w:val="24"/>
              </w:rPr>
            </w:pPr>
            <w:r>
              <w:rPr>
                <w:rFonts w:ascii="Times New Roman" w:hAnsi="Times New Roman"/>
                <w:color w:val="auto"/>
                <w:sz w:val="24"/>
                <w:szCs w:val="24"/>
              </w:rPr>
              <w:t>冷却废水</w:t>
            </w:r>
          </w:p>
          <w:p>
            <w:pPr>
              <w:pStyle w:val="20"/>
              <w:keepNext w:val="0"/>
              <w:pageBreakBefore w:val="0"/>
              <w:kinsoku/>
              <w:wordWrap/>
              <w:overflowPunct/>
              <w:bidi w:val="0"/>
              <w:adjustRightInd w:val="0"/>
              <w:snapToGrid w:val="0"/>
              <w:spacing w:line="372" w:lineRule="auto"/>
              <w:ind w:firstLine="480"/>
              <w:textAlignment w:val="auto"/>
              <w:rPr>
                <w:rFonts w:ascii="Times New Roman" w:hAnsi="Times New Roman"/>
                <w:color w:val="auto"/>
                <w:sz w:val="24"/>
                <w:szCs w:val="24"/>
              </w:rPr>
            </w:pPr>
            <w:r>
              <w:rPr>
                <w:rFonts w:ascii="Times New Roman" w:hAnsi="Times New Roman"/>
                <w:color w:val="auto"/>
                <w:sz w:val="24"/>
                <w:szCs w:val="24"/>
              </w:rPr>
              <w:t>本项目注塑过程冷却水循环使用，一年排放一次，水箱容积为4m³，故冷却废水产生量为4m</w:t>
            </w:r>
            <w:r>
              <w:rPr>
                <w:rFonts w:ascii="Times New Roman" w:hAnsi="Times New Roman"/>
                <w:color w:val="auto"/>
                <w:sz w:val="24"/>
                <w:szCs w:val="24"/>
                <w:vertAlign w:val="superscript"/>
              </w:rPr>
              <w:t>3</w:t>
            </w:r>
            <w:r>
              <w:rPr>
                <w:rFonts w:ascii="Times New Roman" w:hAnsi="Times New Roman"/>
                <w:color w:val="auto"/>
                <w:sz w:val="24"/>
                <w:szCs w:val="24"/>
              </w:rPr>
              <w:t>/a（0.013t/d）。</w:t>
            </w:r>
          </w:p>
          <w:p>
            <w:pPr>
              <w:topLinePunct/>
              <w:adjustRightInd w:val="0"/>
              <w:snapToGrid w:val="0"/>
              <w:jc w:val="center"/>
              <w:rPr>
                <w:rFonts w:hint="eastAsia"/>
                <w:b/>
                <w:color w:val="auto"/>
                <w:sz w:val="24"/>
              </w:rPr>
            </w:pPr>
          </w:p>
          <w:p>
            <w:pPr>
              <w:topLinePunct/>
              <w:adjustRightInd w:val="0"/>
              <w:snapToGrid w:val="0"/>
              <w:jc w:val="center"/>
              <w:rPr>
                <w:rFonts w:hint="eastAsia"/>
                <w:b/>
                <w:color w:val="auto"/>
                <w:sz w:val="24"/>
              </w:rPr>
            </w:pPr>
          </w:p>
          <w:p>
            <w:pPr>
              <w:topLinePunct/>
              <w:adjustRightInd w:val="0"/>
              <w:snapToGrid w:val="0"/>
              <w:jc w:val="center"/>
              <w:rPr>
                <w:rFonts w:hint="eastAsia"/>
                <w:b/>
                <w:color w:val="auto"/>
                <w:sz w:val="24"/>
              </w:rPr>
            </w:pPr>
          </w:p>
          <w:p>
            <w:pPr>
              <w:topLinePunct/>
              <w:adjustRightInd w:val="0"/>
              <w:snapToGrid w:val="0"/>
              <w:jc w:val="center"/>
              <w:rPr>
                <w:rFonts w:hint="eastAsia"/>
                <w:b/>
                <w:color w:val="auto"/>
                <w:sz w:val="24"/>
              </w:rPr>
            </w:pPr>
          </w:p>
          <w:p>
            <w:pPr>
              <w:topLinePunct/>
              <w:adjustRightInd w:val="0"/>
              <w:snapToGrid w:val="0"/>
              <w:jc w:val="center"/>
              <w:rPr>
                <w:rFonts w:hint="eastAsia"/>
                <w:b/>
                <w:color w:val="auto"/>
                <w:sz w:val="24"/>
              </w:rPr>
            </w:pPr>
          </w:p>
          <w:p>
            <w:pPr>
              <w:topLinePunct/>
              <w:adjustRightInd w:val="0"/>
              <w:snapToGrid w:val="0"/>
              <w:jc w:val="center"/>
              <w:rPr>
                <w:b/>
                <w:color w:val="auto"/>
                <w:sz w:val="24"/>
              </w:rPr>
            </w:pPr>
            <w:r>
              <w:rPr>
                <w:rFonts w:hint="eastAsia"/>
                <w:b/>
                <w:color w:val="auto"/>
                <w:sz w:val="24"/>
              </w:rPr>
              <w:t>表4-</w:t>
            </w:r>
            <w:r>
              <w:rPr>
                <w:rFonts w:hint="eastAsia"/>
                <w:b/>
                <w:color w:val="auto"/>
                <w:sz w:val="24"/>
                <w:lang w:val="en-US" w:eastAsia="zh-CN"/>
              </w:rPr>
              <w:t>10</w:t>
            </w:r>
            <w:r>
              <w:rPr>
                <w:rFonts w:hint="eastAsia"/>
                <w:b/>
                <w:color w:val="auto"/>
                <w:sz w:val="24"/>
              </w:rPr>
              <w:t xml:space="preserve">  建设项目废水污染物排放信息表</w:t>
            </w:r>
          </w:p>
          <w:tbl>
            <w:tblPr>
              <w:tblStyle w:val="28"/>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794"/>
              <w:gridCol w:w="964"/>
              <w:gridCol w:w="1191"/>
              <w:gridCol w:w="850"/>
              <w:gridCol w:w="794"/>
              <w:gridCol w:w="794"/>
              <w:gridCol w:w="567"/>
              <w:gridCol w:w="794"/>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restart"/>
                  <w:vAlign w:val="center"/>
                </w:tcPr>
                <w:p>
                  <w:pPr>
                    <w:pStyle w:val="74"/>
                    <w:topLinePunct/>
                    <w:rPr>
                      <w:rFonts w:hint="default"/>
                      <w:color w:val="auto"/>
                    </w:rPr>
                  </w:pPr>
                  <w:r>
                    <w:rPr>
                      <w:rFonts w:hint="default"/>
                      <w:color w:val="auto"/>
                    </w:rPr>
                    <w:t>废水类别</w:t>
                  </w:r>
                </w:p>
              </w:tc>
              <w:tc>
                <w:tcPr>
                  <w:tcW w:w="794" w:type="dxa"/>
                  <w:vMerge w:val="restart"/>
                  <w:vAlign w:val="center"/>
                </w:tcPr>
                <w:p>
                  <w:pPr>
                    <w:pStyle w:val="74"/>
                    <w:topLinePunct/>
                    <w:rPr>
                      <w:rFonts w:hint="default"/>
                      <w:color w:val="auto"/>
                    </w:rPr>
                  </w:pPr>
                  <w:r>
                    <w:rPr>
                      <w:rFonts w:hint="default"/>
                      <w:color w:val="auto"/>
                    </w:rPr>
                    <w:t>污染物种类</w:t>
                  </w:r>
                </w:p>
              </w:tc>
              <w:tc>
                <w:tcPr>
                  <w:tcW w:w="964" w:type="dxa"/>
                  <w:vMerge w:val="restart"/>
                  <w:vAlign w:val="center"/>
                </w:tcPr>
                <w:p>
                  <w:pPr>
                    <w:pStyle w:val="74"/>
                    <w:topLinePunct/>
                    <w:ind w:left="63" w:leftChars="30" w:right="63" w:rightChars="30"/>
                    <w:rPr>
                      <w:rFonts w:hint="default"/>
                      <w:color w:val="auto"/>
                    </w:rPr>
                  </w:pPr>
                  <w:r>
                    <w:rPr>
                      <w:rFonts w:hint="default"/>
                      <w:color w:val="auto"/>
                    </w:rPr>
                    <w:t>排放</w:t>
                  </w:r>
                </w:p>
                <w:p>
                  <w:pPr>
                    <w:pStyle w:val="74"/>
                    <w:topLinePunct/>
                    <w:ind w:left="63" w:leftChars="30" w:right="63" w:rightChars="30"/>
                    <w:rPr>
                      <w:rFonts w:hint="default"/>
                      <w:color w:val="auto"/>
                    </w:rPr>
                  </w:pPr>
                  <w:r>
                    <w:rPr>
                      <w:rFonts w:hint="default"/>
                      <w:color w:val="auto"/>
                    </w:rPr>
                    <w:t>去向</w:t>
                  </w:r>
                </w:p>
              </w:tc>
              <w:tc>
                <w:tcPr>
                  <w:tcW w:w="1191" w:type="dxa"/>
                  <w:vMerge w:val="restart"/>
                  <w:vAlign w:val="center"/>
                </w:tcPr>
                <w:p>
                  <w:pPr>
                    <w:pStyle w:val="74"/>
                    <w:topLinePunct/>
                    <w:rPr>
                      <w:rFonts w:hint="default"/>
                      <w:color w:val="auto"/>
                    </w:rPr>
                  </w:pPr>
                  <w:r>
                    <w:rPr>
                      <w:rFonts w:hint="default"/>
                      <w:color w:val="auto"/>
                    </w:rPr>
                    <w:t>排放</w:t>
                  </w:r>
                </w:p>
                <w:p>
                  <w:pPr>
                    <w:pStyle w:val="74"/>
                    <w:topLinePunct/>
                    <w:rPr>
                      <w:rFonts w:hint="default"/>
                      <w:color w:val="auto"/>
                    </w:rPr>
                  </w:pPr>
                  <w:r>
                    <w:rPr>
                      <w:rFonts w:hint="default"/>
                      <w:color w:val="auto"/>
                    </w:rPr>
                    <w:t>规律</w:t>
                  </w:r>
                </w:p>
              </w:tc>
              <w:tc>
                <w:tcPr>
                  <w:tcW w:w="2438" w:type="dxa"/>
                  <w:gridSpan w:val="3"/>
                  <w:vAlign w:val="center"/>
                </w:tcPr>
                <w:p>
                  <w:pPr>
                    <w:pStyle w:val="74"/>
                    <w:topLinePunct/>
                    <w:rPr>
                      <w:rFonts w:hint="default"/>
                      <w:color w:val="auto"/>
                    </w:rPr>
                  </w:pPr>
                  <w:r>
                    <w:rPr>
                      <w:rFonts w:hint="default"/>
                      <w:color w:val="auto"/>
                    </w:rPr>
                    <w:t>污染治理设施</w:t>
                  </w:r>
                </w:p>
              </w:tc>
              <w:tc>
                <w:tcPr>
                  <w:tcW w:w="567" w:type="dxa"/>
                  <w:vMerge w:val="restart"/>
                  <w:vAlign w:val="center"/>
                </w:tcPr>
                <w:p>
                  <w:pPr>
                    <w:pStyle w:val="74"/>
                    <w:topLinePunct/>
                    <w:rPr>
                      <w:rFonts w:hint="default"/>
                      <w:color w:val="auto"/>
                    </w:rPr>
                  </w:pPr>
                  <w:r>
                    <w:rPr>
                      <w:rFonts w:hint="default"/>
                      <w:color w:val="auto"/>
                    </w:rPr>
                    <w:t>排放口编号</w:t>
                  </w:r>
                </w:p>
              </w:tc>
              <w:tc>
                <w:tcPr>
                  <w:tcW w:w="794" w:type="dxa"/>
                  <w:vMerge w:val="restart"/>
                  <w:vAlign w:val="center"/>
                </w:tcPr>
                <w:p>
                  <w:pPr>
                    <w:pStyle w:val="74"/>
                    <w:topLinePunct/>
                    <w:rPr>
                      <w:rFonts w:hint="default"/>
                      <w:color w:val="auto"/>
                    </w:rPr>
                  </w:pPr>
                  <w:r>
                    <w:rPr>
                      <w:rFonts w:hint="default"/>
                      <w:color w:val="auto"/>
                    </w:rPr>
                    <w:t>排放口设置是否符合要求</w:t>
                  </w:r>
                </w:p>
              </w:tc>
              <w:tc>
                <w:tcPr>
                  <w:tcW w:w="1587" w:type="dxa"/>
                  <w:vMerge w:val="restart"/>
                  <w:vAlign w:val="center"/>
                </w:tcPr>
                <w:p>
                  <w:pPr>
                    <w:pStyle w:val="74"/>
                    <w:topLinePunct/>
                    <w:rPr>
                      <w:rFonts w:hint="default"/>
                      <w:color w:val="auto"/>
                    </w:rPr>
                  </w:pPr>
                  <w:r>
                    <w:rPr>
                      <w:rFonts w:hint="default"/>
                      <w:color w:val="auto"/>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964" w:type="dxa"/>
                  <w:vMerge w:val="continue"/>
                  <w:vAlign w:val="center"/>
                </w:tcPr>
                <w:p>
                  <w:pPr>
                    <w:topLinePunct/>
                    <w:adjustRightInd w:val="0"/>
                    <w:snapToGrid w:val="0"/>
                    <w:ind w:left="63" w:leftChars="30" w:right="63" w:rightChars="30"/>
                    <w:jc w:val="center"/>
                    <w:rPr>
                      <w:color w:val="auto"/>
                    </w:rPr>
                  </w:pPr>
                </w:p>
              </w:tc>
              <w:tc>
                <w:tcPr>
                  <w:tcW w:w="1191" w:type="dxa"/>
                  <w:vMerge w:val="continue"/>
                  <w:vAlign w:val="center"/>
                </w:tcPr>
                <w:p>
                  <w:pPr>
                    <w:topLinePunct/>
                    <w:adjustRightInd w:val="0"/>
                    <w:snapToGrid w:val="0"/>
                    <w:jc w:val="center"/>
                    <w:rPr>
                      <w:color w:val="auto"/>
                    </w:rPr>
                  </w:pPr>
                </w:p>
              </w:tc>
              <w:tc>
                <w:tcPr>
                  <w:tcW w:w="850" w:type="dxa"/>
                  <w:vAlign w:val="center"/>
                </w:tcPr>
                <w:p>
                  <w:pPr>
                    <w:pStyle w:val="74"/>
                    <w:topLinePunct/>
                    <w:rPr>
                      <w:rFonts w:hint="default"/>
                      <w:color w:val="auto"/>
                    </w:rPr>
                  </w:pPr>
                  <w:r>
                    <w:rPr>
                      <w:rFonts w:hint="default"/>
                      <w:color w:val="auto"/>
                    </w:rPr>
                    <w:t>污染治理设施编号</w:t>
                  </w:r>
                </w:p>
              </w:tc>
              <w:tc>
                <w:tcPr>
                  <w:tcW w:w="794" w:type="dxa"/>
                  <w:vAlign w:val="center"/>
                </w:tcPr>
                <w:p>
                  <w:pPr>
                    <w:pStyle w:val="74"/>
                    <w:topLinePunct/>
                    <w:rPr>
                      <w:rFonts w:hint="default"/>
                      <w:color w:val="auto"/>
                    </w:rPr>
                  </w:pPr>
                  <w:r>
                    <w:rPr>
                      <w:rFonts w:hint="default"/>
                      <w:color w:val="auto"/>
                    </w:rPr>
                    <w:t>污染治理设施名称</w:t>
                  </w:r>
                </w:p>
              </w:tc>
              <w:tc>
                <w:tcPr>
                  <w:tcW w:w="794" w:type="dxa"/>
                  <w:vAlign w:val="center"/>
                </w:tcPr>
                <w:p>
                  <w:pPr>
                    <w:pStyle w:val="74"/>
                    <w:topLinePunct/>
                    <w:rPr>
                      <w:rFonts w:hint="default"/>
                      <w:color w:val="auto"/>
                    </w:rPr>
                  </w:pPr>
                  <w:r>
                    <w:rPr>
                      <w:rFonts w:hint="default"/>
                      <w:color w:val="auto"/>
                    </w:rPr>
                    <w:t>污染治理设施工艺</w:t>
                  </w: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restart"/>
                  <w:vAlign w:val="center"/>
                </w:tcPr>
                <w:p>
                  <w:pPr>
                    <w:topLinePunct/>
                    <w:adjustRightInd w:val="0"/>
                    <w:snapToGrid w:val="0"/>
                    <w:jc w:val="center"/>
                    <w:rPr>
                      <w:color w:val="auto"/>
                    </w:rPr>
                  </w:pPr>
                  <w:r>
                    <w:rPr>
                      <w:color w:val="auto"/>
                    </w:rPr>
                    <w:t>生活污水</w:t>
                  </w: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COD</w:t>
                  </w:r>
                </w:p>
              </w:tc>
              <w:tc>
                <w:tcPr>
                  <w:tcW w:w="964" w:type="dxa"/>
                  <w:vMerge w:val="restart"/>
                  <w:vAlign w:val="center"/>
                </w:tcPr>
                <w:p>
                  <w:pPr>
                    <w:topLinePunct/>
                    <w:adjustRightInd w:val="0"/>
                    <w:snapToGrid w:val="0"/>
                    <w:ind w:left="63" w:leftChars="30" w:right="63" w:rightChars="30"/>
                    <w:jc w:val="center"/>
                    <w:rPr>
                      <w:rFonts w:hint="eastAsia" w:eastAsia="宋体"/>
                      <w:color w:val="auto"/>
                      <w:lang w:eastAsia="zh-CN"/>
                    </w:rPr>
                  </w:pPr>
                  <w:r>
                    <w:rPr>
                      <w:rFonts w:hint="eastAsia"/>
                      <w:color w:val="auto"/>
                      <w:lang w:eastAsia="zh-CN"/>
                    </w:rPr>
                    <w:t>蚌埠铜陵现代产业园污水处理厂</w:t>
                  </w:r>
                </w:p>
              </w:tc>
              <w:tc>
                <w:tcPr>
                  <w:tcW w:w="1191" w:type="dxa"/>
                  <w:vMerge w:val="restart"/>
                  <w:vAlign w:val="center"/>
                </w:tcPr>
                <w:p>
                  <w:pPr>
                    <w:topLinePunct/>
                    <w:adjustRightInd w:val="0"/>
                    <w:snapToGrid w:val="0"/>
                    <w:jc w:val="center"/>
                    <w:rPr>
                      <w:color w:val="auto"/>
                    </w:rPr>
                  </w:pPr>
                  <w:r>
                    <w:rPr>
                      <w:color w:val="auto"/>
                    </w:rPr>
                    <w:t>间断排放，排放期间流量不稳定且无规律，但不属于冲击型排放</w:t>
                  </w:r>
                </w:p>
              </w:tc>
              <w:tc>
                <w:tcPr>
                  <w:tcW w:w="850" w:type="dxa"/>
                  <w:vMerge w:val="restart"/>
                  <w:vAlign w:val="center"/>
                </w:tcPr>
                <w:p>
                  <w:pPr>
                    <w:topLinePunct/>
                    <w:adjustRightInd w:val="0"/>
                    <w:snapToGrid w:val="0"/>
                    <w:jc w:val="center"/>
                    <w:rPr>
                      <w:color w:val="auto"/>
                    </w:rPr>
                  </w:pPr>
                  <w:r>
                    <w:rPr>
                      <w:rFonts w:hint="eastAsia"/>
                      <w:color w:val="auto"/>
                    </w:rPr>
                    <w:t>/</w:t>
                  </w:r>
                </w:p>
              </w:tc>
              <w:tc>
                <w:tcPr>
                  <w:tcW w:w="794" w:type="dxa"/>
                  <w:vMerge w:val="restart"/>
                  <w:vAlign w:val="center"/>
                </w:tcPr>
                <w:p>
                  <w:pPr>
                    <w:topLinePunct/>
                    <w:adjustRightInd w:val="0"/>
                    <w:snapToGrid w:val="0"/>
                    <w:jc w:val="center"/>
                    <w:rPr>
                      <w:color w:val="auto"/>
                    </w:rPr>
                  </w:pPr>
                  <w:r>
                    <w:rPr>
                      <w:rFonts w:hint="eastAsia"/>
                      <w:color w:val="auto"/>
                    </w:rPr>
                    <w:t>/</w:t>
                  </w:r>
                </w:p>
              </w:tc>
              <w:tc>
                <w:tcPr>
                  <w:tcW w:w="794" w:type="dxa"/>
                  <w:vMerge w:val="restart"/>
                  <w:vAlign w:val="center"/>
                </w:tcPr>
                <w:p>
                  <w:pPr>
                    <w:topLinePunct/>
                    <w:adjustRightInd w:val="0"/>
                    <w:snapToGrid w:val="0"/>
                    <w:jc w:val="center"/>
                    <w:rPr>
                      <w:color w:val="auto"/>
                    </w:rPr>
                  </w:pPr>
                  <w:r>
                    <w:rPr>
                      <w:rFonts w:hint="eastAsia"/>
                      <w:color w:val="auto"/>
                    </w:rPr>
                    <w:t>/</w:t>
                  </w:r>
                </w:p>
              </w:tc>
              <w:tc>
                <w:tcPr>
                  <w:tcW w:w="567" w:type="dxa"/>
                  <w:vMerge w:val="restart"/>
                  <w:vAlign w:val="center"/>
                </w:tcPr>
                <w:p>
                  <w:pPr>
                    <w:topLinePunct/>
                    <w:adjustRightInd w:val="0"/>
                    <w:snapToGrid w:val="0"/>
                    <w:jc w:val="center"/>
                    <w:rPr>
                      <w:color w:val="auto"/>
                    </w:rPr>
                  </w:pPr>
                  <w:r>
                    <w:rPr>
                      <w:color w:val="auto"/>
                    </w:rPr>
                    <w:t>DW001</w:t>
                  </w:r>
                </w:p>
              </w:tc>
              <w:tc>
                <w:tcPr>
                  <w:tcW w:w="794" w:type="dxa"/>
                  <w:vMerge w:val="restart"/>
                  <w:vAlign w:val="center"/>
                </w:tcPr>
                <w:p>
                  <w:pPr>
                    <w:topLinePunct/>
                    <w:adjustRightInd w:val="0"/>
                    <w:snapToGrid w:val="0"/>
                    <w:jc w:val="center"/>
                    <w:rPr>
                      <w:color w:val="auto"/>
                    </w:rPr>
                  </w:pPr>
                  <w:r>
                    <w:rPr>
                      <w:rFonts w:hint="eastAsia"/>
                      <w:color w:val="auto"/>
                    </w:rPr>
                    <w:t>☑</w:t>
                  </w:r>
                  <w:r>
                    <w:rPr>
                      <w:color w:val="auto"/>
                    </w:rPr>
                    <w:t>是</w:t>
                  </w:r>
                </w:p>
                <w:p>
                  <w:pPr>
                    <w:topLinePunct/>
                    <w:adjustRightInd w:val="0"/>
                    <w:snapToGrid w:val="0"/>
                    <w:jc w:val="center"/>
                    <w:rPr>
                      <w:color w:val="auto"/>
                    </w:rPr>
                  </w:pPr>
                  <w:r>
                    <w:rPr>
                      <w:rFonts w:hint="eastAsia"/>
                      <w:color w:val="auto"/>
                    </w:rPr>
                    <w:t>□</w:t>
                  </w:r>
                  <w:r>
                    <w:rPr>
                      <w:color w:val="auto"/>
                    </w:rPr>
                    <w:t>否</w:t>
                  </w:r>
                </w:p>
              </w:tc>
              <w:tc>
                <w:tcPr>
                  <w:tcW w:w="1587" w:type="dxa"/>
                  <w:vMerge w:val="restart"/>
                  <w:vAlign w:val="center"/>
                </w:tcPr>
                <w:p>
                  <w:pPr>
                    <w:topLinePunct/>
                    <w:adjustRightInd w:val="0"/>
                    <w:snapToGrid w:val="0"/>
                    <w:jc w:val="center"/>
                    <w:rPr>
                      <w:color w:val="auto"/>
                    </w:rPr>
                  </w:pPr>
                  <w:r>
                    <w:rPr>
                      <w:rFonts w:hint="eastAsia"/>
                      <w:color w:val="auto"/>
                    </w:rPr>
                    <w:t>☑</w:t>
                  </w:r>
                  <w:r>
                    <w:rPr>
                      <w:color w:val="auto"/>
                    </w:rPr>
                    <w:t>企业总排</w:t>
                  </w:r>
                </w:p>
                <w:p>
                  <w:pPr>
                    <w:topLinePunct/>
                    <w:adjustRightInd w:val="0"/>
                    <w:snapToGrid w:val="0"/>
                    <w:jc w:val="center"/>
                    <w:rPr>
                      <w:color w:val="auto"/>
                    </w:rPr>
                  </w:pPr>
                  <w:r>
                    <w:rPr>
                      <w:rFonts w:hint="eastAsia"/>
                      <w:color w:val="auto"/>
                    </w:rPr>
                    <w:t>□</w:t>
                  </w:r>
                  <w:r>
                    <w:rPr>
                      <w:color w:val="auto"/>
                    </w:rPr>
                    <w:t>雨水排放</w:t>
                  </w:r>
                </w:p>
                <w:p>
                  <w:pPr>
                    <w:topLinePunct/>
                    <w:adjustRightInd w:val="0"/>
                    <w:snapToGrid w:val="0"/>
                    <w:jc w:val="center"/>
                    <w:rPr>
                      <w:color w:val="auto"/>
                    </w:rPr>
                  </w:pPr>
                  <w:r>
                    <w:rPr>
                      <w:rFonts w:hint="eastAsia"/>
                      <w:color w:val="auto"/>
                    </w:rPr>
                    <w:t>□</w:t>
                  </w:r>
                  <w:r>
                    <w:rPr>
                      <w:color w:val="auto"/>
                    </w:rPr>
                    <w:t>清净下水排放</w:t>
                  </w:r>
                </w:p>
                <w:p>
                  <w:pPr>
                    <w:topLinePunct/>
                    <w:adjustRightInd w:val="0"/>
                    <w:snapToGrid w:val="0"/>
                    <w:jc w:val="center"/>
                    <w:rPr>
                      <w:color w:val="auto"/>
                    </w:rPr>
                  </w:pPr>
                  <w:r>
                    <w:rPr>
                      <w:rFonts w:hint="eastAsia"/>
                      <w:color w:val="auto"/>
                    </w:rPr>
                    <w:t>□</w:t>
                  </w:r>
                  <w:r>
                    <w:rPr>
                      <w:color w:val="auto"/>
                    </w:rPr>
                    <w:t>温排水排放</w:t>
                  </w:r>
                </w:p>
                <w:p>
                  <w:pPr>
                    <w:topLinePunct/>
                    <w:adjustRightInd w:val="0"/>
                    <w:snapToGrid w:val="0"/>
                    <w:jc w:val="center"/>
                    <w:rPr>
                      <w:color w:val="auto"/>
                    </w:rPr>
                  </w:pPr>
                  <w:r>
                    <w:rPr>
                      <w:rFonts w:hint="eastAsia"/>
                      <w:color w:val="auto"/>
                    </w:rPr>
                    <w:t>□</w:t>
                  </w:r>
                  <w:r>
                    <w:rPr>
                      <w:color w:val="auto"/>
                    </w:rPr>
                    <w:t>车间或车间处理设施排放量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continue"/>
                  <w:vAlign w:val="center"/>
                </w:tcPr>
                <w:p>
                  <w:pPr>
                    <w:topLinePunct/>
                    <w:adjustRightInd w:val="0"/>
                    <w:snapToGrid w:val="0"/>
                    <w:jc w:val="center"/>
                    <w:rPr>
                      <w:color w:val="auto"/>
                    </w:rPr>
                  </w:pP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BOD</w:t>
                  </w:r>
                  <w:r>
                    <w:rPr>
                      <w:bCs/>
                      <w:snapToGrid w:val="0"/>
                      <w:color w:val="auto"/>
                      <w:kern w:val="0"/>
                      <w:szCs w:val="21"/>
                      <w:vertAlign w:val="subscript"/>
                    </w:rPr>
                    <w:t>5</w:t>
                  </w:r>
                </w:p>
              </w:tc>
              <w:tc>
                <w:tcPr>
                  <w:tcW w:w="964" w:type="dxa"/>
                  <w:vMerge w:val="continue"/>
                  <w:vAlign w:val="center"/>
                </w:tcPr>
                <w:p>
                  <w:pPr>
                    <w:topLinePunct/>
                    <w:adjustRightInd w:val="0"/>
                    <w:snapToGrid w:val="0"/>
                    <w:jc w:val="center"/>
                    <w:rPr>
                      <w:color w:val="auto"/>
                    </w:rPr>
                  </w:pPr>
                </w:p>
              </w:tc>
              <w:tc>
                <w:tcPr>
                  <w:tcW w:w="1191" w:type="dxa"/>
                  <w:vMerge w:val="continue"/>
                  <w:vAlign w:val="center"/>
                </w:tcPr>
                <w:p>
                  <w:pPr>
                    <w:topLinePunct/>
                    <w:adjustRightInd w:val="0"/>
                    <w:snapToGrid w:val="0"/>
                    <w:jc w:val="center"/>
                    <w:rPr>
                      <w:color w:val="auto"/>
                    </w:rPr>
                  </w:pPr>
                </w:p>
              </w:tc>
              <w:tc>
                <w:tcPr>
                  <w:tcW w:w="850"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continue"/>
                  <w:vAlign w:val="center"/>
                </w:tcPr>
                <w:p>
                  <w:pPr>
                    <w:topLinePunct/>
                    <w:adjustRightInd w:val="0"/>
                    <w:snapToGrid w:val="0"/>
                    <w:jc w:val="center"/>
                    <w:rPr>
                      <w:color w:val="auto"/>
                    </w:rPr>
                  </w:pP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SS</w:t>
                  </w:r>
                </w:p>
              </w:tc>
              <w:tc>
                <w:tcPr>
                  <w:tcW w:w="964" w:type="dxa"/>
                  <w:vMerge w:val="continue"/>
                  <w:vAlign w:val="center"/>
                </w:tcPr>
                <w:p>
                  <w:pPr>
                    <w:topLinePunct/>
                    <w:adjustRightInd w:val="0"/>
                    <w:snapToGrid w:val="0"/>
                    <w:jc w:val="center"/>
                    <w:rPr>
                      <w:color w:val="auto"/>
                    </w:rPr>
                  </w:pPr>
                </w:p>
              </w:tc>
              <w:tc>
                <w:tcPr>
                  <w:tcW w:w="1191" w:type="dxa"/>
                  <w:vMerge w:val="continue"/>
                  <w:vAlign w:val="center"/>
                </w:tcPr>
                <w:p>
                  <w:pPr>
                    <w:topLinePunct/>
                    <w:adjustRightInd w:val="0"/>
                    <w:snapToGrid w:val="0"/>
                    <w:jc w:val="center"/>
                    <w:rPr>
                      <w:color w:val="auto"/>
                    </w:rPr>
                  </w:pPr>
                </w:p>
              </w:tc>
              <w:tc>
                <w:tcPr>
                  <w:tcW w:w="850"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continue"/>
                  <w:vAlign w:val="center"/>
                </w:tcPr>
                <w:p>
                  <w:pPr>
                    <w:topLinePunct/>
                    <w:adjustRightInd w:val="0"/>
                    <w:snapToGrid w:val="0"/>
                    <w:jc w:val="center"/>
                    <w:rPr>
                      <w:color w:val="auto"/>
                    </w:rPr>
                  </w:pP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NH</w:t>
                  </w:r>
                  <w:r>
                    <w:rPr>
                      <w:bCs/>
                      <w:snapToGrid w:val="0"/>
                      <w:color w:val="auto"/>
                      <w:kern w:val="0"/>
                      <w:szCs w:val="21"/>
                      <w:vertAlign w:val="subscript"/>
                    </w:rPr>
                    <w:t>3</w:t>
                  </w:r>
                  <w:r>
                    <w:rPr>
                      <w:bCs/>
                      <w:snapToGrid w:val="0"/>
                      <w:color w:val="auto"/>
                      <w:kern w:val="0"/>
                      <w:szCs w:val="21"/>
                    </w:rPr>
                    <w:t>-N</w:t>
                  </w:r>
                </w:p>
              </w:tc>
              <w:tc>
                <w:tcPr>
                  <w:tcW w:w="964" w:type="dxa"/>
                  <w:vMerge w:val="continue"/>
                  <w:vAlign w:val="center"/>
                </w:tcPr>
                <w:p>
                  <w:pPr>
                    <w:topLinePunct/>
                    <w:adjustRightInd w:val="0"/>
                    <w:snapToGrid w:val="0"/>
                    <w:jc w:val="center"/>
                    <w:rPr>
                      <w:color w:val="auto"/>
                    </w:rPr>
                  </w:pPr>
                </w:p>
              </w:tc>
              <w:tc>
                <w:tcPr>
                  <w:tcW w:w="1191" w:type="dxa"/>
                  <w:vMerge w:val="continue"/>
                  <w:vAlign w:val="center"/>
                </w:tcPr>
                <w:p>
                  <w:pPr>
                    <w:topLinePunct/>
                    <w:adjustRightInd w:val="0"/>
                    <w:snapToGrid w:val="0"/>
                    <w:jc w:val="center"/>
                    <w:rPr>
                      <w:color w:val="auto"/>
                    </w:rPr>
                  </w:pPr>
                </w:p>
              </w:tc>
              <w:tc>
                <w:tcPr>
                  <w:tcW w:w="850"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restart"/>
                  <w:vAlign w:val="center"/>
                </w:tcPr>
                <w:p>
                  <w:pPr>
                    <w:topLinePunct/>
                    <w:adjustRightInd w:val="0"/>
                    <w:snapToGrid w:val="0"/>
                    <w:jc w:val="center"/>
                    <w:rPr>
                      <w:color w:val="auto"/>
                    </w:rPr>
                  </w:pPr>
                  <w:r>
                    <w:rPr>
                      <w:rFonts w:hint="eastAsia"/>
                      <w:color w:val="auto"/>
                    </w:rPr>
                    <w:t>冷却废水</w:t>
                  </w: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COD</w:t>
                  </w:r>
                </w:p>
              </w:tc>
              <w:tc>
                <w:tcPr>
                  <w:tcW w:w="964" w:type="dxa"/>
                  <w:vMerge w:val="continue"/>
                  <w:vAlign w:val="center"/>
                </w:tcPr>
                <w:p>
                  <w:pPr>
                    <w:topLinePunct/>
                    <w:adjustRightInd w:val="0"/>
                    <w:snapToGrid w:val="0"/>
                    <w:jc w:val="center"/>
                    <w:rPr>
                      <w:color w:val="auto"/>
                    </w:rPr>
                  </w:pPr>
                </w:p>
              </w:tc>
              <w:tc>
                <w:tcPr>
                  <w:tcW w:w="1191" w:type="dxa"/>
                  <w:vMerge w:val="continue"/>
                  <w:vAlign w:val="center"/>
                </w:tcPr>
                <w:p>
                  <w:pPr>
                    <w:topLinePunct/>
                    <w:adjustRightInd w:val="0"/>
                    <w:snapToGrid w:val="0"/>
                    <w:jc w:val="center"/>
                    <w:rPr>
                      <w:color w:val="auto"/>
                    </w:rPr>
                  </w:pPr>
                </w:p>
              </w:tc>
              <w:tc>
                <w:tcPr>
                  <w:tcW w:w="850" w:type="dxa"/>
                  <w:vMerge w:val="restart"/>
                  <w:vAlign w:val="center"/>
                </w:tcPr>
                <w:p>
                  <w:pPr>
                    <w:topLinePunct/>
                    <w:adjustRightInd w:val="0"/>
                    <w:snapToGrid w:val="0"/>
                    <w:jc w:val="center"/>
                    <w:rPr>
                      <w:color w:val="auto"/>
                    </w:rPr>
                  </w:pPr>
                  <w:r>
                    <w:rPr>
                      <w:rFonts w:hint="eastAsia"/>
                      <w:color w:val="auto"/>
                    </w:rPr>
                    <w:t>/</w:t>
                  </w:r>
                </w:p>
              </w:tc>
              <w:tc>
                <w:tcPr>
                  <w:tcW w:w="794" w:type="dxa"/>
                  <w:vMerge w:val="restart"/>
                  <w:vAlign w:val="center"/>
                </w:tcPr>
                <w:p>
                  <w:pPr>
                    <w:topLinePunct/>
                    <w:adjustRightInd w:val="0"/>
                    <w:snapToGrid w:val="0"/>
                    <w:jc w:val="center"/>
                    <w:rPr>
                      <w:color w:val="auto"/>
                    </w:rPr>
                  </w:pPr>
                  <w:r>
                    <w:rPr>
                      <w:rFonts w:hint="eastAsia"/>
                      <w:color w:val="auto"/>
                    </w:rPr>
                    <w:t>/</w:t>
                  </w:r>
                </w:p>
              </w:tc>
              <w:tc>
                <w:tcPr>
                  <w:tcW w:w="794" w:type="dxa"/>
                  <w:vMerge w:val="restart"/>
                  <w:vAlign w:val="center"/>
                </w:tcPr>
                <w:p>
                  <w:pPr>
                    <w:topLinePunct/>
                    <w:adjustRightInd w:val="0"/>
                    <w:snapToGrid w:val="0"/>
                    <w:jc w:val="center"/>
                    <w:rPr>
                      <w:color w:val="auto"/>
                    </w:rPr>
                  </w:pPr>
                  <w:r>
                    <w:rPr>
                      <w:rFonts w:hint="eastAsia"/>
                      <w:color w:val="auto"/>
                    </w:rPr>
                    <w:t>/</w:t>
                  </w: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24" w:type="dxa"/>
                  <w:vMerge w:val="continue"/>
                  <w:vAlign w:val="center"/>
                </w:tcPr>
                <w:p>
                  <w:pPr>
                    <w:topLinePunct/>
                    <w:adjustRightInd w:val="0"/>
                    <w:snapToGrid w:val="0"/>
                    <w:jc w:val="center"/>
                    <w:rPr>
                      <w:color w:val="auto"/>
                    </w:rPr>
                  </w:pPr>
                </w:p>
              </w:tc>
              <w:tc>
                <w:tcPr>
                  <w:tcW w:w="794"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SS</w:t>
                  </w:r>
                </w:p>
              </w:tc>
              <w:tc>
                <w:tcPr>
                  <w:tcW w:w="964" w:type="dxa"/>
                  <w:vMerge w:val="continue"/>
                  <w:vAlign w:val="center"/>
                </w:tcPr>
                <w:p>
                  <w:pPr>
                    <w:topLinePunct/>
                    <w:adjustRightInd w:val="0"/>
                    <w:snapToGrid w:val="0"/>
                    <w:jc w:val="center"/>
                    <w:rPr>
                      <w:color w:val="auto"/>
                    </w:rPr>
                  </w:pPr>
                </w:p>
              </w:tc>
              <w:tc>
                <w:tcPr>
                  <w:tcW w:w="1191" w:type="dxa"/>
                  <w:vMerge w:val="continue"/>
                  <w:vAlign w:val="center"/>
                </w:tcPr>
                <w:p>
                  <w:pPr>
                    <w:topLinePunct/>
                    <w:adjustRightInd w:val="0"/>
                    <w:snapToGrid w:val="0"/>
                    <w:jc w:val="center"/>
                    <w:rPr>
                      <w:color w:val="auto"/>
                    </w:rPr>
                  </w:pPr>
                </w:p>
              </w:tc>
              <w:tc>
                <w:tcPr>
                  <w:tcW w:w="850"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567" w:type="dxa"/>
                  <w:vMerge w:val="continue"/>
                  <w:vAlign w:val="center"/>
                </w:tcPr>
                <w:p>
                  <w:pPr>
                    <w:topLinePunct/>
                    <w:adjustRightInd w:val="0"/>
                    <w:snapToGrid w:val="0"/>
                    <w:jc w:val="center"/>
                    <w:rPr>
                      <w:color w:val="auto"/>
                    </w:rPr>
                  </w:pPr>
                </w:p>
              </w:tc>
              <w:tc>
                <w:tcPr>
                  <w:tcW w:w="794" w:type="dxa"/>
                  <w:vMerge w:val="continue"/>
                  <w:vAlign w:val="center"/>
                </w:tcPr>
                <w:p>
                  <w:pPr>
                    <w:topLinePunct/>
                    <w:adjustRightInd w:val="0"/>
                    <w:snapToGrid w:val="0"/>
                    <w:jc w:val="center"/>
                    <w:rPr>
                      <w:color w:val="auto"/>
                    </w:rPr>
                  </w:pPr>
                </w:p>
              </w:tc>
              <w:tc>
                <w:tcPr>
                  <w:tcW w:w="1587" w:type="dxa"/>
                  <w:vMerge w:val="continue"/>
                  <w:vAlign w:val="center"/>
                </w:tcPr>
                <w:p>
                  <w:pPr>
                    <w:topLinePunct/>
                    <w:adjustRightInd w:val="0"/>
                    <w:snapToGrid w:val="0"/>
                    <w:jc w:val="center"/>
                    <w:rPr>
                      <w:color w:val="auto"/>
                    </w:rPr>
                  </w:pPr>
                </w:p>
              </w:tc>
            </w:tr>
          </w:tbl>
          <w:p>
            <w:pPr>
              <w:topLinePunct/>
              <w:adjustRightInd w:val="0"/>
              <w:snapToGrid w:val="0"/>
              <w:spacing w:before="120" w:beforeLines="50"/>
              <w:jc w:val="center"/>
              <w:rPr>
                <w:b/>
                <w:color w:val="auto"/>
                <w:sz w:val="24"/>
              </w:rPr>
            </w:pPr>
            <w:r>
              <w:rPr>
                <w:rFonts w:hint="eastAsia"/>
                <w:b/>
                <w:color w:val="auto"/>
                <w:sz w:val="24"/>
              </w:rPr>
              <w:t>表4-1</w:t>
            </w:r>
            <w:r>
              <w:rPr>
                <w:rFonts w:hint="eastAsia"/>
                <w:b/>
                <w:color w:val="auto"/>
                <w:sz w:val="24"/>
                <w:lang w:val="en-US" w:eastAsia="zh-CN"/>
              </w:rPr>
              <w:t>1</w:t>
            </w:r>
            <w:r>
              <w:rPr>
                <w:rFonts w:hint="eastAsia"/>
                <w:b/>
                <w:color w:val="auto"/>
                <w:sz w:val="24"/>
              </w:rPr>
              <w:t xml:space="preserve">  废水排放口（间接）基本情况表</w:t>
            </w:r>
          </w:p>
          <w:tbl>
            <w:tblPr>
              <w:tblStyle w:val="28"/>
              <w:tblW w:w="8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743"/>
              <w:gridCol w:w="637"/>
              <w:gridCol w:w="850"/>
              <w:gridCol w:w="680"/>
              <w:gridCol w:w="1191"/>
              <w:gridCol w:w="680"/>
              <w:gridCol w:w="680"/>
              <w:gridCol w:w="842"/>
              <w:gridCol w:w="1765"/>
              <w:gridCol w:w="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0" w:type="dxa"/>
                  <w:vMerge w:val="restart"/>
                  <w:vAlign w:val="center"/>
                </w:tcPr>
                <w:p>
                  <w:pPr>
                    <w:pStyle w:val="74"/>
                    <w:topLinePunct/>
                    <w:rPr>
                      <w:rFonts w:hint="default"/>
                      <w:color w:val="auto"/>
                      <w:szCs w:val="21"/>
                    </w:rPr>
                  </w:pPr>
                  <w:r>
                    <w:rPr>
                      <w:rFonts w:hint="default"/>
                      <w:color w:val="auto"/>
                      <w:szCs w:val="21"/>
                    </w:rPr>
                    <w:t>排放口编号</w:t>
                  </w:r>
                </w:p>
              </w:tc>
              <w:tc>
                <w:tcPr>
                  <w:tcW w:w="1380" w:type="dxa"/>
                  <w:gridSpan w:val="2"/>
                  <w:vAlign w:val="center"/>
                </w:tcPr>
                <w:p>
                  <w:pPr>
                    <w:pStyle w:val="74"/>
                    <w:topLinePunct/>
                    <w:rPr>
                      <w:rFonts w:hint="default"/>
                      <w:color w:val="auto"/>
                      <w:szCs w:val="21"/>
                    </w:rPr>
                  </w:pPr>
                  <w:r>
                    <w:rPr>
                      <w:rFonts w:hint="default"/>
                      <w:color w:val="auto"/>
                      <w:szCs w:val="21"/>
                    </w:rPr>
                    <w:t>排放口坐标</w:t>
                  </w:r>
                </w:p>
              </w:tc>
              <w:tc>
                <w:tcPr>
                  <w:tcW w:w="850" w:type="dxa"/>
                  <w:vMerge w:val="restart"/>
                  <w:vAlign w:val="center"/>
                </w:tcPr>
                <w:p>
                  <w:pPr>
                    <w:pStyle w:val="74"/>
                    <w:topLinePunct/>
                    <w:rPr>
                      <w:rFonts w:hint="default"/>
                      <w:color w:val="auto"/>
                      <w:szCs w:val="21"/>
                    </w:rPr>
                  </w:pPr>
                  <w:r>
                    <w:rPr>
                      <w:rFonts w:hint="default"/>
                      <w:color w:val="auto"/>
                      <w:szCs w:val="21"/>
                    </w:rPr>
                    <w:t>废水排放量</w:t>
                  </w:r>
                </w:p>
                <w:p>
                  <w:pPr>
                    <w:pStyle w:val="74"/>
                    <w:topLinePunct/>
                    <w:rPr>
                      <w:rFonts w:hint="default"/>
                      <w:color w:val="auto"/>
                      <w:szCs w:val="21"/>
                    </w:rPr>
                  </w:pPr>
                  <w:r>
                    <w:rPr>
                      <w:color w:val="auto"/>
                      <w:szCs w:val="21"/>
                    </w:rPr>
                    <w:t>（</w:t>
                  </w:r>
                  <w:r>
                    <w:rPr>
                      <w:rFonts w:hint="default"/>
                      <w:color w:val="auto"/>
                      <w:szCs w:val="21"/>
                    </w:rPr>
                    <w:t>万t/a）</w:t>
                  </w:r>
                </w:p>
              </w:tc>
              <w:tc>
                <w:tcPr>
                  <w:tcW w:w="680" w:type="dxa"/>
                  <w:vMerge w:val="restart"/>
                  <w:vAlign w:val="center"/>
                </w:tcPr>
                <w:p>
                  <w:pPr>
                    <w:pStyle w:val="74"/>
                    <w:topLinePunct/>
                    <w:rPr>
                      <w:rFonts w:hint="default"/>
                      <w:color w:val="auto"/>
                      <w:szCs w:val="21"/>
                    </w:rPr>
                  </w:pPr>
                  <w:r>
                    <w:rPr>
                      <w:rFonts w:hint="default"/>
                      <w:color w:val="auto"/>
                      <w:szCs w:val="21"/>
                    </w:rPr>
                    <w:t>排放去向</w:t>
                  </w:r>
                </w:p>
              </w:tc>
              <w:tc>
                <w:tcPr>
                  <w:tcW w:w="1191" w:type="dxa"/>
                  <w:vMerge w:val="restart"/>
                  <w:vAlign w:val="center"/>
                </w:tcPr>
                <w:p>
                  <w:pPr>
                    <w:pStyle w:val="74"/>
                    <w:topLinePunct/>
                    <w:rPr>
                      <w:rFonts w:hint="default"/>
                      <w:color w:val="auto"/>
                      <w:szCs w:val="21"/>
                    </w:rPr>
                  </w:pPr>
                  <w:r>
                    <w:rPr>
                      <w:rFonts w:hint="default"/>
                      <w:color w:val="auto"/>
                      <w:szCs w:val="21"/>
                    </w:rPr>
                    <w:t>排放规律</w:t>
                  </w:r>
                </w:p>
              </w:tc>
              <w:tc>
                <w:tcPr>
                  <w:tcW w:w="680" w:type="dxa"/>
                  <w:vMerge w:val="restart"/>
                  <w:vAlign w:val="center"/>
                </w:tcPr>
                <w:p>
                  <w:pPr>
                    <w:pStyle w:val="74"/>
                    <w:topLinePunct/>
                    <w:rPr>
                      <w:rFonts w:hint="default"/>
                      <w:color w:val="auto"/>
                      <w:szCs w:val="21"/>
                    </w:rPr>
                  </w:pPr>
                  <w:r>
                    <w:rPr>
                      <w:rFonts w:hint="default"/>
                      <w:color w:val="auto"/>
                      <w:szCs w:val="21"/>
                    </w:rPr>
                    <w:t>间歇排放时段</w:t>
                  </w:r>
                </w:p>
              </w:tc>
              <w:tc>
                <w:tcPr>
                  <w:tcW w:w="3295" w:type="dxa"/>
                  <w:gridSpan w:val="4"/>
                  <w:vAlign w:val="center"/>
                </w:tcPr>
                <w:p>
                  <w:pPr>
                    <w:pStyle w:val="74"/>
                    <w:topLinePunct/>
                    <w:rPr>
                      <w:rFonts w:hint="default"/>
                      <w:color w:val="auto"/>
                      <w:szCs w:val="21"/>
                    </w:rPr>
                  </w:pPr>
                  <w:r>
                    <w:rPr>
                      <w:rFonts w:hint="default"/>
                      <w:color w:val="auto"/>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397" w:hRule="atLeast"/>
                <w:jc w:val="center"/>
              </w:trPr>
              <w:tc>
                <w:tcPr>
                  <w:tcW w:w="850" w:type="dxa"/>
                  <w:vMerge w:val="continue"/>
                  <w:vAlign w:val="center"/>
                </w:tcPr>
                <w:p>
                  <w:pPr>
                    <w:pStyle w:val="74"/>
                    <w:topLinePunct/>
                    <w:rPr>
                      <w:rFonts w:hint="default"/>
                      <w:color w:val="auto"/>
                      <w:szCs w:val="21"/>
                    </w:rPr>
                  </w:pPr>
                </w:p>
              </w:tc>
              <w:tc>
                <w:tcPr>
                  <w:tcW w:w="743" w:type="dxa"/>
                  <w:vAlign w:val="center"/>
                </w:tcPr>
                <w:p>
                  <w:pPr>
                    <w:pStyle w:val="74"/>
                    <w:topLinePunct/>
                    <w:rPr>
                      <w:rFonts w:hint="default"/>
                      <w:color w:val="auto"/>
                      <w:szCs w:val="21"/>
                    </w:rPr>
                  </w:pPr>
                  <w:r>
                    <w:rPr>
                      <w:rFonts w:hint="default"/>
                      <w:color w:val="auto"/>
                      <w:szCs w:val="21"/>
                    </w:rPr>
                    <w:t>经度</w:t>
                  </w:r>
                </w:p>
              </w:tc>
              <w:tc>
                <w:tcPr>
                  <w:tcW w:w="637" w:type="dxa"/>
                  <w:vAlign w:val="center"/>
                </w:tcPr>
                <w:p>
                  <w:pPr>
                    <w:pStyle w:val="74"/>
                    <w:topLinePunct/>
                    <w:rPr>
                      <w:rFonts w:hint="default"/>
                      <w:color w:val="auto"/>
                      <w:szCs w:val="21"/>
                    </w:rPr>
                  </w:pPr>
                  <w:r>
                    <w:rPr>
                      <w:rFonts w:hint="default"/>
                      <w:color w:val="auto"/>
                      <w:szCs w:val="21"/>
                    </w:rPr>
                    <w:t>纬度</w:t>
                  </w:r>
                </w:p>
              </w:tc>
              <w:tc>
                <w:tcPr>
                  <w:tcW w:w="850" w:type="dxa"/>
                  <w:vMerge w:val="continue"/>
                  <w:vAlign w:val="center"/>
                </w:tcPr>
                <w:p>
                  <w:pPr>
                    <w:pStyle w:val="74"/>
                    <w:topLinePunct/>
                    <w:rPr>
                      <w:rFonts w:hint="default"/>
                      <w:color w:val="auto"/>
                      <w:szCs w:val="21"/>
                    </w:rPr>
                  </w:pPr>
                </w:p>
              </w:tc>
              <w:tc>
                <w:tcPr>
                  <w:tcW w:w="680" w:type="dxa"/>
                  <w:vMerge w:val="continue"/>
                  <w:vAlign w:val="center"/>
                </w:tcPr>
                <w:p>
                  <w:pPr>
                    <w:pStyle w:val="74"/>
                    <w:topLinePunct/>
                    <w:rPr>
                      <w:rFonts w:hint="default"/>
                      <w:color w:val="auto"/>
                      <w:szCs w:val="21"/>
                    </w:rPr>
                  </w:pPr>
                </w:p>
              </w:tc>
              <w:tc>
                <w:tcPr>
                  <w:tcW w:w="1191" w:type="dxa"/>
                  <w:vMerge w:val="continue"/>
                  <w:vAlign w:val="center"/>
                </w:tcPr>
                <w:p>
                  <w:pPr>
                    <w:pStyle w:val="74"/>
                    <w:topLinePunct/>
                    <w:rPr>
                      <w:rFonts w:hint="default"/>
                      <w:color w:val="auto"/>
                      <w:szCs w:val="21"/>
                    </w:rPr>
                  </w:pPr>
                </w:p>
              </w:tc>
              <w:tc>
                <w:tcPr>
                  <w:tcW w:w="680" w:type="dxa"/>
                  <w:vMerge w:val="continue"/>
                  <w:vAlign w:val="center"/>
                </w:tcPr>
                <w:p>
                  <w:pPr>
                    <w:pStyle w:val="74"/>
                    <w:topLinePunct/>
                    <w:rPr>
                      <w:rFonts w:hint="default"/>
                      <w:color w:val="auto"/>
                      <w:szCs w:val="21"/>
                    </w:rPr>
                  </w:pPr>
                </w:p>
              </w:tc>
              <w:tc>
                <w:tcPr>
                  <w:tcW w:w="680" w:type="dxa"/>
                  <w:vAlign w:val="center"/>
                </w:tcPr>
                <w:p>
                  <w:pPr>
                    <w:pStyle w:val="74"/>
                    <w:topLinePunct/>
                    <w:rPr>
                      <w:rFonts w:hint="default"/>
                      <w:color w:val="auto"/>
                      <w:szCs w:val="21"/>
                    </w:rPr>
                  </w:pPr>
                  <w:r>
                    <w:rPr>
                      <w:rFonts w:hint="default"/>
                      <w:color w:val="auto"/>
                      <w:szCs w:val="21"/>
                    </w:rPr>
                    <w:t>名称</w:t>
                  </w:r>
                </w:p>
              </w:tc>
              <w:tc>
                <w:tcPr>
                  <w:tcW w:w="842" w:type="dxa"/>
                  <w:vAlign w:val="center"/>
                </w:tcPr>
                <w:p>
                  <w:pPr>
                    <w:pStyle w:val="74"/>
                    <w:topLinePunct/>
                    <w:rPr>
                      <w:rFonts w:hint="default"/>
                      <w:color w:val="auto"/>
                      <w:szCs w:val="21"/>
                    </w:rPr>
                  </w:pPr>
                  <w:r>
                    <w:rPr>
                      <w:rFonts w:hint="default"/>
                      <w:color w:val="auto"/>
                      <w:szCs w:val="21"/>
                    </w:rPr>
                    <w:t>污染物种类</w:t>
                  </w:r>
                </w:p>
              </w:tc>
              <w:tc>
                <w:tcPr>
                  <w:tcW w:w="1765" w:type="dxa"/>
                  <w:vAlign w:val="center"/>
                </w:tcPr>
                <w:p>
                  <w:pPr>
                    <w:pStyle w:val="74"/>
                    <w:topLinePunct/>
                    <w:rPr>
                      <w:rFonts w:hint="default"/>
                      <w:color w:val="auto"/>
                      <w:szCs w:val="21"/>
                    </w:rPr>
                  </w:pPr>
                  <w:r>
                    <w:rPr>
                      <w:color w:val="auto"/>
                      <w:szCs w:val="21"/>
                    </w:rPr>
                    <w:t>（</w:t>
                  </w:r>
                  <w:r>
                    <w:rPr>
                      <w:rFonts w:hint="default"/>
                      <w:color w:val="auto"/>
                      <w:szCs w:val="21"/>
                    </w:rPr>
                    <w:t>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397" w:hRule="atLeast"/>
                <w:jc w:val="center"/>
              </w:trPr>
              <w:tc>
                <w:tcPr>
                  <w:tcW w:w="850" w:type="dxa"/>
                  <w:vMerge w:val="restart"/>
                  <w:vAlign w:val="center"/>
                </w:tcPr>
                <w:p>
                  <w:pPr>
                    <w:topLinePunct/>
                    <w:adjustRightInd w:val="0"/>
                    <w:snapToGrid w:val="0"/>
                    <w:jc w:val="center"/>
                    <w:rPr>
                      <w:color w:val="auto"/>
                      <w:szCs w:val="21"/>
                    </w:rPr>
                  </w:pPr>
                  <w:r>
                    <w:rPr>
                      <w:color w:val="auto"/>
                      <w:szCs w:val="21"/>
                    </w:rPr>
                    <w:t>DW001</w:t>
                  </w:r>
                </w:p>
              </w:tc>
              <w:tc>
                <w:tcPr>
                  <w:tcW w:w="743" w:type="dxa"/>
                  <w:vMerge w:val="restart"/>
                  <w:vAlign w:val="center"/>
                </w:tcPr>
                <w:p>
                  <w:pPr>
                    <w:pStyle w:val="25"/>
                    <w:widowControl w:val="0"/>
                    <w:autoSpaceDE w:val="0"/>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117.401585°</w:t>
                  </w:r>
                </w:p>
              </w:tc>
              <w:tc>
                <w:tcPr>
                  <w:tcW w:w="637" w:type="dxa"/>
                  <w:vMerge w:val="restart"/>
                  <w:vAlign w:val="center"/>
                </w:tcPr>
                <w:p>
                  <w:pPr>
                    <w:widowControl/>
                    <w:autoSpaceDE w:val="0"/>
                    <w:adjustRightInd w:val="0"/>
                    <w:snapToGrid w:val="0"/>
                    <w:jc w:val="center"/>
                    <w:rPr>
                      <w:color w:val="auto"/>
                      <w:szCs w:val="21"/>
                    </w:rPr>
                  </w:pPr>
                  <w:r>
                    <w:rPr>
                      <w:color w:val="auto"/>
                      <w:szCs w:val="21"/>
                    </w:rPr>
                    <w:t>33.1138</w:t>
                  </w:r>
                  <w:r>
                    <w:rPr>
                      <w:rFonts w:hint="eastAsia"/>
                      <w:color w:val="auto"/>
                      <w:szCs w:val="21"/>
                    </w:rPr>
                    <w:t>1°</w:t>
                  </w:r>
                </w:p>
              </w:tc>
              <w:tc>
                <w:tcPr>
                  <w:tcW w:w="850" w:type="dxa"/>
                  <w:vMerge w:val="restart"/>
                  <w:vAlign w:val="center"/>
                </w:tcPr>
                <w:p>
                  <w:pPr>
                    <w:topLinePunct/>
                    <w:adjustRightInd w:val="0"/>
                    <w:snapToGrid w:val="0"/>
                    <w:jc w:val="center"/>
                    <w:rPr>
                      <w:rFonts w:hint="eastAsia" w:eastAsia="宋体"/>
                      <w:color w:val="auto"/>
                      <w:szCs w:val="21"/>
                      <w:lang w:eastAsia="zh-CN"/>
                    </w:rPr>
                  </w:pPr>
                  <w:r>
                    <w:rPr>
                      <w:rFonts w:hint="eastAsia"/>
                      <w:color w:val="auto"/>
                      <w:szCs w:val="21"/>
                      <w:lang w:eastAsia="zh-CN"/>
                    </w:rPr>
                    <w:t>0.0364</w:t>
                  </w:r>
                </w:p>
              </w:tc>
              <w:tc>
                <w:tcPr>
                  <w:tcW w:w="680" w:type="dxa"/>
                  <w:vMerge w:val="restart"/>
                  <w:vAlign w:val="center"/>
                </w:tcPr>
                <w:p>
                  <w:pPr>
                    <w:topLinePunct/>
                    <w:adjustRightInd w:val="0"/>
                    <w:snapToGrid w:val="0"/>
                    <w:jc w:val="center"/>
                    <w:rPr>
                      <w:rFonts w:hint="eastAsia" w:eastAsia="宋体"/>
                      <w:color w:val="auto"/>
                      <w:szCs w:val="21"/>
                      <w:lang w:eastAsia="zh-CN"/>
                    </w:rPr>
                  </w:pPr>
                  <w:r>
                    <w:rPr>
                      <w:rFonts w:hint="eastAsia"/>
                      <w:color w:val="auto"/>
                      <w:szCs w:val="21"/>
                      <w:lang w:eastAsia="zh-CN"/>
                    </w:rPr>
                    <w:t>蚌埠铜陵现代产业园污水处理厂</w:t>
                  </w:r>
                </w:p>
              </w:tc>
              <w:tc>
                <w:tcPr>
                  <w:tcW w:w="1191" w:type="dxa"/>
                  <w:vMerge w:val="restart"/>
                  <w:vAlign w:val="center"/>
                </w:tcPr>
                <w:p>
                  <w:pPr>
                    <w:topLinePunct/>
                    <w:adjustRightInd w:val="0"/>
                    <w:snapToGrid w:val="0"/>
                    <w:jc w:val="center"/>
                    <w:rPr>
                      <w:color w:val="auto"/>
                      <w:szCs w:val="21"/>
                    </w:rPr>
                  </w:pPr>
                  <w:r>
                    <w:rPr>
                      <w:color w:val="auto"/>
                      <w:szCs w:val="21"/>
                    </w:rPr>
                    <w:t>间断排放，排放期间流量不稳定且无规律，但不属于冲击型排放</w:t>
                  </w:r>
                </w:p>
              </w:tc>
              <w:tc>
                <w:tcPr>
                  <w:tcW w:w="680" w:type="dxa"/>
                  <w:vMerge w:val="restart"/>
                  <w:vAlign w:val="center"/>
                </w:tcPr>
                <w:p>
                  <w:pPr>
                    <w:topLinePunct/>
                    <w:adjustRightInd w:val="0"/>
                    <w:snapToGrid w:val="0"/>
                    <w:jc w:val="center"/>
                    <w:rPr>
                      <w:color w:val="auto"/>
                      <w:szCs w:val="21"/>
                    </w:rPr>
                  </w:pPr>
                  <w:r>
                    <w:rPr>
                      <w:color w:val="auto"/>
                      <w:szCs w:val="21"/>
                    </w:rPr>
                    <w:t>/</w:t>
                  </w:r>
                </w:p>
              </w:tc>
              <w:tc>
                <w:tcPr>
                  <w:tcW w:w="680" w:type="dxa"/>
                  <w:vMerge w:val="restart"/>
                  <w:vAlign w:val="center"/>
                </w:tcPr>
                <w:p>
                  <w:pPr>
                    <w:topLinePunct/>
                    <w:adjustRightInd w:val="0"/>
                    <w:snapToGrid w:val="0"/>
                    <w:jc w:val="center"/>
                    <w:rPr>
                      <w:rFonts w:hint="eastAsia" w:eastAsia="宋体"/>
                      <w:color w:val="auto"/>
                      <w:szCs w:val="21"/>
                      <w:lang w:eastAsia="zh-CN"/>
                    </w:rPr>
                  </w:pPr>
                  <w:r>
                    <w:rPr>
                      <w:rFonts w:hint="eastAsia"/>
                      <w:color w:val="auto"/>
                      <w:szCs w:val="21"/>
                      <w:lang w:eastAsia="zh-CN"/>
                    </w:rPr>
                    <w:t>蚌埠铜陵现代产业园污水处理厂</w:t>
                  </w:r>
                </w:p>
              </w:tc>
              <w:tc>
                <w:tcPr>
                  <w:tcW w:w="842" w:type="dxa"/>
                  <w:vAlign w:val="center"/>
                </w:tcPr>
                <w:p>
                  <w:pPr>
                    <w:overflowPunct w:val="0"/>
                    <w:autoSpaceDE w:val="0"/>
                    <w:autoSpaceDN w:val="0"/>
                    <w:adjustRightInd w:val="0"/>
                    <w:snapToGrid w:val="0"/>
                    <w:jc w:val="center"/>
                    <w:rPr>
                      <w:bCs/>
                      <w:snapToGrid w:val="0"/>
                      <w:color w:val="auto"/>
                      <w:kern w:val="0"/>
                      <w:szCs w:val="21"/>
                    </w:rPr>
                  </w:pPr>
                  <w:r>
                    <w:rPr>
                      <w:color w:val="auto"/>
                      <w:szCs w:val="21"/>
                    </w:rPr>
                    <w:t>pH</w:t>
                  </w:r>
                </w:p>
              </w:tc>
              <w:tc>
                <w:tcPr>
                  <w:tcW w:w="1765" w:type="dxa"/>
                  <w:vAlign w:val="center"/>
                </w:tcPr>
                <w:p>
                  <w:pPr>
                    <w:topLinePunct/>
                    <w:adjustRightInd w:val="0"/>
                    <w:snapToGrid w:val="0"/>
                    <w:jc w:val="center"/>
                    <w:rPr>
                      <w:color w:val="auto"/>
                      <w:szCs w:val="21"/>
                    </w:rPr>
                  </w:pPr>
                  <w:r>
                    <w:rPr>
                      <w:color w:val="auto"/>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0" w:type="dxa"/>
                  <w:vMerge w:val="continue"/>
                  <w:vAlign w:val="center"/>
                </w:tcPr>
                <w:p>
                  <w:pPr>
                    <w:topLinePunct/>
                    <w:adjustRightInd w:val="0"/>
                    <w:snapToGrid w:val="0"/>
                    <w:jc w:val="center"/>
                    <w:rPr>
                      <w:color w:val="auto"/>
                      <w:szCs w:val="21"/>
                    </w:rPr>
                  </w:pPr>
                </w:p>
              </w:tc>
              <w:tc>
                <w:tcPr>
                  <w:tcW w:w="743" w:type="dxa"/>
                  <w:vMerge w:val="continue"/>
                  <w:vAlign w:val="center"/>
                </w:tcPr>
                <w:p>
                  <w:pPr>
                    <w:topLinePunct/>
                    <w:adjustRightInd w:val="0"/>
                    <w:snapToGrid w:val="0"/>
                    <w:jc w:val="center"/>
                    <w:rPr>
                      <w:color w:val="auto"/>
                      <w:szCs w:val="21"/>
                    </w:rPr>
                  </w:pPr>
                </w:p>
              </w:tc>
              <w:tc>
                <w:tcPr>
                  <w:tcW w:w="637" w:type="dxa"/>
                  <w:vMerge w:val="continue"/>
                  <w:vAlign w:val="center"/>
                </w:tcPr>
                <w:p>
                  <w:pPr>
                    <w:topLinePunct/>
                    <w:adjustRightInd w:val="0"/>
                    <w:snapToGrid w:val="0"/>
                    <w:jc w:val="center"/>
                    <w:rPr>
                      <w:color w:val="auto"/>
                      <w:szCs w:val="21"/>
                    </w:rPr>
                  </w:pPr>
                </w:p>
              </w:tc>
              <w:tc>
                <w:tcPr>
                  <w:tcW w:w="85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1191"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842"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COD</w:t>
                  </w:r>
                </w:p>
              </w:tc>
              <w:tc>
                <w:tcPr>
                  <w:tcW w:w="1773" w:type="dxa"/>
                  <w:gridSpan w:val="2"/>
                  <w:vAlign w:val="center"/>
                </w:tcPr>
                <w:p>
                  <w:pPr>
                    <w:topLinePunct/>
                    <w:adjustRightInd w:val="0"/>
                    <w:snapToGrid w:val="0"/>
                    <w:jc w:val="center"/>
                    <w:rPr>
                      <w:color w:val="auto"/>
                      <w:szCs w:val="21"/>
                    </w:rPr>
                  </w:pPr>
                  <w:r>
                    <w:rPr>
                      <w:color w:val="auto"/>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0" w:type="dxa"/>
                  <w:vMerge w:val="continue"/>
                  <w:vAlign w:val="center"/>
                </w:tcPr>
                <w:p>
                  <w:pPr>
                    <w:topLinePunct/>
                    <w:adjustRightInd w:val="0"/>
                    <w:snapToGrid w:val="0"/>
                    <w:jc w:val="center"/>
                    <w:rPr>
                      <w:color w:val="auto"/>
                      <w:szCs w:val="21"/>
                    </w:rPr>
                  </w:pPr>
                </w:p>
              </w:tc>
              <w:tc>
                <w:tcPr>
                  <w:tcW w:w="743" w:type="dxa"/>
                  <w:vMerge w:val="continue"/>
                  <w:vAlign w:val="center"/>
                </w:tcPr>
                <w:p>
                  <w:pPr>
                    <w:topLinePunct/>
                    <w:adjustRightInd w:val="0"/>
                    <w:snapToGrid w:val="0"/>
                    <w:jc w:val="center"/>
                    <w:rPr>
                      <w:color w:val="auto"/>
                      <w:szCs w:val="21"/>
                    </w:rPr>
                  </w:pPr>
                </w:p>
              </w:tc>
              <w:tc>
                <w:tcPr>
                  <w:tcW w:w="637" w:type="dxa"/>
                  <w:vMerge w:val="continue"/>
                  <w:vAlign w:val="center"/>
                </w:tcPr>
                <w:p>
                  <w:pPr>
                    <w:topLinePunct/>
                    <w:adjustRightInd w:val="0"/>
                    <w:snapToGrid w:val="0"/>
                    <w:jc w:val="center"/>
                    <w:rPr>
                      <w:color w:val="auto"/>
                      <w:szCs w:val="21"/>
                    </w:rPr>
                  </w:pPr>
                </w:p>
              </w:tc>
              <w:tc>
                <w:tcPr>
                  <w:tcW w:w="85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1191"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842"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BOD</w:t>
                  </w:r>
                  <w:r>
                    <w:rPr>
                      <w:bCs/>
                      <w:snapToGrid w:val="0"/>
                      <w:color w:val="auto"/>
                      <w:kern w:val="0"/>
                      <w:szCs w:val="21"/>
                      <w:vertAlign w:val="subscript"/>
                    </w:rPr>
                    <w:t>5</w:t>
                  </w:r>
                </w:p>
              </w:tc>
              <w:tc>
                <w:tcPr>
                  <w:tcW w:w="1773" w:type="dxa"/>
                  <w:gridSpan w:val="2"/>
                  <w:vAlign w:val="center"/>
                </w:tcPr>
                <w:p>
                  <w:pPr>
                    <w:topLinePunct/>
                    <w:adjustRightInd w:val="0"/>
                    <w:snapToGrid w:val="0"/>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0" w:type="dxa"/>
                  <w:vMerge w:val="continue"/>
                  <w:vAlign w:val="center"/>
                </w:tcPr>
                <w:p>
                  <w:pPr>
                    <w:topLinePunct/>
                    <w:adjustRightInd w:val="0"/>
                    <w:snapToGrid w:val="0"/>
                    <w:jc w:val="center"/>
                    <w:rPr>
                      <w:color w:val="auto"/>
                      <w:szCs w:val="21"/>
                    </w:rPr>
                  </w:pPr>
                </w:p>
              </w:tc>
              <w:tc>
                <w:tcPr>
                  <w:tcW w:w="743" w:type="dxa"/>
                  <w:vMerge w:val="continue"/>
                  <w:vAlign w:val="center"/>
                </w:tcPr>
                <w:p>
                  <w:pPr>
                    <w:topLinePunct/>
                    <w:adjustRightInd w:val="0"/>
                    <w:snapToGrid w:val="0"/>
                    <w:jc w:val="center"/>
                    <w:rPr>
                      <w:color w:val="auto"/>
                      <w:szCs w:val="21"/>
                    </w:rPr>
                  </w:pPr>
                </w:p>
              </w:tc>
              <w:tc>
                <w:tcPr>
                  <w:tcW w:w="637" w:type="dxa"/>
                  <w:vMerge w:val="continue"/>
                  <w:vAlign w:val="center"/>
                </w:tcPr>
                <w:p>
                  <w:pPr>
                    <w:topLinePunct/>
                    <w:adjustRightInd w:val="0"/>
                    <w:snapToGrid w:val="0"/>
                    <w:jc w:val="center"/>
                    <w:rPr>
                      <w:color w:val="auto"/>
                      <w:szCs w:val="21"/>
                    </w:rPr>
                  </w:pPr>
                </w:p>
              </w:tc>
              <w:tc>
                <w:tcPr>
                  <w:tcW w:w="85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1191"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842"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SS</w:t>
                  </w:r>
                </w:p>
              </w:tc>
              <w:tc>
                <w:tcPr>
                  <w:tcW w:w="1773" w:type="dxa"/>
                  <w:gridSpan w:val="2"/>
                  <w:vAlign w:val="center"/>
                </w:tcPr>
                <w:p>
                  <w:pPr>
                    <w:topLinePunct/>
                    <w:adjustRightInd w:val="0"/>
                    <w:snapToGrid w:val="0"/>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0" w:type="dxa"/>
                  <w:vMerge w:val="continue"/>
                  <w:vAlign w:val="center"/>
                </w:tcPr>
                <w:p>
                  <w:pPr>
                    <w:topLinePunct/>
                    <w:adjustRightInd w:val="0"/>
                    <w:snapToGrid w:val="0"/>
                    <w:jc w:val="center"/>
                    <w:rPr>
                      <w:color w:val="auto"/>
                      <w:szCs w:val="21"/>
                    </w:rPr>
                  </w:pPr>
                </w:p>
              </w:tc>
              <w:tc>
                <w:tcPr>
                  <w:tcW w:w="743" w:type="dxa"/>
                  <w:vMerge w:val="continue"/>
                  <w:vAlign w:val="center"/>
                </w:tcPr>
                <w:p>
                  <w:pPr>
                    <w:topLinePunct/>
                    <w:adjustRightInd w:val="0"/>
                    <w:snapToGrid w:val="0"/>
                    <w:jc w:val="center"/>
                    <w:rPr>
                      <w:color w:val="auto"/>
                      <w:szCs w:val="21"/>
                    </w:rPr>
                  </w:pPr>
                </w:p>
              </w:tc>
              <w:tc>
                <w:tcPr>
                  <w:tcW w:w="637" w:type="dxa"/>
                  <w:vMerge w:val="continue"/>
                  <w:vAlign w:val="center"/>
                </w:tcPr>
                <w:p>
                  <w:pPr>
                    <w:topLinePunct/>
                    <w:adjustRightInd w:val="0"/>
                    <w:snapToGrid w:val="0"/>
                    <w:jc w:val="center"/>
                    <w:rPr>
                      <w:color w:val="auto"/>
                      <w:szCs w:val="21"/>
                    </w:rPr>
                  </w:pPr>
                </w:p>
              </w:tc>
              <w:tc>
                <w:tcPr>
                  <w:tcW w:w="85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1191"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680" w:type="dxa"/>
                  <w:vMerge w:val="continue"/>
                  <w:vAlign w:val="center"/>
                </w:tcPr>
                <w:p>
                  <w:pPr>
                    <w:topLinePunct/>
                    <w:adjustRightInd w:val="0"/>
                    <w:snapToGrid w:val="0"/>
                    <w:jc w:val="center"/>
                    <w:rPr>
                      <w:color w:val="auto"/>
                      <w:szCs w:val="21"/>
                    </w:rPr>
                  </w:pPr>
                </w:p>
              </w:tc>
              <w:tc>
                <w:tcPr>
                  <w:tcW w:w="842"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NH</w:t>
                  </w:r>
                  <w:r>
                    <w:rPr>
                      <w:bCs/>
                      <w:snapToGrid w:val="0"/>
                      <w:color w:val="auto"/>
                      <w:kern w:val="0"/>
                      <w:szCs w:val="21"/>
                      <w:vertAlign w:val="subscript"/>
                    </w:rPr>
                    <w:t>3</w:t>
                  </w:r>
                  <w:r>
                    <w:rPr>
                      <w:bCs/>
                      <w:snapToGrid w:val="0"/>
                      <w:color w:val="auto"/>
                      <w:kern w:val="0"/>
                      <w:szCs w:val="21"/>
                    </w:rPr>
                    <w:t>-N</w:t>
                  </w:r>
                </w:p>
              </w:tc>
              <w:tc>
                <w:tcPr>
                  <w:tcW w:w="1773" w:type="dxa"/>
                  <w:gridSpan w:val="2"/>
                  <w:vAlign w:val="center"/>
                </w:tcPr>
                <w:p>
                  <w:pPr>
                    <w:topLinePunct/>
                    <w:adjustRightInd w:val="0"/>
                    <w:snapToGrid w:val="0"/>
                    <w:jc w:val="center"/>
                    <w:rPr>
                      <w:color w:val="auto"/>
                      <w:szCs w:val="21"/>
                    </w:rPr>
                  </w:pPr>
                  <w:r>
                    <w:rPr>
                      <w:color w:val="auto"/>
                      <w:szCs w:val="21"/>
                    </w:rPr>
                    <w:t>5</w:t>
                  </w:r>
                </w:p>
              </w:tc>
            </w:tr>
          </w:tbl>
          <w:p>
            <w:pPr>
              <w:topLinePunct/>
              <w:adjustRightInd w:val="0"/>
              <w:snapToGrid w:val="0"/>
              <w:spacing w:before="120" w:beforeLines="50"/>
              <w:jc w:val="center"/>
              <w:rPr>
                <w:b/>
                <w:color w:val="auto"/>
                <w:sz w:val="24"/>
              </w:rPr>
            </w:pPr>
            <w:r>
              <w:rPr>
                <w:rFonts w:hint="eastAsia"/>
                <w:b/>
                <w:color w:val="auto"/>
                <w:sz w:val="24"/>
              </w:rPr>
              <w:t>表4-1</w:t>
            </w:r>
            <w:r>
              <w:rPr>
                <w:rFonts w:hint="eastAsia"/>
                <w:b/>
                <w:color w:val="auto"/>
                <w:sz w:val="24"/>
                <w:lang w:val="en-US" w:eastAsia="zh-CN"/>
              </w:rPr>
              <w:t>2</w:t>
            </w:r>
            <w:r>
              <w:rPr>
                <w:rFonts w:hint="eastAsia"/>
                <w:b/>
                <w:color w:val="auto"/>
                <w:sz w:val="24"/>
              </w:rPr>
              <w:t xml:space="preserve">  建设项目废水污染物排放信息表</w:t>
            </w:r>
          </w:p>
          <w:tbl>
            <w:tblPr>
              <w:tblStyle w:val="28"/>
              <w:tblpPr w:leftFromText="181" w:rightFromText="181" w:bottomFromText="113" w:vertAnchor="text" w:tblpXSpec="center" w:tblpY="1"/>
              <w:tblOverlap w:val="never"/>
              <w:tblW w:w="8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600"/>
              <w:gridCol w:w="610"/>
              <w:gridCol w:w="685"/>
              <w:gridCol w:w="685"/>
              <w:gridCol w:w="727"/>
              <w:gridCol w:w="650"/>
              <w:gridCol w:w="786"/>
              <w:gridCol w:w="788"/>
              <w:gridCol w:w="1156"/>
              <w:gridCol w:w="822"/>
              <w:gridCol w:w="623"/>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种类</w:t>
                  </w:r>
                </w:p>
              </w:tc>
              <w:tc>
                <w:tcPr>
                  <w:tcW w:w="344"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废水量</w:t>
                  </w:r>
                </w:p>
                <w:p>
                  <w:pPr>
                    <w:overflowPunct w:val="0"/>
                    <w:autoSpaceDE w:val="0"/>
                    <w:autoSpaceDN w:val="0"/>
                    <w:adjustRightInd w:val="0"/>
                    <w:snapToGrid w:val="0"/>
                    <w:jc w:val="center"/>
                    <w:rPr>
                      <w:b/>
                      <w:bCs/>
                      <w:snapToGrid w:val="0"/>
                      <w:color w:val="auto"/>
                      <w:kern w:val="0"/>
                      <w:szCs w:val="21"/>
                    </w:rPr>
                  </w:pPr>
                  <w:r>
                    <w:rPr>
                      <w:rFonts w:hint="eastAsia"/>
                      <w:b/>
                      <w:bCs/>
                      <w:snapToGrid w:val="0"/>
                      <w:color w:val="auto"/>
                      <w:kern w:val="0"/>
                      <w:szCs w:val="21"/>
                    </w:rPr>
                    <w:t>（</w:t>
                  </w:r>
                  <w:r>
                    <w:rPr>
                      <w:b/>
                      <w:bCs/>
                      <w:snapToGrid w:val="0"/>
                      <w:color w:val="auto"/>
                      <w:kern w:val="0"/>
                      <w:szCs w:val="21"/>
                    </w:rPr>
                    <w:t>t/a</w:t>
                  </w:r>
                  <w:r>
                    <w:rPr>
                      <w:rFonts w:hint="eastAsia"/>
                      <w:b/>
                      <w:bCs/>
                      <w:snapToGrid w:val="0"/>
                      <w:color w:val="auto"/>
                      <w:kern w:val="0"/>
                      <w:szCs w:val="21"/>
                    </w:rPr>
                    <w:t>）</w:t>
                  </w:r>
                </w:p>
              </w:tc>
              <w:tc>
                <w:tcPr>
                  <w:tcW w:w="386"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污染物</w:t>
                  </w:r>
                </w:p>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名称</w:t>
                  </w:r>
                </w:p>
              </w:tc>
              <w:tc>
                <w:tcPr>
                  <w:tcW w:w="796" w:type="pct"/>
                  <w:gridSpan w:val="2"/>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污染物产生量</w:t>
                  </w:r>
                </w:p>
              </w:tc>
              <w:tc>
                <w:tcPr>
                  <w:tcW w:w="367"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治理</w:t>
                  </w:r>
                </w:p>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措施</w:t>
                  </w:r>
                </w:p>
              </w:tc>
              <w:tc>
                <w:tcPr>
                  <w:tcW w:w="889" w:type="pct"/>
                  <w:gridSpan w:val="2"/>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rFonts w:hint="eastAsia"/>
                      <w:b/>
                      <w:bCs/>
                      <w:snapToGrid w:val="0"/>
                      <w:color w:val="auto"/>
                      <w:kern w:val="0"/>
                      <w:szCs w:val="21"/>
                    </w:rPr>
                    <w:t>收集</w:t>
                  </w:r>
                  <w:r>
                    <w:rPr>
                      <w:b/>
                      <w:bCs/>
                      <w:snapToGrid w:val="0"/>
                      <w:color w:val="auto"/>
                      <w:kern w:val="0"/>
                      <w:szCs w:val="21"/>
                    </w:rPr>
                    <w:t>后</w:t>
                  </w:r>
                </w:p>
              </w:tc>
              <w:tc>
                <w:tcPr>
                  <w:tcW w:w="652"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排放标准浓度限值</w:t>
                  </w:r>
                </w:p>
              </w:tc>
              <w:tc>
                <w:tcPr>
                  <w:tcW w:w="464" w:type="pct"/>
                  <w:vMerge w:val="restar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排放去向</w:t>
                  </w:r>
                </w:p>
              </w:tc>
              <w:tc>
                <w:tcPr>
                  <w:tcW w:w="760" w:type="pct"/>
                  <w:gridSpan w:val="2"/>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rFonts w:hint="eastAsia"/>
                      <w:b/>
                      <w:bCs/>
                      <w:snapToGrid w:val="0"/>
                      <w:color w:val="auto"/>
                      <w:kern w:val="0"/>
                      <w:szCs w:val="21"/>
                    </w:rPr>
                    <w:t>最终排放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浓度</w:t>
                  </w:r>
                </w:p>
              </w:tc>
              <w:tc>
                <w:tcPr>
                  <w:tcW w:w="409"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产生量</w:t>
                  </w:r>
                </w:p>
              </w:tc>
              <w:tc>
                <w:tcPr>
                  <w:tcW w:w="367" w:type="pct"/>
                  <w:vMerge w:val="continue"/>
                  <w:tcBorders>
                    <w:tl2br w:val="nil"/>
                    <w:tr2bl w:val="nil"/>
                  </w:tcBorders>
                  <w:noWrap/>
                  <w:vAlign w:val="center"/>
                </w:tcPr>
                <w:p>
                  <w:pPr>
                    <w:adjustRightInd w:val="0"/>
                    <w:snapToGrid w:val="0"/>
                    <w:jc w:val="center"/>
                    <w:rPr>
                      <w:b/>
                      <w:bCs/>
                      <w:snapToGrid w:val="0"/>
                      <w:color w:val="auto"/>
                      <w:kern w:val="0"/>
                      <w:szCs w:val="21"/>
                    </w:rPr>
                  </w:pPr>
                </w:p>
              </w:tc>
              <w:tc>
                <w:tcPr>
                  <w:tcW w:w="444"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浓度</w:t>
                  </w:r>
                </w:p>
              </w:tc>
              <w:tc>
                <w:tcPr>
                  <w:tcW w:w="444"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排放量</w:t>
                  </w:r>
                </w:p>
              </w:tc>
              <w:tc>
                <w:tcPr>
                  <w:tcW w:w="652"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浓度</w:t>
                  </w:r>
                </w:p>
              </w:tc>
              <w:tc>
                <w:tcPr>
                  <w:tcW w:w="407"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mg/L</w:t>
                  </w:r>
                </w:p>
              </w:tc>
              <w:tc>
                <w:tcPr>
                  <w:tcW w:w="409"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t/a</w:t>
                  </w:r>
                </w:p>
              </w:tc>
              <w:tc>
                <w:tcPr>
                  <w:tcW w:w="367" w:type="pct"/>
                  <w:vMerge w:val="continue"/>
                  <w:tcBorders>
                    <w:tl2br w:val="nil"/>
                    <w:tr2bl w:val="nil"/>
                  </w:tcBorders>
                  <w:noWrap/>
                  <w:vAlign w:val="center"/>
                </w:tcPr>
                <w:p>
                  <w:pPr>
                    <w:adjustRightInd w:val="0"/>
                    <w:snapToGrid w:val="0"/>
                    <w:jc w:val="center"/>
                    <w:rPr>
                      <w:b/>
                      <w:bCs/>
                      <w:snapToGrid w:val="0"/>
                      <w:color w:val="auto"/>
                      <w:kern w:val="0"/>
                      <w:szCs w:val="21"/>
                    </w:rPr>
                  </w:pPr>
                </w:p>
              </w:tc>
              <w:tc>
                <w:tcPr>
                  <w:tcW w:w="444"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mg/L</w:t>
                  </w:r>
                </w:p>
              </w:tc>
              <w:tc>
                <w:tcPr>
                  <w:tcW w:w="444"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t/a</w:t>
                  </w:r>
                </w:p>
              </w:tc>
              <w:tc>
                <w:tcPr>
                  <w:tcW w:w="652" w:type="pct"/>
                  <w:tcBorders>
                    <w:tl2br w:val="nil"/>
                    <w:tr2bl w:val="nil"/>
                  </w:tcBorders>
                  <w:noWrap/>
                  <w:vAlign w:val="center"/>
                </w:tcPr>
                <w:p>
                  <w:pPr>
                    <w:adjustRightInd w:val="0"/>
                    <w:snapToGrid w:val="0"/>
                    <w:jc w:val="center"/>
                    <w:rPr>
                      <w:bCs/>
                      <w:snapToGrid w:val="0"/>
                      <w:color w:val="auto"/>
                      <w:kern w:val="0"/>
                      <w:szCs w:val="21"/>
                    </w:rPr>
                  </w:pPr>
                  <w:r>
                    <w:rPr>
                      <w:b/>
                      <w:bCs/>
                      <w:snapToGrid w:val="0"/>
                      <w:color w:val="auto"/>
                      <w:kern w:val="0"/>
                      <w:szCs w:val="21"/>
                    </w:rPr>
                    <w:t>mg/L</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mg/L</w:t>
                  </w:r>
                </w:p>
              </w:tc>
              <w:tc>
                <w:tcPr>
                  <w:tcW w:w="407" w:type="pct"/>
                  <w:tcBorders>
                    <w:tl2br w:val="nil"/>
                    <w:tr2bl w:val="nil"/>
                  </w:tcBorders>
                  <w:noWrap/>
                  <w:vAlign w:val="center"/>
                </w:tcPr>
                <w:p>
                  <w:pPr>
                    <w:overflowPunct w:val="0"/>
                    <w:autoSpaceDE w:val="0"/>
                    <w:autoSpaceDN w:val="0"/>
                    <w:adjustRightInd w:val="0"/>
                    <w:snapToGrid w:val="0"/>
                    <w:jc w:val="center"/>
                    <w:rPr>
                      <w:b/>
                      <w:bCs/>
                      <w:snapToGrid w:val="0"/>
                      <w:color w:val="auto"/>
                      <w:kern w:val="0"/>
                      <w:szCs w:val="21"/>
                    </w:rPr>
                  </w:pPr>
                  <w:r>
                    <w:rPr>
                      <w:b/>
                      <w:bCs/>
                      <w:snapToGrid w:val="0"/>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restar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生活</w:t>
                  </w:r>
                </w:p>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污水</w:t>
                  </w:r>
                </w:p>
              </w:tc>
              <w:tc>
                <w:tcPr>
                  <w:tcW w:w="344" w:type="pct"/>
                  <w:vMerge w:val="restar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360</w:t>
                  </w: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COD</w:t>
                  </w:r>
                </w:p>
              </w:tc>
              <w:tc>
                <w:tcPr>
                  <w:tcW w:w="386"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300</w:t>
                  </w:r>
                </w:p>
              </w:tc>
              <w:tc>
                <w:tcPr>
                  <w:tcW w:w="409"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0.1080</w:t>
                  </w:r>
                </w:p>
              </w:tc>
              <w:tc>
                <w:tcPr>
                  <w:tcW w:w="367" w:type="pct"/>
                  <w:vMerge w:val="restart"/>
                  <w:tcBorders>
                    <w:tl2br w:val="nil"/>
                    <w:tr2bl w:val="nil"/>
                  </w:tcBorders>
                  <w:noWrap/>
                  <w:vAlign w:val="center"/>
                </w:tcPr>
                <w:p>
                  <w:pPr>
                    <w:widowControl/>
                    <w:adjustRightInd w:val="0"/>
                    <w:snapToGrid w:val="0"/>
                    <w:jc w:val="center"/>
                    <w:textAlignment w:val="center"/>
                    <w:rPr>
                      <w:bCs/>
                      <w:snapToGrid w:val="0"/>
                      <w:color w:val="auto"/>
                      <w:kern w:val="0"/>
                      <w:szCs w:val="21"/>
                    </w:rPr>
                  </w:pPr>
                  <w:r>
                    <w:rPr>
                      <w:rStyle w:val="76"/>
                      <w:rFonts w:hint="default"/>
                      <w:color w:val="auto"/>
                      <w:lang w:bidi="ar"/>
                    </w:rPr>
                    <w:t>/</w:t>
                  </w:r>
                </w:p>
              </w:tc>
              <w:tc>
                <w:tcPr>
                  <w:tcW w:w="444"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300</w:t>
                  </w:r>
                </w:p>
              </w:tc>
              <w:tc>
                <w:tcPr>
                  <w:tcW w:w="444"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0.1080</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320</w:t>
                  </w:r>
                </w:p>
              </w:tc>
              <w:tc>
                <w:tcPr>
                  <w:tcW w:w="464" w:type="pct"/>
                  <w:vMerge w:val="restart"/>
                  <w:tcBorders>
                    <w:tl2br w:val="nil"/>
                    <w:tr2bl w:val="nil"/>
                  </w:tcBorders>
                  <w:noWrap/>
                  <w:vAlign w:val="center"/>
                </w:tcPr>
                <w:p>
                  <w:pPr>
                    <w:widowControl/>
                    <w:adjustRightInd w:val="0"/>
                    <w:snapToGrid w:val="0"/>
                    <w:jc w:val="center"/>
                    <w:textAlignment w:val="center"/>
                    <w:rPr>
                      <w:rFonts w:hint="eastAsia" w:eastAsia="宋体"/>
                      <w:bCs/>
                      <w:snapToGrid w:val="0"/>
                      <w:color w:val="auto"/>
                      <w:kern w:val="0"/>
                      <w:szCs w:val="21"/>
                      <w:lang w:eastAsia="zh-CN"/>
                    </w:rPr>
                  </w:pPr>
                  <w:r>
                    <w:rPr>
                      <w:rStyle w:val="76"/>
                      <w:rFonts w:hint="eastAsia"/>
                      <w:color w:val="auto"/>
                      <w:lang w:eastAsia="zh-CN" w:bidi="ar"/>
                    </w:rPr>
                    <w:t>蚌埠铜陵现代产业园污水处理厂</w:t>
                  </w: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50</w:t>
                  </w:r>
                </w:p>
              </w:tc>
              <w:tc>
                <w:tcPr>
                  <w:tcW w:w="407"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BOD</w:t>
                  </w:r>
                  <w:r>
                    <w:rPr>
                      <w:bCs/>
                      <w:snapToGrid w:val="0"/>
                      <w:color w:val="auto"/>
                      <w:kern w:val="0"/>
                      <w:szCs w:val="21"/>
                      <w:vertAlign w:val="subscript"/>
                    </w:rPr>
                    <w:t>5</w:t>
                  </w:r>
                </w:p>
              </w:tc>
              <w:tc>
                <w:tcPr>
                  <w:tcW w:w="386"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color w:val="auto"/>
                      <w:kern w:val="0"/>
                      <w:szCs w:val="21"/>
                      <w:lang w:bidi="ar"/>
                    </w:rPr>
                    <w:t>150</w:t>
                  </w:r>
                </w:p>
              </w:tc>
              <w:tc>
                <w:tcPr>
                  <w:tcW w:w="409"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0.0540</w:t>
                  </w:r>
                </w:p>
              </w:tc>
              <w:tc>
                <w:tcPr>
                  <w:tcW w:w="367"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44"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color w:val="auto"/>
                      <w:kern w:val="0"/>
                      <w:szCs w:val="21"/>
                      <w:lang w:bidi="ar"/>
                    </w:rPr>
                    <w:t>150</w:t>
                  </w:r>
                </w:p>
              </w:tc>
              <w:tc>
                <w:tcPr>
                  <w:tcW w:w="444"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0.0540</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160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10</w:t>
                  </w:r>
                </w:p>
              </w:tc>
              <w:tc>
                <w:tcPr>
                  <w:tcW w:w="407"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SS</w:t>
                  </w:r>
                </w:p>
              </w:tc>
              <w:tc>
                <w:tcPr>
                  <w:tcW w:w="386"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150</w:t>
                  </w:r>
                </w:p>
              </w:tc>
              <w:tc>
                <w:tcPr>
                  <w:tcW w:w="409"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0.0540</w:t>
                  </w:r>
                </w:p>
              </w:tc>
              <w:tc>
                <w:tcPr>
                  <w:tcW w:w="367"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44"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150</w:t>
                  </w:r>
                </w:p>
              </w:tc>
              <w:tc>
                <w:tcPr>
                  <w:tcW w:w="444"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0.0540</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180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10</w:t>
                  </w:r>
                </w:p>
              </w:tc>
              <w:tc>
                <w:tcPr>
                  <w:tcW w:w="407"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NH</w:t>
                  </w:r>
                  <w:r>
                    <w:rPr>
                      <w:bCs/>
                      <w:snapToGrid w:val="0"/>
                      <w:color w:val="auto"/>
                      <w:kern w:val="0"/>
                      <w:szCs w:val="21"/>
                      <w:vertAlign w:val="subscript"/>
                    </w:rPr>
                    <w:t>3</w:t>
                  </w:r>
                  <w:r>
                    <w:rPr>
                      <w:bCs/>
                      <w:snapToGrid w:val="0"/>
                      <w:color w:val="auto"/>
                      <w:kern w:val="0"/>
                      <w:szCs w:val="21"/>
                    </w:rPr>
                    <w:t>-N</w:t>
                  </w:r>
                </w:p>
              </w:tc>
              <w:tc>
                <w:tcPr>
                  <w:tcW w:w="386" w:type="pct"/>
                  <w:tcBorders>
                    <w:tl2br w:val="nil"/>
                    <w:tr2bl w:val="nil"/>
                  </w:tcBorders>
                  <w:noWrap/>
                  <w:vAlign w:val="center"/>
                </w:tcPr>
                <w:p>
                  <w:pPr>
                    <w:widowControl/>
                    <w:adjustRightInd w:val="0"/>
                    <w:snapToGrid w:val="0"/>
                    <w:jc w:val="center"/>
                    <w:textAlignment w:val="center"/>
                    <w:rPr>
                      <w:color w:val="auto"/>
                      <w:kern w:val="0"/>
                      <w:szCs w:val="21"/>
                      <w:lang w:bidi="ar"/>
                    </w:rPr>
                  </w:pPr>
                  <w:r>
                    <w:rPr>
                      <w:color w:val="auto"/>
                      <w:kern w:val="0"/>
                      <w:szCs w:val="21"/>
                      <w:lang w:bidi="ar"/>
                    </w:rPr>
                    <w:t>25</w:t>
                  </w:r>
                </w:p>
              </w:tc>
              <w:tc>
                <w:tcPr>
                  <w:tcW w:w="409"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0.0090</w:t>
                  </w:r>
                </w:p>
              </w:tc>
              <w:tc>
                <w:tcPr>
                  <w:tcW w:w="367"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44" w:type="pct"/>
                  <w:tcBorders>
                    <w:tl2br w:val="nil"/>
                    <w:tr2bl w:val="nil"/>
                  </w:tcBorders>
                  <w:noWrap/>
                  <w:vAlign w:val="center"/>
                </w:tcPr>
                <w:p>
                  <w:pPr>
                    <w:widowControl/>
                    <w:adjustRightInd w:val="0"/>
                    <w:snapToGrid w:val="0"/>
                    <w:jc w:val="center"/>
                    <w:textAlignment w:val="center"/>
                    <w:rPr>
                      <w:color w:val="auto"/>
                      <w:kern w:val="0"/>
                      <w:szCs w:val="21"/>
                      <w:lang w:bidi="ar"/>
                    </w:rPr>
                  </w:pPr>
                  <w:r>
                    <w:rPr>
                      <w:color w:val="auto"/>
                      <w:kern w:val="0"/>
                      <w:szCs w:val="21"/>
                      <w:lang w:bidi="ar"/>
                    </w:rPr>
                    <w:t>25</w:t>
                  </w:r>
                </w:p>
              </w:tc>
              <w:tc>
                <w:tcPr>
                  <w:tcW w:w="444"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0.0090</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color w:val="auto"/>
                      <w:kern w:val="0"/>
                      <w:szCs w:val="21"/>
                      <w:lang w:bidi="ar"/>
                    </w:rPr>
                    <w:t>30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5</w:t>
                  </w:r>
                </w:p>
              </w:tc>
              <w:tc>
                <w:tcPr>
                  <w:tcW w:w="407" w:type="pct"/>
                  <w:tcBorders>
                    <w:tl2br w:val="nil"/>
                    <w:tr2bl w:val="nil"/>
                  </w:tcBorders>
                  <w:noWrap/>
                  <w:vAlign w:val="center"/>
                </w:tcPr>
                <w:p>
                  <w:pPr>
                    <w:widowControl/>
                    <w:jc w:val="center"/>
                    <w:textAlignment w:val="center"/>
                    <w:rPr>
                      <w:bCs/>
                      <w:snapToGrid w:val="0"/>
                      <w:color w:val="auto"/>
                      <w:kern w:val="0"/>
                      <w:szCs w:val="21"/>
                    </w:rPr>
                  </w:pPr>
                  <w:r>
                    <w:rPr>
                      <w:color w:val="auto"/>
                      <w:kern w:val="0"/>
                      <w:szCs w:val="21"/>
                      <w:lang w:bidi="ar"/>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冷却废水</w:t>
                  </w:r>
                </w:p>
              </w:tc>
              <w:tc>
                <w:tcPr>
                  <w:tcW w:w="344"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4</w:t>
                  </w:r>
                </w:p>
              </w:tc>
              <w:tc>
                <w:tcPr>
                  <w:tcW w:w="386"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color w:val="auto"/>
                      <w:kern w:val="0"/>
                      <w:szCs w:val="21"/>
                      <w:lang w:bidi="ar"/>
                    </w:rPr>
                    <w:t>COD</w:t>
                  </w:r>
                </w:p>
              </w:tc>
              <w:tc>
                <w:tcPr>
                  <w:tcW w:w="386"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150</w:t>
                  </w:r>
                </w:p>
              </w:tc>
              <w:tc>
                <w:tcPr>
                  <w:tcW w:w="409"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0.0006</w:t>
                  </w:r>
                </w:p>
              </w:tc>
              <w:tc>
                <w:tcPr>
                  <w:tcW w:w="367"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150</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0.0006</w:t>
                  </w:r>
                </w:p>
              </w:tc>
              <w:tc>
                <w:tcPr>
                  <w:tcW w:w="652"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320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50</w:t>
                  </w:r>
                </w:p>
              </w:tc>
              <w:tc>
                <w:tcPr>
                  <w:tcW w:w="407"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color w:val="auto"/>
                      <w:kern w:val="0"/>
                      <w:szCs w:val="21"/>
                      <w:lang w:bidi="ar"/>
                    </w:rPr>
                    <w:t>SS</w:t>
                  </w:r>
                </w:p>
              </w:tc>
              <w:tc>
                <w:tcPr>
                  <w:tcW w:w="386"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100</w:t>
                  </w:r>
                </w:p>
              </w:tc>
              <w:tc>
                <w:tcPr>
                  <w:tcW w:w="409"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0.0004</w:t>
                  </w:r>
                </w:p>
              </w:tc>
              <w:tc>
                <w:tcPr>
                  <w:tcW w:w="367"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100</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0.0004</w:t>
                  </w:r>
                </w:p>
              </w:tc>
              <w:tc>
                <w:tcPr>
                  <w:tcW w:w="652"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180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10</w:t>
                  </w:r>
                </w:p>
              </w:tc>
              <w:tc>
                <w:tcPr>
                  <w:tcW w:w="407"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0.0000</w:t>
                  </w:r>
                  <w:r>
                    <w:rPr>
                      <w:rFonts w:hint="eastAsia"/>
                      <w:color w:val="auto"/>
                      <w:kern w:val="0"/>
                      <w:szCs w:val="21"/>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综合废水</w:t>
                  </w:r>
                </w:p>
              </w:tc>
              <w:tc>
                <w:tcPr>
                  <w:tcW w:w="344"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364</w:t>
                  </w: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COD</w:t>
                  </w:r>
                </w:p>
              </w:tc>
              <w:tc>
                <w:tcPr>
                  <w:tcW w:w="386"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298</w:t>
                  </w:r>
                </w:p>
              </w:tc>
              <w:tc>
                <w:tcPr>
                  <w:tcW w:w="409"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0.1086</w:t>
                  </w:r>
                </w:p>
              </w:tc>
              <w:tc>
                <w:tcPr>
                  <w:tcW w:w="367" w:type="pct"/>
                  <w:vMerge w:val="restart"/>
                  <w:tcBorders>
                    <w:tl2br w:val="nil"/>
                    <w:tr2bl w:val="nil"/>
                  </w:tcBorders>
                  <w:noWrap/>
                  <w:vAlign w:val="center"/>
                </w:tcPr>
                <w:p>
                  <w:pPr>
                    <w:adjustRightInd w:val="0"/>
                    <w:snapToGrid w:val="0"/>
                    <w:jc w:val="center"/>
                    <w:rPr>
                      <w:bCs/>
                      <w:snapToGrid w:val="0"/>
                      <w:color w:val="auto"/>
                      <w:kern w:val="0"/>
                      <w:szCs w:val="21"/>
                    </w:rPr>
                  </w:pPr>
                  <w:r>
                    <w:rPr>
                      <w:rFonts w:hint="eastAsia"/>
                      <w:bCs/>
                      <w:snapToGrid w:val="0"/>
                      <w:color w:val="auto"/>
                      <w:kern w:val="0"/>
                      <w:szCs w:val="21"/>
                    </w:rPr>
                    <w:t>/</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298</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0.1086</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320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50</w:t>
                  </w:r>
                </w:p>
              </w:tc>
              <w:tc>
                <w:tcPr>
                  <w:tcW w:w="721" w:type="dxa"/>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4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86" w:type="pct"/>
                  <w:tcBorders>
                    <w:tl2br w:val="nil"/>
                    <w:tr2bl w:val="nil"/>
                  </w:tcBorders>
                  <w:noWrap/>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BOD</w:t>
                  </w:r>
                  <w:r>
                    <w:rPr>
                      <w:bCs/>
                      <w:snapToGrid w:val="0"/>
                      <w:color w:val="auto"/>
                      <w:kern w:val="0"/>
                      <w:szCs w:val="21"/>
                      <w:vertAlign w:val="subscript"/>
                    </w:rPr>
                    <w:t>5</w:t>
                  </w:r>
                </w:p>
              </w:tc>
              <w:tc>
                <w:tcPr>
                  <w:tcW w:w="386"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148</w:t>
                  </w:r>
                </w:p>
              </w:tc>
              <w:tc>
                <w:tcPr>
                  <w:tcW w:w="409"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0.0540</w:t>
                  </w:r>
                </w:p>
              </w:tc>
              <w:tc>
                <w:tcPr>
                  <w:tcW w:w="367"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148</w:t>
                  </w:r>
                </w:p>
              </w:tc>
              <w:tc>
                <w:tcPr>
                  <w:tcW w:w="444" w:type="pct"/>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0.0540</w:t>
                  </w:r>
                </w:p>
              </w:tc>
              <w:tc>
                <w:tcPr>
                  <w:tcW w:w="652" w:type="pct"/>
                  <w:tcBorders>
                    <w:tl2br w:val="nil"/>
                    <w:tr2bl w:val="nil"/>
                  </w:tcBorders>
                  <w:noWrap/>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160</w:t>
                  </w:r>
                </w:p>
              </w:tc>
              <w:tc>
                <w:tcPr>
                  <w:tcW w:w="464" w:type="pct"/>
                  <w:vMerge w:val="continue"/>
                  <w:tcBorders>
                    <w:tl2br w:val="nil"/>
                    <w:tr2bl w:val="nil"/>
                  </w:tcBorders>
                  <w:noWrap/>
                  <w:vAlign w:val="center"/>
                </w:tcPr>
                <w:p>
                  <w:pPr>
                    <w:adjustRightInd w:val="0"/>
                    <w:snapToGrid w:val="0"/>
                    <w:jc w:val="center"/>
                    <w:rPr>
                      <w:bCs/>
                      <w:snapToGrid w:val="0"/>
                      <w:color w:val="auto"/>
                      <w:kern w:val="0"/>
                      <w:szCs w:val="21"/>
                    </w:rPr>
                  </w:pPr>
                </w:p>
              </w:tc>
              <w:tc>
                <w:tcPr>
                  <w:tcW w:w="352" w:type="pct"/>
                  <w:tcBorders>
                    <w:tl2br w:val="nil"/>
                    <w:tr2bl w:val="nil"/>
                  </w:tcBorders>
                  <w:noWrap/>
                  <w:vAlign w:val="center"/>
                </w:tcPr>
                <w:p>
                  <w:pPr>
                    <w:topLinePunct/>
                    <w:adjustRightInd w:val="0"/>
                    <w:snapToGrid w:val="0"/>
                    <w:jc w:val="center"/>
                    <w:rPr>
                      <w:color w:val="auto"/>
                      <w:szCs w:val="21"/>
                    </w:rPr>
                  </w:pPr>
                  <w:r>
                    <w:rPr>
                      <w:color w:val="auto"/>
                      <w:szCs w:val="21"/>
                    </w:rPr>
                    <w:t>10</w:t>
                  </w:r>
                </w:p>
              </w:tc>
              <w:tc>
                <w:tcPr>
                  <w:tcW w:w="721" w:type="dxa"/>
                  <w:tcBorders>
                    <w:tl2br w:val="nil"/>
                    <w:tr2bl w:val="nil"/>
                  </w:tcBorders>
                  <w:noWrap/>
                  <w:vAlign w:val="center"/>
                </w:tcPr>
                <w:p>
                  <w:pPr>
                    <w:widowControl/>
                    <w:jc w:val="center"/>
                    <w:textAlignment w:val="center"/>
                    <w:rPr>
                      <w:color w:val="auto"/>
                      <w:kern w:val="0"/>
                      <w:szCs w:val="21"/>
                      <w:lang w:bidi="ar"/>
                    </w:rPr>
                  </w:pPr>
                  <w:r>
                    <w:rPr>
                      <w:color w:val="auto"/>
                      <w:kern w:val="0"/>
                      <w:szCs w:val="21"/>
                      <w:lang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vAlign w:val="center"/>
                </w:tcPr>
                <w:p>
                  <w:pPr>
                    <w:adjustRightInd w:val="0"/>
                    <w:snapToGrid w:val="0"/>
                    <w:jc w:val="center"/>
                    <w:rPr>
                      <w:bCs/>
                      <w:snapToGrid w:val="0"/>
                      <w:color w:val="auto"/>
                      <w:kern w:val="0"/>
                      <w:szCs w:val="21"/>
                    </w:rPr>
                  </w:pPr>
                </w:p>
              </w:tc>
              <w:tc>
                <w:tcPr>
                  <w:tcW w:w="344" w:type="pct"/>
                  <w:vMerge w:val="continue"/>
                  <w:vAlign w:val="center"/>
                </w:tcPr>
                <w:p>
                  <w:pPr>
                    <w:adjustRightInd w:val="0"/>
                    <w:snapToGrid w:val="0"/>
                    <w:jc w:val="center"/>
                    <w:rPr>
                      <w:bCs/>
                      <w:snapToGrid w:val="0"/>
                      <w:color w:val="auto"/>
                      <w:kern w:val="0"/>
                      <w:szCs w:val="21"/>
                    </w:rPr>
                  </w:pPr>
                </w:p>
              </w:tc>
              <w:tc>
                <w:tcPr>
                  <w:tcW w:w="685"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SS</w:t>
                  </w:r>
                </w:p>
              </w:tc>
              <w:tc>
                <w:tcPr>
                  <w:tcW w:w="386" w:type="pct"/>
                  <w:vAlign w:val="center"/>
                </w:tcPr>
                <w:p>
                  <w:pPr>
                    <w:widowControl/>
                    <w:jc w:val="center"/>
                    <w:textAlignment w:val="center"/>
                    <w:rPr>
                      <w:color w:val="auto"/>
                      <w:kern w:val="0"/>
                      <w:szCs w:val="21"/>
                      <w:lang w:bidi="ar"/>
                    </w:rPr>
                  </w:pPr>
                  <w:r>
                    <w:rPr>
                      <w:color w:val="auto"/>
                      <w:kern w:val="0"/>
                      <w:szCs w:val="21"/>
                      <w:lang w:bidi="ar"/>
                    </w:rPr>
                    <w:t>149</w:t>
                  </w:r>
                </w:p>
              </w:tc>
              <w:tc>
                <w:tcPr>
                  <w:tcW w:w="409" w:type="pct"/>
                  <w:vAlign w:val="center"/>
                </w:tcPr>
                <w:p>
                  <w:pPr>
                    <w:widowControl/>
                    <w:jc w:val="center"/>
                    <w:textAlignment w:val="center"/>
                    <w:rPr>
                      <w:color w:val="auto"/>
                      <w:kern w:val="0"/>
                      <w:szCs w:val="21"/>
                      <w:lang w:bidi="ar"/>
                    </w:rPr>
                  </w:pPr>
                  <w:r>
                    <w:rPr>
                      <w:color w:val="auto"/>
                      <w:kern w:val="0"/>
                      <w:szCs w:val="21"/>
                      <w:lang w:bidi="ar"/>
                    </w:rPr>
                    <w:t>0.0544</w:t>
                  </w:r>
                </w:p>
              </w:tc>
              <w:tc>
                <w:tcPr>
                  <w:tcW w:w="367" w:type="pct"/>
                  <w:vMerge w:val="continue"/>
                  <w:vAlign w:val="center"/>
                </w:tcPr>
                <w:p>
                  <w:pPr>
                    <w:adjustRightInd w:val="0"/>
                    <w:snapToGrid w:val="0"/>
                    <w:jc w:val="center"/>
                    <w:rPr>
                      <w:bCs/>
                      <w:snapToGrid w:val="0"/>
                      <w:color w:val="auto"/>
                      <w:kern w:val="0"/>
                      <w:szCs w:val="21"/>
                    </w:rPr>
                  </w:pPr>
                </w:p>
              </w:tc>
              <w:tc>
                <w:tcPr>
                  <w:tcW w:w="444" w:type="pct"/>
                  <w:vAlign w:val="center"/>
                </w:tcPr>
                <w:p>
                  <w:pPr>
                    <w:widowControl/>
                    <w:jc w:val="center"/>
                    <w:textAlignment w:val="center"/>
                    <w:rPr>
                      <w:color w:val="auto"/>
                      <w:kern w:val="0"/>
                      <w:szCs w:val="21"/>
                      <w:lang w:bidi="ar"/>
                    </w:rPr>
                  </w:pPr>
                  <w:r>
                    <w:rPr>
                      <w:color w:val="auto"/>
                      <w:kern w:val="0"/>
                      <w:szCs w:val="21"/>
                      <w:lang w:bidi="ar"/>
                    </w:rPr>
                    <w:t>149</w:t>
                  </w:r>
                </w:p>
              </w:tc>
              <w:tc>
                <w:tcPr>
                  <w:tcW w:w="444" w:type="pct"/>
                  <w:vAlign w:val="center"/>
                </w:tcPr>
                <w:p>
                  <w:pPr>
                    <w:widowControl/>
                    <w:jc w:val="center"/>
                    <w:textAlignment w:val="center"/>
                    <w:rPr>
                      <w:color w:val="auto"/>
                      <w:kern w:val="0"/>
                      <w:szCs w:val="21"/>
                      <w:lang w:bidi="ar"/>
                    </w:rPr>
                  </w:pPr>
                  <w:r>
                    <w:rPr>
                      <w:color w:val="auto"/>
                      <w:kern w:val="0"/>
                      <w:szCs w:val="21"/>
                      <w:lang w:bidi="ar"/>
                    </w:rPr>
                    <w:t>0.0544</w:t>
                  </w:r>
                </w:p>
              </w:tc>
              <w:tc>
                <w:tcPr>
                  <w:tcW w:w="115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180</w:t>
                  </w:r>
                </w:p>
              </w:tc>
              <w:tc>
                <w:tcPr>
                  <w:tcW w:w="464" w:type="pct"/>
                  <w:vMerge w:val="continue"/>
                  <w:vAlign w:val="center"/>
                </w:tcPr>
                <w:p>
                  <w:pPr>
                    <w:adjustRightInd w:val="0"/>
                    <w:snapToGrid w:val="0"/>
                    <w:jc w:val="center"/>
                    <w:rPr>
                      <w:bCs/>
                      <w:snapToGrid w:val="0"/>
                      <w:color w:val="auto"/>
                      <w:kern w:val="0"/>
                      <w:szCs w:val="21"/>
                    </w:rPr>
                  </w:pPr>
                </w:p>
              </w:tc>
              <w:tc>
                <w:tcPr>
                  <w:tcW w:w="625" w:type="dxa"/>
                  <w:vAlign w:val="center"/>
                </w:tcPr>
                <w:p>
                  <w:pPr>
                    <w:topLinePunct/>
                    <w:adjustRightInd w:val="0"/>
                    <w:snapToGrid w:val="0"/>
                    <w:jc w:val="center"/>
                    <w:rPr>
                      <w:color w:val="auto"/>
                      <w:szCs w:val="21"/>
                    </w:rPr>
                  </w:pPr>
                  <w:r>
                    <w:rPr>
                      <w:color w:val="auto"/>
                      <w:szCs w:val="21"/>
                    </w:rPr>
                    <w:t>10</w:t>
                  </w:r>
                </w:p>
              </w:tc>
              <w:tc>
                <w:tcPr>
                  <w:tcW w:w="721" w:type="dxa"/>
                  <w:vAlign w:val="center"/>
                </w:tcPr>
                <w:p>
                  <w:pPr>
                    <w:widowControl/>
                    <w:jc w:val="center"/>
                    <w:textAlignment w:val="center"/>
                    <w:rPr>
                      <w:color w:val="auto"/>
                      <w:kern w:val="0"/>
                      <w:szCs w:val="21"/>
                      <w:lang w:bidi="ar"/>
                    </w:rPr>
                  </w:pPr>
                  <w:r>
                    <w:rPr>
                      <w:color w:val="auto"/>
                      <w:kern w:val="0"/>
                      <w:szCs w:val="21"/>
                      <w:lang w:bidi="ar"/>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454" w:hRule="atLeast"/>
                <w:jc w:val="center"/>
              </w:trPr>
              <w:tc>
                <w:tcPr>
                  <w:tcW w:w="338" w:type="pct"/>
                  <w:vMerge w:val="continue"/>
                  <w:vAlign w:val="center"/>
                </w:tcPr>
                <w:p>
                  <w:pPr>
                    <w:adjustRightInd w:val="0"/>
                    <w:snapToGrid w:val="0"/>
                    <w:jc w:val="center"/>
                    <w:rPr>
                      <w:bCs/>
                      <w:snapToGrid w:val="0"/>
                      <w:color w:val="auto"/>
                      <w:kern w:val="0"/>
                      <w:szCs w:val="21"/>
                    </w:rPr>
                  </w:pPr>
                </w:p>
              </w:tc>
              <w:tc>
                <w:tcPr>
                  <w:tcW w:w="344" w:type="pct"/>
                  <w:vMerge w:val="continue"/>
                  <w:vAlign w:val="center"/>
                </w:tcPr>
                <w:p>
                  <w:pPr>
                    <w:adjustRightInd w:val="0"/>
                    <w:snapToGrid w:val="0"/>
                    <w:jc w:val="center"/>
                    <w:rPr>
                      <w:bCs/>
                      <w:snapToGrid w:val="0"/>
                      <w:color w:val="auto"/>
                      <w:kern w:val="0"/>
                      <w:szCs w:val="21"/>
                    </w:rPr>
                  </w:pPr>
                </w:p>
              </w:tc>
              <w:tc>
                <w:tcPr>
                  <w:tcW w:w="685" w:type="dxa"/>
                  <w:vAlign w:val="center"/>
                </w:tcPr>
                <w:p>
                  <w:pPr>
                    <w:overflowPunct w:val="0"/>
                    <w:autoSpaceDE w:val="0"/>
                    <w:autoSpaceDN w:val="0"/>
                    <w:adjustRightInd w:val="0"/>
                    <w:snapToGrid w:val="0"/>
                    <w:jc w:val="center"/>
                    <w:rPr>
                      <w:bCs/>
                      <w:snapToGrid w:val="0"/>
                      <w:color w:val="auto"/>
                      <w:kern w:val="0"/>
                      <w:szCs w:val="21"/>
                    </w:rPr>
                  </w:pPr>
                  <w:r>
                    <w:rPr>
                      <w:bCs/>
                      <w:snapToGrid w:val="0"/>
                      <w:color w:val="auto"/>
                      <w:kern w:val="0"/>
                      <w:szCs w:val="21"/>
                    </w:rPr>
                    <w:t>NH</w:t>
                  </w:r>
                  <w:r>
                    <w:rPr>
                      <w:bCs/>
                      <w:snapToGrid w:val="0"/>
                      <w:color w:val="auto"/>
                      <w:kern w:val="0"/>
                      <w:szCs w:val="21"/>
                      <w:vertAlign w:val="subscript"/>
                    </w:rPr>
                    <w:t>3</w:t>
                  </w:r>
                  <w:r>
                    <w:rPr>
                      <w:bCs/>
                      <w:snapToGrid w:val="0"/>
                      <w:color w:val="auto"/>
                      <w:kern w:val="0"/>
                      <w:szCs w:val="21"/>
                    </w:rPr>
                    <w:t>-N</w:t>
                  </w:r>
                </w:p>
              </w:tc>
              <w:tc>
                <w:tcPr>
                  <w:tcW w:w="386" w:type="pct"/>
                  <w:vAlign w:val="center"/>
                </w:tcPr>
                <w:p>
                  <w:pPr>
                    <w:widowControl/>
                    <w:jc w:val="center"/>
                    <w:textAlignment w:val="center"/>
                    <w:rPr>
                      <w:color w:val="auto"/>
                      <w:kern w:val="0"/>
                      <w:szCs w:val="21"/>
                      <w:lang w:bidi="ar"/>
                    </w:rPr>
                  </w:pPr>
                  <w:r>
                    <w:rPr>
                      <w:color w:val="auto"/>
                      <w:kern w:val="0"/>
                      <w:szCs w:val="21"/>
                      <w:lang w:bidi="ar"/>
                    </w:rPr>
                    <w:t>25</w:t>
                  </w:r>
                </w:p>
              </w:tc>
              <w:tc>
                <w:tcPr>
                  <w:tcW w:w="409" w:type="pct"/>
                  <w:vAlign w:val="center"/>
                </w:tcPr>
                <w:p>
                  <w:pPr>
                    <w:widowControl/>
                    <w:jc w:val="center"/>
                    <w:textAlignment w:val="center"/>
                    <w:rPr>
                      <w:color w:val="auto"/>
                      <w:kern w:val="0"/>
                      <w:szCs w:val="21"/>
                      <w:lang w:bidi="ar"/>
                    </w:rPr>
                  </w:pPr>
                  <w:r>
                    <w:rPr>
                      <w:color w:val="auto"/>
                      <w:kern w:val="0"/>
                      <w:szCs w:val="21"/>
                      <w:lang w:bidi="ar"/>
                    </w:rPr>
                    <w:t>0.0090</w:t>
                  </w:r>
                </w:p>
              </w:tc>
              <w:tc>
                <w:tcPr>
                  <w:tcW w:w="367" w:type="pct"/>
                  <w:vMerge w:val="continue"/>
                  <w:vAlign w:val="center"/>
                </w:tcPr>
                <w:p>
                  <w:pPr>
                    <w:adjustRightInd w:val="0"/>
                    <w:snapToGrid w:val="0"/>
                    <w:jc w:val="center"/>
                    <w:rPr>
                      <w:bCs/>
                      <w:snapToGrid w:val="0"/>
                      <w:color w:val="auto"/>
                      <w:kern w:val="0"/>
                      <w:szCs w:val="21"/>
                    </w:rPr>
                  </w:pPr>
                </w:p>
              </w:tc>
              <w:tc>
                <w:tcPr>
                  <w:tcW w:w="444" w:type="pct"/>
                  <w:vAlign w:val="center"/>
                </w:tcPr>
                <w:p>
                  <w:pPr>
                    <w:widowControl/>
                    <w:jc w:val="center"/>
                    <w:textAlignment w:val="center"/>
                    <w:rPr>
                      <w:color w:val="auto"/>
                      <w:kern w:val="0"/>
                      <w:szCs w:val="21"/>
                      <w:lang w:bidi="ar"/>
                    </w:rPr>
                  </w:pPr>
                  <w:r>
                    <w:rPr>
                      <w:color w:val="auto"/>
                      <w:kern w:val="0"/>
                      <w:szCs w:val="21"/>
                      <w:lang w:bidi="ar"/>
                    </w:rPr>
                    <w:t>25</w:t>
                  </w:r>
                </w:p>
              </w:tc>
              <w:tc>
                <w:tcPr>
                  <w:tcW w:w="444" w:type="pct"/>
                  <w:vAlign w:val="center"/>
                </w:tcPr>
                <w:p>
                  <w:pPr>
                    <w:widowControl/>
                    <w:jc w:val="center"/>
                    <w:textAlignment w:val="center"/>
                    <w:rPr>
                      <w:color w:val="auto"/>
                      <w:kern w:val="0"/>
                      <w:szCs w:val="21"/>
                      <w:lang w:bidi="ar"/>
                    </w:rPr>
                  </w:pPr>
                  <w:r>
                    <w:rPr>
                      <w:color w:val="auto"/>
                      <w:kern w:val="0"/>
                      <w:szCs w:val="21"/>
                      <w:lang w:bidi="ar"/>
                    </w:rPr>
                    <w:t>0.0090</w:t>
                  </w:r>
                </w:p>
              </w:tc>
              <w:tc>
                <w:tcPr>
                  <w:tcW w:w="1155"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30</w:t>
                  </w:r>
                </w:p>
              </w:tc>
              <w:tc>
                <w:tcPr>
                  <w:tcW w:w="464" w:type="pct"/>
                  <w:vMerge w:val="continue"/>
                  <w:vAlign w:val="center"/>
                </w:tcPr>
                <w:p>
                  <w:pPr>
                    <w:adjustRightInd w:val="0"/>
                    <w:snapToGrid w:val="0"/>
                    <w:jc w:val="center"/>
                    <w:rPr>
                      <w:bCs/>
                      <w:snapToGrid w:val="0"/>
                      <w:color w:val="auto"/>
                      <w:kern w:val="0"/>
                      <w:szCs w:val="21"/>
                    </w:rPr>
                  </w:pPr>
                </w:p>
              </w:tc>
              <w:tc>
                <w:tcPr>
                  <w:tcW w:w="625" w:type="dxa"/>
                  <w:vAlign w:val="center"/>
                </w:tcPr>
                <w:p>
                  <w:pPr>
                    <w:topLinePunct/>
                    <w:adjustRightInd w:val="0"/>
                    <w:snapToGrid w:val="0"/>
                    <w:jc w:val="center"/>
                    <w:rPr>
                      <w:color w:val="auto"/>
                      <w:szCs w:val="21"/>
                    </w:rPr>
                  </w:pPr>
                  <w:r>
                    <w:rPr>
                      <w:color w:val="auto"/>
                      <w:szCs w:val="21"/>
                    </w:rPr>
                    <w:t>5</w:t>
                  </w:r>
                </w:p>
              </w:tc>
              <w:tc>
                <w:tcPr>
                  <w:tcW w:w="721" w:type="dxa"/>
                  <w:vAlign w:val="center"/>
                </w:tcPr>
                <w:p>
                  <w:pPr>
                    <w:widowControl/>
                    <w:jc w:val="center"/>
                    <w:textAlignment w:val="center"/>
                    <w:rPr>
                      <w:color w:val="auto"/>
                      <w:kern w:val="0"/>
                      <w:szCs w:val="21"/>
                      <w:lang w:bidi="ar"/>
                    </w:rPr>
                  </w:pPr>
                  <w:r>
                    <w:rPr>
                      <w:color w:val="auto"/>
                      <w:kern w:val="0"/>
                      <w:szCs w:val="21"/>
                      <w:lang w:bidi="ar"/>
                    </w:rPr>
                    <w:t>0.0018</w:t>
                  </w:r>
                </w:p>
              </w:tc>
            </w:tr>
          </w:tbl>
          <w:p>
            <w:pPr>
              <w:keepNext w:val="0"/>
              <w:keepLines w:val="0"/>
              <w:pageBreakBefore w:val="0"/>
              <w:kinsoku/>
              <w:wordWrap/>
              <w:overflowPunct/>
              <w:topLinePunct/>
              <w:bidi w:val="0"/>
              <w:adjustRightInd w:val="0"/>
              <w:snapToGrid w:val="0"/>
              <w:spacing w:before="120" w:beforeLines="50" w:line="348" w:lineRule="auto"/>
              <w:ind w:firstLine="480" w:firstLineChars="200"/>
              <w:rPr>
                <w:color w:val="auto"/>
                <w:kern w:val="0"/>
                <w:sz w:val="24"/>
                <w:lang w:bidi="ar"/>
              </w:rPr>
            </w:pPr>
            <w:r>
              <w:rPr>
                <w:color w:val="auto"/>
                <w:kern w:val="0"/>
                <w:sz w:val="24"/>
                <w:lang w:bidi="ar"/>
              </w:rPr>
              <w:t>从上表可以看出，项目外排的</w:t>
            </w:r>
            <w:r>
              <w:rPr>
                <w:rFonts w:hint="eastAsia"/>
                <w:color w:val="auto"/>
                <w:kern w:val="0"/>
                <w:sz w:val="24"/>
                <w:lang w:bidi="ar"/>
              </w:rPr>
              <w:t>综合废水</w:t>
            </w:r>
            <w:r>
              <w:rPr>
                <w:color w:val="auto"/>
                <w:kern w:val="0"/>
                <w:sz w:val="24"/>
                <w:lang w:bidi="ar"/>
              </w:rPr>
              <w:t>中各项污染因子均能满足</w:t>
            </w:r>
            <w:r>
              <w:rPr>
                <w:rFonts w:hint="eastAsia"/>
                <w:color w:val="auto"/>
                <w:kern w:val="0"/>
                <w:sz w:val="24"/>
                <w:lang w:eastAsia="zh-CN" w:bidi="ar"/>
              </w:rPr>
              <w:t>蚌埠铜陵现代产业园污水处理厂</w:t>
            </w:r>
            <w:r>
              <w:rPr>
                <w:color w:val="auto"/>
                <w:kern w:val="0"/>
                <w:sz w:val="24"/>
                <w:lang w:bidi="ar"/>
              </w:rPr>
              <w:t>接管限值。</w:t>
            </w:r>
            <w:r>
              <w:rPr>
                <w:rFonts w:hint="eastAsia"/>
                <w:color w:val="auto"/>
                <w:kern w:val="0"/>
                <w:sz w:val="24"/>
                <w:lang w:eastAsia="zh-CN" w:bidi="ar"/>
              </w:rPr>
              <w:t>蚌埠铜陵现代产业园污水处理厂</w:t>
            </w:r>
            <w:r>
              <w:rPr>
                <w:color w:val="auto"/>
                <w:kern w:val="0"/>
                <w:sz w:val="24"/>
                <w:lang w:bidi="ar"/>
              </w:rPr>
              <w:t>尾水排放执行《城镇污水处理厂污染物排放标准》（GB 18918-2002）中一级A标准，废水排放总量为</w:t>
            </w:r>
            <w:r>
              <w:rPr>
                <w:rFonts w:hint="eastAsia"/>
                <w:color w:val="auto"/>
                <w:kern w:val="0"/>
                <w:sz w:val="24"/>
                <w:lang w:bidi="ar"/>
              </w:rPr>
              <w:t>364t</w:t>
            </w:r>
            <w:r>
              <w:rPr>
                <w:color w:val="auto"/>
                <w:kern w:val="0"/>
                <w:sz w:val="24"/>
                <w:lang w:bidi="ar"/>
              </w:rPr>
              <w:t>/a，其中COD（按50mg/L计算）的排放量为</w:t>
            </w:r>
            <w:r>
              <w:rPr>
                <w:rFonts w:hint="eastAsia"/>
                <w:color w:val="auto"/>
                <w:kern w:val="0"/>
                <w:sz w:val="24"/>
                <w:lang w:bidi="ar"/>
              </w:rPr>
              <w:t>0.0182</w:t>
            </w:r>
            <w:r>
              <w:rPr>
                <w:color w:val="auto"/>
                <w:kern w:val="0"/>
                <w:sz w:val="24"/>
                <w:lang w:bidi="ar"/>
              </w:rPr>
              <w:t>t/a，NH</w:t>
            </w:r>
            <w:r>
              <w:rPr>
                <w:color w:val="auto"/>
                <w:kern w:val="0"/>
                <w:sz w:val="24"/>
                <w:vertAlign w:val="subscript"/>
                <w:lang w:bidi="ar"/>
              </w:rPr>
              <w:t>3</w:t>
            </w:r>
            <w:r>
              <w:rPr>
                <w:color w:val="auto"/>
                <w:kern w:val="0"/>
                <w:sz w:val="24"/>
                <w:lang w:bidi="ar"/>
              </w:rPr>
              <w:t>-N（按5mg/L计算）的排放量为</w:t>
            </w:r>
            <w:r>
              <w:rPr>
                <w:rFonts w:hint="eastAsia"/>
                <w:color w:val="auto"/>
                <w:kern w:val="0"/>
                <w:sz w:val="24"/>
                <w:lang w:bidi="ar"/>
              </w:rPr>
              <w:t>0.0018</w:t>
            </w:r>
            <w:r>
              <w:rPr>
                <w:color w:val="auto"/>
                <w:kern w:val="0"/>
                <w:sz w:val="24"/>
                <w:lang w:bidi="ar"/>
              </w:rPr>
              <w:t>t/a，对环境影响较小，</w:t>
            </w:r>
            <w:r>
              <w:rPr>
                <w:color w:val="auto"/>
                <w:kern w:val="0"/>
                <w:sz w:val="24"/>
                <w:lang w:val="en-GB" w:bidi="ar"/>
              </w:rPr>
              <w:t>不会降低项目区域现有水环境功能。</w:t>
            </w:r>
          </w:p>
          <w:p>
            <w:pPr>
              <w:keepNext w:val="0"/>
              <w:keepLines w:val="0"/>
              <w:pageBreakBefore w:val="0"/>
              <w:widowControl/>
              <w:kinsoku/>
              <w:wordWrap/>
              <w:overflowPunct/>
              <w:topLinePunct/>
              <w:autoSpaceDE/>
              <w:autoSpaceDN/>
              <w:bidi w:val="0"/>
              <w:adjustRightInd w:val="0"/>
              <w:snapToGrid w:val="0"/>
              <w:spacing w:line="348" w:lineRule="auto"/>
              <w:ind w:firstLine="482" w:firstLineChars="200"/>
              <w:textAlignment w:val="center"/>
              <w:rPr>
                <w:b/>
                <w:bCs/>
                <w:color w:val="auto"/>
                <w:sz w:val="24"/>
              </w:rPr>
            </w:pPr>
            <w:r>
              <w:rPr>
                <w:b/>
                <w:bCs/>
                <w:color w:val="auto"/>
                <w:sz w:val="24"/>
              </w:rPr>
              <w:t>2、废水达标排放分析</w:t>
            </w:r>
          </w:p>
          <w:p>
            <w:pPr>
              <w:keepNext w:val="0"/>
              <w:keepLines w:val="0"/>
              <w:pageBreakBefore w:val="0"/>
              <w:widowControl/>
              <w:kinsoku/>
              <w:wordWrap/>
              <w:overflowPunct/>
              <w:topLinePunct/>
              <w:bidi w:val="0"/>
              <w:adjustRightInd w:val="0"/>
              <w:snapToGrid w:val="0"/>
              <w:spacing w:line="348" w:lineRule="auto"/>
              <w:ind w:firstLine="480" w:firstLineChars="200"/>
              <w:textAlignment w:val="center"/>
              <w:rPr>
                <w:bCs/>
                <w:color w:val="auto"/>
                <w:kern w:val="0"/>
                <w:sz w:val="24"/>
                <w:lang w:bidi="ar"/>
              </w:rPr>
            </w:pPr>
            <w:r>
              <w:rPr>
                <w:bCs/>
                <w:color w:val="auto"/>
                <w:kern w:val="0"/>
                <w:sz w:val="24"/>
                <w:lang w:bidi="ar"/>
              </w:rPr>
              <w:t>根据前文分析，</w:t>
            </w:r>
            <w:r>
              <w:rPr>
                <w:color w:val="auto"/>
                <w:kern w:val="0"/>
                <w:sz w:val="24"/>
                <w:lang w:bidi="ar"/>
              </w:rPr>
              <w:t>项目外排废水为</w:t>
            </w:r>
            <w:r>
              <w:rPr>
                <w:rFonts w:hint="eastAsia"/>
                <w:color w:val="auto"/>
                <w:kern w:val="0"/>
                <w:sz w:val="24"/>
                <w:lang w:bidi="ar"/>
              </w:rPr>
              <w:t>生活污水、冷却废水</w:t>
            </w:r>
            <w:r>
              <w:rPr>
                <w:color w:val="auto"/>
                <w:kern w:val="0"/>
                <w:sz w:val="24"/>
                <w:lang w:bidi="ar"/>
              </w:rPr>
              <w:t>，</w:t>
            </w:r>
            <w:r>
              <w:rPr>
                <w:rFonts w:hint="eastAsia"/>
                <w:color w:val="auto"/>
                <w:kern w:val="0"/>
                <w:sz w:val="24"/>
                <w:lang w:bidi="ar"/>
              </w:rPr>
              <w:t>生活污水经化粪池收集后与冷却废水接管至</w:t>
            </w:r>
            <w:r>
              <w:rPr>
                <w:rFonts w:hint="eastAsia"/>
                <w:color w:val="auto"/>
                <w:kern w:val="0"/>
                <w:sz w:val="24"/>
                <w:lang w:eastAsia="zh-CN" w:bidi="ar"/>
              </w:rPr>
              <w:t>蚌埠铜陵现代产业园污水处理厂</w:t>
            </w:r>
            <w:r>
              <w:rPr>
                <w:rFonts w:hint="eastAsia"/>
                <w:color w:val="auto"/>
                <w:kern w:val="0"/>
                <w:sz w:val="24"/>
                <w:lang w:bidi="ar"/>
              </w:rPr>
              <w:t>处理最终排入北淝河</w:t>
            </w:r>
            <w:r>
              <w:rPr>
                <w:rFonts w:hint="eastAsia"/>
                <w:color w:val="auto"/>
                <w:sz w:val="24"/>
              </w:rPr>
              <w:t>。</w:t>
            </w:r>
            <w:r>
              <w:rPr>
                <w:rFonts w:hint="eastAsia"/>
                <w:color w:val="auto"/>
                <w:kern w:val="0"/>
                <w:sz w:val="24"/>
                <w:lang w:bidi="ar"/>
              </w:rPr>
              <w:t>综合废水</w:t>
            </w:r>
            <w:r>
              <w:rPr>
                <w:color w:val="auto"/>
                <w:kern w:val="0"/>
                <w:sz w:val="24"/>
                <w:lang w:bidi="ar"/>
              </w:rPr>
              <w:t>中各项污染因子排放浓度均能满足</w:t>
            </w:r>
            <w:r>
              <w:rPr>
                <w:rFonts w:hint="eastAsia"/>
                <w:color w:val="auto"/>
                <w:sz w:val="24"/>
                <w:lang w:eastAsia="zh-CN"/>
              </w:rPr>
              <w:t>蚌埠铜陵现代产业园污水处理厂</w:t>
            </w:r>
            <w:r>
              <w:rPr>
                <w:color w:val="auto"/>
                <w:kern w:val="0"/>
                <w:sz w:val="24"/>
                <w:lang w:bidi="ar"/>
              </w:rPr>
              <w:t>接管限值（</w:t>
            </w:r>
            <w:r>
              <w:rPr>
                <w:rFonts w:hint="eastAsia"/>
                <w:color w:val="auto"/>
                <w:kern w:val="0"/>
                <w:sz w:val="24"/>
                <w:lang w:bidi="ar"/>
              </w:rPr>
              <w:t>COD：320mg/L、BOD</w:t>
            </w:r>
            <w:r>
              <w:rPr>
                <w:rFonts w:hint="eastAsia"/>
                <w:color w:val="auto"/>
                <w:kern w:val="0"/>
                <w:sz w:val="24"/>
                <w:vertAlign w:val="subscript"/>
                <w:lang w:bidi="ar"/>
              </w:rPr>
              <w:t>5</w:t>
            </w:r>
            <w:r>
              <w:rPr>
                <w:rFonts w:hint="eastAsia"/>
                <w:color w:val="auto"/>
                <w:kern w:val="0"/>
                <w:sz w:val="24"/>
                <w:lang w:bidi="ar"/>
              </w:rPr>
              <w:t>：160mg/L、SS：180mg/L、NH</w:t>
            </w:r>
            <w:r>
              <w:rPr>
                <w:rFonts w:hint="eastAsia"/>
                <w:color w:val="auto"/>
                <w:kern w:val="0"/>
                <w:sz w:val="24"/>
                <w:vertAlign w:val="subscript"/>
                <w:lang w:bidi="ar"/>
              </w:rPr>
              <w:t>3</w:t>
            </w:r>
            <w:r>
              <w:rPr>
                <w:rFonts w:hint="eastAsia"/>
                <w:color w:val="auto"/>
                <w:kern w:val="0"/>
                <w:sz w:val="24"/>
                <w:lang w:bidi="ar"/>
              </w:rPr>
              <w:t>-N：30mg/L</w:t>
            </w:r>
            <w:r>
              <w:rPr>
                <w:color w:val="auto"/>
                <w:kern w:val="0"/>
                <w:sz w:val="24"/>
                <w:lang w:bidi="ar"/>
              </w:rPr>
              <w:t>）。</w:t>
            </w:r>
          </w:p>
          <w:p>
            <w:pPr>
              <w:keepNext w:val="0"/>
              <w:keepLines w:val="0"/>
              <w:pageBreakBefore w:val="0"/>
              <w:kinsoku/>
              <w:wordWrap/>
              <w:overflowPunct/>
              <w:topLinePunct/>
              <w:bidi w:val="0"/>
              <w:adjustRightInd w:val="0"/>
              <w:snapToGrid w:val="0"/>
              <w:spacing w:line="348" w:lineRule="auto"/>
              <w:ind w:firstLine="482" w:firstLineChars="200"/>
              <w:rPr>
                <w:rFonts w:cs="宋体"/>
                <w:b/>
                <w:bCs/>
                <w:color w:val="auto"/>
                <w:sz w:val="24"/>
              </w:rPr>
            </w:pPr>
            <w:r>
              <w:rPr>
                <w:rFonts w:hint="eastAsia" w:cs="宋体"/>
                <w:b/>
                <w:bCs/>
                <w:color w:val="auto"/>
                <w:sz w:val="24"/>
              </w:rPr>
              <w:t>3、</w:t>
            </w:r>
            <w:r>
              <w:rPr>
                <w:rFonts w:hint="eastAsia" w:cs="宋体"/>
                <w:b/>
                <w:bCs/>
                <w:color w:val="auto"/>
                <w:sz w:val="24"/>
                <w:lang w:eastAsia="zh-CN"/>
              </w:rPr>
              <w:t>蚌埠铜陵现代产业园污水处理厂</w:t>
            </w:r>
            <w:r>
              <w:rPr>
                <w:rFonts w:hint="eastAsia" w:cs="宋体"/>
                <w:b/>
                <w:bCs/>
                <w:color w:val="auto"/>
                <w:sz w:val="24"/>
              </w:rPr>
              <w:t>依托</w:t>
            </w:r>
            <w:r>
              <w:rPr>
                <w:rFonts w:cs="宋体"/>
                <w:b/>
                <w:bCs/>
                <w:color w:val="auto"/>
                <w:sz w:val="24"/>
              </w:rPr>
              <w:t>可行性分析</w:t>
            </w:r>
          </w:p>
          <w:p>
            <w:pPr>
              <w:keepNext w:val="0"/>
              <w:keepLines w:val="0"/>
              <w:pageBreakBefore w:val="0"/>
              <w:kinsoku/>
              <w:wordWrap/>
              <w:overflowPunct/>
              <w:topLinePunct/>
              <w:bidi w:val="0"/>
              <w:adjustRightInd w:val="0"/>
              <w:snapToGrid w:val="0"/>
              <w:spacing w:line="348" w:lineRule="auto"/>
              <w:ind w:firstLine="480" w:firstLineChars="200"/>
              <w:rPr>
                <w:rFonts w:cs="宋体"/>
                <w:color w:val="auto"/>
                <w:kern w:val="0"/>
                <w:sz w:val="24"/>
                <w:lang w:bidi="ar"/>
              </w:rPr>
            </w:pPr>
            <w:r>
              <w:rPr>
                <w:rFonts w:cs="宋体"/>
                <w:color w:val="auto"/>
                <w:kern w:val="0"/>
                <w:sz w:val="24"/>
                <w:lang w:bidi="ar"/>
              </w:rPr>
              <w:t>（1）接管可行性分析</w:t>
            </w:r>
          </w:p>
          <w:p>
            <w:pPr>
              <w:keepNext w:val="0"/>
              <w:keepLines w:val="0"/>
              <w:pageBreakBefore w:val="0"/>
              <w:kinsoku/>
              <w:wordWrap/>
              <w:overflowPunct/>
              <w:topLinePunct/>
              <w:bidi w:val="0"/>
              <w:adjustRightInd w:val="0"/>
              <w:snapToGrid w:val="0"/>
              <w:spacing w:line="348" w:lineRule="auto"/>
              <w:ind w:firstLine="480" w:firstLineChars="200"/>
              <w:rPr>
                <w:rFonts w:cs="宋体"/>
                <w:color w:val="auto"/>
                <w:kern w:val="0"/>
                <w:sz w:val="24"/>
                <w:lang w:bidi="ar"/>
              </w:rPr>
            </w:pPr>
            <w:r>
              <w:rPr>
                <w:rFonts w:hint="eastAsia" w:cs="宋体"/>
                <w:color w:val="auto"/>
                <w:kern w:val="0"/>
                <w:sz w:val="24"/>
                <w:lang w:eastAsia="zh-CN" w:bidi="ar"/>
              </w:rPr>
              <w:t>蚌埠铜陵现代产业园污水处理厂</w:t>
            </w:r>
            <w:r>
              <w:rPr>
                <w:rFonts w:hint="eastAsia" w:cs="宋体"/>
                <w:color w:val="auto"/>
                <w:kern w:val="0"/>
                <w:sz w:val="24"/>
                <w:lang w:bidi="ar"/>
              </w:rPr>
              <w:t>位于芦干沟以东，蚌固大道以西，新马大道以北，污水处理厂分两期建设，其中一期项目处理规模为1万</w:t>
            </w:r>
            <w:r>
              <w:rPr>
                <w:color w:val="auto"/>
                <w:szCs w:val="21"/>
              </w:rPr>
              <w:t>m</w:t>
            </w:r>
            <w:r>
              <w:rPr>
                <w:rFonts w:hint="eastAsia"/>
                <w:color w:val="auto"/>
                <w:szCs w:val="21"/>
                <w:vertAlign w:val="superscript"/>
              </w:rPr>
              <w:t>3</w:t>
            </w:r>
            <w:r>
              <w:rPr>
                <w:rFonts w:hint="eastAsia" w:cs="宋体"/>
                <w:color w:val="auto"/>
                <w:kern w:val="0"/>
                <w:sz w:val="24"/>
                <w:lang w:bidi="ar"/>
              </w:rPr>
              <w:t>/d，二期扩建处理规模为1万</w:t>
            </w:r>
            <w:r>
              <w:rPr>
                <w:color w:val="auto"/>
                <w:szCs w:val="21"/>
              </w:rPr>
              <w:t>m</w:t>
            </w:r>
            <w:r>
              <w:rPr>
                <w:rFonts w:hint="eastAsia"/>
                <w:color w:val="auto"/>
                <w:szCs w:val="21"/>
                <w:vertAlign w:val="superscript"/>
              </w:rPr>
              <w:t>3</w:t>
            </w:r>
            <w:r>
              <w:rPr>
                <w:rFonts w:hint="eastAsia" w:cs="宋体"/>
                <w:color w:val="auto"/>
                <w:kern w:val="0"/>
                <w:sz w:val="24"/>
                <w:lang w:bidi="ar"/>
              </w:rPr>
              <w:t>/d。一期项目于2018年9月15日正式投入运行，2019年1月通过竣工环保验收，出水水质要求达到《城镇污水处理厂污染物排放标准》（GB18918-2002）（表1中一级A标准）中限值要求。二期项目暂未建设。</w:t>
            </w:r>
          </w:p>
          <w:p>
            <w:pPr>
              <w:keepNext w:val="0"/>
              <w:keepLines w:val="0"/>
              <w:pageBreakBefore w:val="0"/>
              <w:kinsoku/>
              <w:wordWrap/>
              <w:overflowPunct/>
              <w:topLinePunct/>
              <w:bidi w:val="0"/>
              <w:adjustRightInd w:val="0"/>
              <w:snapToGrid w:val="0"/>
              <w:spacing w:line="348" w:lineRule="auto"/>
              <w:ind w:firstLine="480" w:firstLineChars="200"/>
              <w:rPr>
                <w:rFonts w:cs="宋体"/>
                <w:color w:val="auto"/>
                <w:kern w:val="0"/>
                <w:sz w:val="24"/>
                <w:lang w:bidi="ar"/>
              </w:rPr>
            </w:pPr>
            <w:r>
              <w:rPr>
                <w:rFonts w:hint="eastAsia" w:cs="宋体"/>
                <w:color w:val="auto"/>
                <w:kern w:val="0"/>
                <w:sz w:val="24"/>
                <w:lang w:bidi="ar"/>
              </w:rPr>
              <w:t>目前，</w:t>
            </w:r>
            <w:r>
              <w:rPr>
                <w:rFonts w:hint="eastAsia" w:cs="宋体"/>
                <w:color w:val="auto"/>
                <w:kern w:val="0"/>
                <w:sz w:val="24"/>
                <w:lang w:eastAsia="zh-CN" w:bidi="ar"/>
              </w:rPr>
              <w:t>蚌埠铜陵现代产业园污水处理厂</w:t>
            </w:r>
            <w:r>
              <w:rPr>
                <w:rFonts w:hint="eastAsia" w:cs="宋体"/>
                <w:color w:val="auto"/>
                <w:kern w:val="0"/>
                <w:sz w:val="24"/>
                <w:lang w:bidi="ar"/>
              </w:rPr>
              <w:t>现状处理能力为1万</w:t>
            </w:r>
            <w:r>
              <w:rPr>
                <w:color w:val="auto"/>
                <w:szCs w:val="21"/>
              </w:rPr>
              <w:t>m</w:t>
            </w:r>
            <w:r>
              <w:rPr>
                <w:rFonts w:hint="eastAsia"/>
                <w:color w:val="auto"/>
                <w:szCs w:val="21"/>
                <w:vertAlign w:val="superscript"/>
              </w:rPr>
              <w:t>3</w:t>
            </w:r>
            <w:r>
              <w:rPr>
                <w:rFonts w:hint="eastAsia" w:cs="宋体"/>
                <w:color w:val="auto"/>
                <w:kern w:val="0"/>
                <w:sz w:val="24"/>
                <w:lang w:bidi="ar"/>
              </w:rPr>
              <w:t>/d，主体工艺为处理工艺为粗格栅-细格栅-沉砂池-水解池-氧化沟-二沉池-提升泵房-微絮凝池-滤池-加氯接触池，污水在厂区内首先自流入粗格栅间；经粗格栅除去大的漂浮杂物后流入集水井，然后在集水井中经潜污泵提升至细格栅与曝气沉砂池，接着污水经细格栅除去细小漂浮物后，在沉砂池中去除泥砂，沉积在沉砂池底部的泥砂经吸砂机排入除砂机中进行砂水分离，上清液通过厂区排水管道自流入厂区污水管网中；经除砂后的污水进入配水井均匀分配的污水自流入改良型卡鲁塞尔氧化沟进行生物脱氮除磷，然后采用“微絮凝过滤+消毒”工艺进行深度处理，尾水经固镇经济开发区污水处理厂尾水排放工程污水管道排至钓鱼台湖入北淝河下段的排水沟后流入北淝河下段，最终汇入淮河。</w:t>
            </w:r>
          </w:p>
          <w:p>
            <w:pPr>
              <w:keepNext w:val="0"/>
              <w:keepLines w:val="0"/>
              <w:pageBreakBefore w:val="0"/>
              <w:kinsoku/>
              <w:wordWrap/>
              <w:overflowPunct/>
              <w:topLinePunct/>
              <w:bidi w:val="0"/>
              <w:adjustRightInd w:val="0"/>
              <w:snapToGrid w:val="0"/>
              <w:spacing w:line="348" w:lineRule="auto"/>
              <w:ind w:firstLine="480" w:firstLineChars="200"/>
              <w:rPr>
                <w:rFonts w:cs="宋体"/>
                <w:color w:val="auto"/>
                <w:kern w:val="0"/>
                <w:sz w:val="24"/>
                <w:lang w:bidi="ar"/>
              </w:rPr>
            </w:pPr>
            <w:r>
              <w:rPr>
                <w:rFonts w:hint="eastAsia" w:cs="宋体"/>
                <w:color w:val="auto"/>
                <w:kern w:val="0"/>
                <w:sz w:val="24"/>
                <w:lang w:bidi="ar"/>
              </w:rPr>
              <w:t>根据《安徽固镇经济开发区总体规划（2014-2030）》，</w:t>
            </w:r>
            <w:r>
              <w:rPr>
                <w:rFonts w:hint="eastAsia" w:cs="宋体"/>
                <w:color w:val="auto"/>
                <w:kern w:val="0"/>
                <w:sz w:val="24"/>
                <w:lang w:eastAsia="zh-CN" w:bidi="ar"/>
              </w:rPr>
              <w:t>蚌埠铜陵现代产业园污水处理厂</w:t>
            </w:r>
            <w:r>
              <w:rPr>
                <w:rFonts w:hint="eastAsia" w:cs="宋体"/>
                <w:color w:val="auto"/>
                <w:kern w:val="0"/>
                <w:sz w:val="24"/>
                <w:lang w:bidi="ar"/>
              </w:rPr>
              <w:t>规划纳污范围为：北至刘集路，南至纬十一路，西至现状S101，东至京沪高速铁路，总面积约13.53平方公里。项目位于蚌埠市固镇县新马桥镇铜陵产业园规划十二号路东侧2#厂房，属于</w:t>
            </w:r>
            <w:r>
              <w:rPr>
                <w:rFonts w:hint="eastAsia" w:cs="宋体"/>
                <w:color w:val="auto"/>
                <w:kern w:val="0"/>
                <w:sz w:val="24"/>
                <w:lang w:eastAsia="zh-CN" w:bidi="ar"/>
              </w:rPr>
              <w:t>蚌埠铜陵现代产业园污水处理厂</w:t>
            </w:r>
            <w:r>
              <w:rPr>
                <w:rFonts w:hint="eastAsia" w:cs="宋体"/>
                <w:color w:val="auto"/>
                <w:kern w:val="0"/>
                <w:sz w:val="24"/>
                <w:lang w:bidi="ar"/>
              </w:rPr>
              <w:t>收水范围。</w:t>
            </w:r>
          </w:p>
          <w:p>
            <w:pPr>
              <w:keepNext w:val="0"/>
              <w:keepLines w:val="0"/>
              <w:pageBreakBefore w:val="0"/>
              <w:widowControl w:val="0"/>
              <w:kinsoku/>
              <w:wordWrap/>
              <w:overflowPunct/>
              <w:topLinePunct/>
              <w:autoSpaceDE/>
              <w:autoSpaceDN/>
              <w:bidi w:val="0"/>
              <w:adjustRightInd w:val="0"/>
              <w:snapToGrid w:val="0"/>
              <w:spacing w:before="157" w:beforeLines="50" w:line="348" w:lineRule="auto"/>
              <w:ind w:firstLine="480" w:firstLineChars="200"/>
              <w:textAlignment w:val="auto"/>
              <w:rPr>
                <w:rFonts w:cs="宋体"/>
                <w:color w:val="auto"/>
                <w:kern w:val="0"/>
                <w:sz w:val="24"/>
                <w:lang w:bidi="ar"/>
              </w:rPr>
            </w:pPr>
            <w:r>
              <w:rPr>
                <w:rFonts w:hint="eastAsia" w:ascii="宋体" w:hAnsi="宋体" w:cs="宋体"/>
                <w:bCs/>
                <w:color w:val="auto"/>
                <w:kern w:val="0"/>
                <w:sz w:val="24"/>
                <w:lang w:bidi="ar"/>
              </w:rPr>
              <w:t>根据前文分析，</w:t>
            </w:r>
            <w:r>
              <w:rPr>
                <w:rFonts w:cs="宋体"/>
                <w:color w:val="auto"/>
                <w:kern w:val="0"/>
                <w:sz w:val="24"/>
                <w:lang w:bidi="ar"/>
              </w:rPr>
              <w:t>项目</w:t>
            </w:r>
            <w:r>
              <w:rPr>
                <w:rFonts w:hint="eastAsia" w:cs="宋体"/>
                <w:color w:val="auto"/>
                <w:kern w:val="0"/>
                <w:sz w:val="24"/>
                <w:lang w:bidi="ar"/>
              </w:rPr>
              <w:t>外排</w:t>
            </w:r>
            <w:r>
              <w:rPr>
                <w:rFonts w:cs="宋体"/>
                <w:color w:val="auto"/>
                <w:kern w:val="0"/>
                <w:sz w:val="24"/>
                <w:lang w:bidi="ar"/>
              </w:rPr>
              <w:t>废水为生活污水</w:t>
            </w:r>
            <w:r>
              <w:rPr>
                <w:rFonts w:hint="eastAsia" w:cs="宋体"/>
                <w:color w:val="auto"/>
                <w:kern w:val="0"/>
                <w:sz w:val="24"/>
                <w:lang w:bidi="ar"/>
              </w:rPr>
              <w:t>、冷却废水，</w:t>
            </w:r>
            <w:r>
              <w:rPr>
                <w:rFonts w:cs="宋体"/>
                <w:color w:val="auto"/>
                <w:kern w:val="0"/>
                <w:sz w:val="24"/>
                <w:lang w:bidi="ar"/>
              </w:rPr>
              <w:t>生活污水经化粪池</w:t>
            </w:r>
            <w:r>
              <w:rPr>
                <w:rFonts w:hint="eastAsia" w:cs="宋体"/>
                <w:color w:val="auto"/>
                <w:kern w:val="0"/>
                <w:sz w:val="24"/>
                <w:lang w:bidi="ar"/>
              </w:rPr>
              <w:t>收集</w:t>
            </w:r>
            <w:r>
              <w:rPr>
                <w:rFonts w:cs="宋体"/>
                <w:color w:val="auto"/>
                <w:kern w:val="0"/>
                <w:sz w:val="24"/>
                <w:lang w:bidi="ar"/>
              </w:rPr>
              <w:t>后</w:t>
            </w:r>
            <w:r>
              <w:rPr>
                <w:rFonts w:hint="eastAsia" w:cs="宋体"/>
                <w:color w:val="auto"/>
                <w:kern w:val="0"/>
                <w:sz w:val="24"/>
                <w:lang w:bidi="ar"/>
              </w:rPr>
              <w:t>与冷却废水</w:t>
            </w:r>
            <w:r>
              <w:rPr>
                <w:rFonts w:cs="宋体"/>
                <w:color w:val="auto"/>
                <w:kern w:val="0"/>
                <w:sz w:val="24"/>
                <w:lang w:bidi="ar"/>
              </w:rPr>
              <w:t>进入市政污水管网流入</w:t>
            </w:r>
            <w:r>
              <w:rPr>
                <w:rFonts w:hint="eastAsia" w:cs="宋体"/>
                <w:color w:val="auto"/>
                <w:kern w:val="0"/>
                <w:sz w:val="24"/>
                <w:lang w:eastAsia="zh-CN" w:bidi="ar"/>
              </w:rPr>
              <w:t>蚌埠铜陵现代产业园污水处理厂</w:t>
            </w:r>
            <w:r>
              <w:rPr>
                <w:rFonts w:cs="宋体"/>
                <w:color w:val="auto"/>
                <w:kern w:val="0"/>
                <w:sz w:val="24"/>
                <w:lang w:bidi="ar"/>
              </w:rPr>
              <w:t>，</w:t>
            </w:r>
            <w:r>
              <w:rPr>
                <w:rFonts w:hint="eastAsia" w:cs="宋体"/>
                <w:color w:val="auto"/>
                <w:kern w:val="0"/>
                <w:sz w:val="24"/>
                <w:lang w:bidi="ar"/>
              </w:rPr>
              <w:t>综合废水</w:t>
            </w:r>
            <w:r>
              <w:rPr>
                <w:rFonts w:cs="宋体"/>
                <w:color w:val="auto"/>
                <w:kern w:val="0"/>
                <w:sz w:val="24"/>
                <w:lang w:bidi="ar"/>
              </w:rPr>
              <w:t>：COD的排放浓度为</w:t>
            </w:r>
            <w:r>
              <w:rPr>
                <w:rFonts w:hint="eastAsia" w:cs="宋体"/>
                <w:color w:val="auto"/>
                <w:kern w:val="0"/>
                <w:sz w:val="24"/>
                <w:lang w:bidi="ar"/>
              </w:rPr>
              <w:t>298</w:t>
            </w:r>
            <w:r>
              <w:rPr>
                <w:rFonts w:cs="宋体"/>
                <w:color w:val="auto"/>
                <w:kern w:val="0"/>
                <w:sz w:val="24"/>
                <w:lang w:bidi="ar"/>
              </w:rPr>
              <w:t>mg/L、BOD</w:t>
            </w:r>
            <w:r>
              <w:rPr>
                <w:rFonts w:cs="宋体"/>
                <w:color w:val="auto"/>
                <w:kern w:val="0"/>
                <w:sz w:val="24"/>
                <w:vertAlign w:val="subscript"/>
                <w:lang w:bidi="ar"/>
              </w:rPr>
              <w:t>5</w:t>
            </w:r>
            <w:r>
              <w:rPr>
                <w:rFonts w:cs="宋体"/>
                <w:color w:val="auto"/>
                <w:kern w:val="0"/>
                <w:sz w:val="24"/>
                <w:lang w:bidi="ar"/>
              </w:rPr>
              <w:t>的排放浓度为</w:t>
            </w:r>
            <w:r>
              <w:rPr>
                <w:rFonts w:hint="eastAsia" w:cs="宋体"/>
                <w:color w:val="auto"/>
                <w:kern w:val="0"/>
                <w:sz w:val="24"/>
                <w:lang w:bidi="ar"/>
              </w:rPr>
              <w:t>148</w:t>
            </w:r>
            <w:r>
              <w:rPr>
                <w:rFonts w:cs="宋体"/>
                <w:color w:val="auto"/>
                <w:kern w:val="0"/>
                <w:sz w:val="24"/>
                <w:lang w:bidi="ar"/>
              </w:rPr>
              <w:t>mg/L、SS的排放浓度为</w:t>
            </w:r>
            <w:r>
              <w:rPr>
                <w:rFonts w:hint="eastAsia" w:cs="宋体"/>
                <w:color w:val="auto"/>
                <w:kern w:val="0"/>
                <w:sz w:val="24"/>
                <w:lang w:bidi="ar"/>
              </w:rPr>
              <w:t>149</w:t>
            </w:r>
            <w:r>
              <w:rPr>
                <w:rFonts w:cs="宋体"/>
                <w:color w:val="auto"/>
                <w:kern w:val="0"/>
                <w:sz w:val="24"/>
                <w:lang w:bidi="ar"/>
              </w:rPr>
              <w:t>mg/L、NH</w:t>
            </w:r>
            <w:r>
              <w:rPr>
                <w:rFonts w:cs="宋体"/>
                <w:color w:val="auto"/>
                <w:kern w:val="0"/>
                <w:sz w:val="24"/>
                <w:vertAlign w:val="subscript"/>
                <w:lang w:bidi="ar"/>
              </w:rPr>
              <w:t>3</w:t>
            </w:r>
            <w:r>
              <w:rPr>
                <w:rFonts w:cs="宋体"/>
                <w:color w:val="auto"/>
                <w:kern w:val="0"/>
                <w:sz w:val="24"/>
                <w:lang w:bidi="ar"/>
              </w:rPr>
              <w:t>-N的排放浓度为2</w:t>
            </w:r>
            <w:r>
              <w:rPr>
                <w:rFonts w:hint="eastAsia" w:cs="宋体"/>
                <w:color w:val="auto"/>
                <w:kern w:val="0"/>
                <w:sz w:val="24"/>
                <w:lang w:bidi="ar"/>
              </w:rPr>
              <w:t>5</w:t>
            </w:r>
            <w:r>
              <w:rPr>
                <w:rFonts w:cs="宋体"/>
                <w:color w:val="auto"/>
                <w:kern w:val="0"/>
                <w:sz w:val="24"/>
                <w:lang w:bidi="ar"/>
              </w:rPr>
              <w:t>mg/L，满足</w:t>
            </w:r>
            <w:r>
              <w:rPr>
                <w:rFonts w:hint="eastAsia" w:cs="宋体"/>
                <w:color w:val="auto"/>
                <w:kern w:val="0"/>
                <w:sz w:val="24"/>
                <w:lang w:eastAsia="zh-CN" w:bidi="ar"/>
              </w:rPr>
              <w:t>蚌埠铜陵现代产业园污水处理厂</w:t>
            </w:r>
            <w:r>
              <w:rPr>
                <w:rFonts w:hint="eastAsia" w:cs="宋体"/>
                <w:color w:val="auto"/>
                <w:kern w:val="0"/>
                <w:sz w:val="24"/>
                <w:lang w:bidi="ar"/>
              </w:rPr>
              <w:t>接管限值</w:t>
            </w:r>
            <w:r>
              <w:rPr>
                <w:rFonts w:cs="宋体"/>
                <w:color w:val="auto"/>
                <w:kern w:val="0"/>
                <w:sz w:val="24"/>
                <w:lang w:bidi="ar"/>
              </w:rPr>
              <w:t>（COD：</w:t>
            </w:r>
            <w:r>
              <w:rPr>
                <w:rFonts w:hint="eastAsia" w:cs="宋体"/>
                <w:color w:val="auto"/>
                <w:kern w:val="0"/>
                <w:sz w:val="24"/>
                <w:lang w:bidi="ar"/>
              </w:rPr>
              <w:t>32</w:t>
            </w:r>
            <w:r>
              <w:rPr>
                <w:rFonts w:cs="宋体"/>
                <w:color w:val="auto"/>
                <w:kern w:val="0"/>
                <w:sz w:val="24"/>
                <w:lang w:bidi="ar"/>
              </w:rPr>
              <w:t>0mg/L、BOD</w:t>
            </w:r>
            <w:r>
              <w:rPr>
                <w:rFonts w:cs="宋体"/>
                <w:color w:val="auto"/>
                <w:kern w:val="0"/>
                <w:sz w:val="24"/>
                <w:vertAlign w:val="subscript"/>
                <w:lang w:bidi="ar"/>
              </w:rPr>
              <w:t>5</w:t>
            </w:r>
            <w:r>
              <w:rPr>
                <w:rFonts w:cs="宋体"/>
                <w:color w:val="auto"/>
                <w:kern w:val="0"/>
                <w:sz w:val="24"/>
                <w:lang w:bidi="ar"/>
              </w:rPr>
              <w:t>：1</w:t>
            </w:r>
            <w:r>
              <w:rPr>
                <w:rFonts w:hint="eastAsia" w:cs="宋体"/>
                <w:color w:val="auto"/>
                <w:kern w:val="0"/>
                <w:sz w:val="24"/>
                <w:lang w:bidi="ar"/>
              </w:rPr>
              <w:t>6</w:t>
            </w:r>
            <w:r>
              <w:rPr>
                <w:rFonts w:cs="宋体"/>
                <w:color w:val="auto"/>
                <w:kern w:val="0"/>
                <w:sz w:val="24"/>
                <w:lang w:bidi="ar"/>
              </w:rPr>
              <w:t>0mg/L、SS：</w:t>
            </w:r>
            <w:r>
              <w:rPr>
                <w:rFonts w:hint="eastAsia" w:cs="宋体"/>
                <w:color w:val="auto"/>
                <w:kern w:val="0"/>
                <w:sz w:val="24"/>
                <w:lang w:bidi="ar"/>
              </w:rPr>
              <w:t>18</w:t>
            </w:r>
            <w:r>
              <w:rPr>
                <w:rFonts w:cs="宋体"/>
                <w:color w:val="auto"/>
                <w:kern w:val="0"/>
                <w:sz w:val="24"/>
                <w:lang w:bidi="ar"/>
              </w:rPr>
              <w:t>0mg/L、NH</w:t>
            </w:r>
            <w:r>
              <w:rPr>
                <w:rFonts w:cs="宋体"/>
                <w:color w:val="auto"/>
                <w:kern w:val="0"/>
                <w:sz w:val="24"/>
                <w:vertAlign w:val="subscript"/>
                <w:lang w:bidi="ar"/>
              </w:rPr>
              <w:t>3</w:t>
            </w:r>
            <w:r>
              <w:rPr>
                <w:rFonts w:cs="宋体"/>
                <w:color w:val="auto"/>
                <w:kern w:val="0"/>
                <w:sz w:val="24"/>
                <w:lang w:bidi="ar"/>
              </w:rPr>
              <w:t>-N：</w:t>
            </w:r>
            <w:r>
              <w:rPr>
                <w:rFonts w:hint="eastAsia" w:cs="宋体"/>
                <w:color w:val="auto"/>
                <w:kern w:val="0"/>
                <w:sz w:val="24"/>
                <w:lang w:bidi="ar"/>
              </w:rPr>
              <w:t>30</w:t>
            </w:r>
            <w:r>
              <w:rPr>
                <w:rFonts w:cs="宋体"/>
                <w:color w:val="auto"/>
                <w:kern w:val="0"/>
                <w:sz w:val="24"/>
                <w:lang w:bidi="ar"/>
              </w:rPr>
              <w:t>mg/L）。</w:t>
            </w:r>
            <w:r>
              <w:rPr>
                <w:rFonts w:hint="eastAsia" w:cs="宋体"/>
                <w:color w:val="auto"/>
                <w:kern w:val="0"/>
                <w:sz w:val="24"/>
                <w:lang w:bidi="ar"/>
              </w:rPr>
              <w:t>综上所述，</w:t>
            </w:r>
            <w:r>
              <w:rPr>
                <w:rFonts w:cs="宋体"/>
                <w:color w:val="auto"/>
                <w:kern w:val="0"/>
                <w:sz w:val="24"/>
                <w:lang w:bidi="ar"/>
              </w:rPr>
              <w:t>项目产生的</w:t>
            </w:r>
            <w:r>
              <w:rPr>
                <w:rFonts w:hint="eastAsia" w:cs="宋体"/>
                <w:color w:val="auto"/>
                <w:kern w:val="0"/>
                <w:sz w:val="24"/>
                <w:lang w:bidi="ar"/>
              </w:rPr>
              <w:t>废水</w:t>
            </w:r>
            <w:r>
              <w:rPr>
                <w:rFonts w:cs="宋体"/>
                <w:color w:val="auto"/>
                <w:kern w:val="0"/>
                <w:sz w:val="24"/>
                <w:lang w:bidi="ar"/>
              </w:rPr>
              <w:t>经处理后由</w:t>
            </w:r>
            <w:r>
              <w:rPr>
                <w:rFonts w:hint="eastAsia" w:cs="宋体"/>
                <w:color w:val="auto"/>
                <w:kern w:val="0"/>
                <w:sz w:val="24"/>
                <w:lang w:eastAsia="zh-CN" w:bidi="ar"/>
              </w:rPr>
              <w:t>蚌埠铜陵现代产业园污水处理厂</w:t>
            </w:r>
            <w:r>
              <w:rPr>
                <w:rFonts w:cs="宋体"/>
                <w:color w:val="auto"/>
                <w:kern w:val="0"/>
                <w:sz w:val="24"/>
                <w:lang w:bidi="ar"/>
              </w:rPr>
              <w:t>接管是可行的。</w:t>
            </w:r>
          </w:p>
          <w:p>
            <w:pPr>
              <w:keepNext w:val="0"/>
              <w:keepLines w:val="0"/>
              <w:pageBreakBefore w:val="0"/>
              <w:kinsoku/>
              <w:wordWrap/>
              <w:overflowPunct/>
              <w:topLinePunct/>
              <w:bidi w:val="0"/>
              <w:adjustRightInd w:val="0"/>
              <w:snapToGrid w:val="0"/>
              <w:spacing w:line="348" w:lineRule="auto"/>
              <w:ind w:firstLine="480" w:firstLineChars="200"/>
              <w:rPr>
                <w:rFonts w:cs="宋体"/>
                <w:color w:val="auto"/>
                <w:kern w:val="0"/>
                <w:sz w:val="24"/>
                <w:lang w:bidi="ar"/>
              </w:rPr>
            </w:pPr>
            <w:r>
              <w:rPr>
                <w:rFonts w:cs="宋体"/>
                <w:color w:val="auto"/>
                <w:kern w:val="0"/>
                <w:sz w:val="24"/>
                <w:lang w:bidi="ar"/>
              </w:rPr>
              <w:t>（2）处理可行性分析</w:t>
            </w:r>
          </w:p>
          <w:p>
            <w:pPr>
              <w:keepNext w:val="0"/>
              <w:keepLines w:val="0"/>
              <w:pageBreakBefore w:val="0"/>
              <w:kinsoku/>
              <w:wordWrap/>
              <w:overflowPunct/>
              <w:autoSpaceDE w:val="0"/>
              <w:autoSpaceDN w:val="0"/>
              <w:bidi w:val="0"/>
              <w:adjustRightInd w:val="0"/>
              <w:snapToGrid w:val="0"/>
              <w:spacing w:line="348" w:lineRule="auto"/>
              <w:ind w:firstLine="480" w:firstLineChars="200"/>
              <w:rPr>
                <w:b/>
                <w:color w:val="auto"/>
                <w:sz w:val="24"/>
              </w:rPr>
            </w:pPr>
            <w:r>
              <w:rPr>
                <w:rFonts w:hint="eastAsia" w:cs="宋体"/>
                <w:color w:val="auto"/>
                <w:kern w:val="0"/>
                <w:sz w:val="24"/>
                <w:lang w:eastAsia="zh-CN" w:bidi="ar"/>
              </w:rPr>
              <w:t>蚌埠铜陵现代产业园污水处理厂</w:t>
            </w:r>
            <w:r>
              <w:rPr>
                <w:rFonts w:cs="宋体"/>
                <w:color w:val="auto"/>
                <w:kern w:val="0"/>
                <w:sz w:val="24"/>
                <w:lang w:bidi="ar"/>
              </w:rPr>
              <w:t>正式投入运行以来，污水处理设备运转良好。项目外排废水仅为生活污水</w:t>
            </w:r>
            <w:r>
              <w:rPr>
                <w:rFonts w:hint="eastAsia" w:cs="宋体"/>
                <w:color w:val="auto"/>
                <w:kern w:val="0"/>
                <w:sz w:val="24"/>
                <w:lang w:bidi="ar"/>
              </w:rPr>
              <w:t>、冷却废水</w:t>
            </w:r>
            <w:r>
              <w:rPr>
                <w:rFonts w:cs="宋体"/>
                <w:color w:val="auto"/>
                <w:kern w:val="0"/>
                <w:sz w:val="24"/>
                <w:lang w:bidi="ar"/>
              </w:rPr>
              <w:t>，排放量为</w:t>
            </w:r>
            <w:r>
              <w:rPr>
                <w:rFonts w:hint="eastAsia" w:cs="宋体"/>
                <w:color w:val="auto"/>
                <w:kern w:val="0"/>
                <w:sz w:val="24"/>
                <w:lang w:bidi="ar"/>
              </w:rPr>
              <w:t>1.44t/d</w:t>
            </w:r>
            <w:r>
              <w:rPr>
                <w:rFonts w:cs="宋体"/>
                <w:color w:val="auto"/>
                <w:kern w:val="0"/>
                <w:sz w:val="24"/>
                <w:lang w:bidi="ar"/>
              </w:rPr>
              <w:t>，排放废水量占污水处理厂工程容量</w:t>
            </w:r>
            <w:r>
              <w:rPr>
                <w:rFonts w:hint="eastAsia" w:cs="宋体"/>
                <w:color w:val="auto"/>
                <w:kern w:val="0"/>
                <w:sz w:val="24"/>
                <w:lang w:bidi="ar"/>
              </w:rPr>
              <w:t>极小</w:t>
            </w:r>
            <w:r>
              <w:rPr>
                <w:rFonts w:cs="宋体"/>
                <w:color w:val="auto"/>
                <w:kern w:val="0"/>
                <w:sz w:val="24"/>
                <w:lang w:bidi="ar"/>
              </w:rPr>
              <w:t>，不会对污水处理厂运行造成冲击，且污水处理厂仍有容量接纳本项目污水，</w:t>
            </w:r>
            <w:r>
              <w:rPr>
                <w:rFonts w:hint="eastAsia" w:cs="宋体"/>
                <w:color w:val="auto"/>
                <w:kern w:val="0"/>
                <w:sz w:val="24"/>
                <w:lang w:bidi="ar"/>
              </w:rPr>
              <w:t>综合废水</w:t>
            </w:r>
            <w:r>
              <w:rPr>
                <w:rFonts w:cs="宋体"/>
                <w:color w:val="auto"/>
                <w:kern w:val="0"/>
                <w:sz w:val="24"/>
                <w:lang w:bidi="ar"/>
              </w:rPr>
              <w:t>的主要污染物为COD、BOD</w:t>
            </w:r>
            <w:r>
              <w:rPr>
                <w:rFonts w:cs="宋体"/>
                <w:color w:val="auto"/>
                <w:kern w:val="0"/>
                <w:sz w:val="24"/>
                <w:vertAlign w:val="subscript"/>
                <w:lang w:bidi="ar"/>
              </w:rPr>
              <w:t>5</w:t>
            </w:r>
            <w:r>
              <w:rPr>
                <w:rFonts w:cs="宋体"/>
                <w:color w:val="auto"/>
                <w:kern w:val="0"/>
                <w:sz w:val="24"/>
                <w:lang w:bidi="ar"/>
              </w:rPr>
              <w:t>、SS、NH</w:t>
            </w:r>
            <w:r>
              <w:rPr>
                <w:rFonts w:cs="宋体"/>
                <w:color w:val="auto"/>
                <w:kern w:val="0"/>
                <w:sz w:val="24"/>
                <w:vertAlign w:val="subscript"/>
                <w:lang w:bidi="ar"/>
              </w:rPr>
              <w:t>3</w:t>
            </w:r>
            <w:r>
              <w:rPr>
                <w:rFonts w:cs="宋体"/>
                <w:color w:val="auto"/>
                <w:kern w:val="0"/>
                <w:sz w:val="24"/>
                <w:lang w:bidi="ar"/>
              </w:rPr>
              <w:t>-N，无有毒有害物质，</w:t>
            </w:r>
            <w:r>
              <w:rPr>
                <w:rFonts w:hint="eastAsia" w:cs="宋体"/>
                <w:color w:val="auto"/>
                <w:kern w:val="0"/>
                <w:sz w:val="24"/>
                <w:lang w:bidi="ar"/>
              </w:rPr>
              <w:t>经处理后的</w:t>
            </w:r>
            <w:r>
              <w:rPr>
                <w:rFonts w:cs="宋体"/>
                <w:color w:val="auto"/>
                <w:kern w:val="0"/>
                <w:sz w:val="24"/>
                <w:lang w:bidi="ar"/>
              </w:rPr>
              <w:t>废水不会对地表水产生直接影响。因此，项目废水依托</w:t>
            </w:r>
            <w:r>
              <w:rPr>
                <w:rFonts w:hint="eastAsia" w:cs="宋体"/>
                <w:color w:val="auto"/>
                <w:kern w:val="0"/>
                <w:sz w:val="24"/>
                <w:lang w:eastAsia="zh-CN" w:bidi="ar"/>
              </w:rPr>
              <w:t>蚌埠铜陵现代产业园污水处理厂</w:t>
            </w:r>
            <w:r>
              <w:rPr>
                <w:rFonts w:cs="宋体"/>
                <w:color w:val="auto"/>
                <w:kern w:val="0"/>
                <w:sz w:val="24"/>
                <w:lang w:bidi="ar"/>
              </w:rPr>
              <w:t>处理是可行的。</w:t>
            </w:r>
          </w:p>
          <w:p>
            <w:pPr>
              <w:pStyle w:val="10"/>
              <w:keepNext w:val="0"/>
              <w:keepLines w:val="0"/>
              <w:pageBreakBefore w:val="0"/>
              <w:kinsoku/>
              <w:wordWrap/>
              <w:overflowPunct/>
              <w:bidi w:val="0"/>
              <w:adjustRightInd w:val="0"/>
              <w:snapToGrid w:val="0"/>
              <w:spacing w:after="0" w:line="348" w:lineRule="auto"/>
              <w:ind w:left="0" w:leftChars="0" w:firstLine="482"/>
              <w:rPr>
                <w:color w:val="auto"/>
              </w:rPr>
            </w:pPr>
            <w:r>
              <w:rPr>
                <w:b/>
                <w:bCs/>
                <w:color w:val="auto"/>
                <w:szCs w:val="24"/>
              </w:rPr>
              <w:t>4、废水监测计划</w:t>
            </w:r>
          </w:p>
          <w:p>
            <w:pPr>
              <w:keepNext w:val="0"/>
              <w:keepLines w:val="0"/>
              <w:pageBreakBefore w:val="0"/>
              <w:kinsoku/>
              <w:wordWrap/>
              <w:overflowPunct/>
              <w:bidi w:val="0"/>
              <w:adjustRightInd w:val="0"/>
              <w:snapToGrid w:val="0"/>
              <w:spacing w:line="348" w:lineRule="auto"/>
              <w:ind w:firstLine="480" w:firstLineChars="200"/>
              <w:outlineLvl w:val="2"/>
              <w:rPr>
                <w:bCs/>
                <w:color w:val="auto"/>
                <w:sz w:val="24"/>
              </w:rPr>
            </w:pPr>
            <w:r>
              <w:rPr>
                <w:rFonts w:hint="eastAsia"/>
                <w:bCs/>
                <w:color w:val="auto"/>
                <w:sz w:val="24"/>
                <w:szCs w:val="20"/>
              </w:rPr>
              <w:t>本项目</w:t>
            </w:r>
            <w:r>
              <w:rPr>
                <w:bCs/>
                <w:color w:val="auto"/>
                <w:sz w:val="24"/>
                <w:szCs w:val="20"/>
              </w:rPr>
              <w:t>属于登记管理，无需申领排污许可证，故亦无需开展自行监测，鉴于企业运营期有污染物外排，建议企业运营期开展污染物排放监测</w:t>
            </w:r>
            <w:r>
              <w:rPr>
                <w:rFonts w:hint="eastAsia"/>
                <w:bCs/>
                <w:color w:val="auto"/>
                <w:sz w:val="24"/>
                <w:szCs w:val="20"/>
              </w:rPr>
              <w:t>。</w:t>
            </w:r>
            <w:r>
              <w:rPr>
                <w:color w:val="auto"/>
                <w:sz w:val="24"/>
              </w:rPr>
              <w:t>根据</w:t>
            </w:r>
            <w:r>
              <w:rPr>
                <w:rFonts w:hint="eastAsia"/>
                <w:bCs/>
                <w:color w:val="auto"/>
                <w:sz w:val="24"/>
                <w:szCs w:val="20"/>
              </w:rPr>
              <w:t>《排污单位自行监测技术指南 总则》（HJ819-2017）、</w:t>
            </w:r>
            <w:r>
              <w:rPr>
                <w:rFonts w:hint="eastAsia"/>
                <w:color w:val="auto"/>
                <w:sz w:val="24"/>
              </w:rPr>
              <w:t>《排污单位自行监测技术指南-橡胶和塑料制品》（HJ 1207-2021）</w:t>
            </w:r>
            <w:r>
              <w:rPr>
                <w:color w:val="auto"/>
                <w:sz w:val="24"/>
              </w:rPr>
              <w:t>及其他相关要求，</w:t>
            </w:r>
            <w:r>
              <w:rPr>
                <w:bCs/>
                <w:color w:val="auto"/>
                <w:sz w:val="24"/>
                <w:szCs w:val="20"/>
              </w:rPr>
              <w:t>废水监测计划见下表。</w:t>
            </w:r>
          </w:p>
          <w:p>
            <w:pPr>
              <w:autoSpaceDE w:val="0"/>
              <w:autoSpaceDN w:val="0"/>
              <w:adjustRightInd w:val="0"/>
              <w:snapToGrid w:val="0"/>
              <w:jc w:val="center"/>
              <w:rPr>
                <w:b/>
                <w:bCs/>
                <w:color w:val="auto"/>
                <w:sz w:val="24"/>
              </w:rPr>
            </w:pPr>
            <w:r>
              <w:rPr>
                <w:b/>
                <w:bCs/>
                <w:color w:val="auto"/>
                <w:sz w:val="24"/>
              </w:rPr>
              <w:t>表4-</w:t>
            </w:r>
            <w:r>
              <w:rPr>
                <w:rFonts w:hint="eastAsia"/>
                <w:b/>
                <w:bCs/>
                <w:color w:val="auto"/>
                <w:sz w:val="24"/>
              </w:rPr>
              <w:t>1</w:t>
            </w:r>
            <w:r>
              <w:rPr>
                <w:rFonts w:hint="eastAsia"/>
                <w:b/>
                <w:bCs/>
                <w:color w:val="auto"/>
                <w:sz w:val="24"/>
                <w:lang w:val="en-US" w:eastAsia="zh-CN"/>
              </w:rPr>
              <w:t>3</w:t>
            </w:r>
            <w:r>
              <w:rPr>
                <w:rFonts w:hint="eastAsia"/>
                <w:b/>
                <w:bCs/>
                <w:color w:val="auto"/>
                <w:sz w:val="24"/>
              </w:rPr>
              <w:t xml:space="preserve"> </w:t>
            </w:r>
            <w:r>
              <w:rPr>
                <w:b/>
                <w:bCs/>
                <w:color w:val="auto"/>
                <w:sz w:val="24"/>
              </w:rPr>
              <w:t xml:space="preserve"> 废水监测计划</w:t>
            </w:r>
          </w:p>
          <w:tbl>
            <w:tblPr>
              <w:tblStyle w:val="28"/>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657"/>
              <w:gridCol w:w="3913"/>
              <w:gridCol w:w="18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7" w:type="dxa"/>
                  <w:vAlign w:val="center"/>
                </w:tcPr>
                <w:p>
                  <w:pPr>
                    <w:pStyle w:val="61"/>
                    <w:widowControl w:val="0"/>
                    <w:pBdr>
                      <w:left w:val="none" w:color="auto" w:sz="0" w:space="0"/>
                      <w:bottom w:val="none" w:color="auto" w:sz="0" w:space="0"/>
                      <w:right w:val="none" w:color="auto" w:sz="0" w:space="0"/>
                    </w:pBdr>
                    <w:spacing w:before="0" w:beforeAutospacing="0" w:after="0" w:afterAutospacing="0"/>
                    <w:rPr>
                      <w:color w:val="auto"/>
                    </w:rPr>
                  </w:pPr>
                  <w:r>
                    <w:rPr>
                      <w:b/>
                      <w:bCs/>
                      <w:color w:val="auto"/>
                      <w:kern w:val="2"/>
                    </w:rPr>
                    <w:t>类别</w:t>
                  </w:r>
                </w:p>
              </w:tc>
              <w:tc>
                <w:tcPr>
                  <w:tcW w:w="1657" w:type="dxa"/>
                  <w:vAlign w:val="center"/>
                </w:tcPr>
                <w:p>
                  <w:pPr>
                    <w:jc w:val="center"/>
                    <w:rPr>
                      <w:color w:val="auto"/>
                      <w:szCs w:val="21"/>
                    </w:rPr>
                  </w:pPr>
                  <w:r>
                    <w:rPr>
                      <w:b/>
                      <w:bCs/>
                      <w:color w:val="auto"/>
                      <w:szCs w:val="21"/>
                    </w:rPr>
                    <w:t>监测地点</w:t>
                  </w:r>
                </w:p>
              </w:tc>
              <w:tc>
                <w:tcPr>
                  <w:tcW w:w="3913" w:type="dxa"/>
                  <w:vAlign w:val="center"/>
                </w:tcPr>
                <w:p>
                  <w:pPr>
                    <w:jc w:val="center"/>
                    <w:rPr>
                      <w:color w:val="auto"/>
                      <w:szCs w:val="21"/>
                    </w:rPr>
                  </w:pPr>
                  <w:r>
                    <w:rPr>
                      <w:b/>
                      <w:bCs/>
                      <w:color w:val="auto"/>
                      <w:szCs w:val="21"/>
                    </w:rPr>
                    <w:t>监测项目</w:t>
                  </w:r>
                </w:p>
              </w:tc>
              <w:tc>
                <w:tcPr>
                  <w:tcW w:w="1857" w:type="dxa"/>
                  <w:vAlign w:val="center"/>
                </w:tcPr>
                <w:p>
                  <w:pPr>
                    <w:jc w:val="center"/>
                    <w:rPr>
                      <w:color w:val="auto"/>
                      <w:szCs w:val="21"/>
                    </w:rPr>
                  </w:pPr>
                  <w:r>
                    <w:rPr>
                      <w:b/>
                      <w:bCs/>
                      <w:color w:val="auto"/>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7" w:type="dxa"/>
                  <w:vAlign w:val="center"/>
                </w:tcPr>
                <w:p>
                  <w:pPr>
                    <w:pStyle w:val="63"/>
                    <w:rPr>
                      <w:b w:val="0"/>
                      <w:bCs/>
                      <w:color w:val="auto"/>
                      <w:szCs w:val="21"/>
                    </w:rPr>
                  </w:pPr>
                  <w:r>
                    <w:rPr>
                      <w:b w:val="0"/>
                      <w:bCs/>
                      <w:color w:val="auto"/>
                      <w:szCs w:val="21"/>
                    </w:rPr>
                    <w:t>废水</w:t>
                  </w:r>
                </w:p>
              </w:tc>
              <w:tc>
                <w:tcPr>
                  <w:tcW w:w="1657" w:type="dxa"/>
                  <w:vAlign w:val="center"/>
                </w:tcPr>
                <w:p>
                  <w:pPr>
                    <w:pStyle w:val="63"/>
                    <w:rPr>
                      <w:b w:val="0"/>
                      <w:bCs/>
                      <w:color w:val="auto"/>
                      <w:szCs w:val="21"/>
                    </w:rPr>
                  </w:pPr>
                  <w:r>
                    <w:rPr>
                      <w:b w:val="0"/>
                      <w:bCs/>
                      <w:color w:val="auto"/>
                      <w:szCs w:val="21"/>
                    </w:rPr>
                    <w:t>DW001</w:t>
                  </w:r>
                </w:p>
              </w:tc>
              <w:tc>
                <w:tcPr>
                  <w:tcW w:w="3913" w:type="dxa"/>
                  <w:vAlign w:val="center"/>
                </w:tcPr>
                <w:p>
                  <w:pPr>
                    <w:pStyle w:val="63"/>
                    <w:rPr>
                      <w:b w:val="0"/>
                      <w:bCs/>
                      <w:color w:val="auto"/>
                      <w:szCs w:val="21"/>
                    </w:rPr>
                  </w:pPr>
                  <w:r>
                    <w:rPr>
                      <w:rFonts w:hint="eastAsia"/>
                      <w:b w:val="0"/>
                      <w:bCs/>
                      <w:color w:val="auto"/>
                      <w:szCs w:val="21"/>
                    </w:rPr>
                    <w:t>流量、p</w:t>
                  </w:r>
                  <w:r>
                    <w:rPr>
                      <w:b w:val="0"/>
                      <w:bCs/>
                      <w:color w:val="auto"/>
                      <w:szCs w:val="21"/>
                    </w:rPr>
                    <w:t>H、</w:t>
                  </w:r>
                  <w:r>
                    <w:rPr>
                      <w:b w:val="0"/>
                      <w:bCs/>
                      <w:color w:val="auto"/>
                      <w:kern w:val="0"/>
                      <w:szCs w:val="21"/>
                    </w:rPr>
                    <w:t>COD、BOD</w:t>
                  </w:r>
                  <w:r>
                    <w:rPr>
                      <w:b w:val="0"/>
                      <w:bCs/>
                      <w:color w:val="auto"/>
                      <w:kern w:val="0"/>
                      <w:szCs w:val="21"/>
                      <w:vertAlign w:val="subscript"/>
                    </w:rPr>
                    <w:t>5</w:t>
                  </w:r>
                  <w:r>
                    <w:rPr>
                      <w:b w:val="0"/>
                      <w:bCs/>
                      <w:color w:val="auto"/>
                      <w:kern w:val="0"/>
                      <w:szCs w:val="21"/>
                    </w:rPr>
                    <w:t>、SS、NH</w:t>
                  </w:r>
                  <w:r>
                    <w:rPr>
                      <w:b w:val="0"/>
                      <w:bCs/>
                      <w:color w:val="auto"/>
                      <w:kern w:val="0"/>
                      <w:szCs w:val="21"/>
                      <w:vertAlign w:val="subscript"/>
                    </w:rPr>
                    <w:t>3</w:t>
                  </w:r>
                  <w:r>
                    <w:rPr>
                      <w:b w:val="0"/>
                      <w:bCs/>
                      <w:color w:val="auto"/>
                      <w:kern w:val="0"/>
                      <w:szCs w:val="21"/>
                    </w:rPr>
                    <w:t>-N</w:t>
                  </w:r>
                </w:p>
              </w:tc>
              <w:tc>
                <w:tcPr>
                  <w:tcW w:w="1857" w:type="dxa"/>
                  <w:vAlign w:val="center"/>
                </w:tcPr>
                <w:p>
                  <w:pPr>
                    <w:pStyle w:val="63"/>
                    <w:rPr>
                      <w:b w:val="0"/>
                      <w:bCs/>
                      <w:color w:val="auto"/>
                      <w:szCs w:val="21"/>
                    </w:rPr>
                  </w:pPr>
                  <w:r>
                    <w:rPr>
                      <w:b w:val="0"/>
                      <w:bCs/>
                      <w:color w:val="auto"/>
                      <w:szCs w:val="21"/>
                    </w:rPr>
                    <w:t>1次/年</w:t>
                  </w:r>
                </w:p>
              </w:tc>
            </w:tr>
          </w:tbl>
          <w:p>
            <w:pPr>
              <w:keepNext w:val="0"/>
              <w:keepLines/>
              <w:pageBreakBefore w:val="0"/>
              <w:widowControl w:val="0"/>
              <w:kinsoku/>
              <w:wordWrap/>
              <w:overflowPunct/>
              <w:topLinePunct w:val="0"/>
              <w:autoSpaceDE w:val="0"/>
              <w:autoSpaceDN w:val="0"/>
              <w:bidi w:val="0"/>
              <w:adjustRightInd w:val="0"/>
              <w:snapToGrid w:val="0"/>
              <w:spacing w:before="120" w:beforeLines="50" w:line="360" w:lineRule="auto"/>
              <w:ind w:firstLine="482" w:firstLineChars="200"/>
              <w:textAlignment w:val="auto"/>
              <w:rPr>
                <w:rFonts w:ascii="宋体" w:hAnsi="宋体" w:cs="宋体"/>
                <w:b/>
                <w:bCs/>
                <w:color w:val="auto"/>
                <w:kern w:val="0"/>
                <w:sz w:val="24"/>
              </w:rPr>
            </w:pPr>
            <w:r>
              <w:rPr>
                <w:rFonts w:hint="eastAsia" w:ascii="宋体" w:hAnsi="宋体" w:cs="宋体"/>
                <w:b/>
                <w:bCs/>
                <w:color w:val="auto"/>
                <w:kern w:val="0"/>
                <w:sz w:val="24"/>
              </w:rPr>
              <w:t>三、噪声</w:t>
            </w:r>
          </w:p>
          <w:p>
            <w:pPr>
              <w:keepNext w:val="0"/>
              <w:keepLines/>
              <w:pageBreakBefore w:val="0"/>
              <w:widowControl w:val="0"/>
              <w:kinsoku/>
              <w:wordWrap/>
              <w:overflowPunct/>
              <w:topLinePunct w:val="0"/>
              <w:bidi w:val="0"/>
              <w:adjustRightInd w:val="0"/>
              <w:snapToGrid w:val="0"/>
              <w:spacing w:line="360" w:lineRule="auto"/>
              <w:ind w:firstLine="482" w:firstLineChars="200"/>
              <w:textAlignment w:val="auto"/>
              <w:rPr>
                <w:b/>
                <w:bCs/>
                <w:color w:val="auto"/>
                <w:sz w:val="24"/>
              </w:rPr>
            </w:pPr>
            <w:r>
              <w:rPr>
                <w:b/>
                <w:bCs/>
                <w:color w:val="auto"/>
                <w:sz w:val="24"/>
              </w:rPr>
              <w:t>1、噪声源强分析</w:t>
            </w:r>
          </w:p>
          <w:p>
            <w:pPr>
              <w:keepNext w:val="0"/>
              <w:keepLines/>
              <w:pageBreakBefore w:val="0"/>
              <w:widowControl w:val="0"/>
              <w:kinsoku/>
              <w:wordWrap/>
              <w:overflowPunct/>
              <w:topLinePunct w:val="0"/>
              <w:bidi w:val="0"/>
              <w:adjustRightInd w:val="0"/>
              <w:snapToGrid w:val="0"/>
              <w:spacing w:line="360" w:lineRule="auto"/>
              <w:ind w:firstLine="480" w:firstLineChars="200"/>
              <w:textAlignment w:val="auto"/>
              <w:rPr>
                <w:bCs/>
                <w:color w:val="auto"/>
                <w:sz w:val="24"/>
              </w:rPr>
            </w:pPr>
            <w:r>
              <w:rPr>
                <w:rFonts w:hint="eastAsia"/>
                <w:bCs/>
                <w:color w:val="auto"/>
                <w:sz w:val="24"/>
              </w:rPr>
              <w:t>（1）噪声源强</w:t>
            </w:r>
          </w:p>
          <w:p>
            <w:pPr>
              <w:keepNext w:val="0"/>
              <w:keepLines/>
              <w:pageBreakBefore w:val="0"/>
              <w:widowControl w:val="0"/>
              <w:tabs>
                <w:tab w:val="left" w:pos="1275"/>
              </w:tabs>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项目运营期噪声主要来自</w:t>
            </w:r>
            <w:r>
              <w:rPr>
                <w:rFonts w:hint="eastAsia"/>
                <w:color w:val="auto"/>
                <w:sz w:val="24"/>
              </w:rPr>
              <w:t>混料机、注塑机、破碎机、空压机、印花机、水泵、电子秤、风机</w:t>
            </w:r>
            <w:r>
              <w:rPr>
                <w:color w:val="auto"/>
                <w:sz w:val="24"/>
              </w:rPr>
              <w:t>等设备，通过</w:t>
            </w:r>
            <w:r>
              <w:rPr>
                <w:rFonts w:hint="eastAsia"/>
                <w:color w:val="auto"/>
                <w:sz w:val="24"/>
              </w:rPr>
              <w:t>选用低噪设备、厂房隔声、基础减振</w:t>
            </w:r>
            <w:r>
              <w:rPr>
                <w:color w:val="auto"/>
                <w:sz w:val="24"/>
              </w:rPr>
              <w:t>等措施，</w:t>
            </w:r>
            <w:r>
              <w:rPr>
                <w:bCs/>
                <w:color w:val="auto"/>
                <w:sz w:val="24"/>
              </w:rPr>
              <w:t>可起到一定降噪效果</w:t>
            </w:r>
            <w:r>
              <w:rPr>
                <w:rFonts w:hint="eastAsia"/>
                <w:bCs/>
                <w:color w:val="auto"/>
                <w:sz w:val="24"/>
              </w:rPr>
              <w:t>，</w:t>
            </w:r>
            <w:r>
              <w:rPr>
                <w:bCs/>
                <w:color w:val="auto"/>
                <w:sz w:val="24"/>
              </w:rPr>
              <w:t>通过以上措施可以降低噪声约15～25dB（A）。</w:t>
            </w:r>
            <w:r>
              <w:rPr>
                <w:rFonts w:hint="eastAsia"/>
                <w:bCs/>
                <w:color w:val="auto"/>
                <w:sz w:val="24"/>
              </w:rPr>
              <w:t>企业</w:t>
            </w:r>
            <w:r>
              <w:rPr>
                <w:bCs/>
                <w:color w:val="auto"/>
                <w:kern w:val="0"/>
                <w:sz w:val="24"/>
              </w:rPr>
              <w:t>实行</w:t>
            </w:r>
            <w:r>
              <w:rPr>
                <w:rFonts w:hint="eastAsia"/>
                <w:bCs/>
                <w:color w:val="auto"/>
                <w:kern w:val="0"/>
                <w:sz w:val="24"/>
              </w:rPr>
              <w:t>2</w:t>
            </w:r>
            <w:r>
              <w:rPr>
                <w:bCs/>
                <w:color w:val="auto"/>
                <w:kern w:val="0"/>
                <w:sz w:val="24"/>
              </w:rPr>
              <w:t>班制</w:t>
            </w:r>
            <w:r>
              <w:rPr>
                <w:rFonts w:hint="eastAsia"/>
                <w:bCs/>
                <w:color w:val="auto"/>
                <w:kern w:val="0"/>
                <w:sz w:val="24"/>
              </w:rPr>
              <w:t>（6：00~14：00，14：00~22：00）</w:t>
            </w:r>
            <w:r>
              <w:rPr>
                <w:bCs/>
                <w:color w:val="auto"/>
                <w:kern w:val="0"/>
                <w:sz w:val="24"/>
              </w:rPr>
              <w:t>，每班工作8小时</w:t>
            </w:r>
            <w:r>
              <w:rPr>
                <w:rFonts w:hint="eastAsia"/>
                <w:bCs/>
                <w:color w:val="auto"/>
                <w:kern w:val="0"/>
                <w:sz w:val="24"/>
              </w:rPr>
              <w:t>。</w:t>
            </w:r>
            <w:r>
              <w:rPr>
                <w:color w:val="auto"/>
                <w:sz w:val="24"/>
              </w:rPr>
              <w:t>根据类比资料分析，设备噪声声级情况详见下表。</w:t>
            </w:r>
          </w:p>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b/>
                <w:color w:val="auto"/>
                <w:sz w:val="24"/>
              </w:rPr>
            </w:pPr>
            <w:r>
              <w:rPr>
                <w:rFonts w:hint="eastAsia"/>
                <w:b/>
                <w:color w:val="auto"/>
                <w:sz w:val="24"/>
              </w:rPr>
              <w:t>表4-1</w:t>
            </w:r>
            <w:r>
              <w:rPr>
                <w:rFonts w:hint="eastAsia"/>
                <w:b/>
                <w:color w:val="auto"/>
                <w:sz w:val="24"/>
                <w:lang w:val="en-US" w:eastAsia="zh-CN"/>
              </w:rPr>
              <w:t xml:space="preserve">4 </w:t>
            </w:r>
            <w:r>
              <w:rPr>
                <w:rFonts w:hint="eastAsia"/>
                <w:b/>
                <w:color w:val="auto"/>
                <w:sz w:val="24"/>
              </w:rPr>
              <w:t xml:space="preserve"> 工业企业噪声源强调查清单（室外声源）</w:t>
            </w:r>
          </w:p>
          <w:tbl>
            <w:tblPr>
              <w:tblStyle w:val="28"/>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72"/>
              <w:gridCol w:w="1154"/>
              <w:gridCol w:w="780"/>
              <w:gridCol w:w="780"/>
              <w:gridCol w:w="780"/>
              <w:gridCol w:w="1545"/>
              <w:gridCol w:w="1578"/>
              <w:gridCol w:w="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vMerge w:val="restart"/>
                  <w:vAlign w:val="center"/>
                </w:tcPr>
                <w:p>
                  <w:pPr>
                    <w:adjustRightInd w:val="0"/>
                    <w:snapToGrid w:val="0"/>
                    <w:jc w:val="center"/>
                    <w:rPr>
                      <w:b/>
                      <w:bCs/>
                      <w:color w:val="auto"/>
                      <w:szCs w:val="21"/>
                    </w:rPr>
                  </w:pPr>
                  <w:r>
                    <w:rPr>
                      <w:b/>
                      <w:bCs/>
                      <w:color w:val="auto"/>
                      <w:szCs w:val="21"/>
                    </w:rPr>
                    <w:t>序号</w:t>
                  </w:r>
                </w:p>
              </w:tc>
              <w:tc>
                <w:tcPr>
                  <w:tcW w:w="611" w:type="pct"/>
                  <w:vMerge w:val="restart"/>
                  <w:vAlign w:val="center"/>
                </w:tcPr>
                <w:p>
                  <w:pPr>
                    <w:adjustRightInd w:val="0"/>
                    <w:snapToGrid w:val="0"/>
                    <w:jc w:val="center"/>
                    <w:rPr>
                      <w:b/>
                      <w:bCs/>
                      <w:color w:val="auto"/>
                      <w:szCs w:val="21"/>
                    </w:rPr>
                  </w:pPr>
                  <w:r>
                    <w:rPr>
                      <w:b/>
                      <w:bCs/>
                      <w:color w:val="auto"/>
                      <w:szCs w:val="21"/>
                    </w:rPr>
                    <w:t>声源</w:t>
                  </w:r>
                  <w:r>
                    <w:rPr>
                      <w:rFonts w:hint="eastAsia"/>
                      <w:b/>
                      <w:bCs/>
                      <w:color w:val="auto"/>
                      <w:szCs w:val="21"/>
                    </w:rPr>
                    <w:t>名称</w:t>
                  </w:r>
                </w:p>
              </w:tc>
              <w:tc>
                <w:tcPr>
                  <w:tcW w:w="658" w:type="pct"/>
                  <w:vMerge w:val="restart"/>
                  <w:vAlign w:val="center"/>
                </w:tcPr>
                <w:p>
                  <w:pPr>
                    <w:adjustRightInd w:val="0"/>
                    <w:snapToGrid w:val="0"/>
                    <w:jc w:val="center"/>
                    <w:rPr>
                      <w:b/>
                      <w:bCs/>
                      <w:color w:val="auto"/>
                      <w:szCs w:val="21"/>
                    </w:rPr>
                  </w:pPr>
                  <w:r>
                    <w:rPr>
                      <w:rFonts w:hint="eastAsia"/>
                      <w:b/>
                      <w:bCs/>
                      <w:color w:val="auto"/>
                      <w:szCs w:val="21"/>
                    </w:rPr>
                    <w:t>型号</w:t>
                  </w:r>
                </w:p>
              </w:tc>
              <w:tc>
                <w:tcPr>
                  <w:tcW w:w="1335" w:type="pct"/>
                  <w:gridSpan w:val="3"/>
                  <w:vAlign w:val="center"/>
                </w:tcPr>
                <w:p>
                  <w:pPr>
                    <w:adjustRightInd w:val="0"/>
                    <w:snapToGrid w:val="0"/>
                    <w:jc w:val="center"/>
                    <w:rPr>
                      <w:b/>
                      <w:bCs/>
                      <w:color w:val="auto"/>
                      <w:szCs w:val="21"/>
                    </w:rPr>
                  </w:pPr>
                  <w:r>
                    <w:rPr>
                      <w:rFonts w:hint="eastAsia"/>
                      <w:b/>
                      <w:bCs/>
                      <w:color w:val="auto"/>
                      <w:szCs w:val="21"/>
                    </w:rPr>
                    <w:t>空间相对位置/m</w:t>
                  </w:r>
                </w:p>
              </w:tc>
              <w:tc>
                <w:tcPr>
                  <w:tcW w:w="881" w:type="pct"/>
                  <w:vAlign w:val="center"/>
                </w:tcPr>
                <w:p>
                  <w:pPr>
                    <w:adjustRightInd w:val="0"/>
                    <w:snapToGrid w:val="0"/>
                    <w:jc w:val="center"/>
                    <w:rPr>
                      <w:b/>
                      <w:bCs/>
                      <w:color w:val="auto"/>
                      <w:szCs w:val="21"/>
                    </w:rPr>
                  </w:pPr>
                  <w:r>
                    <w:rPr>
                      <w:rFonts w:hint="eastAsia"/>
                      <w:b/>
                      <w:bCs/>
                      <w:color w:val="auto"/>
                      <w:szCs w:val="21"/>
                    </w:rPr>
                    <w:t>声源源强</w:t>
                  </w:r>
                </w:p>
              </w:tc>
              <w:tc>
                <w:tcPr>
                  <w:tcW w:w="900" w:type="pct"/>
                  <w:vMerge w:val="restart"/>
                  <w:vAlign w:val="center"/>
                </w:tcPr>
                <w:p>
                  <w:pPr>
                    <w:adjustRightInd w:val="0"/>
                    <w:snapToGrid w:val="0"/>
                    <w:jc w:val="center"/>
                    <w:rPr>
                      <w:b/>
                      <w:bCs/>
                      <w:color w:val="auto"/>
                      <w:szCs w:val="21"/>
                    </w:rPr>
                  </w:pPr>
                  <w:r>
                    <w:rPr>
                      <w:rFonts w:hint="eastAsia"/>
                      <w:b/>
                      <w:bCs/>
                      <w:color w:val="auto"/>
                      <w:szCs w:val="21"/>
                    </w:rPr>
                    <w:t>声源控制措施</w:t>
                  </w:r>
                </w:p>
              </w:tc>
              <w:tc>
                <w:tcPr>
                  <w:tcW w:w="364" w:type="pct"/>
                  <w:vMerge w:val="restart"/>
                  <w:vAlign w:val="center"/>
                </w:tcPr>
                <w:p>
                  <w:pPr>
                    <w:adjustRightInd w:val="0"/>
                    <w:snapToGrid w:val="0"/>
                    <w:jc w:val="center"/>
                    <w:rPr>
                      <w:b/>
                      <w:bCs/>
                      <w:color w:val="auto"/>
                      <w:szCs w:val="21"/>
                    </w:rPr>
                  </w:pPr>
                  <w:r>
                    <w:rPr>
                      <w:b/>
                      <w:bCs/>
                      <w:color w:val="auto"/>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vMerge w:val="continue"/>
                  <w:vAlign w:val="center"/>
                </w:tcPr>
                <w:p>
                  <w:pPr>
                    <w:adjustRightInd w:val="0"/>
                    <w:snapToGrid w:val="0"/>
                    <w:jc w:val="center"/>
                    <w:rPr>
                      <w:b/>
                      <w:bCs/>
                      <w:color w:val="auto"/>
                      <w:szCs w:val="21"/>
                    </w:rPr>
                  </w:pPr>
                </w:p>
              </w:tc>
              <w:tc>
                <w:tcPr>
                  <w:tcW w:w="611" w:type="pct"/>
                  <w:vMerge w:val="continue"/>
                  <w:vAlign w:val="center"/>
                </w:tcPr>
                <w:p>
                  <w:pPr>
                    <w:adjustRightInd w:val="0"/>
                    <w:snapToGrid w:val="0"/>
                    <w:jc w:val="center"/>
                    <w:rPr>
                      <w:b/>
                      <w:bCs/>
                      <w:color w:val="auto"/>
                      <w:szCs w:val="21"/>
                    </w:rPr>
                  </w:pPr>
                </w:p>
              </w:tc>
              <w:tc>
                <w:tcPr>
                  <w:tcW w:w="658" w:type="pct"/>
                  <w:vMerge w:val="continue"/>
                  <w:vAlign w:val="center"/>
                </w:tcPr>
                <w:p>
                  <w:pPr>
                    <w:adjustRightInd w:val="0"/>
                    <w:snapToGrid w:val="0"/>
                    <w:jc w:val="center"/>
                    <w:rPr>
                      <w:b/>
                      <w:bCs/>
                      <w:color w:val="auto"/>
                      <w:szCs w:val="21"/>
                    </w:rPr>
                  </w:pPr>
                </w:p>
              </w:tc>
              <w:tc>
                <w:tcPr>
                  <w:tcW w:w="445" w:type="pct"/>
                  <w:vAlign w:val="center"/>
                </w:tcPr>
                <w:p>
                  <w:pPr>
                    <w:adjustRightInd w:val="0"/>
                    <w:snapToGrid w:val="0"/>
                    <w:jc w:val="center"/>
                    <w:rPr>
                      <w:b/>
                      <w:bCs/>
                      <w:color w:val="auto"/>
                      <w:szCs w:val="21"/>
                    </w:rPr>
                  </w:pPr>
                  <w:r>
                    <w:rPr>
                      <w:rFonts w:hint="eastAsia"/>
                      <w:b/>
                      <w:bCs/>
                      <w:color w:val="auto"/>
                      <w:szCs w:val="21"/>
                    </w:rPr>
                    <w:t>X</w:t>
                  </w:r>
                </w:p>
              </w:tc>
              <w:tc>
                <w:tcPr>
                  <w:tcW w:w="445" w:type="pct"/>
                  <w:vAlign w:val="center"/>
                </w:tcPr>
                <w:p>
                  <w:pPr>
                    <w:adjustRightInd w:val="0"/>
                    <w:snapToGrid w:val="0"/>
                    <w:jc w:val="center"/>
                    <w:rPr>
                      <w:b/>
                      <w:bCs/>
                      <w:color w:val="auto"/>
                      <w:szCs w:val="21"/>
                    </w:rPr>
                  </w:pPr>
                  <w:r>
                    <w:rPr>
                      <w:rFonts w:hint="eastAsia"/>
                      <w:b/>
                      <w:bCs/>
                      <w:color w:val="auto"/>
                      <w:szCs w:val="21"/>
                    </w:rPr>
                    <w:t>Y</w:t>
                  </w:r>
                </w:p>
              </w:tc>
              <w:tc>
                <w:tcPr>
                  <w:tcW w:w="445" w:type="pct"/>
                  <w:vAlign w:val="center"/>
                </w:tcPr>
                <w:p>
                  <w:pPr>
                    <w:adjustRightInd w:val="0"/>
                    <w:snapToGrid w:val="0"/>
                    <w:jc w:val="center"/>
                    <w:rPr>
                      <w:b/>
                      <w:bCs/>
                      <w:color w:val="auto"/>
                      <w:szCs w:val="21"/>
                    </w:rPr>
                  </w:pPr>
                  <w:r>
                    <w:rPr>
                      <w:rFonts w:hint="eastAsia"/>
                      <w:b/>
                      <w:bCs/>
                      <w:color w:val="auto"/>
                      <w:szCs w:val="21"/>
                    </w:rPr>
                    <w:t>Z</w:t>
                  </w:r>
                </w:p>
              </w:tc>
              <w:tc>
                <w:tcPr>
                  <w:tcW w:w="881" w:type="pct"/>
                  <w:vAlign w:val="center"/>
                </w:tcPr>
                <w:p>
                  <w:pPr>
                    <w:adjustRightInd w:val="0"/>
                    <w:snapToGrid w:val="0"/>
                    <w:jc w:val="center"/>
                    <w:rPr>
                      <w:b/>
                      <w:bCs/>
                      <w:color w:val="auto"/>
                      <w:szCs w:val="21"/>
                    </w:rPr>
                  </w:pPr>
                  <w:r>
                    <w:rPr>
                      <w:rFonts w:hint="eastAsia"/>
                      <w:b/>
                      <w:bCs/>
                      <w:color w:val="auto"/>
                      <w:szCs w:val="21"/>
                    </w:rPr>
                    <w:t>声功率级</w:t>
                  </w:r>
                  <w:r>
                    <w:rPr>
                      <w:b/>
                      <w:bCs/>
                      <w:color w:val="auto"/>
                      <w:szCs w:val="21"/>
                    </w:rPr>
                    <w:t>/dB（A）</w:t>
                  </w:r>
                </w:p>
              </w:tc>
              <w:tc>
                <w:tcPr>
                  <w:tcW w:w="900" w:type="pct"/>
                  <w:vMerge w:val="continue"/>
                  <w:vAlign w:val="center"/>
                </w:tcPr>
                <w:p>
                  <w:pPr>
                    <w:adjustRightInd w:val="0"/>
                    <w:snapToGrid w:val="0"/>
                    <w:jc w:val="center"/>
                    <w:rPr>
                      <w:b/>
                      <w:bCs/>
                      <w:color w:val="auto"/>
                      <w:szCs w:val="21"/>
                    </w:rPr>
                  </w:pPr>
                </w:p>
              </w:tc>
              <w:tc>
                <w:tcPr>
                  <w:tcW w:w="364" w:type="pct"/>
                  <w:vMerge w:val="continue"/>
                  <w:vAlign w:val="center"/>
                </w:tcPr>
                <w:p>
                  <w:pPr>
                    <w:adjustRightInd w:val="0"/>
                    <w:snapToGrid w:val="0"/>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6" w:type="pct"/>
                  <w:vAlign w:val="center"/>
                </w:tcPr>
                <w:p>
                  <w:pPr>
                    <w:adjustRightInd w:val="0"/>
                    <w:snapToGrid w:val="0"/>
                    <w:jc w:val="center"/>
                    <w:rPr>
                      <w:color w:val="auto"/>
                      <w:szCs w:val="21"/>
                    </w:rPr>
                  </w:pPr>
                  <w:r>
                    <w:rPr>
                      <w:rFonts w:hint="eastAsia"/>
                      <w:color w:val="auto"/>
                      <w:szCs w:val="21"/>
                    </w:rPr>
                    <w:t>1</w:t>
                  </w:r>
                </w:p>
              </w:tc>
              <w:tc>
                <w:tcPr>
                  <w:tcW w:w="611" w:type="pct"/>
                  <w:vAlign w:val="center"/>
                </w:tcPr>
                <w:p>
                  <w:pPr>
                    <w:adjustRightInd w:val="0"/>
                    <w:snapToGrid w:val="0"/>
                    <w:jc w:val="center"/>
                    <w:rPr>
                      <w:color w:val="auto"/>
                      <w:szCs w:val="21"/>
                    </w:rPr>
                  </w:pPr>
                  <w:r>
                    <w:rPr>
                      <w:rFonts w:hint="eastAsia"/>
                      <w:color w:val="auto"/>
                      <w:szCs w:val="21"/>
                    </w:rPr>
                    <w:t>风机</w:t>
                  </w:r>
                </w:p>
              </w:tc>
              <w:tc>
                <w:tcPr>
                  <w:tcW w:w="658" w:type="pct"/>
                  <w:vAlign w:val="center"/>
                </w:tcPr>
                <w:p>
                  <w:pPr>
                    <w:widowControl/>
                    <w:adjustRightInd w:val="0"/>
                    <w:snapToGrid w:val="0"/>
                    <w:jc w:val="center"/>
                    <w:rPr>
                      <w:color w:val="auto"/>
                      <w:kern w:val="0"/>
                      <w:szCs w:val="21"/>
                    </w:rPr>
                  </w:pPr>
                  <w:r>
                    <w:rPr>
                      <w:rFonts w:hint="eastAsia" w:cs="宋体"/>
                      <w:color w:val="auto"/>
                      <w:kern w:val="0"/>
                      <w:szCs w:val="21"/>
                      <w:lang w:eastAsia="zh-CN" w:bidi="ar"/>
                    </w:rPr>
                    <w:t>21000</w:t>
                  </w:r>
                  <w:r>
                    <w:rPr>
                      <w:rFonts w:hint="eastAsia" w:cs="宋体"/>
                      <w:color w:val="auto"/>
                      <w:kern w:val="0"/>
                      <w:szCs w:val="21"/>
                      <w:lang w:bidi="ar"/>
                    </w:rPr>
                    <w:t>m</w:t>
                  </w:r>
                  <w:r>
                    <w:rPr>
                      <w:rFonts w:hint="eastAsia" w:cs="宋体"/>
                      <w:color w:val="auto"/>
                      <w:kern w:val="0"/>
                      <w:szCs w:val="21"/>
                      <w:vertAlign w:val="superscript"/>
                      <w:lang w:bidi="ar"/>
                    </w:rPr>
                    <w:t>3</w:t>
                  </w:r>
                  <w:r>
                    <w:rPr>
                      <w:rFonts w:hint="eastAsia" w:cs="宋体"/>
                      <w:color w:val="auto"/>
                      <w:kern w:val="0"/>
                      <w:szCs w:val="21"/>
                      <w:lang w:bidi="ar"/>
                    </w:rPr>
                    <w:t>/h</w:t>
                  </w:r>
                </w:p>
              </w:tc>
              <w:tc>
                <w:tcPr>
                  <w:tcW w:w="445" w:type="pct"/>
                  <w:vAlign w:val="center"/>
                </w:tcPr>
                <w:p>
                  <w:pPr>
                    <w:widowControl/>
                    <w:adjustRightInd w:val="0"/>
                    <w:snapToGrid w:val="0"/>
                    <w:jc w:val="center"/>
                    <w:textAlignment w:val="center"/>
                    <w:rPr>
                      <w:bCs/>
                      <w:color w:val="auto"/>
                      <w:kern w:val="0"/>
                      <w:szCs w:val="21"/>
                      <w:lang w:bidi="ar"/>
                    </w:rPr>
                  </w:pPr>
                  <w:r>
                    <w:rPr>
                      <w:rFonts w:hint="eastAsia"/>
                      <w:bCs/>
                      <w:color w:val="auto"/>
                      <w:kern w:val="0"/>
                      <w:szCs w:val="21"/>
                      <w:lang w:bidi="ar"/>
                    </w:rPr>
                    <w:t>28</w:t>
                  </w:r>
                </w:p>
              </w:tc>
              <w:tc>
                <w:tcPr>
                  <w:tcW w:w="445" w:type="pct"/>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58</w:t>
                  </w:r>
                </w:p>
              </w:tc>
              <w:tc>
                <w:tcPr>
                  <w:tcW w:w="445" w:type="pct"/>
                  <w:vAlign w:val="center"/>
                </w:tcPr>
                <w:p>
                  <w:pPr>
                    <w:adjustRightInd w:val="0"/>
                    <w:snapToGrid w:val="0"/>
                    <w:jc w:val="center"/>
                    <w:rPr>
                      <w:bCs/>
                      <w:snapToGrid w:val="0"/>
                      <w:color w:val="auto"/>
                      <w:kern w:val="0"/>
                      <w:szCs w:val="21"/>
                    </w:rPr>
                  </w:pPr>
                  <w:r>
                    <w:rPr>
                      <w:bCs/>
                      <w:snapToGrid w:val="0"/>
                      <w:color w:val="auto"/>
                      <w:kern w:val="0"/>
                      <w:szCs w:val="21"/>
                    </w:rPr>
                    <w:t>1</w:t>
                  </w:r>
                </w:p>
              </w:tc>
              <w:tc>
                <w:tcPr>
                  <w:tcW w:w="881" w:type="pct"/>
                  <w:vAlign w:val="center"/>
                </w:tcPr>
                <w:p>
                  <w:pPr>
                    <w:adjustRightInd w:val="0"/>
                    <w:snapToGrid w:val="0"/>
                    <w:jc w:val="center"/>
                    <w:rPr>
                      <w:color w:val="auto"/>
                      <w:szCs w:val="21"/>
                    </w:rPr>
                  </w:pPr>
                  <w:r>
                    <w:rPr>
                      <w:rFonts w:hint="eastAsia"/>
                      <w:color w:val="auto"/>
                      <w:szCs w:val="21"/>
                    </w:rPr>
                    <w:t>85</w:t>
                  </w:r>
                </w:p>
              </w:tc>
              <w:tc>
                <w:tcPr>
                  <w:tcW w:w="900" w:type="pct"/>
                  <w:vAlign w:val="center"/>
                </w:tcPr>
                <w:p>
                  <w:pPr>
                    <w:adjustRightInd w:val="0"/>
                    <w:snapToGrid w:val="0"/>
                    <w:jc w:val="center"/>
                    <w:rPr>
                      <w:color w:val="auto"/>
                      <w:szCs w:val="21"/>
                    </w:rPr>
                  </w:pPr>
                  <w:r>
                    <w:rPr>
                      <w:color w:val="auto"/>
                      <w:szCs w:val="21"/>
                    </w:rPr>
                    <w:t>安装减震垫</w:t>
                  </w:r>
                  <w:r>
                    <w:rPr>
                      <w:rFonts w:hint="eastAsia"/>
                      <w:color w:val="auto"/>
                      <w:szCs w:val="21"/>
                    </w:rPr>
                    <w:t>、固定底座</w:t>
                  </w:r>
                </w:p>
              </w:tc>
              <w:tc>
                <w:tcPr>
                  <w:tcW w:w="364" w:type="pct"/>
                  <w:vAlign w:val="center"/>
                </w:tcPr>
                <w:p>
                  <w:pPr>
                    <w:adjustRightInd w:val="0"/>
                    <w:snapToGrid w:val="0"/>
                    <w:jc w:val="center"/>
                    <w:rPr>
                      <w:color w:val="auto"/>
                      <w:szCs w:val="21"/>
                    </w:rPr>
                  </w:pPr>
                  <w:r>
                    <w:rPr>
                      <w:rFonts w:hint="eastAsia"/>
                      <w:color w:val="auto"/>
                      <w:szCs w:val="21"/>
                    </w:rPr>
                    <w:t>16h</w:t>
                  </w:r>
                </w:p>
              </w:tc>
            </w:tr>
          </w:tbl>
          <w:p>
            <w:pPr>
              <w:keepLines/>
              <w:autoSpaceDE w:val="0"/>
              <w:autoSpaceDN w:val="0"/>
              <w:adjustRightInd w:val="0"/>
              <w:snapToGrid w:val="0"/>
              <w:ind w:firstLine="480" w:firstLineChars="200"/>
              <w:rPr>
                <w:rFonts w:cs="宋体"/>
                <w:color w:val="auto"/>
                <w:kern w:val="0"/>
                <w:sz w:val="24"/>
                <w:lang w:bidi="ar"/>
              </w:rPr>
            </w:pPr>
            <w:r>
              <w:rPr>
                <w:rFonts w:hint="eastAsia" w:cs="宋体"/>
                <w:color w:val="auto"/>
                <w:kern w:val="0"/>
                <w:sz w:val="24"/>
                <w:lang w:bidi="ar"/>
              </w:rPr>
              <w:t>注：以厂界西南点地面为坐标原点（X=0，Y=0，Z=0）。</w:t>
            </w:r>
          </w:p>
          <w:p>
            <w:pPr>
              <w:keepLines/>
              <w:autoSpaceDE w:val="0"/>
              <w:autoSpaceDN w:val="0"/>
              <w:adjustRightInd w:val="0"/>
              <w:snapToGrid w:val="0"/>
              <w:jc w:val="center"/>
              <w:rPr>
                <w:b/>
                <w:bCs/>
                <w:color w:val="auto"/>
                <w:sz w:val="24"/>
              </w:rPr>
            </w:pPr>
            <w:r>
              <w:rPr>
                <w:rFonts w:hint="eastAsia"/>
                <w:b/>
                <w:bCs/>
                <w:color w:val="auto"/>
                <w:sz w:val="24"/>
              </w:rPr>
              <w:t>表4-1</w:t>
            </w:r>
            <w:r>
              <w:rPr>
                <w:rFonts w:hint="eastAsia"/>
                <w:b/>
                <w:bCs/>
                <w:color w:val="auto"/>
                <w:sz w:val="24"/>
                <w:lang w:val="en-US" w:eastAsia="zh-CN"/>
              </w:rPr>
              <w:t>5</w:t>
            </w:r>
            <w:r>
              <w:rPr>
                <w:rFonts w:hint="eastAsia"/>
                <w:b/>
                <w:bCs/>
                <w:color w:val="auto"/>
                <w:sz w:val="24"/>
              </w:rPr>
              <w:t xml:space="preserve">  项目主要产噪设备及其源强（单位dB（A））</w:t>
            </w:r>
          </w:p>
          <w:tbl>
            <w:tblPr>
              <w:tblStyle w:val="28"/>
              <w:tblW w:w="8814"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464"/>
              <w:gridCol w:w="697"/>
              <w:gridCol w:w="707"/>
              <w:gridCol w:w="690"/>
              <w:gridCol w:w="604"/>
              <w:gridCol w:w="626"/>
              <w:gridCol w:w="645"/>
              <w:gridCol w:w="390"/>
              <w:gridCol w:w="495"/>
              <w:gridCol w:w="735"/>
              <w:gridCol w:w="570"/>
              <w:gridCol w:w="720"/>
              <w:gridCol w:w="702"/>
              <w:gridCol w:w="386"/>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Merge w:val="restart"/>
                  <w:vAlign w:val="center"/>
                </w:tcPr>
                <w:p>
                  <w:pPr>
                    <w:adjustRightInd w:val="0"/>
                    <w:snapToGrid w:val="0"/>
                    <w:jc w:val="center"/>
                    <w:rPr>
                      <w:b/>
                      <w:snapToGrid w:val="0"/>
                      <w:color w:val="auto"/>
                      <w:kern w:val="0"/>
                      <w:szCs w:val="21"/>
                    </w:rPr>
                  </w:pPr>
                  <w:r>
                    <w:rPr>
                      <w:b/>
                      <w:snapToGrid w:val="0"/>
                      <w:color w:val="auto"/>
                      <w:kern w:val="0"/>
                      <w:szCs w:val="21"/>
                    </w:rPr>
                    <w:t>序号</w:t>
                  </w:r>
                </w:p>
              </w:tc>
              <w:tc>
                <w:tcPr>
                  <w:tcW w:w="464" w:type="dxa"/>
                  <w:vMerge w:val="restart"/>
                  <w:vAlign w:val="center"/>
                </w:tcPr>
                <w:p>
                  <w:pPr>
                    <w:adjustRightInd w:val="0"/>
                    <w:snapToGrid w:val="0"/>
                    <w:jc w:val="center"/>
                    <w:rPr>
                      <w:b/>
                      <w:snapToGrid w:val="0"/>
                      <w:color w:val="auto"/>
                      <w:kern w:val="0"/>
                      <w:szCs w:val="21"/>
                    </w:rPr>
                  </w:pPr>
                  <w:r>
                    <w:rPr>
                      <w:b/>
                      <w:snapToGrid w:val="0"/>
                      <w:color w:val="auto"/>
                      <w:kern w:val="0"/>
                      <w:szCs w:val="21"/>
                    </w:rPr>
                    <w:t>建筑物名称</w:t>
                  </w:r>
                </w:p>
              </w:tc>
              <w:tc>
                <w:tcPr>
                  <w:tcW w:w="697" w:type="dxa"/>
                  <w:vMerge w:val="restart"/>
                  <w:vAlign w:val="center"/>
                </w:tcPr>
                <w:p>
                  <w:pPr>
                    <w:adjustRightInd w:val="0"/>
                    <w:snapToGrid w:val="0"/>
                    <w:jc w:val="center"/>
                    <w:rPr>
                      <w:b/>
                      <w:snapToGrid w:val="0"/>
                      <w:color w:val="auto"/>
                      <w:kern w:val="0"/>
                      <w:szCs w:val="21"/>
                    </w:rPr>
                  </w:pPr>
                  <w:r>
                    <w:rPr>
                      <w:b/>
                      <w:snapToGrid w:val="0"/>
                      <w:color w:val="auto"/>
                      <w:kern w:val="0"/>
                      <w:szCs w:val="21"/>
                    </w:rPr>
                    <w:t>声源名称</w:t>
                  </w:r>
                </w:p>
              </w:tc>
              <w:tc>
                <w:tcPr>
                  <w:tcW w:w="707" w:type="dxa"/>
                  <w:vMerge w:val="restart"/>
                  <w:vAlign w:val="center"/>
                </w:tcPr>
                <w:p>
                  <w:pPr>
                    <w:adjustRightInd w:val="0"/>
                    <w:snapToGrid w:val="0"/>
                    <w:jc w:val="center"/>
                    <w:rPr>
                      <w:b/>
                      <w:snapToGrid w:val="0"/>
                      <w:color w:val="auto"/>
                      <w:kern w:val="0"/>
                      <w:szCs w:val="21"/>
                    </w:rPr>
                  </w:pPr>
                  <w:r>
                    <w:rPr>
                      <w:b/>
                      <w:snapToGrid w:val="0"/>
                      <w:color w:val="auto"/>
                      <w:kern w:val="0"/>
                      <w:szCs w:val="21"/>
                    </w:rPr>
                    <w:t>型号</w:t>
                  </w:r>
                </w:p>
              </w:tc>
              <w:tc>
                <w:tcPr>
                  <w:tcW w:w="690" w:type="dxa"/>
                  <w:vAlign w:val="center"/>
                </w:tcPr>
                <w:p>
                  <w:pPr>
                    <w:adjustRightInd w:val="0"/>
                    <w:snapToGrid w:val="0"/>
                    <w:jc w:val="center"/>
                    <w:rPr>
                      <w:b/>
                      <w:snapToGrid w:val="0"/>
                      <w:color w:val="auto"/>
                      <w:kern w:val="0"/>
                      <w:szCs w:val="21"/>
                    </w:rPr>
                  </w:pPr>
                  <w:r>
                    <w:rPr>
                      <w:b/>
                      <w:snapToGrid w:val="0"/>
                      <w:color w:val="auto"/>
                      <w:kern w:val="0"/>
                      <w:szCs w:val="21"/>
                    </w:rPr>
                    <w:t>声源源强</w:t>
                  </w:r>
                </w:p>
              </w:tc>
              <w:tc>
                <w:tcPr>
                  <w:tcW w:w="604" w:type="dxa"/>
                  <w:vMerge w:val="restart"/>
                  <w:vAlign w:val="center"/>
                </w:tcPr>
                <w:p>
                  <w:pPr>
                    <w:adjustRightInd w:val="0"/>
                    <w:snapToGrid w:val="0"/>
                    <w:jc w:val="center"/>
                    <w:rPr>
                      <w:bCs/>
                      <w:snapToGrid w:val="0"/>
                      <w:color w:val="auto"/>
                      <w:kern w:val="0"/>
                      <w:szCs w:val="21"/>
                    </w:rPr>
                  </w:pPr>
                  <w:r>
                    <w:rPr>
                      <w:b/>
                      <w:snapToGrid w:val="0"/>
                      <w:color w:val="auto"/>
                      <w:kern w:val="0"/>
                      <w:szCs w:val="21"/>
                    </w:rPr>
                    <w:t>声源控制措施</w:t>
                  </w:r>
                </w:p>
                <w:p>
                  <w:pPr>
                    <w:adjustRightInd w:val="0"/>
                    <w:snapToGrid w:val="0"/>
                    <w:jc w:val="center"/>
                    <w:rPr>
                      <w:b/>
                      <w:snapToGrid w:val="0"/>
                      <w:color w:val="auto"/>
                      <w:kern w:val="0"/>
                      <w:szCs w:val="21"/>
                    </w:rPr>
                  </w:pPr>
                </w:p>
              </w:tc>
              <w:tc>
                <w:tcPr>
                  <w:tcW w:w="1661" w:type="dxa"/>
                  <w:gridSpan w:val="3"/>
                  <w:vAlign w:val="center"/>
                </w:tcPr>
                <w:p>
                  <w:pPr>
                    <w:adjustRightInd w:val="0"/>
                    <w:snapToGrid w:val="0"/>
                    <w:jc w:val="center"/>
                    <w:rPr>
                      <w:b/>
                      <w:snapToGrid w:val="0"/>
                      <w:color w:val="auto"/>
                      <w:kern w:val="0"/>
                      <w:szCs w:val="21"/>
                    </w:rPr>
                  </w:pPr>
                  <w:r>
                    <w:rPr>
                      <w:b/>
                      <w:snapToGrid w:val="0"/>
                      <w:color w:val="auto"/>
                      <w:kern w:val="0"/>
                      <w:szCs w:val="21"/>
                    </w:rPr>
                    <w:t>空间相对位置/m</w:t>
                  </w:r>
                </w:p>
              </w:tc>
              <w:tc>
                <w:tcPr>
                  <w:tcW w:w="495" w:type="dxa"/>
                  <w:vMerge w:val="restart"/>
                  <w:vAlign w:val="center"/>
                </w:tcPr>
                <w:p>
                  <w:pPr>
                    <w:adjustRightInd w:val="0"/>
                    <w:snapToGrid w:val="0"/>
                    <w:jc w:val="center"/>
                    <w:rPr>
                      <w:b/>
                      <w:snapToGrid w:val="0"/>
                      <w:color w:val="auto"/>
                      <w:kern w:val="0"/>
                      <w:szCs w:val="21"/>
                    </w:rPr>
                  </w:pPr>
                  <w:r>
                    <w:rPr>
                      <w:b/>
                      <w:snapToGrid w:val="0"/>
                      <w:color w:val="auto"/>
                      <w:kern w:val="0"/>
                      <w:szCs w:val="21"/>
                    </w:rPr>
                    <w:t>距室内边界距离/m</w:t>
                  </w:r>
                </w:p>
              </w:tc>
              <w:tc>
                <w:tcPr>
                  <w:tcW w:w="735" w:type="dxa"/>
                  <w:vMerge w:val="restart"/>
                  <w:vAlign w:val="center"/>
                </w:tcPr>
                <w:p>
                  <w:pPr>
                    <w:adjustRightInd w:val="0"/>
                    <w:snapToGrid w:val="0"/>
                    <w:jc w:val="center"/>
                    <w:rPr>
                      <w:b/>
                      <w:snapToGrid w:val="0"/>
                      <w:color w:val="auto"/>
                      <w:kern w:val="0"/>
                      <w:szCs w:val="21"/>
                    </w:rPr>
                  </w:pPr>
                  <w:r>
                    <w:rPr>
                      <w:b/>
                      <w:snapToGrid w:val="0"/>
                      <w:color w:val="auto"/>
                      <w:kern w:val="0"/>
                      <w:szCs w:val="21"/>
                    </w:rPr>
                    <w:t>室内边界声压级/dB（A）</w:t>
                  </w:r>
                </w:p>
              </w:tc>
              <w:tc>
                <w:tcPr>
                  <w:tcW w:w="570" w:type="dxa"/>
                  <w:vMerge w:val="restart"/>
                  <w:vAlign w:val="center"/>
                </w:tcPr>
                <w:p>
                  <w:pPr>
                    <w:adjustRightInd w:val="0"/>
                    <w:snapToGrid w:val="0"/>
                    <w:jc w:val="center"/>
                    <w:rPr>
                      <w:b/>
                      <w:snapToGrid w:val="0"/>
                      <w:color w:val="auto"/>
                      <w:kern w:val="0"/>
                      <w:szCs w:val="21"/>
                    </w:rPr>
                  </w:pPr>
                  <w:r>
                    <w:rPr>
                      <w:b/>
                      <w:snapToGrid w:val="0"/>
                      <w:color w:val="auto"/>
                      <w:kern w:val="0"/>
                      <w:szCs w:val="21"/>
                    </w:rPr>
                    <w:t>运行时段</w:t>
                  </w:r>
                </w:p>
              </w:tc>
              <w:tc>
                <w:tcPr>
                  <w:tcW w:w="720" w:type="dxa"/>
                  <w:vMerge w:val="restart"/>
                  <w:vAlign w:val="center"/>
                </w:tcPr>
                <w:p>
                  <w:pPr>
                    <w:adjustRightInd w:val="0"/>
                    <w:snapToGrid w:val="0"/>
                    <w:jc w:val="center"/>
                    <w:rPr>
                      <w:b/>
                      <w:snapToGrid w:val="0"/>
                      <w:color w:val="auto"/>
                      <w:kern w:val="0"/>
                      <w:szCs w:val="21"/>
                    </w:rPr>
                  </w:pPr>
                  <w:r>
                    <w:rPr>
                      <w:b/>
                      <w:snapToGrid w:val="0"/>
                      <w:color w:val="auto"/>
                      <w:kern w:val="0"/>
                      <w:szCs w:val="21"/>
                    </w:rPr>
                    <w:t>建筑物插入损失/dB（A）</w:t>
                  </w:r>
                </w:p>
              </w:tc>
              <w:tc>
                <w:tcPr>
                  <w:tcW w:w="1088" w:type="dxa"/>
                  <w:gridSpan w:val="2"/>
                  <w:vAlign w:val="center"/>
                </w:tcPr>
                <w:p>
                  <w:pPr>
                    <w:adjustRightInd w:val="0"/>
                    <w:snapToGrid w:val="0"/>
                    <w:jc w:val="center"/>
                    <w:rPr>
                      <w:b/>
                      <w:snapToGrid w:val="0"/>
                      <w:color w:val="auto"/>
                      <w:kern w:val="0"/>
                      <w:szCs w:val="21"/>
                    </w:rPr>
                  </w:pPr>
                  <w:r>
                    <w:rPr>
                      <w:b/>
                      <w:snapToGrid w:val="0"/>
                      <w:color w:val="auto"/>
                      <w:kern w:val="0"/>
                      <w:szCs w:val="21"/>
                    </w:rPr>
                    <w:t>建筑物外噪声</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Merge w:val="continue"/>
                  <w:vAlign w:val="center"/>
                </w:tcPr>
                <w:p>
                  <w:pPr>
                    <w:adjustRightInd w:val="0"/>
                    <w:snapToGrid w:val="0"/>
                    <w:jc w:val="center"/>
                    <w:rPr>
                      <w:b/>
                      <w:snapToGrid w:val="0"/>
                      <w:color w:val="auto"/>
                      <w:kern w:val="0"/>
                      <w:szCs w:val="21"/>
                    </w:rPr>
                  </w:pPr>
                </w:p>
              </w:tc>
              <w:tc>
                <w:tcPr>
                  <w:tcW w:w="464" w:type="dxa"/>
                  <w:vMerge w:val="continue"/>
                  <w:vAlign w:val="center"/>
                </w:tcPr>
                <w:p>
                  <w:pPr>
                    <w:adjustRightInd w:val="0"/>
                    <w:snapToGrid w:val="0"/>
                    <w:jc w:val="center"/>
                    <w:rPr>
                      <w:b/>
                      <w:snapToGrid w:val="0"/>
                      <w:color w:val="auto"/>
                      <w:kern w:val="0"/>
                      <w:szCs w:val="21"/>
                    </w:rPr>
                  </w:pPr>
                </w:p>
              </w:tc>
              <w:tc>
                <w:tcPr>
                  <w:tcW w:w="697" w:type="dxa"/>
                  <w:vMerge w:val="continue"/>
                  <w:vAlign w:val="center"/>
                </w:tcPr>
                <w:p>
                  <w:pPr>
                    <w:adjustRightInd w:val="0"/>
                    <w:snapToGrid w:val="0"/>
                    <w:jc w:val="center"/>
                    <w:rPr>
                      <w:b/>
                      <w:snapToGrid w:val="0"/>
                      <w:color w:val="auto"/>
                      <w:kern w:val="0"/>
                      <w:szCs w:val="21"/>
                    </w:rPr>
                  </w:pPr>
                </w:p>
              </w:tc>
              <w:tc>
                <w:tcPr>
                  <w:tcW w:w="707" w:type="dxa"/>
                  <w:vMerge w:val="continue"/>
                  <w:vAlign w:val="center"/>
                </w:tcPr>
                <w:p>
                  <w:pPr>
                    <w:adjustRightInd w:val="0"/>
                    <w:snapToGrid w:val="0"/>
                    <w:jc w:val="center"/>
                    <w:rPr>
                      <w:b/>
                      <w:snapToGrid w:val="0"/>
                      <w:color w:val="auto"/>
                      <w:kern w:val="0"/>
                      <w:szCs w:val="21"/>
                    </w:rPr>
                  </w:pPr>
                </w:p>
              </w:tc>
              <w:tc>
                <w:tcPr>
                  <w:tcW w:w="690" w:type="dxa"/>
                  <w:vAlign w:val="center"/>
                </w:tcPr>
                <w:p>
                  <w:pPr>
                    <w:adjustRightInd w:val="0"/>
                    <w:snapToGrid w:val="0"/>
                    <w:jc w:val="center"/>
                    <w:rPr>
                      <w:b/>
                      <w:snapToGrid w:val="0"/>
                      <w:color w:val="auto"/>
                      <w:kern w:val="0"/>
                      <w:szCs w:val="21"/>
                    </w:rPr>
                  </w:pPr>
                  <w:r>
                    <w:rPr>
                      <w:b/>
                      <w:snapToGrid w:val="0"/>
                      <w:color w:val="auto"/>
                      <w:kern w:val="0"/>
                      <w:szCs w:val="21"/>
                    </w:rPr>
                    <w:t>声功率级/dB（A）</w:t>
                  </w:r>
                </w:p>
              </w:tc>
              <w:tc>
                <w:tcPr>
                  <w:tcW w:w="604" w:type="dxa"/>
                  <w:vMerge w:val="continue"/>
                  <w:vAlign w:val="center"/>
                </w:tcPr>
                <w:p>
                  <w:pPr>
                    <w:adjustRightInd w:val="0"/>
                    <w:snapToGrid w:val="0"/>
                    <w:jc w:val="center"/>
                    <w:rPr>
                      <w:b/>
                      <w:snapToGrid w:val="0"/>
                      <w:color w:val="auto"/>
                      <w:kern w:val="0"/>
                      <w:szCs w:val="21"/>
                    </w:rPr>
                  </w:pPr>
                </w:p>
              </w:tc>
              <w:tc>
                <w:tcPr>
                  <w:tcW w:w="626" w:type="dxa"/>
                  <w:vAlign w:val="center"/>
                </w:tcPr>
                <w:p>
                  <w:pPr>
                    <w:adjustRightInd w:val="0"/>
                    <w:snapToGrid w:val="0"/>
                    <w:jc w:val="center"/>
                    <w:rPr>
                      <w:b/>
                      <w:snapToGrid w:val="0"/>
                      <w:color w:val="auto"/>
                      <w:kern w:val="0"/>
                      <w:szCs w:val="21"/>
                    </w:rPr>
                  </w:pPr>
                  <w:r>
                    <w:rPr>
                      <w:b/>
                      <w:snapToGrid w:val="0"/>
                      <w:color w:val="auto"/>
                      <w:kern w:val="0"/>
                      <w:szCs w:val="21"/>
                    </w:rPr>
                    <w:t>X</w:t>
                  </w:r>
                </w:p>
              </w:tc>
              <w:tc>
                <w:tcPr>
                  <w:tcW w:w="645" w:type="dxa"/>
                  <w:vAlign w:val="center"/>
                </w:tcPr>
                <w:p>
                  <w:pPr>
                    <w:adjustRightInd w:val="0"/>
                    <w:snapToGrid w:val="0"/>
                    <w:jc w:val="center"/>
                    <w:rPr>
                      <w:b/>
                      <w:snapToGrid w:val="0"/>
                      <w:color w:val="auto"/>
                      <w:kern w:val="0"/>
                      <w:szCs w:val="21"/>
                    </w:rPr>
                  </w:pPr>
                  <w:r>
                    <w:rPr>
                      <w:b/>
                      <w:snapToGrid w:val="0"/>
                      <w:color w:val="auto"/>
                      <w:kern w:val="0"/>
                      <w:szCs w:val="21"/>
                    </w:rPr>
                    <w:t>Y</w:t>
                  </w:r>
                </w:p>
              </w:tc>
              <w:tc>
                <w:tcPr>
                  <w:tcW w:w="390" w:type="dxa"/>
                  <w:vAlign w:val="center"/>
                </w:tcPr>
                <w:p>
                  <w:pPr>
                    <w:adjustRightInd w:val="0"/>
                    <w:snapToGrid w:val="0"/>
                    <w:jc w:val="center"/>
                    <w:rPr>
                      <w:b/>
                      <w:snapToGrid w:val="0"/>
                      <w:color w:val="auto"/>
                      <w:kern w:val="0"/>
                      <w:szCs w:val="21"/>
                    </w:rPr>
                  </w:pPr>
                  <w:r>
                    <w:rPr>
                      <w:b/>
                      <w:snapToGrid w:val="0"/>
                      <w:color w:val="auto"/>
                      <w:kern w:val="0"/>
                      <w:szCs w:val="21"/>
                    </w:rPr>
                    <w:t>Z</w:t>
                  </w:r>
                </w:p>
              </w:tc>
              <w:tc>
                <w:tcPr>
                  <w:tcW w:w="495" w:type="dxa"/>
                  <w:vMerge w:val="continue"/>
                  <w:vAlign w:val="center"/>
                </w:tcPr>
                <w:p>
                  <w:pPr>
                    <w:adjustRightInd w:val="0"/>
                    <w:snapToGrid w:val="0"/>
                    <w:jc w:val="center"/>
                    <w:rPr>
                      <w:b/>
                      <w:snapToGrid w:val="0"/>
                      <w:color w:val="auto"/>
                      <w:kern w:val="0"/>
                      <w:szCs w:val="21"/>
                    </w:rPr>
                  </w:pPr>
                </w:p>
              </w:tc>
              <w:tc>
                <w:tcPr>
                  <w:tcW w:w="735" w:type="dxa"/>
                  <w:vMerge w:val="continue"/>
                  <w:vAlign w:val="center"/>
                </w:tcPr>
                <w:p>
                  <w:pPr>
                    <w:adjustRightInd w:val="0"/>
                    <w:snapToGrid w:val="0"/>
                    <w:jc w:val="center"/>
                    <w:rPr>
                      <w:b/>
                      <w:snapToGrid w:val="0"/>
                      <w:color w:val="auto"/>
                      <w:kern w:val="0"/>
                      <w:szCs w:val="21"/>
                    </w:rPr>
                  </w:pPr>
                </w:p>
              </w:tc>
              <w:tc>
                <w:tcPr>
                  <w:tcW w:w="570" w:type="dxa"/>
                  <w:vMerge w:val="continue"/>
                  <w:vAlign w:val="center"/>
                </w:tcPr>
                <w:p>
                  <w:pPr>
                    <w:adjustRightInd w:val="0"/>
                    <w:snapToGrid w:val="0"/>
                    <w:jc w:val="center"/>
                    <w:rPr>
                      <w:b/>
                      <w:snapToGrid w:val="0"/>
                      <w:color w:val="auto"/>
                      <w:kern w:val="0"/>
                      <w:szCs w:val="21"/>
                    </w:rPr>
                  </w:pPr>
                </w:p>
              </w:tc>
              <w:tc>
                <w:tcPr>
                  <w:tcW w:w="720" w:type="dxa"/>
                  <w:vMerge w:val="continue"/>
                  <w:vAlign w:val="center"/>
                </w:tcPr>
                <w:p>
                  <w:pPr>
                    <w:adjustRightInd w:val="0"/>
                    <w:snapToGrid w:val="0"/>
                    <w:jc w:val="center"/>
                    <w:rPr>
                      <w:b/>
                      <w:snapToGrid w:val="0"/>
                      <w:color w:val="auto"/>
                      <w:kern w:val="0"/>
                      <w:szCs w:val="21"/>
                    </w:rPr>
                  </w:pPr>
                </w:p>
              </w:tc>
              <w:tc>
                <w:tcPr>
                  <w:tcW w:w="702" w:type="dxa"/>
                  <w:vAlign w:val="center"/>
                </w:tcPr>
                <w:p>
                  <w:pPr>
                    <w:adjustRightInd w:val="0"/>
                    <w:snapToGrid w:val="0"/>
                    <w:jc w:val="center"/>
                    <w:rPr>
                      <w:b/>
                      <w:snapToGrid w:val="0"/>
                      <w:color w:val="auto"/>
                      <w:kern w:val="0"/>
                      <w:szCs w:val="21"/>
                    </w:rPr>
                  </w:pPr>
                  <w:r>
                    <w:rPr>
                      <w:b/>
                      <w:snapToGrid w:val="0"/>
                      <w:color w:val="auto"/>
                      <w:kern w:val="0"/>
                      <w:szCs w:val="21"/>
                    </w:rPr>
                    <w:t>声压级/dB（A）</w:t>
                  </w:r>
                </w:p>
              </w:tc>
              <w:tc>
                <w:tcPr>
                  <w:tcW w:w="386" w:type="dxa"/>
                  <w:vAlign w:val="center"/>
                </w:tcPr>
                <w:p>
                  <w:pPr>
                    <w:adjustRightInd w:val="0"/>
                    <w:snapToGrid w:val="0"/>
                    <w:jc w:val="center"/>
                    <w:rPr>
                      <w:b/>
                      <w:snapToGrid w:val="0"/>
                      <w:color w:val="auto"/>
                      <w:kern w:val="0"/>
                      <w:szCs w:val="21"/>
                    </w:rPr>
                  </w:pPr>
                  <w:r>
                    <w:rPr>
                      <w:b/>
                      <w:snapToGrid w:val="0"/>
                      <w:color w:val="auto"/>
                      <w:kern w:val="0"/>
                      <w:szCs w:val="21"/>
                    </w:rPr>
                    <w:t>建筑物外距离</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64" w:type="dxa"/>
                  <w:vMerge w:val="restart"/>
                  <w:vAlign w:val="center"/>
                </w:tcPr>
                <w:p>
                  <w:pPr>
                    <w:adjustRightInd w:val="0"/>
                    <w:snapToGrid w:val="0"/>
                    <w:jc w:val="center"/>
                    <w:rPr>
                      <w:bCs/>
                      <w:snapToGrid w:val="0"/>
                      <w:color w:val="auto"/>
                      <w:kern w:val="0"/>
                      <w:szCs w:val="21"/>
                    </w:rPr>
                  </w:pPr>
                  <w:r>
                    <w:rPr>
                      <w:bCs/>
                      <w:snapToGrid w:val="0"/>
                      <w:color w:val="auto"/>
                      <w:kern w:val="0"/>
                      <w:szCs w:val="21"/>
                    </w:rPr>
                    <w:t>生产车间</w:t>
                  </w:r>
                </w:p>
              </w:tc>
              <w:tc>
                <w:tcPr>
                  <w:tcW w:w="697" w:type="dxa"/>
                  <w:vAlign w:val="center"/>
                </w:tcPr>
                <w:p>
                  <w:pPr>
                    <w:adjustRightInd w:val="0"/>
                    <w:snapToGrid w:val="0"/>
                    <w:jc w:val="center"/>
                    <w:rPr>
                      <w:color w:val="auto"/>
                      <w:szCs w:val="21"/>
                    </w:rPr>
                  </w:pPr>
                  <w:r>
                    <w:rPr>
                      <w:color w:val="auto"/>
                      <w:szCs w:val="21"/>
                    </w:rPr>
                    <w:t>混料机</w:t>
                  </w:r>
                </w:p>
              </w:tc>
              <w:tc>
                <w:tcPr>
                  <w:tcW w:w="707" w:type="dxa"/>
                  <w:vAlign w:val="center"/>
                </w:tcPr>
                <w:p>
                  <w:pPr>
                    <w:widowControl/>
                    <w:adjustRightInd w:val="0"/>
                    <w:snapToGrid w:val="0"/>
                    <w:jc w:val="center"/>
                    <w:rPr>
                      <w:color w:val="auto"/>
                      <w:szCs w:val="21"/>
                    </w:rPr>
                  </w:pPr>
                  <w:r>
                    <w:rPr>
                      <w:color w:val="auto"/>
                      <w:szCs w:val="21"/>
                    </w:rPr>
                    <w:t>100kg</w:t>
                  </w:r>
                </w:p>
              </w:tc>
              <w:tc>
                <w:tcPr>
                  <w:tcW w:w="690" w:type="dxa"/>
                  <w:vAlign w:val="center"/>
                </w:tcPr>
                <w:p>
                  <w:pPr>
                    <w:keepLines/>
                    <w:adjustRightInd w:val="0"/>
                    <w:snapToGrid w:val="0"/>
                    <w:jc w:val="center"/>
                    <w:rPr>
                      <w:color w:val="auto"/>
                      <w:szCs w:val="21"/>
                    </w:rPr>
                  </w:pPr>
                  <w:r>
                    <w:rPr>
                      <w:color w:val="auto"/>
                      <w:szCs w:val="21"/>
                    </w:rPr>
                    <w:t>80</w:t>
                  </w:r>
                </w:p>
              </w:tc>
              <w:tc>
                <w:tcPr>
                  <w:tcW w:w="604" w:type="dxa"/>
                  <w:vMerge w:val="restart"/>
                  <w:vAlign w:val="center"/>
                </w:tcPr>
                <w:p>
                  <w:pPr>
                    <w:adjustRightInd w:val="0"/>
                    <w:snapToGrid w:val="0"/>
                    <w:jc w:val="center"/>
                    <w:rPr>
                      <w:bCs/>
                      <w:snapToGrid w:val="0"/>
                      <w:color w:val="auto"/>
                      <w:kern w:val="0"/>
                      <w:szCs w:val="21"/>
                    </w:rPr>
                  </w:pPr>
                  <w:r>
                    <w:rPr>
                      <w:bCs/>
                      <w:snapToGrid w:val="0"/>
                      <w:color w:val="auto"/>
                      <w:kern w:val="0"/>
                      <w:szCs w:val="21"/>
                    </w:rPr>
                    <w:t>选用低噪声设备、安装减震垫、固定底座、厂房隔声等</w:t>
                  </w:r>
                </w:p>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45~50</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50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w:t>
                  </w:r>
                </w:p>
              </w:tc>
              <w:tc>
                <w:tcPr>
                  <w:tcW w:w="735"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snapToGrid w:val="0"/>
                      <w:color w:val="auto"/>
                      <w:kern w:val="0"/>
                      <w:szCs w:val="21"/>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51</w:t>
                  </w:r>
                  <w:r>
                    <w:rPr>
                      <w:color w:val="auto"/>
                      <w:kern w:val="0"/>
                      <w:szCs w:val="21"/>
                      <w:lang w:bidi="ar"/>
                    </w:rPr>
                    <w:t>.0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bCs/>
                      <w:snapToGrid w:val="0"/>
                      <w:color w:val="auto"/>
                      <w:kern w:val="0"/>
                      <w:szCs w:val="21"/>
                    </w:rPr>
                    <w:t>2</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注塑机</w:t>
                  </w:r>
                </w:p>
              </w:tc>
              <w:tc>
                <w:tcPr>
                  <w:tcW w:w="707" w:type="dxa"/>
                  <w:vAlign w:val="center"/>
                </w:tcPr>
                <w:p>
                  <w:pPr>
                    <w:widowControl/>
                    <w:adjustRightInd w:val="0"/>
                    <w:snapToGrid w:val="0"/>
                    <w:jc w:val="center"/>
                    <w:rPr>
                      <w:color w:val="auto"/>
                      <w:szCs w:val="21"/>
                    </w:rPr>
                  </w:pPr>
                  <w:r>
                    <w:rPr>
                      <w:color w:val="auto"/>
                      <w:szCs w:val="21"/>
                    </w:rPr>
                    <w:t>GEK300W/S</w:t>
                  </w:r>
                </w:p>
              </w:tc>
              <w:tc>
                <w:tcPr>
                  <w:tcW w:w="690" w:type="dxa"/>
                  <w:vAlign w:val="center"/>
                </w:tcPr>
                <w:p>
                  <w:pPr>
                    <w:keepLines/>
                    <w:adjustRightInd w:val="0"/>
                    <w:snapToGrid w:val="0"/>
                    <w:jc w:val="center"/>
                    <w:rPr>
                      <w:color w:val="auto"/>
                      <w:szCs w:val="21"/>
                    </w:rPr>
                  </w:pPr>
                  <w:r>
                    <w:rPr>
                      <w:color w:val="auto"/>
                      <w:szCs w:val="21"/>
                    </w:rPr>
                    <w:t>80</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color w:val="auto"/>
                      <w:kern w:val="0"/>
                      <w:szCs w:val="21"/>
                      <w:lang w:bidi="ar"/>
                    </w:rPr>
                  </w:pPr>
                  <w:r>
                    <w:rPr>
                      <w:rFonts w:hint="eastAsia"/>
                      <w:bCs/>
                      <w:color w:val="auto"/>
                      <w:kern w:val="0"/>
                      <w:szCs w:val="21"/>
                      <w:lang w:bidi="ar"/>
                    </w:rPr>
                    <w:t>15~25</w:t>
                  </w:r>
                </w:p>
              </w:tc>
              <w:tc>
                <w:tcPr>
                  <w:tcW w:w="645" w:type="dxa"/>
                  <w:vAlign w:val="center"/>
                </w:tcPr>
                <w:p>
                  <w:pPr>
                    <w:widowControl/>
                    <w:adjustRightInd w:val="0"/>
                    <w:snapToGrid w:val="0"/>
                    <w:jc w:val="center"/>
                    <w:textAlignment w:val="center"/>
                    <w:rPr>
                      <w:bCs/>
                      <w:color w:val="auto"/>
                      <w:kern w:val="0"/>
                      <w:szCs w:val="21"/>
                      <w:lang w:bidi="ar"/>
                    </w:rPr>
                  </w:pPr>
                  <w:r>
                    <w:rPr>
                      <w:rFonts w:hint="eastAsia"/>
                      <w:color w:val="auto"/>
                      <w:kern w:val="0"/>
                      <w:szCs w:val="21"/>
                      <w:lang w:bidi="ar"/>
                    </w:rPr>
                    <w:t>50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color w:val="auto"/>
                      <w:kern w:val="0"/>
                      <w:szCs w:val="21"/>
                      <w:lang w:bidi="ar"/>
                    </w:rPr>
                  </w:pPr>
                  <w:r>
                    <w:rPr>
                      <w:bCs/>
                      <w:color w:val="auto"/>
                      <w:kern w:val="0"/>
                      <w:szCs w:val="21"/>
                      <w:lang w:bidi="ar"/>
                    </w:rPr>
                    <w:t>5</w:t>
                  </w:r>
                </w:p>
              </w:tc>
              <w:tc>
                <w:tcPr>
                  <w:tcW w:w="735" w:type="dxa"/>
                  <w:vAlign w:val="center"/>
                </w:tcPr>
                <w:p>
                  <w:pPr>
                    <w:widowControl/>
                    <w:adjustRightInd w:val="0"/>
                    <w:snapToGrid w:val="0"/>
                    <w:jc w:val="center"/>
                    <w:textAlignment w:val="center"/>
                    <w:rPr>
                      <w:bCs/>
                      <w:color w:val="auto"/>
                      <w:kern w:val="0"/>
                      <w:szCs w:val="21"/>
                      <w:lang w:bidi="ar"/>
                    </w:rPr>
                  </w:pPr>
                  <w:r>
                    <w:rPr>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color w:val="auto"/>
                      <w:kern w:val="0"/>
                      <w:szCs w:val="21"/>
                      <w:lang w:bidi="ar"/>
                    </w:rPr>
                  </w:pPr>
                  <w:r>
                    <w:rPr>
                      <w:bCs/>
                      <w:color w:val="auto"/>
                      <w:kern w:val="0"/>
                      <w:szCs w:val="21"/>
                      <w:lang w:bidi="ar"/>
                    </w:rPr>
                    <w:t>15</w:t>
                  </w:r>
                </w:p>
              </w:tc>
              <w:tc>
                <w:tcPr>
                  <w:tcW w:w="702" w:type="dxa"/>
                  <w:vAlign w:val="center"/>
                </w:tcPr>
                <w:p>
                  <w:pPr>
                    <w:widowControl/>
                    <w:adjustRightInd w:val="0"/>
                    <w:snapToGrid w:val="0"/>
                    <w:jc w:val="center"/>
                    <w:textAlignment w:val="center"/>
                    <w:rPr>
                      <w:bCs/>
                      <w:color w:val="auto"/>
                      <w:kern w:val="0"/>
                      <w:szCs w:val="21"/>
                      <w:lang w:bidi="ar"/>
                    </w:rPr>
                  </w:pPr>
                  <w:r>
                    <w:rPr>
                      <w:color w:val="auto"/>
                      <w:kern w:val="0"/>
                      <w:szCs w:val="21"/>
                      <w:lang w:bidi="ar"/>
                    </w:rPr>
                    <w:t>51.0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bCs/>
                      <w:snapToGrid w:val="0"/>
                      <w:color w:val="auto"/>
                      <w:kern w:val="0"/>
                      <w:szCs w:val="21"/>
                    </w:rPr>
                    <w:t>3</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注塑机</w:t>
                  </w:r>
                </w:p>
              </w:tc>
              <w:tc>
                <w:tcPr>
                  <w:tcW w:w="707" w:type="dxa"/>
                  <w:vAlign w:val="center"/>
                </w:tcPr>
                <w:p>
                  <w:pPr>
                    <w:widowControl/>
                    <w:adjustRightInd w:val="0"/>
                    <w:snapToGrid w:val="0"/>
                    <w:jc w:val="center"/>
                    <w:rPr>
                      <w:color w:val="auto"/>
                      <w:szCs w:val="21"/>
                    </w:rPr>
                  </w:pPr>
                  <w:r>
                    <w:rPr>
                      <w:color w:val="auto"/>
                      <w:szCs w:val="21"/>
                    </w:rPr>
                    <w:t>UN230-EPM</w:t>
                  </w:r>
                </w:p>
              </w:tc>
              <w:tc>
                <w:tcPr>
                  <w:tcW w:w="690" w:type="dxa"/>
                  <w:vAlign w:val="center"/>
                </w:tcPr>
                <w:p>
                  <w:pPr>
                    <w:keepLines/>
                    <w:adjustRightInd w:val="0"/>
                    <w:snapToGrid w:val="0"/>
                    <w:jc w:val="center"/>
                    <w:rPr>
                      <w:color w:val="auto"/>
                      <w:szCs w:val="21"/>
                    </w:rPr>
                  </w:pPr>
                  <w:r>
                    <w:rPr>
                      <w:color w:val="auto"/>
                      <w:szCs w:val="21"/>
                    </w:rPr>
                    <w:t>80</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color w:val="auto"/>
                      <w:kern w:val="0"/>
                      <w:szCs w:val="21"/>
                      <w:lang w:bidi="ar"/>
                    </w:rPr>
                    <w:t>26~45</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color w:val="auto"/>
                      <w:szCs w:val="21"/>
                    </w:rPr>
                    <w:t>5</w:t>
                  </w:r>
                </w:p>
              </w:tc>
              <w:tc>
                <w:tcPr>
                  <w:tcW w:w="735"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snapToGrid w:val="0"/>
                      <w:color w:val="auto"/>
                      <w:kern w:val="0"/>
                      <w:szCs w:val="21"/>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51.0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bCs/>
                      <w:snapToGrid w:val="0"/>
                      <w:color w:val="auto"/>
                      <w:kern w:val="0"/>
                      <w:szCs w:val="21"/>
                    </w:rPr>
                    <w:t>4</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破碎机</w:t>
                  </w:r>
                </w:p>
              </w:tc>
              <w:tc>
                <w:tcPr>
                  <w:tcW w:w="707" w:type="dxa"/>
                  <w:vAlign w:val="center"/>
                </w:tcPr>
                <w:p>
                  <w:pPr>
                    <w:widowControl/>
                    <w:adjustRightInd w:val="0"/>
                    <w:snapToGrid w:val="0"/>
                    <w:jc w:val="center"/>
                    <w:rPr>
                      <w:color w:val="auto"/>
                      <w:szCs w:val="21"/>
                    </w:rPr>
                  </w:pPr>
                  <w:r>
                    <w:rPr>
                      <w:color w:val="auto"/>
                      <w:szCs w:val="21"/>
                    </w:rPr>
                    <w:t>PC-400</w:t>
                  </w:r>
                </w:p>
              </w:tc>
              <w:tc>
                <w:tcPr>
                  <w:tcW w:w="690" w:type="dxa"/>
                  <w:vAlign w:val="center"/>
                </w:tcPr>
                <w:p>
                  <w:pPr>
                    <w:keepLines/>
                    <w:adjustRightInd w:val="0"/>
                    <w:snapToGrid w:val="0"/>
                    <w:jc w:val="center"/>
                    <w:rPr>
                      <w:color w:val="auto"/>
                      <w:spacing w:val="8"/>
                      <w:kern w:val="24"/>
                      <w:szCs w:val="21"/>
                    </w:rPr>
                  </w:pPr>
                  <w:r>
                    <w:rPr>
                      <w:color w:val="auto"/>
                      <w:spacing w:val="8"/>
                      <w:kern w:val="24"/>
                      <w:szCs w:val="21"/>
                    </w:rPr>
                    <w:t>85</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color w:val="auto"/>
                      <w:kern w:val="0"/>
                      <w:szCs w:val="21"/>
                      <w:lang w:bidi="ar"/>
                    </w:rPr>
                  </w:pPr>
                  <w:r>
                    <w:rPr>
                      <w:rFonts w:hint="eastAsia"/>
                      <w:bCs/>
                      <w:color w:val="auto"/>
                      <w:kern w:val="0"/>
                      <w:szCs w:val="21"/>
                      <w:lang w:bidi="ar"/>
                    </w:rPr>
                    <w:t>10~13</w:t>
                  </w:r>
                </w:p>
              </w:tc>
              <w:tc>
                <w:tcPr>
                  <w:tcW w:w="645" w:type="dxa"/>
                  <w:vAlign w:val="center"/>
                </w:tcPr>
                <w:p>
                  <w:pPr>
                    <w:widowControl/>
                    <w:adjustRightInd w:val="0"/>
                    <w:snapToGrid w:val="0"/>
                    <w:jc w:val="center"/>
                    <w:textAlignment w:val="center"/>
                    <w:rPr>
                      <w:bCs/>
                      <w:color w:val="auto"/>
                      <w:kern w:val="0"/>
                      <w:szCs w:val="21"/>
                      <w:lang w:bidi="ar"/>
                    </w:rPr>
                  </w:pPr>
                  <w:r>
                    <w:rPr>
                      <w:rFonts w:hint="eastAsia"/>
                      <w:color w:val="auto"/>
                      <w:kern w:val="0"/>
                      <w:szCs w:val="21"/>
                      <w:lang w:bidi="ar"/>
                    </w:rPr>
                    <w:t>50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color w:val="auto"/>
                      <w:kern w:val="0"/>
                      <w:szCs w:val="21"/>
                      <w:lang w:bidi="ar"/>
                    </w:rPr>
                  </w:pPr>
                  <w:r>
                    <w:rPr>
                      <w:rFonts w:hint="eastAsia"/>
                      <w:bCs/>
                      <w:color w:val="auto"/>
                      <w:kern w:val="0"/>
                      <w:szCs w:val="21"/>
                      <w:lang w:bidi="ar"/>
                    </w:rPr>
                    <w:t>5</w:t>
                  </w:r>
                </w:p>
              </w:tc>
              <w:tc>
                <w:tcPr>
                  <w:tcW w:w="735" w:type="dxa"/>
                  <w:vAlign w:val="center"/>
                </w:tcPr>
                <w:p>
                  <w:pPr>
                    <w:widowControl/>
                    <w:adjustRightInd w:val="0"/>
                    <w:snapToGrid w:val="0"/>
                    <w:jc w:val="center"/>
                    <w:textAlignment w:val="center"/>
                    <w:rPr>
                      <w:bCs/>
                      <w:color w:val="auto"/>
                      <w:kern w:val="0"/>
                      <w:szCs w:val="21"/>
                      <w:lang w:bidi="ar"/>
                    </w:rPr>
                  </w:pPr>
                  <w:r>
                    <w:rPr>
                      <w:rFonts w:hint="eastAsia"/>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color w:val="auto"/>
                      <w:kern w:val="0"/>
                      <w:szCs w:val="21"/>
                      <w:lang w:bidi="ar"/>
                    </w:rPr>
                  </w:pPr>
                  <w:r>
                    <w:rPr>
                      <w:bCs/>
                      <w:color w:val="auto"/>
                      <w:kern w:val="0"/>
                      <w:szCs w:val="21"/>
                      <w:lang w:bidi="ar"/>
                    </w:rPr>
                    <w:t>15</w:t>
                  </w:r>
                </w:p>
              </w:tc>
              <w:tc>
                <w:tcPr>
                  <w:tcW w:w="702" w:type="dxa"/>
                  <w:vAlign w:val="center"/>
                </w:tcPr>
                <w:p>
                  <w:pPr>
                    <w:widowControl/>
                    <w:adjustRightInd w:val="0"/>
                    <w:snapToGrid w:val="0"/>
                    <w:jc w:val="center"/>
                    <w:textAlignment w:val="center"/>
                    <w:rPr>
                      <w:bCs/>
                      <w:color w:val="auto"/>
                      <w:kern w:val="0"/>
                      <w:szCs w:val="21"/>
                      <w:lang w:bidi="ar"/>
                    </w:rPr>
                  </w:pPr>
                  <w:r>
                    <w:rPr>
                      <w:rFonts w:hint="eastAsia"/>
                      <w:color w:val="auto"/>
                      <w:kern w:val="0"/>
                      <w:szCs w:val="21"/>
                      <w:lang w:bidi="ar"/>
                    </w:rPr>
                    <w:t>51.0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bCs/>
                      <w:snapToGrid w:val="0"/>
                      <w:color w:val="auto"/>
                      <w:kern w:val="0"/>
                      <w:szCs w:val="21"/>
                    </w:rPr>
                    <w:t>5</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空压机</w:t>
                  </w:r>
                </w:p>
              </w:tc>
              <w:tc>
                <w:tcPr>
                  <w:tcW w:w="707" w:type="dxa"/>
                  <w:vAlign w:val="center"/>
                </w:tcPr>
                <w:p>
                  <w:pPr>
                    <w:widowControl/>
                    <w:adjustRightInd w:val="0"/>
                    <w:snapToGrid w:val="0"/>
                    <w:jc w:val="center"/>
                    <w:rPr>
                      <w:color w:val="auto"/>
                      <w:szCs w:val="21"/>
                    </w:rPr>
                  </w:pPr>
                  <w:r>
                    <w:rPr>
                      <w:color w:val="auto"/>
                      <w:szCs w:val="21"/>
                    </w:rPr>
                    <w:t>1.5m</w:t>
                  </w:r>
                  <w:r>
                    <w:rPr>
                      <w:color w:val="auto"/>
                      <w:szCs w:val="21"/>
                      <w:vertAlign w:val="superscript"/>
                    </w:rPr>
                    <w:t>3</w:t>
                  </w:r>
                  <w:r>
                    <w:rPr>
                      <w:color w:val="auto"/>
                      <w:szCs w:val="21"/>
                    </w:rPr>
                    <w:t>/min</w:t>
                  </w:r>
                </w:p>
              </w:tc>
              <w:tc>
                <w:tcPr>
                  <w:tcW w:w="690" w:type="dxa"/>
                  <w:vAlign w:val="center"/>
                </w:tcPr>
                <w:p>
                  <w:pPr>
                    <w:keepLines/>
                    <w:adjustRightInd w:val="0"/>
                    <w:snapToGrid w:val="0"/>
                    <w:jc w:val="center"/>
                    <w:rPr>
                      <w:color w:val="auto"/>
                      <w:spacing w:val="8"/>
                      <w:kern w:val="24"/>
                      <w:szCs w:val="21"/>
                    </w:rPr>
                  </w:pPr>
                  <w:r>
                    <w:rPr>
                      <w:color w:val="auto"/>
                      <w:spacing w:val="8"/>
                      <w:kern w:val="24"/>
                      <w:szCs w:val="21"/>
                    </w:rPr>
                    <w:t>8</w:t>
                  </w:r>
                  <w:r>
                    <w:rPr>
                      <w:rFonts w:hint="eastAsia"/>
                      <w:color w:val="auto"/>
                      <w:spacing w:val="8"/>
                      <w:kern w:val="24"/>
                      <w:szCs w:val="21"/>
                    </w:rPr>
                    <w:t>0</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color w:val="auto"/>
                      <w:kern w:val="0"/>
                      <w:szCs w:val="21"/>
                      <w:lang w:bidi="ar"/>
                    </w:rPr>
                    <w:t>30</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50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w:t>
                  </w:r>
                </w:p>
              </w:tc>
              <w:tc>
                <w:tcPr>
                  <w:tcW w:w="735"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snapToGrid w:val="0"/>
                      <w:color w:val="auto"/>
                      <w:kern w:val="0"/>
                      <w:szCs w:val="21"/>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51.0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rFonts w:hint="eastAsia"/>
                      <w:bCs/>
                      <w:snapToGrid w:val="0"/>
                      <w:color w:val="auto"/>
                      <w:kern w:val="0"/>
                      <w:szCs w:val="21"/>
                    </w:rPr>
                    <w:t>6</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rFonts w:hint="eastAsia"/>
                      <w:color w:val="auto"/>
                      <w:szCs w:val="21"/>
                    </w:rPr>
                    <w:t>印花机</w:t>
                  </w:r>
                </w:p>
              </w:tc>
              <w:tc>
                <w:tcPr>
                  <w:tcW w:w="707" w:type="dxa"/>
                  <w:vAlign w:val="center"/>
                </w:tcPr>
                <w:p>
                  <w:pPr>
                    <w:widowControl/>
                    <w:adjustRightInd w:val="0"/>
                    <w:snapToGrid w:val="0"/>
                    <w:jc w:val="center"/>
                    <w:rPr>
                      <w:color w:val="auto"/>
                      <w:szCs w:val="21"/>
                    </w:rPr>
                  </w:pPr>
                  <w:r>
                    <w:rPr>
                      <w:color w:val="auto"/>
                      <w:szCs w:val="21"/>
                    </w:rPr>
                    <w:t>MT3055N</w:t>
                  </w:r>
                </w:p>
              </w:tc>
              <w:tc>
                <w:tcPr>
                  <w:tcW w:w="690" w:type="dxa"/>
                  <w:vAlign w:val="center"/>
                </w:tcPr>
                <w:p>
                  <w:pPr>
                    <w:keepLines/>
                    <w:adjustRightInd w:val="0"/>
                    <w:snapToGrid w:val="0"/>
                    <w:jc w:val="center"/>
                    <w:rPr>
                      <w:color w:val="auto"/>
                      <w:spacing w:val="8"/>
                      <w:kern w:val="24"/>
                      <w:szCs w:val="21"/>
                    </w:rPr>
                  </w:pPr>
                  <w:r>
                    <w:rPr>
                      <w:color w:val="auto"/>
                      <w:spacing w:val="8"/>
                      <w:kern w:val="24"/>
                      <w:szCs w:val="21"/>
                    </w:rPr>
                    <w:t>80</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30~45</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30</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15</w:t>
                  </w:r>
                </w:p>
              </w:tc>
              <w:tc>
                <w:tcPr>
                  <w:tcW w:w="735"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56.5</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snapToGrid w:val="0"/>
                      <w:color w:val="auto"/>
                      <w:kern w:val="0"/>
                      <w:szCs w:val="21"/>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rFonts w:hint="eastAsia"/>
                      <w:color w:val="auto"/>
                      <w:kern w:val="0"/>
                      <w:szCs w:val="21"/>
                      <w:lang w:bidi="ar"/>
                    </w:rPr>
                    <w:t>41.5</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rFonts w:hint="eastAsia"/>
                      <w:bCs/>
                      <w:snapToGrid w:val="0"/>
                      <w:color w:val="auto"/>
                      <w:kern w:val="0"/>
                      <w:szCs w:val="21"/>
                    </w:rPr>
                    <w:t>7</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水泵</w:t>
                  </w:r>
                </w:p>
              </w:tc>
              <w:tc>
                <w:tcPr>
                  <w:tcW w:w="707" w:type="dxa"/>
                  <w:vAlign w:val="center"/>
                </w:tcPr>
                <w:p>
                  <w:pPr>
                    <w:widowControl/>
                    <w:adjustRightInd w:val="0"/>
                    <w:snapToGrid w:val="0"/>
                    <w:jc w:val="center"/>
                    <w:rPr>
                      <w:color w:val="auto"/>
                      <w:szCs w:val="21"/>
                    </w:rPr>
                  </w:pPr>
                  <w:r>
                    <w:rPr>
                      <w:color w:val="auto"/>
                      <w:szCs w:val="21"/>
                    </w:rPr>
                    <w:t>10m</w:t>
                  </w:r>
                  <w:r>
                    <w:rPr>
                      <w:color w:val="auto"/>
                      <w:szCs w:val="21"/>
                      <w:vertAlign w:val="superscript"/>
                    </w:rPr>
                    <w:t>3</w:t>
                  </w:r>
                  <w:r>
                    <w:rPr>
                      <w:color w:val="auto"/>
                      <w:szCs w:val="21"/>
                    </w:rPr>
                    <w:t>/h</w:t>
                  </w:r>
                </w:p>
              </w:tc>
              <w:tc>
                <w:tcPr>
                  <w:tcW w:w="690" w:type="dxa"/>
                  <w:vAlign w:val="center"/>
                </w:tcPr>
                <w:p>
                  <w:pPr>
                    <w:keepLines/>
                    <w:adjustRightInd w:val="0"/>
                    <w:snapToGrid w:val="0"/>
                    <w:jc w:val="center"/>
                    <w:rPr>
                      <w:color w:val="auto"/>
                      <w:spacing w:val="8"/>
                      <w:kern w:val="24"/>
                      <w:szCs w:val="21"/>
                    </w:rPr>
                  </w:pPr>
                  <w:r>
                    <w:rPr>
                      <w:color w:val="auto"/>
                      <w:spacing w:val="8"/>
                      <w:kern w:val="24"/>
                      <w:szCs w:val="21"/>
                    </w:rPr>
                    <w:t>80</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29~31</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52</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w:t>
                  </w:r>
                </w:p>
              </w:tc>
              <w:tc>
                <w:tcPr>
                  <w:tcW w:w="735"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66.0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color w:val="auto"/>
                      <w:kern w:val="0"/>
                      <w:szCs w:val="21"/>
                      <w:lang w:bidi="ar"/>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51.0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adjustRightInd w:val="0"/>
                    <w:snapToGrid w:val="0"/>
                    <w:jc w:val="center"/>
                    <w:rPr>
                      <w:bCs/>
                      <w:snapToGrid w:val="0"/>
                      <w:color w:val="auto"/>
                      <w:kern w:val="0"/>
                      <w:szCs w:val="21"/>
                    </w:rPr>
                  </w:pPr>
                  <w:r>
                    <w:rPr>
                      <w:rFonts w:hint="eastAsia"/>
                      <w:bCs/>
                      <w:snapToGrid w:val="0"/>
                      <w:color w:val="auto"/>
                      <w:kern w:val="0"/>
                      <w:szCs w:val="21"/>
                    </w:rPr>
                    <w:t>8</w:t>
                  </w:r>
                </w:p>
              </w:tc>
              <w:tc>
                <w:tcPr>
                  <w:tcW w:w="464" w:type="dxa"/>
                  <w:vMerge w:val="continue"/>
                  <w:vAlign w:val="center"/>
                </w:tcPr>
                <w:p>
                  <w:pPr>
                    <w:adjustRightInd w:val="0"/>
                    <w:snapToGrid w:val="0"/>
                    <w:jc w:val="center"/>
                    <w:rPr>
                      <w:bCs/>
                      <w:snapToGrid w:val="0"/>
                      <w:color w:val="auto"/>
                      <w:kern w:val="0"/>
                      <w:szCs w:val="21"/>
                    </w:rPr>
                  </w:pPr>
                </w:p>
              </w:tc>
              <w:tc>
                <w:tcPr>
                  <w:tcW w:w="697" w:type="dxa"/>
                  <w:vAlign w:val="center"/>
                </w:tcPr>
                <w:p>
                  <w:pPr>
                    <w:adjustRightInd w:val="0"/>
                    <w:snapToGrid w:val="0"/>
                    <w:jc w:val="center"/>
                    <w:rPr>
                      <w:color w:val="auto"/>
                      <w:szCs w:val="21"/>
                    </w:rPr>
                  </w:pPr>
                  <w:r>
                    <w:rPr>
                      <w:color w:val="auto"/>
                      <w:szCs w:val="21"/>
                    </w:rPr>
                    <w:t>电子称</w:t>
                  </w:r>
                </w:p>
              </w:tc>
              <w:tc>
                <w:tcPr>
                  <w:tcW w:w="707" w:type="dxa"/>
                  <w:vAlign w:val="center"/>
                </w:tcPr>
                <w:p>
                  <w:pPr>
                    <w:widowControl/>
                    <w:adjustRightInd w:val="0"/>
                    <w:snapToGrid w:val="0"/>
                    <w:jc w:val="center"/>
                    <w:rPr>
                      <w:color w:val="auto"/>
                      <w:szCs w:val="21"/>
                    </w:rPr>
                  </w:pPr>
                  <w:r>
                    <w:rPr>
                      <w:color w:val="auto"/>
                      <w:szCs w:val="21"/>
                    </w:rPr>
                    <w:t>/</w:t>
                  </w:r>
                </w:p>
              </w:tc>
              <w:tc>
                <w:tcPr>
                  <w:tcW w:w="690" w:type="dxa"/>
                  <w:vAlign w:val="center"/>
                </w:tcPr>
                <w:p>
                  <w:pPr>
                    <w:keepLines/>
                    <w:adjustRightInd w:val="0"/>
                    <w:snapToGrid w:val="0"/>
                    <w:jc w:val="center"/>
                    <w:rPr>
                      <w:color w:val="auto"/>
                      <w:spacing w:val="8"/>
                      <w:kern w:val="24"/>
                      <w:szCs w:val="21"/>
                    </w:rPr>
                  </w:pPr>
                  <w:r>
                    <w:rPr>
                      <w:color w:val="auto"/>
                      <w:spacing w:val="8"/>
                      <w:kern w:val="24"/>
                      <w:szCs w:val="21"/>
                    </w:rPr>
                    <w:t>75</w:t>
                  </w:r>
                </w:p>
              </w:tc>
              <w:tc>
                <w:tcPr>
                  <w:tcW w:w="604" w:type="dxa"/>
                  <w:vMerge w:val="continue"/>
                  <w:vAlign w:val="center"/>
                </w:tcPr>
                <w:p>
                  <w:pPr>
                    <w:adjustRightInd w:val="0"/>
                    <w:snapToGrid w:val="0"/>
                    <w:jc w:val="center"/>
                    <w:rPr>
                      <w:bCs/>
                      <w:snapToGrid w:val="0"/>
                      <w:color w:val="auto"/>
                      <w:kern w:val="0"/>
                      <w:szCs w:val="21"/>
                    </w:rPr>
                  </w:pPr>
                </w:p>
              </w:tc>
              <w:tc>
                <w:tcPr>
                  <w:tcW w:w="626"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50~52</w:t>
                  </w:r>
                </w:p>
              </w:tc>
              <w:tc>
                <w:tcPr>
                  <w:tcW w:w="64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52</w:t>
                  </w:r>
                </w:p>
              </w:tc>
              <w:tc>
                <w:tcPr>
                  <w:tcW w:w="390" w:type="dxa"/>
                  <w:vAlign w:val="center"/>
                </w:tcPr>
                <w:p>
                  <w:pPr>
                    <w:adjustRightInd w:val="0"/>
                    <w:snapToGrid w:val="0"/>
                    <w:jc w:val="center"/>
                    <w:rPr>
                      <w:bCs/>
                      <w:snapToGrid w:val="0"/>
                      <w:color w:val="auto"/>
                      <w:kern w:val="0"/>
                      <w:szCs w:val="21"/>
                    </w:rPr>
                  </w:pPr>
                  <w:r>
                    <w:rPr>
                      <w:bCs/>
                      <w:snapToGrid w:val="0"/>
                      <w:color w:val="auto"/>
                      <w:kern w:val="0"/>
                      <w:szCs w:val="21"/>
                    </w:rPr>
                    <w:t>1</w:t>
                  </w:r>
                </w:p>
              </w:tc>
              <w:tc>
                <w:tcPr>
                  <w:tcW w:w="49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5</w:t>
                  </w:r>
                </w:p>
              </w:tc>
              <w:tc>
                <w:tcPr>
                  <w:tcW w:w="735" w:type="dxa"/>
                  <w:vAlign w:val="center"/>
                </w:tcPr>
                <w:p>
                  <w:pPr>
                    <w:widowControl/>
                    <w:adjustRightInd w:val="0"/>
                    <w:snapToGrid w:val="0"/>
                    <w:jc w:val="center"/>
                    <w:textAlignment w:val="center"/>
                    <w:rPr>
                      <w:bCs/>
                      <w:snapToGrid w:val="0"/>
                      <w:color w:val="auto"/>
                      <w:kern w:val="0"/>
                      <w:szCs w:val="21"/>
                    </w:rPr>
                  </w:pPr>
                  <w:r>
                    <w:rPr>
                      <w:rFonts w:hint="eastAsia"/>
                      <w:bCs/>
                      <w:snapToGrid w:val="0"/>
                      <w:color w:val="auto"/>
                      <w:kern w:val="0"/>
                      <w:szCs w:val="21"/>
                    </w:rPr>
                    <w:t>61.0</w:t>
                  </w:r>
                </w:p>
              </w:tc>
              <w:tc>
                <w:tcPr>
                  <w:tcW w:w="570" w:type="dxa"/>
                  <w:vAlign w:val="center"/>
                </w:tcPr>
                <w:p>
                  <w:pPr>
                    <w:adjustRightInd w:val="0"/>
                    <w:snapToGrid w:val="0"/>
                    <w:jc w:val="center"/>
                    <w:rPr>
                      <w:bCs/>
                      <w:snapToGrid w:val="0"/>
                      <w:color w:val="auto"/>
                      <w:kern w:val="0"/>
                      <w:szCs w:val="21"/>
                    </w:rPr>
                  </w:pPr>
                  <w:r>
                    <w:rPr>
                      <w:bCs/>
                      <w:snapToGrid w:val="0"/>
                      <w:color w:val="auto"/>
                      <w:kern w:val="0"/>
                      <w:szCs w:val="21"/>
                    </w:rPr>
                    <w:t>16h</w:t>
                  </w:r>
                </w:p>
              </w:tc>
              <w:tc>
                <w:tcPr>
                  <w:tcW w:w="720" w:type="dxa"/>
                  <w:vAlign w:val="center"/>
                </w:tcPr>
                <w:p>
                  <w:pPr>
                    <w:widowControl/>
                    <w:adjustRightInd w:val="0"/>
                    <w:snapToGrid w:val="0"/>
                    <w:jc w:val="center"/>
                    <w:textAlignment w:val="center"/>
                    <w:rPr>
                      <w:bCs/>
                      <w:snapToGrid w:val="0"/>
                      <w:color w:val="auto"/>
                      <w:kern w:val="0"/>
                      <w:szCs w:val="21"/>
                    </w:rPr>
                  </w:pPr>
                  <w:r>
                    <w:rPr>
                      <w:bCs/>
                      <w:color w:val="auto"/>
                      <w:kern w:val="0"/>
                      <w:szCs w:val="21"/>
                      <w:lang w:bidi="ar"/>
                    </w:rPr>
                    <w:t>15</w:t>
                  </w:r>
                </w:p>
              </w:tc>
              <w:tc>
                <w:tcPr>
                  <w:tcW w:w="702" w:type="dxa"/>
                  <w:vAlign w:val="center"/>
                </w:tcPr>
                <w:p>
                  <w:pPr>
                    <w:widowControl/>
                    <w:adjustRightInd w:val="0"/>
                    <w:snapToGrid w:val="0"/>
                    <w:jc w:val="center"/>
                    <w:textAlignment w:val="center"/>
                    <w:rPr>
                      <w:bCs/>
                      <w:snapToGrid w:val="0"/>
                      <w:color w:val="auto"/>
                      <w:kern w:val="0"/>
                      <w:szCs w:val="21"/>
                    </w:rPr>
                  </w:pPr>
                  <w:r>
                    <w:rPr>
                      <w:color w:val="auto"/>
                      <w:kern w:val="0"/>
                      <w:szCs w:val="21"/>
                      <w:lang w:bidi="ar"/>
                    </w:rPr>
                    <w:t>46.0</w:t>
                  </w:r>
                </w:p>
              </w:tc>
              <w:tc>
                <w:tcPr>
                  <w:tcW w:w="386" w:type="dxa"/>
                  <w:vAlign w:val="center"/>
                </w:tcPr>
                <w:p>
                  <w:pPr>
                    <w:adjustRightInd w:val="0"/>
                    <w:snapToGrid w:val="0"/>
                    <w:jc w:val="center"/>
                    <w:rPr>
                      <w:bCs/>
                      <w:snapToGrid w:val="0"/>
                      <w:color w:val="auto"/>
                      <w:kern w:val="0"/>
                      <w:szCs w:val="21"/>
                    </w:rPr>
                  </w:pPr>
                  <w:r>
                    <w:rPr>
                      <w:bCs/>
                      <w:snapToGrid w:val="0"/>
                      <w:color w:val="auto"/>
                      <w:kern w:val="0"/>
                      <w:szCs w:val="21"/>
                    </w:rPr>
                    <w:t>1</w:t>
                  </w:r>
                </w:p>
              </w:tc>
            </w:tr>
          </w:tbl>
          <w:p>
            <w:pPr>
              <w:keepLines/>
              <w:autoSpaceDE w:val="0"/>
              <w:autoSpaceDN w:val="0"/>
              <w:adjustRightInd w:val="0"/>
              <w:snapToGrid w:val="0"/>
              <w:ind w:firstLine="480" w:firstLineChars="200"/>
              <w:rPr>
                <w:b/>
                <w:bCs/>
                <w:color w:val="auto"/>
                <w:sz w:val="24"/>
              </w:rPr>
            </w:pPr>
            <w:r>
              <w:rPr>
                <w:rFonts w:hint="eastAsia" w:cs="宋体"/>
                <w:color w:val="auto"/>
                <w:kern w:val="0"/>
                <w:sz w:val="24"/>
                <w:lang w:bidi="ar"/>
              </w:rPr>
              <w:t>注：以厂界西南点地面为坐标原点（X=0，Y=0，Z=0）。</w:t>
            </w:r>
          </w:p>
          <w:p>
            <w:pPr>
              <w:keepNext w:val="0"/>
              <w:keepLines/>
              <w:pageBreakBefore w:val="0"/>
              <w:widowControl w:val="0"/>
              <w:kinsoku/>
              <w:wordWrap/>
              <w:overflowPunct/>
              <w:autoSpaceDE w:val="0"/>
              <w:autoSpaceDN w:val="0"/>
              <w:bidi w:val="0"/>
              <w:adjustRightInd w:val="0"/>
              <w:snapToGrid w:val="0"/>
              <w:spacing w:before="120" w:beforeLines="50" w:line="360" w:lineRule="auto"/>
              <w:ind w:firstLine="480" w:firstLineChars="200"/>
              <w:jc w:val="left"/>
              <w:textAlignment w:val="auto"/>
              <w:rPr>
                <w:bCs/>
                <w:color w:val="auto"/>
                <w:sz w:val="24"/>
              </w:rPr>
            </w:pPr>
            <w:r>
              <w:rPr>
                <w:rFonts w:hint="eastAsia"/>
                <w:bCs/>
                <w:color w:val="auto"/>
                <w:sz w:val="24"/>
              </w:rPr>
              <w:t>（2）预测模式</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bCs/>
                <w:color w:val="auto"/>
                <w:kern w:val="0"/>
                <w:sz w:val="24"/>
                <w:lang w:bidi="ar"/>
              </w:rPr>
            </w:pPr>
            <w:r>
              <w:rPr>
                <w:rFonts w:hint="eastAsia" w:cs="宋体"/>
                <w:color w:val="auto"/>
                <w:kern w:val="0"/>
                <w:sz w:val="24"/>
                <w:lang w:bidi="ar"/>
              </w:rPr>
              <w:t>本次评价采用《环境影响评价技术导则-声环境》（HJ2.4-2021）附录中的预测模型，其计算公式如下：</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①室内声源等效室外声源声功率级计算方法</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室内声源可采用等效室外声源声功率级法进行计算，也可按下式计算。</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A.计算某一室内声源靠近围护结构处产生的倍频带声压级。计算公式如下：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bCs/>
                <w:color w:val="auto"/>
                <w:kern w:val="0"/>
                <w:sz w:val="24"/>
                <w:lang w:bidi="ar"/>
              </w:rPr>
            </w:pPr>
            <w:r>
              <w:rPr>
                <w:rFonts w:hint="eastAsia" w:cs="宋体"/>
                <w:bCs/>
                <w:color w:val="auto"/>
                <w:kern w:val="0"/>
                <w:position w:val="-28"/>
                <w:sz w:val="24"/>
                <w:lang w:bidi="ar"/>
              </w:rPr>
              <w:object>
                <v:shape id="_x0000_i1029" o:spt="75" type="#_x0000_t75" style="height:36pt;width:167.75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p1</w:t>
            </w:r>
            <w:r>
              <w:rPr>
                <w:rFonts w:hint="eastAsia" w:cs="宋体"/>
                <w:color w:val="auto"/>
                <w:kern w:val="0"/>
                <w:sz w:val="24"/>
                <w:lang w:bidi="ar"/>
              </w:rPr>
              <w:t>--靠近开口处（或窗户）室内某倍频带的声压级或A声级，dB；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Lw--点声源声功率级（A计权或倍频带），dB；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Q--指向性因数；通常对无指向性声源，当声源放在房间中心时，Q=1；当放在一面墙的中心时，Q=2；当放在两面墙夹角处时，Q=4；当放在三面墙夹角处时，Q=8；</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R--房间常数；</w:t>
            </w:r>
            <w:r>
              <w:rPr>
                <w:bCs/>
                <w:color w:val="auto"/>
                <w:spacing w:val="1"/>
                <w:w w:val="91"/>
                <w:kern w:val="0"/>
                <w:sz w:val="24"/>
                <w:fitText w:val="1310" w:id="1755080595"/>
                <w:lang w:bidi="ar"/>
              </w:rPr>
              <w:t>R=Sα/（1-α）</w:t>
            </w:r>
            <w:r>
              <w:rPr>
                <w:rFonts w:hint="eastAsia" w:cs="宋体"/>
                <w:color w:val="auto"/>
                <w:kern w:val="0"/>
                <w:sz w:val="24"/>
                <w:lang w:bidi="ar"/>
              </w:rPr>
              <w:t>，S为房间内表面面积，m</w:t>
            </w:r>
            <w:r>
              <w:rPr>
                <w:rFonts w:hint="eastAsia" w:cs="宋体"/>
                <w:color w:val="auto"/>
                <w:kern w:val="0"/>
                <w:sz w:val="24"/>
                <w:vertAlign w:val="superscript"/>
                <w:lang w:bidi="ar"/>
              </w:rPr>
              <w:t>2</w:t>
            </w:r>
            <w:r>
              <w:rPr>
                <w:rFonts w:hint="eastAsia" w:cs="宋体"/>
                <w:color w:val="auto"/>
                <w:kern w:val="0"/>
                <w:sz w:val="24"/>
                <w:lang w:bidi="ar"/>
              </w:rPr>
              <w:t>；</w:t>
            </w:r>
            <w:r>
              <w:rPr>
                <w:bCs/>
                <w:color w:val="auto"/>
                <w:kern w:val="0"/>
                <w:sz w:val="24"/>
                <w:lang w:bidi="ar"/>
              </w:rPr>
              <w:t>α</w:t>
            </w:r>
            <w:r>
              <w:rPr>
                <w:rFonts w:hint="eastAsia" w:cs="宋体"/>
                <w:color w:val="auto"/>
                <w:kern w:val="0"/>
                <w:sz w:val="24"/>
                <w:lang w:bidi="ar"/>
              </w:rPr>
              <w:t>为平均吸声系数；</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r--声源到靠近围护结构某点处的距离，m。</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B.计算出所有室内声源在围护结构处产生的i倍频带叠加声压级。计算公式如下：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bCs/>
                <w:color w:val="auto"/>
                <w:kern w:val="0"/>
                <w:sz w:val="24"/>
                <w:lang w:bidi="ar"/>
              </w:rPr>
            </w:pPr>
            <w:r>
              <w:rPr>
                <w:rFonts w:hint="eastAsia" w:cs="宋体"/>
                <w:bCs/>
                <w:color w:val="auto"/>
                <w:kern w:val="0"/>
                <w:position w:val="-32"/>
                <w:sz w:val="24"/>
                <w:lang w:bidi="ar"/>
              </w:rPr>
              <w:object>
                <v:shape id="_x0000_i1030" o:spt="75" type="#_x0000_t75" style="height:39.4pt;width:169.15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p1i</w:t>
            </w:r>
            <w:r>
              <w:rPr>
                <w:rFonts w:hint="eastAsia" w:cs="宋体"/>
                <w:color w:val="auto"/>
                <w:kern w:val="0"/>
                <w:sz w:val="24"/>
                <w:lang w:bidi="ar"/>
              </w:rPr>
              <w:t>（T）--靠近围护结构处室内n个声源i倍频带的叠加声压级，dB；</w:t>
            </w:r>
          </w:p>
          <w:p>
            <w:pPr>
              <w:keepNext w:val="0"/>
              <w:keepLines/>
              <w:pageBreakBefore w:val="0"/>
              <w:widowControl w:val="0"/>
              <w:kinsoku/>
              <w:wordWrap/>
              <w:overflowPunct/>
              <w:topLinePunct/>
              <w:bidi w:val="0"/>
              <w:adjustRightInd w:val="0"/>
              <w:snapToGrid w:val="0"/>
              <w:spacing w:before="120" w:beforeLines="50" w:line="360" w:lineRule="auto"/>
              <w:ind w:firstLine="1200" w:firstLineChars="500"/>
              <w:textAlignment w:val="auto"/>
              <w:rPr>
                <w:rFonts w:cs="宋体"/>
                <w:color w:val="auto"/>
                <w:kern w:val="0"/>
                <w:sz w:val="24"/>
                <w:lang w:bidi="ar"/>
              </w:rPr>
            </w:pPr>
            <w:r>
              <w:rPr>
                <w:rFonts w:hint="eastAsia" w:cs="宋体"/>
                <w:color w:val="auto"/>
                <w:kern w:val="0"/>
                <w:sz w:val="24"/>
                <w:lang w:bidi="ar"/>
              </w:rPr>
              <w:t>L</w:t>
            </w:r>
            <w:r>
              <w:rPr>
                <w:rFonts w:hint="eastAsia" w:cs="宋体"/>
                <w:color w:val="auto"/>
                <w:kern w:val="0"/>
                <w:sz w:val="24"/>
                <w:vertAlign w:val="subscript"/>
                <w:lang w:bidi="ar"/>
              </w:rPr>
              <w:t>p1ij</w:t>
            </w:r>
            <w:r>
              <w:rPr>
                <w:rFonts w:hint="eastAsia" w:cs="宋体"/>
                <w:color w:val="auto"/>
                <w:kern w:val="0"/>
                <w:sz w:val="24"/>
                <w:lang w:bidi="ar"/>
              </w:rPr>
              <w:t>--室内j声源i倍频带的声压级，dB；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n--室内声源总数。</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C.在室内近似为扩散声场时，计算出靠近室外围护结构处的声压级。计算公式如下：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14"/>
                <w:sz w:val="24"/>
                <w:lang w:bidi="ar"/>
              </w:rPr>
              <w:object>
                <v:shape id="_x0000_i1031" o:spt="75" type="#_x0000_t75" style="height:21.75pt;width:171.1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p2i</w:t>
            </w:r>
            <w:r>
              <w:rPr>
                <w:rFonts w:hint="eastAsia" w:cs="宋体"/>
                <w:color w:val="auto"/>
                <w:kern w:val="0"/>
                <w:sz w:val="24"/>
                <w:lang w:bidi="ar"/>
              </w:rPr>
              <w:t>（T）--靠近围护结构处室外N个声源i倍频带的叠加声压级，dB；</w:t>
            </w:r>
          </w:p>
          <w:p>
            <w:pPr>
              <w:keepNext w:val="0"/>
              <w:keepLines/>
              <w:pageBreakBefore w:val="0"/>
              <w:widowControl w:val="0"/>
              <w:kinsoku/>
              <w:wordWrap/>
              <w:overflowPunct/>
              <w:topLinePunct/>
              <w:bidi w:val="0"/>
              <w:adjustRightInd w:val="0"/>
              <w:snapToGrid w:val="0"/>
              <w:spacing w:before="120" w:beforeLines="50" w:line="360" w:lineRule="auto"/>
              <w:ind w:firstLine="1200" w:firstLineChars="500"/>
              <w:textAlignment w:val="auto"/>
              <w:rPr>
                <w:rFonts w:cs="宋体"/>
                <w:color w:val="auto"/>
                <w:kern w:val="0"/>
                <w:sz w:val="24"/>
                <w:lang w:bidi="ar"/>
              </w:rPr>
            </w:pPr>
            <w:r>
              <w:rPr>
                <w:rFonts w:hint="eastAsia" w:cs="宋体"/>
                <w:color w:val="auto"/>
                <w:kern w:val="0"/>
                <w:sz w:val="24"/>
                <w:lang w:bidi="ar"/>
              </w:rPr>
              <w:t>L</w:t>
            </w:r>
            <w:r>
              <w:rPr>
                <w:rFonts w:hint="eastAsia" w:cs="宋体"/>
                <w:color w:val="auto"/>
                <w:kern w:val="0"/>
                <w:sz w:val="24"/>
                <w:vertAlign w:val="subscript"/>
                <w:lang w:bidi="ar"/>
              </w:rPr>
              <w:t>p1i</w:t>
            </w:r>
            <w:r>
              <w:rPr>
                <w:rFonts w:hint="eastAsia" w:cs="宋体"/>
                <w:color w:val="auto"/>
                <w:kern w:val="0"/>
                <w:sz w:val="24"/>
                <w:lang w:bidi="ar"/>
              </w:rPr>
              <w:t>（T）--靠近围护结构处室内N个声源i倍频带的叠加声压级，dB；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TL</w:t>
            </w:r>
            <w:r>
              <w:rPr>
                <w:rFonts w:hint="eastAsia" w:cs="宋体"/>
                <w:color w:val="auto"/>
                <w:kern w:val="0"/>
                <w:sz w:val="24"/>
                <w:vertAlign w:val="subscript"/>
                <w:lang w:bidi="ar"/>
              </w:rPr>
              <w:t>i</w:t>
            </w:r>
            <w:r>
              <w:rPr>
                <w:rFonts w:hint="eastAsia" w:cs="宋体"/>
                <w:color w:val="auto"/>
                <w:kern w:val="0"/>
                <w:sz w:val="24"/>
                <w:lang w:bidi="ar"/>
              </w:rPr>
              <w:t>--围护结构i倍频带的隔声量，dB。</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D.将室外声源的声压级和透过面积换算成等效的室外声源，计算出中心位置位于透声面积（S）处的等效声源的倍频带声功率级。计算公式如下：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14"/>
                <w:sz w:val="24"/>
                <w:lang w:bidi="ar"/>
              </w:rPr>
              <w:object>
                <v:shape id="_x0000_i1032" o:spt="75" type="#_x0000_t75" style="height:23.1pt;width:125.6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w</w:t>
            </w:r>
            <w:r>
              <w:rPr>
                <w:rFonts w:hint="eastAsia" w:cs="宋体"/>
                <w:color w:val="auto"/>
                <w:kern w:val="0"/>
                <w:sz w:val="24"/>
                <w:lang w:bidi="ar"/>
              </w:rPr>
              <w:t>--中心位置位于透声面积（S）处的等效声源的倍频带声功率级，dB；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L</w:t>
            </w:r>
            <w:r>
              <w:rPr>
                <w:rFonts w:hint="eastAsia" w:cs="宋体"/>
                <w:color w:val="auto"/>
                <w:kern w:val="0"/>
                <w:sz w:val="24"/>
                <w:vertAlign w:val="subscript"/>
                <w:lang w:bidi="ar"/>
              </w:rPr>
              <w:t>p2</w:t>
            </w:r>
            <w:r>
              <w:rPr>
                <w:rFonts w:hint="eastAsia" w:cs="宋体"/>
                <w:color w:val="auto"/>
                <w:kern w:val="0"/>
                <w:sz w:val="24"/>
                <w:lang w:bidi="ar"/>
              </w:rPr>
              <w:t>（T）--靠近围护结构处室外声源的声压级，dB；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S--透声面积，m</w:t>
            </w:r>
            <w:r>
              <w:rPr>
                <w:rFonts w:hint="eastAsia" w:cs="宋体"/>
                <w:color w:val="auto"/>
                <w:kern w:val="0"/>
                <w:sz w:val="24"/>
                <w:vertAlign w:val="superscript"/>
                <w:lang w:bidi="ar"/>
              </w:rPr>
              <w:t>2</w:t>
            </w:r>
            <w:r>
              <w:rPr>
                <w:rFonts w:hint="eastAsia" w:cs="宋体"/>
                <w:color w:val="auto"/>
                <w:kern w:val="0"/>
                <w:sz w:val="24"/>
                <w:lang w:bidi="ar"/>
              </w:rPr>
              <w:t>。</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然后按室外声源预测方法计算预测点处的A声级。</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②室外声源在预测点产生的声级计算模型</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A.根据声源参考位置处的声压级、户外声传播衰减，计算预测点的声级，其计算公式如下：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14"/>
                <w:sz w:val="24"/>
                <w:lang w:bidi="ar"/>
              </w:rPr>
              <w:object>
                <v:shape id="_x0000_i1033" o:spt="75" type="#_x0000_t75" style="height:21.75pt;width:283.25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p>
          <w:p>
            <w:pPr>
              <w:keepNext w:val="0"/>
              <w:keepLines/>
              <w:pageBreakBefore w:val="0"/>
              <w:widowControl w:val="0"/>
              <w:kinsoku/>
              <w:wordWrap/>
              <w:overflowPunct/>
              <w:topLinePunct/>
              <w:bidi w:val="0"/>
              <w:adjustRightInd w:val="0"/>
              <w:snapToGrid w:val="0"/>
              <w:spacing w:before="120" w:beforeLines="50"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p</w:t>
            </w:r>
            <w:r>
              <w:rPr>
                <w:rFonts w:hint="eastAsia" w:cs="宋体"/>
                <w:color w:val="auto"/>
                <w:kern w:val="0"/>
                <w:sz w:val="24"/>
                <w:lang w:bidi="ar"/>
              </w:rPr>
              <w:t>（r）--预测点处声压级，dB；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L</w:t>
            </w:r>
            <w:r>
              <w:rPr>
                <w:rFonts w:hint="eastAsia" w:cs="宋体"/>
                <w:color w:val="auto"/>
                <w:kern w:val="0"/>
                <w:sz w:val="24"/>
                <w:vertAlign w:val="subscript"/>
                <w:lang w:bidi="ar"/>
              </w:rPr>
              <w:t>p</w:t>
            </w:r>
            <w:r>
              <w:rPr>
                <w:rFonts w:hint="eastAsia" w:cs="宋体"/>
                <w:color w:val="auto"/>
                <w:kern w:val="0"/>
                <w:sz w:val="24"/>
                <w:lang w:bidi="ar"/>
              </w:rPr>
              <w:t>（r</w:t>
            </w:r>
            <w:r>
              <w:rPr>
                <w:rFonts w:hint="eastAsia" w:cs="宋体"/>
                <w:color w:val="auto"/>
                <w:kern w:val="0"/>
                <w:sz w:val="24"/>
                <w:vertAlign w:val="subscript"/>
                <w:lang w:bidi="ar"/>
              </w:rPr>
              <w:t>0</w:t>
            </w:r>
            <w:r>
              <w:rPr>
                <w:rFonts w:hint="eastAsia" w:cs="宋体"/>
                <w:color w:val="auto"/>
                <w:kern w:val="0"/>
                <w:sz w:val="24"/>
                <w:lang w:bidi="ar"/>
              </w:rPr>
              <w:t>）--参考位置r</w:t>
            </w:r>
            <w:r>
              <w:rPr>
                <w:rFonts w:hint="eastAsia" w:cs="宋体"/>
                <w:color w:val="auto"/>
                <w:kern w:val="0"/>
                <w:sz w:val="24"/>
                <w:vertAlign w:val="subscript"/>
                <w:lang w:bidi="ar"/>
              </w:rPr>
              <w:t>0</w:t>
            </w:r>
            <w:r>
              <w:rPr>
                <w:rFonts w:hint="eastAsia" w:cs="宋体"/>
                <w:color w:val="auto"/>
                <w:kern w:val="0"/>
                <w:sz w:val="24"/>
                <w:lang w:bidi="ar"/>
              </w:rPr>
              <w:t>处的声压级，dB；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D</w:t>
            </w:r>
            <w:r>
              <w:rPr>
                <w:rFonts w:hint="eastAsia" w:cs="宋体"/>
                <w:color w:val="auto"/>
                <w:kern w:val="0"/>
                <w:sz w:val="24"/>
                <w:vertAlign w:val="subscript"/>
                <w:lang w:bidi="ar"/>
              </w:rPr>
              <w:t>c</w:t>
            </w:r>
            <w:r>
              <w:rPr>
                <w:rFonts w:hint="eastAsia" w:cs="宋体"/>
                <w:color w:val="auto"/>
                <w:kern w:val="0"/>
                <w:sz w:val="24"/>
                <w:lang w:bidi="ar"/>
              </w:rPr>
              <w:t>--指向性校正，它描述点声源的等效连续声压级与产生声功率级Lw的全向点声源在规定方向的声级的偏差程度，dB；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A</w:t>
            </w:r>
            <w:r>
              <w:rPr>
                <w:rFonts w:hint="eastAsia" w:cs="宋体"/>
                <w:color w:val="auto"/>
                <w:kern w:val="0"/>
                <w:sz w:val="24"/>
                <w:vertAlign w:val="subscript"/>
                <w:lang w:bidi="ar"/>
              </w:rPr>
              <w:t>div</w:t>
            </w:r>
            <w:r>
              <w:rPr>
                <w:rFonts w:hint="eastAsia" w:cs="宋体"/>
                <w:color w:val="auto"/>
                <w:kern w:val="0"/>
                <w:sz w:val="24"/>
                <w:lang w:bidi="ar"/>
              </w:rPr>
              <w:t>--几何发散引起的衰减，dB；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A</w:t>
            </w:r>
            <w:r>
              <w:rPr>
                <w:rFonts w:hint="eastAsia" w:cs="宋体"/>
                <w:color w:val="auto"/>
                <w:kern w:val="0"/>
                <w:sz w:val="24"/>
                <w:vertAlign w:val="subscript"/>
                <w:lang w:bidi="ar"/>
              </w:rPr>
              <w:t>atm</w:t>
            </w:r>
            <w:r>
              <w:rPr>
                <w:rFonts w:hint="eastAsia" w:cs="宋体"/>
                <w:color w:val="auto"/>
                <w:kern w:val="0"/>
                <w:sz w:val="24"/>
                <w:lang w:bidi="ar"/>
              </w:rPr>
              <w:t>--大气吸收引起的衰减，dB；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A</w:t>
            </w:r>
            <w:r>
              <w:rPr>
                <w:rFonts w:hint="eastAsia" w:cs="宋体"/>
                <w:color w:val="auto"/>
                <w:kern w:val="0"/>
                <w:sz w:val="24"/>
                <w:vertAlign w:val="subscript"/>
                <w:lang w:bidi="ar"/>
              </w:rPr>
              <w:t>gr</w:t>
            </w:r>
            <w:r>
              <w:rPr>
                <w:rFonts w:hint="eastAsia" w:cs="宋体"/>
                <w:color w:val="auto"/>
                <w:kern w:val="0"/>
                <w:sz w:val="24"/>
                <w:lang w:bidi="ar"/>
              </w:rPr>
              <w:t>--地面效应引起的衰减，dB；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A</w:t>
            </w:r>
            <w:r>
              <w:rPr>
                <w:rFonts w:hint="eastAsia" w:cs="宋体"/>
                <w:color w:val="auto"/>
                <w:kern w:val="0"/>
                <w:sz w:val="24"/>
                <w:vertAlign w:val="subscript"/>
                <w:lang w:bidi="ar"/>
              </w:rPr>
              <w:t>bar</w:t>
            </w:r>
            <w:r>
              <w:rPr>
                <w:rFonts w:hint="eastAsia" w:cs="宋体"/>
                <w:color w:val="auto"/>
                <w:kern w:val="0"/>
                <w:sz w:val="24"/>
                <w:lang w:bidi="ar"/>
              </w:rPr>
              <w:t>--障碍物屏蔽引起的衰减，dB；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A</w:t>
            </w:r>
            <w:r>
              <w:rPr>
                <w:rFonts w:hint="eastAsia" w:cs="宋体"/>
                <w:color w:val="auto"/>
                <w:kern w:val="0"/>
                <w:sz w:val="24"/>
                <w:vertAlign w:val="subscript"/>
                <w:lang w:bidi="ar"/>
              </w:rPr>
              <w:t>misc</w:t>
            </w:r>
            <w:r>
              <w:rPr>
                <w:rFonts w:hint="eastAsia" w:cs="宋体"/>
                <w:color w:val="auto"/>
                <w:kern w:val="0"/>
                <w:sz w:val="24"/>
                <w:lang w:bidi="ar"/>
              </w:rPr>
              <w:t>--其他多方面效应引起的衰减，dB。</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B.无指向性点声源几何发散衰减的基本公式是：</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32"/>
                <w:sz w:val="24"/>
                <w:lang w:bidi="ar"/>
              </w:rPr>
              <w:object>
                <v:shape id="_x0000_i1034" o:spt="75" type="#_x0000_t75" style="height:38.7pt;width:141.3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式中：L</w:t>
            </w:r>
            <w:r>
              <w:rPr>
                <w:rFonts w:hint="eastAsia" w:cs="宋体"/>
                <w:color w:val="auto"/>
                <w:kern w:val="0"/>
                <w:sz w:val="24"/>
                <w:vertAlign w:val="subscript"/>
                <w:lang w:bidi="ar"/>
              </w:rPr>
              <w:t>p</w:t>
            </w:r>
            <w:r>
              <w:rPr>
                <w:rFonts w:hint="eastAsia" w:cs="宋体"/>
                <w:color w:val="auto"/>
                <w:kern w:val="0"/>
                <w:sz w:val="24"/>
                <w:lang w:bidi="ar"/>
              </w:rPr>
              <w:t>（r）--预测点处声压级，dB；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L</w:t>
            </w:r>
            <w:r>
              <w:rPr>
                <w:rFonts w:hint="eastAsia" w:cs="宋体"/>
                <w:color w:val="auto"/>
                <w:kern w:val="0"/>
                <w:sz w:val="24"/>
                <w:vertAlign w:val="subscript"/>
                <w:lang w:bidi="ar"/>
              </w:rPr>
              <w:t>p</w:t>
            </w:r>
            <w:r>
              <w:rPr>
                <w:rFonts w:hint="eastAsia" w:cs="宋体"/>
                <w:color w:val="auto"/>
                <w:kern w:val="0"/>
                <w:sz w:val="24"/>
                <w:lang w:bidi="ar"/>
              </w:rPr>
              <w:t>（r</w:t>
            </w:r>
            <w:r>
              <w:rPr>
                <w:rFonts w:hint="eastAsia" w:cs="宋体"/>
                <w:color w:val="auto"/>
                <w:kern w:val="0"/>
                <w:sz w:val="24"/>
                <w:vertAlign w:val="subscript"/>
                <w:lang w:bidi="ar"/>
              </w:rPr>
              <w:t>0</w:t>
            </w:r>
            <w:r>
              <w:rPr>
                <w:rFonts w:hint="eastAsia" w:cs="宋体"/>
                <w:color w:val="auto"/>
                <w:kern w:val="0"/>
                <w:sz w:val="24"/>
                <w:lang w:bidi="ar"/>
              </w:rPr>
              <w:t>）--参考位置r</w:t>
            </w:r>
            <w:r>
              <w:rPr>
                <w:rFonts w:hint="eastAsia" w:cs="宋体"/>
                <w:color w:val="auto"/>
                <w:kern w:val="0"/>
                <w:sz w:val="24"/>
                <w:vertAlign w:val="subscript"/>
                <w:lang w:bidi="ar"/>
              </w:rPr>
              <w:t>0</w:t>
            </w:r>
            <w:r>
              <w:rPr>
                <w:rFonts w:hint="eastAsia" w:cs="宋体"/>
                <w:color w:val="auto"/>
                <w:kern w:val="0"/>
                <w:sz w:val="24"/>
                <w:lang w:bidi="ar"/>
              </w:rPr>
              <w:t>处的声压级，dB；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r--预测点距声源的距离；</w:t>
            </w:r>
          </w:p>
          <w:p>
            <w:pPr>
              <w:keepNext w:val="0"/>
              <w:keepLines/>
              <w:pageBreakBefore w:val="0"/>
              <w:widowControl w:val="0"/>
              <w:kinsoku/>
              <w:wordWrap/>
              <w:overflowPunct/>
              <w:topLinePunct/>
              <w:bidi w:val="0"/>
              <w:adjustRightInd w:val="0"/>
              <w:snapToGrid w:val="0"/>
              <w:spacing w:before="120" w:beforeLines="50" w:line="360" w:lineRule="auto"/>
              <w:ind w:firstLine="1200" w:firstLineChars="500"/>
              <w:textAlignment w:val="auto"/>
              <w:rPr>
                <w:rFonts w:cs="宋体"/>
                <w:color w:val="auto"/>
                <w:kern w:val="0"/>
                <w:sz w:val="24"/>
                <w:lang w:bidi="ar"/>
              </w:rPr>
            </w:pPr>
            <w:r>
              <w:rPr>
                <w:rFonts w:hint="eastAsia" w:cs="宋体"/>
                <w:color w:val="auto"/>
                <w:kern w:val="0"/>
                <w:sz w:val="24"/>
                <w:lang w:bidi="ar"/>
              </w:rPr>
              <w:t>r</w:t>
            </w:r>
            <w:r>
              <w:rPr>
                <w:rFonts w:hint="eastAsia" w:cs="宋体"/>
                <w:color w:val="auto"/>
                <w:kern w:val="0"/>
                <w:sz w:val="24"/>
                <w:vertAlign w:val="subscript"/>
                <w:lang w:bidi="ar"/>
              </w:rPr>
              <w:t>0</w:t>
            </w:r>
            <w:r>
              <w:rPr>
                <w:rFonts w:hint="eastAsia" w:cs="宋体"/>
                <w:color w:val="auto"/>
                <w:kern w:val="0"/>
                <w:sz w:val="24"/>
                <w:lang w:bidi="ar"/>
              </w:rPr>
              <w:t>--参考位置距声源的距离。</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C.点声源的几何发散衰减A</w:t>
            </w:r>
            <w:r>
              <w:rPr>
                <w:rFonts w:hint="eastAsia" w:cs="宋体"/>
                <w:color w:val="auto"/>
                <w:kern w:val="0"/>
                <w:sz w:val="24"/>
                <w:vertAlign w:val="subscript"/>
                <w:lang w:bidi="ar"/>
              </w:rPr>
              <w:t>div</w:t>
            </w:r>
            <w:r>
              <w:rPr>
                <w:rFonts w:hint="eastAsia" w:cs="宋体"/>
                <w:color w:val="auto"/>
                <w:kern w:val="0"/>
                <w:sz w:val="24"/>
                <w:lang w:bidi="ar"/>
              </w:rPr>
              <w:t>，计算公式如下：</w:t>
            </w:r>
          </w:p>
          <w:p>
            <w:pPr>
              <w:keepNext w:val="0"/>
              <w:keepLines/>
              <w:pageBreakBefore w:val="0"/>
              <w:widowControl w:val="0"/>
              <w:kinsoku/>
              <w:wordWrap/>
              <w:overflowPunct/>
              <w:topLinePunct/>
              <w:bidi w:val="0"/>
              <w:adjustRightInd w:val="0"/>
              <w:snapToGrid w:val="0"/>
              <w:spacing w:line="360" w:lineRule="auto"/>
              <w:jc w:val="center"/>
              <w:textAlignment w:val="auto"/>
              <w:rPr>
                <w:rFonts w:cs="宋体"/>
                <w:color w:val="auto"/>
                <w:kern w:val="0"/>
                <w:sz w:val="24"/>
                <w:lang w:bidi="ar"/>
              </w:rPr>
            </w:pPr>
            <w:r>
              <w:rPr>
                <w:rFonts w:hint="eastAsia" w:cs="宋体"/>
                <w:bCs/>
                <w:color w:val="auto"/>
                <w:kern w:val="0"/>
                <w:position w:val="-32"/>
                <w:sz w:val="24"/>
                <w:lang w:bidi="ar"/>
              </w:rPr>
              <w:object>
                <v:shape id="_x0000_i1035" o:spt="75" type="#_x0000_t75" style="height:37.35pt;width:91.7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式中：A</w:t>
            </w:r>
            <w:r>
              <w:rPr>
                <w:rFonts w:hint="eastAsia" w:cs="宋体"/>
                <w:color w:val="auto"/>
                <w:kern w:val="0"/>
                <w:sz w:val="24"/>
                <w:vertAlign w:val="subscript"/>
                <w:lang w:bidi="ar"/>
              </w:rPr>
              <w:t>div</w:t>
            </w:r>
            <w:r>
              <w:rPr>
                <w:rFonts w:hint="eastAsia" w:cs="宋体"/>
                <w:color w:val="auto"/>
                <w:kern w:val="0"/>
                <w:sz w:val="24"/>
                <w:lang w:bidi="ar"/>
              </w:rPr>
              <w:t>--几何发散引起的衰减，dB；</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r--预测点距声源的距离；</w:t>
            </w:r>
          </w:p>
          <w:p>
            <w:pPr>
              <w:keepNext w:val="0"/>
              <w:keepLines/>
              <w:pageBreakBefore w:val="0"/>
              <w:widowControl w:val="0"/>
              <w:kinsoku/>
              <w:wordWrap/>
              <w:overflowPunct/>
              <w:topLinePunct/>
              <w:bidi w:val="0"/>
              <w:adjustRightInd w:val="0"/>
              <w:snapToGrid w:val="0"/>
              <w:spacing w:line="360" w:lineRule="auto"/>
              <w:ind w:firstLine="1200" w:firstLineChars="500"/>
              <w:textAlignment w:val="auto"/>
              <w:rPr>
                <w:rFonts w:cs="宋体"/>
                <w:color w:val="auto"/>
                <w:kern w:val="0"/>
                <w:sz w:val="24"/>
                <w:lang w:bidi="ar"/>
              </w:rPr>
            </w:pPr>
            <w:r>
              <w:rPr>
                <w:rFonts w:hint="eastAsia" w:cs="宋体"/>
                <w:color w:val="auto"/>
                <w:kern w:val="0"/>
                <w:sz w:val="24"/>
                <w:lang w:bidi="ar"/>
              </w:rPr>
              <w:t>r</w:t>
            </w:r>
            <w:r>
              <w:rPr>
                <w:rFonts w:hint="eastAsia" w:cs="宋体"/>
                <w:color w:val="auto"/>
                <w:kern w:val="0"/>
                <w:sz w:val="24"/>
                <w:vertAlign w:val="subscript"/>
                <w:lang w:bidi="ar"/>
              </w:rPr>
              <w:t>0</w:t>
            </w:r>
            <w:r>
              <w:rPr>
                <w:rFonts w:hint="eastAsia" w:cs="宋体"/>
                <w:color w:val="auto"/>
                <w:kern w:val="0"/>
                <w:sz w:val="24"/>
                <w:lang w:bidi="ar"/>
              </w:rPr>
              <w:t>--参考位置距声源的距离。</w:t>
            </w:r>
          </w:p>
          <w:p>
            <w:pPr>
              <w:keepNext w:val="0"/>
              <w:keepLines/>
              <w:pageBreakBefore w:val="0"/>
              <w:widowControl w:val="0"/>
              <w:kinsoku/>
              <w:wordWrap/>
              <w:overflowPunct/>
              <w:topLinePunct/>
              <w:bidi w:val="0"/>
              <w:adjustRightInd w:val="0"/>
              <w:snapToGrid w:val="0"/>
              <w:spacing w:line="360" w:lineRule="auto"/>
              <w:ind w:firstLine="480" w:firstLineChars="200"/>
              <w:textAlignment w:val="auto"/>
              <w:rPr>
                <w:rFonts w:cs="宋体"/>
                <w:color w:val="auto"/>
                <w:kern w:val="0"/>
                <w:sz w:val="24"/>
                <w:lang w:bidi="ar"/>
              </w:rPr>
            </w:pPr>
            <w:r>
              <w:rPr>
                <w:rFonts w:hint="eastAsia" w:cs="宋体"/>
                <w:color w:val="auto"/>
                <w:kern w:val="0"/>
                <w:sz w:val="24"/>
                <w:lang w:bidi="ar"/>
              </w:rPr>
              <w:t>D.障碍物屏蔽引起的衰减A</w:t>
            </w:r>
            <w:r>
              <w:rPr>
                <w:rFonts w:hint="eastAsia" w:cs="宋体"/>
                <w:color w:val="auto"/>
                <w:kern w:val="0"/>
                <w:sz w:val="24"/>
                <w:vertAlign w:val="subscript"/>
                <w:lang w:bidi="ar"/>
              </w:rPr>
              <w:t>bar</w:t>
            </w:r>
          </w:p>
          <w:p>
            <w:pPr>
              <w:keepNext w:val="0"/>
              <w:keepLines/>
              <w:pageBreakBefore w:val="0"/>
              <w:widowControl w:val="0"/>
              <w:kinsoku/>
              <w:wordWrap/>
              <w:overflowPunct/>
              <w:topLinePunct/>
              <w:autoSpaceDE/>
              <w:autoSpaceDN/>
              <w:bidi w:val="0"/>
              <w:adjustRightInd w:val="0"/>
              <w:snapToGrid w:val="0"/>
              <w:spacing w:line="348" w:lineRule="auto"/>
              <w:ind w:firstLine="480" w:firstLineChars="200"/>
              <w:textAlignment w:val="auto"/>
              <w:rPr>
                <w:rFonts w:cs="宋体"/>
                <w:color w:val="auto"/>
                <w:kern w:val="0"/>
                <w:sz w:val="24"/>
                <w:lang w:bidi="ar"/>
              </w:rPr>
            </w:pPr>
            <w:r>
              <w:rPr>
                <w:rFonts w:hint="eastAsia" w:cs="宋体"/>
                <w:color w:val="auto"/>
                <w:kern w:val="0"/>
                <w:sz w:val="24"/>
                <w:lang w:bidi="ar"/>
              </w:rPr>
              <w:t>位于声源和预测点之间的实体障碍物，如围墙、建筑物、土坡或地堑等起声屏障作用，从而引起声能量的较大衰减。在环境影响评价中，可将各种形式的屏障简化为具有一定高度的薄屏障。</w:t>
            </w:r>
          </w:p>
          <w:p>
            <w:pPr>
              <w:keepNext w:val="0"/>
              <w:keepLines/>
              <w:pageBreakBefore w:val="0"/>
              <w:widowControl w:val="0"/>
              <w:kinsoku/>
              <w:wordWrap/>
              <w:overflowPunct/>
              <w:topLinePunct/>
              <w:autoSpaceDE/>
              <w:autoSpaceDN/>
              <w:bidi w:val="0"/>
              <w:adjustRightInd w:val="0"/>
              <w:snapToGrid w:val="0"/>
              <w:spacing w:line="348" w:lineRule="auto"/>
              <w:ind w:firstLine="480" w:firstLineChars="200"/>
              <w:textAlignment w:val="auto"/>
              <w:rPr>
                <w:rFonts w:cs="宋体"/>
                <w:color w:val="auto"/>
                <w:kern w:val="0"/>
                <w:sz w:val="24"/>
                <w:lang w:bidi="ar"/>
              </w:rPr>
            </w:pPr>
            <w:r>
              <w:rPr>
                <w:rFonts w:hint="eastAsia" w:cs="宋体"/>
                <w:color w:val="auto"/>
                <w:kern w:val="0"/>
                <w:sz w:val="24"/>
                <w:lang w:bidi="ar"/>
              </w:rPr>
              <w:t>屏障衰减A</w:t>
            </w:r>
            <w:r>
              <w:rPr>
                <w:rFonts w:hint="eastAsia" w:cs="宋体"/>
                <w:color w:val="auto"/>
                <w:kern w:val="0"/>
                <w:sz w:val="24"/>
                <w:vertAlign w:val="subscript"/>
                <w:lang w:bidi="ar"/>
              </w:rPr>
              <w:t>bar</w:t>
            </w:r>
            <w:r>
              <w:rPr>
                <w:rFonts w:hint="eastAsia" w:cs="宋体"/>
                <w:color w:val="auto"/>
                <w:kern w:val="0"/>
                <w:sz w:val="24"/>
                <w:lang w:bidi="ar"/>
              </w:rPr>
              <w:t>在单绕射（即薄屏障）情况，衰减最大取20dB；在双绕射（即厚屏障）情况，衰减最大取25dB。</w:t>
            </w:r>
          </w:p>
          <w:p>
            <w:pPr>
              <w:keepNext w:val="0"/>
              <w:keepLines/>
              <w:pageBreakBefore w:val="0"/>
              <w:widowControl w:val="0"/>
              <w:kinsoku/>
              <w:wordWrap/>
              <w:overflowPunct/>
              <w:topLinePunct/>
              <w:autoSpaceDE/>
              <w:autoSpaceDN/>
              <w:bidi w:val="0"/>
              <w:adjustRightInd w:val="0"/>
              <w:snapToGrid w:val="0"/>
              <w:spacing w:line="348" w:lineRule="auto"/>
              <w:ind w:firstLine="480" w:firstLineChars="200"/>
              <w:textAlignment w:val="auto"/>
              <w:rPr>
                <w:rFonts w:cs="宋体"/>
                <w:color w:val="auto"/>
                <w:kern w:val="0"/>
                <w:sz w:val="24"/>
                <w:lang w:bidi="ar"/>
              </w:rPr>
            </w:pPr>
            <w:r>
              <w:rPr>
                <w:rFonts w:hint="eastAsia" w:cs="宋体"/>
                <w:color w:val="auto"/>
                <w:kern w:val="0"/>
                <w:sz w:val="24"/>
                <w:lang w:bidi="ar"/>
              </w:rPr>
              <w:t>③噪声贡献值计算公式如下：</w:t>
            </w:r>
          </w:p>
          <w:p>
            <w:pPr>
              <w:keepNext w:val="0"/>
              <w:keepLines/>
              <w:pageBreakBefore w:val="0"/>
              <w:widowControl w:val="0"/>
              <w:kinsoku/>
              <w:wordWrap/>
              <w:overflowPunct/>
              <w:topLinePunct/>
              <w:autoSpaceDE/>
              <w:autoSpaceDN/>
              <w:bidi w:val="0"/>
              <w:adjustRightInd w:val="0"/>
              <w:snapToGrid w:val="0"/>
              <w:spacing w:line="348" w:lineRule="auto"/>
              <w:jc w:val="center"/>
              <w:textAlignment w:val="auto"/>
              <w:rPr>
                <w:rFonts w:cs="宋体"/>
                <w:bCs/>
                <w:color w:val="auto"/>
                <w:kern w:val="0"/>
                <w:sz w:val="24"/>
                <w:lang w:bidi="ar"/>
              </w:rPr>
            </w:pPr>
            <w:r>
              <w:rPr>
                <w:rFonts w:hint="eastAsia" w:cs="宋体"/>
                <w:bCs/>
                <w:color w:val="auto"/>
                <w:kern w:val="0"/>
                <w:position w:val="-34"/>
                <w:sz w:val="24"/>
                <w:lang w:bidi="ar"/>
              </w:rPr>
              <w:object>
                <v:shape id="_x0000_i1036" o:spt="75" type="#_x0000_t75" style="height:41.45pt;width:264.25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p>
          <w:p>
            <w:pPr>
              <w:keepNext w:val="0"/>
              <w:keepLines/>
              <w:pageBreakBefore w:val="0"/>
              <w:widowControl w:val="0"/>
              <w:kinsoku/>
              <w:wordWrap/>
              <w:overflowPunct/>
              <w:topLinePunct/>
              <w:autoSpaceDE/>
              <w:autoSpaceDN/>
              <w:bidi w:val="0"/>
              <w:adjustRightInd w:val="0"/>
              <w:snapToGrid w:val="0"/>
              <w:spacing w:before="120" w:beforeLines="50" w:line="348" w:lineRule="auto"/>
              <w:ind w:firstLine="480" w:firstLineChars="200"/>
              <w:textAlignment w:val="auto"/>
              <w:rPr>
                <w:rFonts w:cs="宋体"/>
                <w:color w:val="auto"/>
                <w:kern w:val="0"/>
                <w:sz w:val="24"/>
                <w:lang w:bidi="ar"/>
              </w:rPr>
            </w:pPr>
            <w:r>
              <w:rPr>
                <w:rFonts w:hint="eastAsia" w:cs="宋体"/>
                <w:color w:val="auto"/>
                <w:kern w:val="0"/>
                <w:sz w:val="24"/>
                <w:lang w:bidi="ar"/>
              </w:rPr>
              <w:t>式中：Leqg—建设项目声源在预测点产生的噪声贡献值，dB；</w:t>
            </w:r>
          </w:p>
          <w:p>
            <w:pPr>
              <w:keepNext w:val="0"/>
              <w:keepLines/>
              <w:pageBreakBefore w:val="0"/>
              <w:widowControl w:val="0"/>
              <w:kinsoku/>
              <w:wordWrap/>
              <w:overflowPunct/>
              <w:topLinePunct/>
              <w:autoSpaceDE/>
              <w:autoSpaceDN/>
              <w:bidi w:val="0"/>
              <w:adjustRightInd w:val="0"/>
              <w:snapToGrid w:val="0"/>
              <w:spacing w:line="348" w:lineRule="auto"/>
              <w:ind w:firstLine="1200" w:firstLineChars="500"/>
              <w:textAlignment w:val="auto"/>
              <w:rPr>
                <w:rFonts w:cs="宋体"/>
                <w:color w:val="auto"/>
                <w:kern w:val="0"/>
                <w:sz w:val="24"/>
                <w:lang w:bidi="ar"/>
              </w:rPr>
            </w:pPr>
            <w:r>
              <w:rPr>
                <w:rFonts w:hint="eastAsia" w:cs="宋体"/>
                <w:color w:val="auto"/>
                <w:kern w:val="0"/>
                <w:sz w:val="24"/>
                <w:lang w:bidi="ar"/>
              </w:rPr>
              <w:t>T—用于计算等效声级的时间，s；</w:t>
            </w:r>
          </w:p>
          <w:p>
            <w:pPr>
              <w:keepNext w:val="0"/>
              <w:keepLines/>
              <w:pageBreakBefore w:val="0"/>
              <w:widowControl w:val="0"/>
              <w:kinsoku/>
              <w:wordWrap/>
              <w:overflowPunct/>
              <w:topLinePunct/>
              <w:autoSpaceDE/>
              <w:autoSpaceDN/>
              <w:bidi w:val="0"/>
              <w:adjustRightInd w:val="0"/>
              <w:snapToGrid w:val="0"/>
              <w:spacing w:line="348" w:lineRule="auto"/>
              <w:ind w:firstLine="1200" w:firstLineChars="500"/>
              <w:textAlignment w:val="auto"/>
              <w:rPr>
                <w:rFonts w:cs="宋体"/>
                <w:color w:val="auto"/>
                <w:kern w:val="0"/>
                <w:sz w:val="24"/>
                <w:lang w:bidi="ar"/>
              </w:rPr>
            </w:pPr>
            <w:r>
              <w:rPr>
                <w:rFonts w:hint="eastAsia" w:cs="宋体"/>
                <w:color w:val="auto"/>
                <w:kern w:val="0"/>
                <w:sz w:val="24"/>
                <w:lang w:bidi="ar"/>
              </w:rPr>
              <w:t>t</w:t>
            </w:r>
            <w:r>
              <w:rPr>
                <w:rFonts w:hint="eastAsia" w:cs="宋体"/>
                <w:color w:val="auto"/>
                <w:kern w:val="0"/>
                <w:sz w:val="24"/>
                <w:vertAlign w:val="subscript"/>
                <w:lang w:bidi="ar"/>
              </w:rPr>
              <w:t>i</w:t>
            </w:r>
            <w:r>
              <w:rPr>
                <w:rFonts w:hint="eastAsia" w:cs="宋体"/>
                <w:color w:val="auto"/>
                <w:kern w:val="0"/>
                <w:sz w:val="24"/>
                <w:lang w:bidi="ar"/>
              </w:rPr>
              <w:t>—</w:t>
            </w:r>
            <w:r>
              <w:rPr>
                <w:rFonts w:hint="eastAsia" w:cs="宋体"/>
                <w:bCs/>
                <w:color w:val="auto"/>
                <w:kern w:val="0"/>
                <w:sz w:val="24"/>
                <w:lang w:bidi="ar"/>
              </w:rPr>
              <w:t>在T时段内i声源工作时间，s</w:t>
            </w:r>
            <w:r>
              <w:rPr>
                <w:rFonts w:hint="eastAsia" w:cs="宋体"/>
                <w:color w:val="auto"/>
                <w:kern w:val="0"/>
                <w:sz w:val="24"/>
                <w:lang w:bidi="ar"/>
              </w:rPr>
              <w:t>；</w:t>
            </w:r>
          </w:p>
          <w:p>
            <w:pPr>
              <w:keepNext w:val="0"/>
              <w:keepLines/>
              <w:pageBreakBefore w:val="0"/>
              <w:widowControl w:val="0"/>
              <w:kinsoku/>
              <w:wordWrap/>
              <w:overflowPunct/>
              <w:topLinePunct/>
              <w:autoSpaceDE/>
              <w:autoSpaceDN/>
              <w:bidi w:val="0"/>
              <w:adjustRightInd w:val="0"/>
              <w:snapToGrid w:val="0"/>
              <w:spacing w:before="120" w:beforeLines="50" w:line="348" w:lineRule="auto"/>
              <w:ind w:firstLine="1200" w:firstLineChars="500"/>
              <w:textAlignment w:val="auto"/>
              <w:rPr>
                <w:rFonts w:cs="宋体"/>
                <w:bCs/>
                <w:color w:val="auto"/>
                <w:kern w:val="0"/>
                <w:sz w:val="24"/>
                <w:lang w:bidi="ar"/>
              </w:rPr>
            </w:pPr>
            <w:r>
              <w:rPr>
                <w:rFonts w:hint="eastAsia" w:cs="宋体"/>
                <w:bCs/>
                <w:color w:val="auto"/>
                <w:kern w:val="0"/>
                <w:sz w:val="24"/>
                <w:lang w:bidi="ar"/>
              </w:rPr>
              <w:t>L</w:t>
            </w:r>
            <w:r>
              <w:rPr>
                <w:rFonts w:hint="eastAsia" w:cs="宋体"/>
                <w:bCs/>
                <w:color w:val="auto"/>
                <w:kern w:val="0"/>
                <w:sz w:val="24"/>
                <w:vertAlign w:val="subscript"/>
                <w:lang w:bidi="ar"/>
              </w:rPr>
              <w:t>Ai</w:t>
            </w:r>
            <w:r>
              <w:rPr>
                <w:rFonts w:hint="eastAsia" w:cs="宋体"/>
                <w:bCs/>
                <w:color w:val="auto"/>
                <w:kern w:val="0"/>
                <w:sz w:val="24"/>
                <w:lang w:bidi="ar"/>
              </w:rPr>
              <w:t>—第i个室外声源在预测点产生的等效连续A声级，dB；</w:t>
            </w:r>
          </w:p>
          <w:p>
            <w:pPr>
              <w:keepNext w:val="0"/>
              <w:keepLines/>
              <w:pageBreakBefore w:val="0"/>
              <w:widowControl w:val="0"/>
              <w:kinsoku/>
              <w:wordWrap/>
              <w:overflowPunct/>
              <w:topLinePunct/>
              <w:autoSpaceDE/>
              <w:autoSpaceDN/>
              <w:bidi w:val="0"/>
              <w:adjustRightInd w:val="0"/>
              <w:snapToGrid w:val="0"/>
              <w:spacing w:line="348" w:lineRule="auto"/>
              <w:ind w:firstLine="1200" w:firstLineChars="500"/>
              <w:textAlignment w:val="auto"/>
              <w:rPr>
                <w:rFonts w:cs="宋体"/>
                <w:color w:val="auto"/>
                <w:kern w:val="0"/>
                <w:sz w:val="24"/>
                <w:lang w:bidi="ar"/>
              </w:rPr>
            </w:pPr>
            <w:r>
              <w:rPr>
                <w:rFonts w:hint="eastAsia" w:cs="宋体"/>
                <w:color w:val="auto"/>
                <w:kern w:val="0"/>
                <w:sz w:val="24"/>
                <w:lang w:bidi="ar"/>
              </w:rPr>
              <w:t>t</w:t>
            </w:r>
            <w:r>
              <w:rPr>
                <w:rFonts w:hint="eastAsia" w:cs="宋体"/>
                <w:color w:val="auto"/>
                <w:kern w:val="0"/>
                <w:sz w:val="24"/>
                <w:vertAlign w:val="subscript"/>
                <w:lang w:bidi="ar"/>
              </w:rPr>
              <w:t>j</w:t>
            </w:r>
            <w:r>
              <w:rPr>
                <w:rFonts w:hint="eastAsia" w:cs="宋体"/>
                <w:color w:val="auto"/>
                <w:kern w:val="0"/>
                <w:sz w:val="24"/>
                <w:lang w:bidi="ar"/>
              </w:rPr>
              <w:t>—</w:t>
            </w:r>
            <w:r>
              <w:rPr>
                <w:rFonts w:hint="eastAsia" w:cs="宋体"/>
                <w:bCs/>
                <w:color w:val="auto"/>
                <w:kern w:val="0"/>
                <w:sz w:val="24"/>
                <w:lang w:bidi="ar"/>
              </w:rPr>
              <w:t>在T时段内j声源工作时间，s</w:t>
            </w:r>
            <w:r>
              <w:rPr>
                <w:rFonts w:hint="eastAsia" w:cs="宋体"/>
                <w:color w:val="auto"/>
                <w:kern w:val="0"/>
                <w:sz w:val="24"/>
                <w:lang w:bidi="ar"/>
              </w:rPr>
              <w:t>；</w:t>
            </w:r>
          </w:p>
          <w:p>
            <w:pPr>
              <w:keepNext w:val="0"/>
              <w:keepLines/>
              <w:pageBreakBefore w:val="0"/>
              <w:widowControl w:val="0"/>
              <w:kinsoku/>
              <w:wordWrap/>
              <w:overflowPunct/>
              <w:topLinePunct/>
              <w:autoSpaceDE/>
              <w:autoSpaceDN/>
              <w:bidi w:val="0"/>
              <w:adjustRightInd w:val="0"/>
              <w:snapToGrid w:val="0"/>
              <w:spacing w:line="348" w:lineRule="auto"/>
              <w:ind w:firstLine="1200" w:firstLineChars="500"/>
              <w:textAlignment w:val="auto"/>
              <w:rPr>
                <w:rFonts w:cs="宋体"/>
                <w:color w:val="auto"/>
                <w:kern w:val="0"/>
                <w:sz w:val="24"/>
                <w:lang w:bidi="ar"/>
              </w:rPr>
            </w:pPr>
            <w:r>
              <w:rPr>
                <w:rFonts w:hint="eastAsia" w:cs="宋体"/>
                <w:bCs/>
                <w:color w:val="auto"/>
                <w:kern w:val="0"/>
                <w:sz w:val="24"/>
                <w:lang w:bidi="ar"/>
              </w:rPr>
              <w:t>L</w:t>
            </w:r>
            <w:r>
              <w:rPr>
                <w:rFonts w:hint="eastAsia" w:cs="宋体"/>
                <w:bCs/>
                <w:color w:val="auto"/>
                <w:kern w:val="0"/>
                <w:sz w:val="24"/>
                <w:vertAlign w:val="subscript"/>
                <w:lang w:bidi="ar"/>
              </w:rPr>
              <w:t>Aj</w:t>
            </w:r>
            <w:r>
              <w:rPr>
                <w:rFonts w:hint="eastAsia" w:cs="宋体"/>
                <w:bCs/>
                <w:color w:val="auto"/>
                <w:kern w:val="0"/>
                <w:sz w:val="24"/>
                <w:lang w:bidi="ar"/>
              </w:rPr>
              <w:t>—第j个等效室外声源在预测点产生的等效连续A声级，dB</w:t>
            </w:r>
            <w:r>
              <w:rPr>
                <w:rFonts w:hint="eastAsia" w:cs="宋体"/>
                <w:color w:val="auto"/>
                <w:kern w:val="0"/>
                <w:sz w:val="24"/>
                <w:lang w:bidi="ar"/>
              </w:rPr>
              <w:t>。</w:t>
            </w:r>
          </w:p>
          <w:p>
            <w:pPr>
              <w:keepNext w:val="0"/>
              <w:keepLines/>
              <w:pageBreakBefore w:val="0"/>
              <w:widowControl w:val="0"/>
              <w:kinsoku/>
              <w:wordWrap/>
              <w:overflowPunct/>
              <w:topLinePunct/>
              <w:autoSpaceDE/>
              <w:autoSpaceDN/>
              <w:bidi w:val="0"/>
              <w:adjustRightInd w:val="0"/>
              <w:snapToGrid w:val="0"/>
              <w:spacing w:line="348" w:lineRule="auto"/>
              <w:ind w:firstLine="480" w:firstLineChars="200"/>
              <w:textAlignment w:val="auto"/>
              <w:rPr>
                <w:rFonts w:cs="宋体"/>
                <w:color w:val="auto"/>
                <w:kern w:val="0"/>
                <w:sz w:val="24"/>
                <w:lang w:bidi="ar"/>
              </w:rPr>
            </w:pPr>
            <w:r>
              <w:rPr>
                <w:rFonts w:hint="eastAsia" w:cs="宋体"/>
                <w:color w:val="auto"/>
                <w:kern w:val="0"/>
                <w:sz w:val="24"/>
                <w:lang w:bidi="ar"/>
              </w:rPr>
              <w:t>④噪声预测值计算公式如下：</w:t>
            </w:r>
          </w:p>
          <w:p>
            <w:pPr>
              <w:keepNext w:val="0"/>
              <w:keepLines/>
              <w:pageBreakBefore w:val="0"/>
              <w:widowControl w:val="0"/>
              <w:kinsoku/>
              <w:wordWrap/>
              <w:overflowPunct/>
              <w:topLinePunct/>
              <w:autoSpaceDE/>
              <w:autoSpaceDN/>
              <w:bidi w:val="0"/>
              <w:adjustRightInd w:val="0"/>
              <w:snapToGrid w:val="0"/>
              <w:spacing w:line="348" w:lineRule="auto"/>
              <w:jc w:val="center"/>
              <w:textAlignment w:val="auto"/>
              <w:rPr>
                <w:rFonts w:cs="宋体"/>
                <w:bCs/>
                <w:color w:val="auto"/>
                <w:kern w:val="0"/>
                <w:sz w:val="24"/>
                <w:lang w:bidi="ar"/>
              </w:rPr>
            </w:pPr>
            <w:r>
              <w:rPr>
                <w:rFonts w:hint="eastAsia" w:cs="宋体"/>
                <w:bCs/>
                <w:color w:val="auto"/>
                <w:kern w:val="0"/>
                <w:position w:val="-10"/>
                <w:sz w:val="24"/>
                <w:lang w:bidi="ar"/>
              </w:rPr>
              <w:object>
                <v:shape id="_x0000_i1037" o:spt="75" type="#_x0000_t75" style="height:21.75pt;width:148.1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p>
          <w:p>
            <w:pPr>
              <w:keepNext w:val="0"/>
              <w:keepLines/>
              <w:pageBreakBefore w:val="0"/>
              <w:widowControl w:val="0"/>
              <w:kinsoku/>
              <w:wordWrap/>
              <w:overflowPunct/>
              <w:topLinePunct/>
              <w:autoSpaceDE/>
              <w:autoSpaceDN/>
              <w:bidi w:val="0"/>
              <w:adjustRightInd w:val="0"/>
              <w:snapToGrid w:val="0"/>
              <w:spacing w:line="348" w:lineRule="auto"/>
              <w:ind w:firstLine="480" w:firstLineChars="200"/>
              <w:textAlignment w:val="auto"/>
              <w:rPr>
                <w:rFonts w:cs="宋体"/>
                <w:bCs/>
                <w:color w:val="auto"/>
                <w:kern w:val="0"/>
                <w:sz w:val="24"/>
                <w:lang w:bidi="ar"/>
              </w:rPr>
            </w:pPr>
            <w:r>
              <w:rPr>
                <w:rFonts w:hint="eastAsia" w:cs="宋体"/>
                <w:bCs/>
                <w:color w:val="auto"/>
                <w:kern w:val="0"/>
                <w:sz w:val="24"/>
                <w:lang w:bidi="ar"/>
              </w:rPr>
              <w:t>式中：Leq—预测点的噪声预测值，dB；</w:t>
            </w:r>
          </w:p>
          <w:p>
            <w:pPr>
              <w:keepNext w:val="0"/>
              <w:keepLines/>
              <w:pageBreakBefore w:val="0"/>
              <w:widowControl w:val="0"/>
              <w:kinsoku/>
              <w:wordWrap/>
              <w:overflowPunct/>
              <w:topLinePunct/>
              <w:autoSpaceDE/>
              <w:autoSpaceDN/>
              <w:bidi w:val="0"/>
              <w:adjustRightInd w:val="0"/>
              <w:snapToGrid w:val="0"/>
              <w:spacing w:before="120" w:beforeLines="50" w:line="348" w:lineRule="auto"/>
              <w:ind w:firstLine="1200" w:firstLineChars="500"/>
              <w:textAlignment w:val="auto"/>
              <w:rPr>
                <w:rFonts w:cs="宋体"/>
                <w:bCs/>
                <w:color w:val="auto"/>
                <w:kern w:val="0"/>
                <w:sz w:val="24"/>
                <w:lang w:bidi="ar"/>
              </w:rPr>
            </w:pPr>
            <w:r>
              <w:rPr>
                <w:rFonts w:hint="eastAsia" w:cs="宋体"/>
                <w:bCs/>
                <w:color w:val="auto"/>
                <w:kern w:val="0"/>
                <w:sz w:val="24"/>
                <w:lang w:bidi="ar"/>
              </w:rPr>
              <w:t>Leqg—建设项目声源在预测点产生的噪声贡献值，dB；</w:t>
            </w:r>
          </w:p>
          <w:p>
            <w:pPr>
              <w:keepNext w:val="0"/>
              <w:keepLines/>
              <w:pageBreakBefore w:val="0"/>
              <w:widowControl w:val="0"/>
              <w:kinsoku/>
              <w:wordWrap/>
              <w:overflowPunct/>
              <w:autoSpaceDE/>
              <w:autoSpaceDN/>
              <w:bidi w:val="0"/>
              <w:adjustRightInd w:val="0"/>
              <w:snapToGrid w:val="0"/>
              <w:spacing w:line="348" w:lineRule="auto"/>
              <w:ind w:firstLine="480" w:firstLineChars="200"/>
              <w:textAlignment w:val="auto"/>
              <w:rPr>
                <w:bCs/>
                <w:color w:val="auto"/>
                <w:sz w:val="24"/>
              </w:rPr>
            </w:pPr>
            <w:r>
              <w:rPr>
                <w:rFonts w:hint="eastAsia" w:cs="宋体"/>
                <w:bCs/>
                <w:color w:val="auto"/>
                <w:kern w:val="0"/>
                <w:sz w:val="24"/>
                <w:lang w:bidi="ar"/>
              </w:rPr>
              <w:t>Leqb—预测点的背景噪声值，dB。</w:t>
            </w:r>
          </w:p>
          <w:p>
            <w:pPr>
              <w:keepNext w:val="0"/>
              <w:keepLines/>
              <w:pageBreakBefore w:val="0"/>
              <w:widowControl w:val="0"/>
              <w:kinsoku/>
              <w:wordWrap/>
              <w:overflowPunct/>
              <w:autoSpaceDE/>
              <w:autoSpaceDN/>
              <w:bidi w:val="0"/>
              <w:adjustRightInd w:val="0"/>
              <w:snapToGrid w:val="0"/>
              <w:spacing w:line="348" w:lineRule="auto"/>
              <w:ind w:firstLine="480" w:firstLineChars="200"/>
              <w:textAlignment w:val="auto"/>
              <w:rPr>
                <w:bCs/>
                <w:color w:val="auto"/>
                <w:sz w:val="24"/>
              </w:rPr>
            </w:pPr>
            <w:r>
              <w:rPr>
                <w:rFonts w:hint="eastAsia"/>
                <w:bCs/>
                <w:color w:val="auto"/>
                <w:sz w:val="24"/>
              </w:rPr>
              <w:t>（3）噪声环境影响预测与分析</w:t>
            </w:r>
          </w:p>
          <w:p>
            <w:pPr>
              <w:keepNext w:val="0"/>
              <w:keepLines/>
              <w:pageBreakBefore w:val="0"/>
              <w:widowControl w:val="0"/>
              <w:kinsoku/>
              <w:wordWrap/>
              <w:overflowPunct/>
              <w:autoSpaceDE/>
              <w:autoSpaceDN/>
              <w:bidi w:val="0"/>
              <w:adjustRightInd w:val="0"/>
              <w:snapToGrid w:val="0"/>
              <w:spacing w:line="348" w:lineRule="auto"/>
              <w:ind w:firstLine="480" w:firstLineChars="200"/>
              <w:textAlignment w:val="auto"/>
              <w:rPr>
                <w:bCs/>
                <w:color w:val="auto"/>
                <w:sz w:val="24"/>
              </w:rPr>
            </w:pPr>
            <w:r>
              <w:rPr>
                <w:rFonts w:hint="eastAsia"/>
                <w:bCs/>
                <w:color w:val="auto"/>
                <w:sz w:val="24"/>
              </w:rPr>
              <w:t>进行边界噪声评价时，新建建设项目以工程噪声贡献值作为评价量。</w:t>
            </w:r>
          </w:p>
          <w:p>
            <w:pPr>
              <w:keepNext w:val="0"/>
              <w:keepLines/>
              <w:pageBreakBefore w:val="0"/>
              <w:widowControl w:val="0"/>
              <w:kinsoku/>
              <w:wordWrap/>
              <w:overflowPunct/>
              <w:autoSpaceDE/>
              <w:autoSpaceDN/>
              <w:bidi w:val="0"/>
              <w:adjustRightInd w:val="0"/>
              <w:snapToGrid w:val="0"/>
              <w:spacing w:line="348" w:lineRule="auto"/>
              <w:ind w:firstLine="480" w:firstLineChars="200"/>
              <w:textAlignment w:val="auto"/>
              <w:rPr>
                <w:b/>
                <w:color w:val="auto"/>
                <w:sz w:val="24"/>
              </w:rPr>
            </w:pPr>
            <w:r>
              <w:rPr>
                <w:bCs/>
                <w:color w:val="auto"/>
                <w:sz w:val="24"/>
              </w:rPr>
              <w:t>项目噪声影响值预测见下表。</w:t>
            </w:r>
          </w:p>
          <w:p>
            <w:pPr>
              <w:keepLines/>
              <w:autoSpaceDE w:val="0"/>
              <w:autoSpaceDN w:val="0"/>
              <w:adjustRightInd w:val="0"/>
              <w:snapToGrid w:val="0"/>
              <w:jc w:val="center"/>
              <w:rPr>
                <w:b/>
                <w:bCs/>
                <w:color w:val="auto"/>
                <w:sz w:val="24"/>
              </w:rPr>
            </w:pPr>
            <w:r>
              <w:rPr>
                <w:rFonts w:hint="eastAsia"/>
                <w:b/>
                <w:bCs/>
                <w:color w:val="auto"/>
                <w:sz w:val="24"/>
              </w:rPr>
              <w:t>表4-1</w:t>
            </w:r>
            <w:r>
              <w:rPr>
                <w:rFonts w:hint="eastAsia"/>
                <w:b/>
                <w:bCs/>
                <w:color w:val="auto"/>
                <w:sz w:val="24"/>
                <w:lang w:val="en-US" w:eastAsia="zh-CN"/>
              </w:rPr>
              <w:t>6</w:t>
            </w:r>
            <w:r>
              <w:rPr>
                <w:rFonts w:hint="eastAsia"/>
                <w:b/>
                <w:bCs/>
                <w:color w:val="auto"/>
                <w:sz w:val="24"/>
              </w:rPr>
              <w:t xml:space="preserve">  噪声影响预测统计表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383"/>
              <w:gridCol w:w="1798"/>
              <w:gridCol w:w="2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pStyle w:val="17"/>
                    <w:keepLines/>
                    <w:snapToGrid w:val="0"/>
                    <w:spacing w:before="0" w:line="240" w:lineRule="auto"/>
                    <w:jc w:val="center"/>
                    <w:rPr>
                      <w:rFonts w:ascii="Times New Roman" w:hAnsi="Times New Roman"/>
                      <w:b/>
                      <w:color w:val="auto"/>
                      <w:szCs w:val="21"/>
                    </w:rPr>
                  </w:pPr>
                  <w:r>
                    <w:rPr>
                      <w:rFonts w:ascii="Times New Roman" w:hAnsi="Times New Roman"/>
                      <w:b/>
                      <w:color w:val="auto"/>
                      <w:szCs w:val="21"/>
                    </w:rPr>
                    <w:t>序号</w:t>
                  </w:r>
                </w:p>
              </w:tc>
              <w:tc>
                <w:tcPr>
                  <w:tcW w:w="1355" w:type="pct"/>
                  <w:vAlign w:val="center"/>
                </w:tcPr>
                <w:p>
                  <w:pPr>
                    <w:pStyle w:val="17"/>
                    <w:keepLines/>
                    <w:snapToGrid w:val="0"/>
                    <w:spacing w:before="0" w:line="240" w:lineRule="auto"/>
                    <w:jc w:val="center"/>
                    <w:rPr>
                      <w:rFonts w:ascii="Times New Roman" w:hAnsi="Times New Roman"/>
                      <w:b/>
                      <w:color w:val="auto"/>
                      <w:szCs w:val="21"/>
                    </w:rPr>
                  </w:pPr>
                  <w:r>
                    <w:rPr>
                      <w:rFonts w:ascii="Times New Roman" w:hAnsi="Times New Roman"/>
                      <w:b/>
                      <w:color w:val="auto"/>
                      <w:szCs w:val="21"/>
                    </w:rPr>
                    <w:t>预测点</w:t>
                  </w:r>
                </w:p>
              </w:tc>
              <w:tc>
                <w:tcPr>
                  <w:tcW w:w="1023" w:type="pct"/>
                  <w:vAlign w:val="center"/>
                </w:tcPr>
                <w:p>
                  <w:pPr>
                    <w:pStyle w:val="17"/>
                    <w:keepLines/>
                    <w:snapToGrid w:val="0"/>
                    <w:spacing w:before="0" w:line="240" w:lineRule="auto"/>
                    <w:jc w:val="center"/>
                    <w:rPr>
                      <w:rFonts w:ascii="Times New Roman" w:hAnsi="Times New Roman"/>
                      <w:b/>
                      <w:color w:val="auto"/>
                      <w:szCs w:val="21"/>
                    </w:rPr>
                  </w:pPr>
                  <w:r>
                    <w:rPr>
                      <w:rFonts w:ascii="Times New Roman" w:hAnsi="Times New Roman"/>
                      <w:b/>
                      <w:color w:val="auto"/>
                      <w:szCs w:val="21"/>
                    </w:rPr>
                    <w:t>单位</w:t>
                  </w:r>
                </w:p>
              </w:tc>
              <w:tc>
                <w:tcPr>
                  <w:tcW w:w="1575" w:type="pct"/>
                  <w:vAlign w:val="center"/>
                </w:tcPr>
                <w:p>
                  <w:pPr>
                    <w:pStyle w:val="17"/>
                    <w:keepLines/>
                    <w:snapToGrid w:val="0"/>
                    <w:spacing w:before="0" w:line="240" w:lineRule="auto"/>
                    <w:jc w:val="center"/>
                    <w:rPr>
                      <w:rFonts w:ascii="Times New Roman" w:hAnsi="Times New Roman"/>
                      <w:b/>
                      <w:color w:val="auto"/>
                      <w:szCs w:val="21"/>
                    </w:rPr>
                  </w:pPr>
                  <w:r>
                    <w:rPr>
                      <w:rFonts w:ascii="Times New Roman" w:hAnsi="Times New Roman"/>
                      <w:b/>
                      <w:color w:val="auto"/>
                      <w:szCs w:val="21"/>
                    </w:rPr>
                    <w:t>贡献值</w:t>
                  </w:r>
                  <w:r>
                    <w:rPr>
                      <w:rFonts w:hint="eastAsia" w:ascii="Times New Roman" w:hAnsi="Times New Roman"/>
                      <w:b/>
                      <w:color w:val="auto"/>
                      <w:szCs w:val="21"/>
                    </w:rPr>
                    <w:t>（6：00~22：00）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1</w:t>
                  </w:r>
                </w:p>
              </w:tc>
              <w:tc>
                <w:tcPr>
                  <w:tcW w:w="135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厂界东</w:t>
                  </w:r>
                </w:p>
              </w:tc>
              <w:tc>
                <w:tcPr>
                  <w:tcW w:w="1023"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dB</w:t>
                  </w:r>
                  <w:r>
                    <w:rPr>
                      <w:rFonts w:hint="eastAsia" w:ascii="Times New Roman" w:hAnsi="Times New Roman"/>
                      <w:bCs/>
                      <w:color w:val="auto"/>
                      <w:szCs w:val="21"/>
                    </w:rPr>
                    <w:t>（</w:t>
                  </w:r>
                  <w:r>
                    <w:rPr>
                      <w:rFonts w:ascii="Times New Roman" w:hAnsi="Times New Roman"/>
                      <w:bCs/>
                      <w:color w:val="auto"/>
                      <w:szCs w:val="21"/>
                    </w:rPr>
                    <w:t>A）</w:t>
                  </w:r>
                </w:p>
              </w:tc>
              <w:tc>
                <w:tcPr>
                  <w:tcW w:w="1575" w:type="pct"/>
                  <w:vAlign w:val="center"/>
                </w:tcPr>
                <w:p>
                  <w:pPr>
                    <w:keepLines/>
                    <w:adjustRightInd w:val="0"/>
                    <w:snapToGrid w:val="0"/>
                    <w:jc w:val="center"/>
                    <w:textAlignment w:val="baseline"/>
                    <w:rPr>
                      <w:bCs/>
                      <w:color w:val="auto"/>
                      <w:szCs w:val="21"/>
                    </w:rPr>
                  </w:pPr>
                  <w:r>
                    <w:rPr>
                      <w:rFonts w:hint="eastAsia"/>
                      <w:bCs/>
                      <w:color w:val="auto"/>
                      <w:szCs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2</w:t>
                  </w:r>
                </w:p>
              </w:tc>
              <w:tc>
                <w:tcPr>
                  <w:tcW w:w="135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厂界南</w:t>
                  </w:r>
                </w:p>
              </w:tc>
              <w:tc>
                <w:tcPr>
                  <w:tcW w:w="1023" w:type="pct"/>
                  <w:vAlign w:val="center"/>
                </w:tcPr>
                <w:p>
                  <w:pPr>
                    <w:keepLines/>
                    <w:adjustRightInd w:val="0"/>
                    <w:snapToGrid w:val="0"/>
                    <w:jc w:val="center"/>
                    <w:textAlignment w:val="baseline"/>
                    <w:rPr>
                      <w:bCs/>
                      <w:color w:val="auto"/>
                      <w:szCs w:val="21"/>
                    </w:rPr>
                  </w:pPr>
                  <w:r>
                    <w:rPr>
                      <w:bCs/>
                      <w:color w:val="auto"/>
                      <w:szCs w:val="21"/>
                    </w:rPr>
                    <w:t>dB</w:t>
                  </w:r>
                  <w:r>
                    <w:rPr>
                      <w:rFonts w:hint="eastAsia"/>
                      <w:bCs/>
                      <w:color w:val="auto"/>
                      <w:szCs w:val="21"/>
                    </w:rPr>
                    <w:t>（</w:t>
                  </w:r>
                  <w:r>
                    <w:rPr>
                      <w:bCs/>
                      <w:color w:val="auto"/>
                      <w:szCs w:val="21"/>
                    </w:rPr>
                    <w:t>A）</w:t>
                  </w:r>
                </w:p>
              </w:tc>
              <w:tc>
                <w:tcPr>
                  <w:tcW w:w="1575" w:type="pct"/>
                  <w:vAlign w:val="center"/>
                </w:tcPr>
                <w:p>
                  <w:pPr>
                    <w:keepLines/>
                    <w:adjustRightInd w:val="0"/>
                    <w:snapToGrid w:val="0"/>
                    <w:jc w:val="center"/>
                    <w:textAlignment w:val="baseline"/>
                    <w:rPr>
                      <w:bCs/>
                      <w:color w:val="auto"/>
                      <w:szCs w:val="21"/>
                    </w:rPr>
                  </w:pPr>
                  <w:r>
                    <w:rPr>
                      <w:rFonts w:hint="eastAsia"/>
                      <w:bCs/>
                      <w:color w:val="auto"/>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3</w:t>
                  </w:r>
                </w:p>
              </w:tc>
              <w:tc>
                <w:tcPr>
                  <w:tcW w:w="135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厂界西</w:t>
                  </w:r>
                </w:p>
              </w:tc>
              <w:tc>
                <w:tcPr>
                  <w:tcW w:w="1023" w:type="pct"/>
                  <w:vAlign w:val="center"/>
                </w:tcPr>
                <w:p>
                  <w:pPr>
                    <w:keepLines/>
                    <w:adjustRightInd w:val="0"/>
                    <w:snapToGrid w:val="0"/>
                    <w:jc w:val="center"/>
                    <w:textAlignment w:val="baseline"/>
                    <w:rPr>
                      <w:bCs/>
                      <w:color w:val="auto"/>
                      <w:szCs w:val="21"/>
                    </w:rPr>
                  </w:pPr>
                  <w:r>
                    <w:rPr>
                      <w:bCs/>
                      <w:color w:val="auto"/>
                      <w:szCs w:val="21"/>
                    </w:rPr>
                    <w:t>dB</w:t>
                  </w:r>
                  <w:r>
                    <w:rPr>
                      <w:rFonts w:hint="eastAsia"/>
                      <w:bCs/>
                      <w:color w:val="auto"/>
                      <w:szCs w:val="21"/>
                    </w:rPr>
                    <w:t>（</w:t>
                  </w:r>
                  <w:r>
                    <w:rPr>
                      <w:bCs/>
                      <w:color w:val="auto"/>
                      <w:szCs w:val="21"/>
                    </w:rPr>
                    <w:t>A）</w:t>
                  </w:r>
                </w:p>
              </w:tc>
              <w:tc>
                <w:tcPr>
                  <w:tcW w:w="1575" w:type="pct"/>
                  <w:vAlign w:val="center"/>
                </w:tcPr>
                <w:p>
                  <w:pPr>
                    <w:keepLines/>
                    <w:adjustRightInd w:val="0"/>
                    <w:snapToGrid w:val="0"/>
                    <w:jc w:val="center"/>
                    <w:textAlignment w:val="baseline"/>
                    <w:rPr>
                      <w:bCs/>
                      <w:color w:val="auto"/>
                      <w:szCs w:val="21"/>
                    </w:rPr>
                  </w:pPr>
                  <w:r>
                    <w:rPr>
                      <w:rFonts w:hint="eastAsia"/>
                      <w:bCs/>
                      <w:color w:val="auto"/>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4</w:t>
                  </w:r>
                </w:p>
              </w:tc>
              <w:tc>
                <w:tcPr>
                  <w:tcW w:w="1355" w:type="pct"/>
                  <w:vAlign w:val="center"/>
                </w:tcPr>
                <w:p>
                  <w:pPr>
                    <w:pStyle w:val="17"/>
                    <w:keepLines/>
                    <w:snapToGrid w:val="0"/>
                    <w:spacing w:before="0" w:line="240" w:lineRule="auto"/>
                    <w:jc w:val="center"/>
                    <w:rPr>
                      <w:rFonts w:ascii="Times New Roman" w:hAnsi="Times New Roman"/>
                      <w:bCs/>
                      <w:color w:val="auto"/>
                      <w:szCs w:val="21"/>
                    </w:rPr>
                  </w:pPr>
                  <w:r>
                    <w:rPr>
                      <w:rFonts w:ascii="Times New Roman" w:hAnsi="Times New Roman"/>
                      <w:bCs/>
                      <w:color w:val="auto"/>
                      <w:szCs w:val="21"/>
                    </w:rPr>
                    <w:t>厂界北</w:t>
                  </w:r>
                </w:p>
              </w:tc>
              <w:tc>
                <w:tcPr>
                  <w:tcW w:w="1023" w:type="pct"/>
                  <w:vAlign w:val="center"/>
                </w:tcPr>
                <w:p>
                  <w:pPr>
                    <w:keepLines/>
                    <w:adjustRightInd w:val="0"/>
                    <w:snapToGrid w:val="0"/>
                    <w:jc w:val="center"/>
                    <w:textAlignment w:val="baseline"/>
                    <w:rPr>
                      <w:bCs/>
                      <w:color w:val="auto"/>
                      <w:szCs w:val="21"/>
                    </w:rPr>
                  </w:pPr>
                  <w:r>
                    <w:rPr>
                      <w:bCs/>
                      <w:color w:val="auto"/>
                      <w:szCs w:val="21"/>
                    </w:rPr>
                    <w:t>dB</w:t>
                  </w:r>
                  <w:r>
                    <w:rPr>
                      <w:rFonts w:hint="eastAsia"/>
                      <w:bCs/>
                      <w:color w:val="auto"/>
                      <w:szCs w:val="21"/>
                    </w:rPr>
                    <w:t>（</w:t>
                  </w:r>
                  <w:r>
                    <w:rPr>
                      <w:bCs/>
                      <w:color w:val="auto"/>
                      <w:szCs w:val="21"/>
                    </w:rPr>
                    <w:t>A）</w:t>
                  </w:r>
                </w:p>
              </w:tc>
              <w:tc>
                <w:tcPr>
                  <w:tcW w:w="1575" w:type="pct"/>
                  <w:vAlign w:val="center"/>
                </w:tcPr>
                <w:p>
                  <w:pPr>
                    <w:keepLines/>
                    <w:adjustRightInd w:val="0"/>
                    <w:snapToGrid w:val="0"/>
                    <w:jc w:val="center"/>
                    <w:textAlignment w:val="baseline"/>
                    <w:rPr>
                      <w:bCs/>
                      <w:color w:val="auto"/>
                      <w:szCs w:val="21"/>
                    </w:rPr>
                  </w:pPr>
                  <w:r>
                    <w:rPr>
                      <w:rFonts w:hint="eastAsia"/>
                      <w:bCs/>
                      <w:color w:val="auto"/>
                      <w:szCs w:val="21"/>
                    </w:rPr>
                    <w:t>51.5</w:t>
                  </w:r>
                </w:p>
              </w:tc>
            </w:tr>
          </w:tbl>
          <w:p>
            <w:pPr>
              <w:keepLines/>
              <w:autoSpaceDE w:val="0"/>
              <w:autoSpaceDN w:val="0"/>
              <w:adjustRightInd w:val="0"/>
              <w:snapToGrid w:val="0"/>
              <w:spacing w:before="120" w:beforeLines="50" w:line="360" w:lineRule="auto"/>
              <w:ind w:firstLine="480" w:firstLineChars="200"/>
              <w:rPr>
                <w:b/>
                <w:bCs/>
                <w:color w:val="auto"/>
                <w:sz w:val="24"/>
              </w:rPr>
            </w:pPr>
            <w:r>
              <w:rPr>
                <w:bCs/>
                <w:color w:val="auto"/>
                <w:sz w:val="24"/>
              </w:rPr>
              <w:t>由上表可以看出，项目生产过程中通过采取</w:t>
            </w:r>
            <w:r>
              <w:rPr>
                <w:rFonts w:hint="eastAsia"/>
                <w:color w:val="auto"/>
                <w:sz w:val="24"/>
              </w:rPr>
              <w:t>选用低噪设备、厂房隔声、基础减振</w:t>
            </w:r>
            <w:r>
              <w:rPr>
                <w:color w:val="auto"/>
                <w:sz w:val="24"/>
              </w:rPr>
              <w:t>等</w:t>
            </w:r>
            <w:r>
              <w:rPr>
                <w:bCs/>
                <w:color w:val="auto"/>
                <w:sz w:val="24"/>
              </w:rPr>
              <w:t>措施进行降噪处理，厂界的预测噪声值均满足</w:t>
            </w:r>
            <w:r>
              <w:rPr>
                <w:color w:val="auto"/>
                <w:sz w:val="24"/>
              </w:rPr>
              <w:t>《工业企业厂界环境噪声排放标准》（GB12348-2008）中</w:t>
            </w:r>
            <w:r>
              <w:rPr>
                <w:rFonts w:hint="eastAsia"/>
                <w:color w:val="auto"/>
                <w:sz w:val="24"/>
              </w:rPr>
              <w:t>3类</w:t>
            </w:r>
            <w:r>
              <w:rPr>
                <w:color w:val="auto"/>
                <w:sz w:val="24"/>
              </w:rPr>
              <w:t>标准，即昼间6</w:t>
            </w:r>
            <w:r>
              <w:rPr>
                <w:rFonts w:hint="eastAsia"/>
                <w:color w:val="auto"/>
                <w:sz w:val="24"/>
              </w:rPr>
              <w:t>5</w:t>
            </w:r>
            <w:r>
              <w:rPr>
                <w:color w:val="auto"/>
                <w:sz w:val="24"/>
              </w:rPr>
              <w:t>dB（A）</w:t>
            </w:r>
            <w:r>
              <w:rPr>
                <w:rFonts w:hint="eastAsia"/>
                <w:color w:val="auto"/>
                <w:sz w:val="24"/>
              </w:rPr>
              <w:t>，</w:t>
            </w:r>
            <w:r>
              <w:rPr>
                <w:color w:val="auto"/>
                <w:sz w:val="24"/>
              </w:rPr>
              <w:t>对周围环境影响较小</w:t>
            </w:r>
            <w:r>
              <w:rPr>
                <w:bCs/>
                <w:color w:val="auto"/>
                <w:sz w:val="24"/>
              </w:rPr>
              <w:t>。</w:t>
            </w:r>
          </w:p>
          <w:p>
            <w:pPr>
              <w:keepLines/>
              <w:adjustRightInd w:val="0"/>
              <w:snapToGrid w:val="0"/>
              <w:spacing w:line="360" w:lineRule="auto"/>
              <w:ind w:firstLine="482" w:firstLineChars="200"/>
              <w:outlineLvl w:val="2"/>
              <w:rPr>
                <w:b/>
                <w:bCs/>
                <w:color w:val="auto"/>
                <w:sz w:val="24"/>
              </w:rPr>
            </w:pPr>
            <w:r>
              <w:rPr>
                <w:b/>
                <w:bCs/>
                <w:color w:val="auto"/>
                <w:sz w:val="24"/>
              </w:rPr>
              <w:t>2、噪声监测计划</w:t>
            </w:r>
          </w:p>
          <w:p>
            <w:pPr>
              <w:keepLines/>
              <w:adjustRightInd w:val="0"/>
              <w:snapToGrid w:val="0"/>
              <w:spacing w:line="360" w:lineRule="auto"/>
              <w:ind w:firstLine="480" w:firstLineChars="200"/>
              <w:outlineLvl w:val="2"/>
              <w:rPr>
                <w:bCs/>
                <w:color w:val="auto"/>
                <w:sz w:val="24"/>
              </w:rPr>
            </w:pPr>
            <w:r>
              <w:rPr>
                <w:rFonts w:hint="eastAsia"/>
                <w:bCs/>
                <w:color w:val="auto"/>
                <w:sz w:val="24"/>
                <w:szCs w:val="20"/>
              </w:rPr>
              <w:t>本项目</w:t>
            </w:r>
            <w:r>
              <w:rPr>
                <w:bCs/>
                <w:color w:val="auto"/>
                <w:sz w:val="24"/>
                <w:szCs w:val="20"/>
              </w:rPr>
              <w:t>属于登记管理，无需申领排污许可证，故亦无需开展自行监测，鉴于企业运营期有污染物外排，建议企业运营期开展污染物排放监测</w:t>
            </w:r>
            <w:r>
              <w:rPr>
                <w:rFonts w:hint="eastAsia"/>
                <w:bCs/>
                <w:color w:val="auto"/>
                <w:sz w:val="24"/>
                <w:szCs w:val="20"/>
              </w:rPr>
              <w:t>。</w:t>
            </w:r>
            <w:r>
              <w:rPr>
                <w:rFonts w:hint="eastAsia"/>
                <w:color w:val="auto"/>
                <w:sz w:val="24"/>
              </w:rPr>
              <w:t>根据</w:t>
            </w:r>
            <w:r>
              <w:rPr>
                <w:rFonts w:hint="eastAsia"/>
                <w:bCs/>
                <w:color w:val="auto"/>
                <w:sz w:val="24"/>
                <w:szCs w:val="20"/>
              </w:rPr>
              <w:t>《排污单位自行监测技术指南 总则》（HJ819-2017）、</w:t>
            </w:r>
            <w:r>
              <w:rPr>
                <w:rFonts w:hint="eastAsia"/>
                <w:color w:val="auto"/>
                <w:sz w:val="24"/>
              </w:rPr>
              <w:t>《排污单位自行监测技术指南 橡胶和塑料制品》（HJ 1207-2021）及《</w:t>
            </w:r>
            <w:r>
              <w:rPr>
                <w:rFonts w:ascii="宋体" w:hAnsi="宋体" w:cs="宋体"/>
                <w:color w:val="auto"/>
                <w:sz w:val="24"/>
              </w:rPr>
              <w:t>排污许可证申请与核发技术规范</w:t>
            </w:r>
            <w:r>
              <w:rPr>
                <w:rFonts w:hint="eastAsia" w:ascii="宋体" w:hAnsi="宋体" w:cs="宋体"/>
                <w:color w:val="auto"/>
                <w:sz w:val="24"/>
              </w:rPr>
              <w:t xml:space="preserve"> 工业噪声</w:t>
            </w:r>
            <w:r>
              <w:rPr>
                <w:rFonts w:hint="eastAsia"/>
                <w:color w:val="auto"/>
                <w:sz w:val="24"/>
              </w:rPr>
              <w:t>》（HJ 1301-2023）中</w:t>
            </w:r>
            <w:r>
              <w:rPr>
                <w:color w:val="auto"/>
                <w:sz w:val="24"/>
              </w:rPr>
              <w:t>要求，排污单位应开展监测活动。</w:t>
            </w:r>
            <w:r>
              <w:rPr>
                <w:bCs/>
                <w:color w:val="auto"/>
                <w:sz w:val="24"/>
                <w:szCs w:val="20"/>
              </w:rPr>
              <w:t>噪声监测计划见下表。</w:t>
            </w:r>
          </w:p>
          <w:p>
            <w:pPr>
              <w:keepLines/>
              <w:autoSpaceDE w:val="0"/>
              <w:autoSpaceDN w:val="0"/>
              <w:adjustRightInd w:val="0"/>
              <w:snapToGrid w:val="0"/>
              <w:jc w:val="center"/>
              <w:rPr>
                <w:b/>
                <w:bCs/>
                <w:color w:val="auto"/>
                <w:sz w:val="24"/>
              </w:rPr>
            </w:pPr>
            <w:r>
              <w:rPr>
                <w:b/>
                <w:bCs/>
                <w:color w:val="auto"/>
                <w:sz w:val="24"/>
              </w:rPr>
              <w:t>表4-1</w:t>
            </w:r>
            <w:r>
              <w:rPr>
                <w:rFonts w:hint="eastAsia"/>
                <w:b/>
                <w:bCs/>
                <w:color w:val="auto"/>
                <w:sz w:val="24"/>
                <w:lang w:val="en-US" w:eastAsia="zh-CN"/>
              </w:rPr>
              <w:t>7</w:t>
            </w:r>
            <w:r>
              <w:rPr>
                <w:b/>
                <w:bCs/>
                <w:color w:val="auto"/>
                <w:sz w:val="24"/>
              </w:rPr>
              <w:t xml:space="preserve">  噪声监测计划</w:t>
            </w:r>
          </w:p>
          <w:tbl>
            <w:tblPr>
              <w:tblStyle w:val="28"/>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87"/>
              <w:gridCol w:w="2041"/>
              <w:gridCol w:w="2041"/>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pPr>
                    <w:pStyle w:val="61"/>
                    <w:keepLines/>
                    <w:widowControl w:val="0"/>
                    <w:pBdr>
                      <w:left w:val="none" w:color="auto" w:sz="0" w:space="0"/>
                      <w:bottom w:val="none" w:color="auto" w:sz="0" w:space="0"/>
                      <w:right w:val="none" w:color="auto" w:sz="0" w:space="0"/>
                    </w:pBdr>
                    <w:adjustRightInd w:val="0"/>
                    <w:snapToGrid w:val="0"/>
                    <w:spacing w:before="0" w:beforeAutospacing="0" w:after="0" w:afterAutospacing="0"/>
                    <w:rPr>
                      <w:b/>
                      <w:bCs/>
                      <w:color w:val="auto"/>
                      <w:kern w:val="2"/>
                    </w:rPr>
                  </w:pPr>
                  <w:r>
                    <w:rPr>
                      <w:b/>
                      <w:bCs/>
                      <w:color w:val="auto"/>
                      <w:kern w:val="2"/>
                    </w:rPr>
                    <w:t>序号</w:t>
                  </w:r>
                </w:p>
              </w:tc>
              <w:tc>
                <w:tcPr>
                  <w:tcW w:w="1587" w:type="dxa"/>
                  <w:vAlign w:val="center"/>
                </w:tcPr>
                <w:p>
                  <w:pPr>
                    <w:pStyle w:val="61"/>
                    <w:keepLines/>
                    <w:widowControl w:val="0"/>
                    <w:pBdr>
                      <w:left w:val="none" w:color="auto" w:sz="0" w:space="0"/>
                      <w:bottom w:val="none" w:color="auto" w:sz="0" w:space="0"/>
                      <w:right w:val="none" w:color="auto" w:sz="0" w:space="0"/>
                    </w:pBdr>
                    <w:adjustRightInd w:val="0"/>
                    <w:snapToGrid w:val="0"/>
                    <w:spacing w:before="0" w:beforeAutospacing="0" w:after="0" w:afterAutospacing="0"/>
                    <w:rPr>
                      <w:color w:val="auto"/>
                    </w:rPr>
                  </w:pPr>
                  <w:r>
                    <w:rPr>
                      <w:b/>
                      <w:bCs/>
                      <w:color w:val="auto"/>
                      <w:kern w:val="2"/>
                    </w:rPr>
                    <w:t>类别</w:t>
                  </w:r>
                </w:p>
              </w:tc>
              <w:tc>
                <w:tcPr>
                  <w:tcW w:w="2041" w:type="dxa"/>
                  <w:vAlign w:val="center"/>
                </w:tcPr>
                <w:p>
                  <w:pPr>
                    <w:keepLines/>
                    <w:adjustRightInd w:val="0"/>
                    <w:snapToGrid w:val="0"/>
                    <w:jc w:val="center"/>
                    <w:rPr>
                      <w:color w:val="auto"/>
                      <w:szCs w:val="21"/>
                    </w:rPr>
                  </w:pPr>
                  <w:r>
                    <w:rPr>
                      <w:b/>
                      <w:bCs/>
                      <w:color w:val="auto"/>
                      <w:szCs w:val="21"/>
                    </w:rPr>
                    <w:t>监测点位</w:t>
                  </w:r>
                </w:p>
              </w:tc>
              <w:tc>
                <w:tcPr>
                  <w:tcW w:w="2041" w:type="dxa"/>
                  <w:vAlign w:val="center"/>
                </w:tcPr>
                <w:p>
                  <w:pPr>
                    <w:keepLines/>
                    <w:adjustRightInd w:val="0"/>
                    <w:snapToGrid w:val="0"/>
                    <w:jc w:val="center"/>
                    <w:rPr>
                      <w:color w:val="auto"/>
                      <w:szCs w:val="21"/>
                    </w:rPr>
                  </w:pPr>
                  <w:r>
                    <w:rPr>
                      <w:b/>
                      <w:bCs/>
                      <w:color w:val="auto"/>
                      <w:szCs w:val="21"/>
                    </w:rPr>
                    <w:t>监测项目</w:t>
                  </w:r>
                </w:p>
              </w:tc>
              <w:tc>
                <w:tcPr>
                  <w:tcW w:w="1871" w:type="dxa"/>
                  <w:vAlign w:val="center"/>
                </w:tcPr>
                <w:p>
                  <w:pPr>
                    <w:keepLines/>
                    <w:adjustRightInd w:val="0"/>
                    <w:snapToGrid w:val="0"/>
                    <w:jc w:val="center"/>
                    <w:rPr>
                      <w:color w:val="auto"/>
                      <w:szCs w:val="21"/>
                    </w:rPr>
                  </w:pPr>
                  <w:r>
                    <w:rPr>
                      <w:b/>
                      <w:bCs/>
                      <w:color w:val="auto"/>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pPr>
                    <w:pStyle w:val="63"/>
                    <w:keepLines/>
                    <w:adjustRightInd w:val="0"/>
                    <w:snapToGrid w:val="0"/>
                    <w:rPr>
                      <w:b w:val="0"/>
                      <w:bCs/>
                      <w:color w:val="auto"/>
                      <w:szCs w:val="21"/>
                    </w:rPr>
                  </w:pPr>
                  <w:r>
                    <w:rPr>
                      <w:b w:val="0"/>
                      <w:bCs/>
                      <w:color w:val="auto"/>
                      <w:szCs w:val="21"/>
                    </w:rPr>
                    <w:t>1</w:t>
                  </w:r>
                </w:p>
              </w:tc>
              <w:tc>
                <w:tcPr>
                  <w:tcW w:w="1587" w:type="dxa"/>
                  <w:vAlign w:val="center"/>
                </w:tcPr>
                <w:p>
                  <w:pPr>
                    <w:pStyle w:val="63"/>
                    <w:keepLines/>
                    <w:adjustRightInd w:val="0"/>
                    <w:snapToGrid w:val="0"/>
                    <w:rPr>
                      <w:b w:val="0"/>
                      <w:bCs/>
                      <w:color w:val="auto"/>
                      <w:szCs w:val="21"/>
                    </w:rPr>
                  </w:pPr>
                  <w:r>
                    <w:rPr>
                      <w:b w:val="0"/>
                      <w:bCs/>
                      <w:color w:val="auto"/>
                      <w:szCs w:val="21"/>
                    </w:rPr>
                    <w:t>噪声</w:t>
                  </w:r>
                </w:p>
              </w:tc>
              <w:tc>
                <w:tcPr>
                  <w:tcW w:w="2041" w:type="dxa"/>
                  <w:vAlign w:val="center"/>
                </w:tcPr>
                <w:p>
                  <w:pPr>
                    <w:pStyle w:val="63"/>
                    <w:keepLines/>
                    <w:adjustRightInd w:val="0"/>
                    <w:snapToGrid w:val="0"/>
                    <w:rPr>
                      <w:b w:val="0"/>
                      <w:bCs/>
                      <w:color w:val="auto"/>
                      <w:szCs w:val="21"/>
                    </w:rPr>
                  </w:pPr>
                  <w:r>
                    <w:rPr>
                      <w:b w:val="0"/>
                      <w:bCs/>
                      <w:color w:val="auto"/>
                      <w:szCs w:val="21"/>
                    </w:rPr>
                    <w:t>厂界外1m</w:t>
                  </w:r>
                </w:p>
              </w:tc>
              <w:tc>
                <w:tcPr>
                  <w:tcW w:w="2041" w:type="dxa"/>
                  <w:vAlign w:val="center"/>
                </w:tcPr>
                <w:p>
                  <w:pPr>
                    <w:pStyle w:val="63"/>
                    <w:keepLines/>
                    <w:adjustRightInd w:val="0"/>
                    <w:snapToGrid w:val="0"/>
                    <w:rPr>
                      <w:b w:val="0"/>
                      <w:bCs/>
                      <w:color w:val="auto"/>
                      <w:szCs w:val="21"/>
                    </w:rPr>
                  </w:pPr>
                  <w:r>
                    <w:rPr>
                      <w:b w:val="0"/>
                      <w:bCs/>
                      <w:color w:val="auto"/>
                      <w:szCs w:val="21"/>
                    </w:rPr>
                    <w:t>等效A声级</w:t>
                  </w:r>
                </w:p>
              </w:tc>
              <w:tc>
                <w:tcPr>
                  <w:tcW w:w="1871" w:type="dxa"/>
                  <w:vAlign w:val="center"/>
                </w:tcPr>
                <w:p>
                  <w:pPr>
                    <w:pStyle w:val="63"/>
                    <w:keepLines/>
                    <w:adjustRightInd w:val="0"/>
                    <w:snapToGrid w:val="0"/>
                    <w:rPr>
                      <w:b w:val="0"/>
                      <w:bCs/>
                      <w:color w:val="auto"/>
                      <w:szCs w:val="21"/>
                    </w:rPr>
                  </w:pPr>
                  <w:r>
                    <w:rPr>
                      <w:b w:val="0"/>
                      <w:bCs/>
                      <w:color w:val="auto"/>
                      <w:szCs w:val="21"/>
                    </w:rPr>
                    <w:t>1次/季</w:t>
                  </w:r>
                </w:p>
              </w:tc>
            </w:tr>
          </w:tbl>
          <w:p>
            <w:pPr>
              <w:keepLines/>
              <w:autoSpaceDE w:val="0"/>
              <w:autoSpaceDN w:val="0"/>
              <w:adjustRightInd w:val="0"/>
              <w:snapToGrid w:val="0"/>
              <w:spacing w:before="120" w:beforeLines="50" w:line="360" w:lineRule="auto"/>
              <w:ind w:firstLine="482" w:firstLineChars="200"/>
              <w:rPr>
                <w:rFonts w:ascii="宋体" w:hAnsi="宋体" w:cs="宋体"/>
                <w:b/>
                <w:bCs/>
                <w:color w:val="auto"/>
                <w:kern w:val="0"/>
                <w:sz w:val="24"/>
              </w:rPr>
            </w:pPr>
            <w:r>
              <w:rPr>
                <w:rFonts w:hint="eastAsia" w:ascii="宋体" w:hAnsi="宋体" w:cs="宋体"/>
                <w:b/>
                <w:bCs/>
                <w:color w:val="auto"/>
                <w:kern w:val="0"/>
                <w:sz w:val="24"/>
              </w:rPr>
              <w:t>四、固体废物</w:t>
            </w:r>
          </w:p>
          <w:p>
            <w:pPr>
              <w:keepLines/>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项目建成后产生的固体废物主要为一般固废、生活垃圾和危险废物。</w:t>
            </w:r>
          </w:p>
          <w:p>
            <w:pPr>
              <w:keepLines/>
              <w:adjustRightInd w:val="0"/>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（1）一般固废</w:t>
            </w:r>
          </w:p>
          <w:p>
            <w:pPr>
              <w:keepLines/>
              <w:adjustRightInd w:val="0"/>
              <w:snapToGrid w:val="0"/>
              <w:spacing w:line="360" w:lineRule="auto"/>
              <w:ind w:firstLine="480" w:firstLineChars="200"/>
              <w:rPr>
                <w:rFonts w:ascii="宋体" w:hAnsi="宋体" w:cs="宋体"/>
                <w:bCs/>
                <w:color w:val="auto"/>
                <w:sz w:val="24"/>
              </w:rPr>
            </w:pPr>
            <w:r>
              <w:rPr>
                <w:rFonts w:hint="eastAsia" w:ascii="宋体" w:hAnsi="宋体" w:cs="宋体"/>
                <w:bCs/>
                <w:color w:val="auto"/>
                <w:sz w:val="24"/>
              </w:rPr>
              <w:t>一般固废主要为</w:t>
            </w:r>
            <w:r>
              <w:rPr>
                <w:rFonts w:hint="eastAsia"/>
                <w:bCs/>
                <w:color w:val="auto"/>
                <w:sz w:val="24"/>
              </w:rPr>
              <w:t>边角料、不合格品、废包装材料、废热转印膜、废玻璃内胆、废智能显示屏</w:t>
            </w:r>
            <w:r>
              <w:rPr>
                <w:rFonts w:hint="eastAsia"/>
                <w:bCs/>
                <w:color w:val="auto"/>
                <w:sz w:val="24"/>
                <w:lang w:eastAsia="zh-CN"/>
              </w:rPr>
              <w:t>、</w:t>
            </w:r>
            <w:r>
              <w:rPr>
                <w:rFonts w:hint="eastAsia"/>
                <w:bCs/>
                <w:color w:val="auto"/>
                <w:sz w:val="24"/>
                <w:lang w:val="en-US" w:eastAsia="zh-CN"/>
              </w:rPr>
              <w:t>布袋除尘收集尘</w:t>
            </w:r>
            <w:r>
              <w:rPr>
                <w:rFonts w:hint="eastAsia" w:ascii="宋体" w:hAnsi="宋体" w:cs="宋体"/>
                <w:bCs/>
                <w:color w:val="auto"/>
                <w:sz w:val="24"/>
              </w:rPr>
              <w:t>。</w:t>
            </w:r>
          </w:p>
          <w:p>
            <w:pPr>
              <w:keepLines/>
              <w:adjustRightInd w:val="0"/>
              <w:snapToGrid w:val="0"/>
              <w:spacing w:line="360" w:lineRule="auto"/>
              <w:ind w:firstLine="480" w:firstLineChars="200"/>
              <w:rPr>
                <w:bCs/>
                <w:color w:val="auto"/>
                <w:sz w:val="24"/>
              </w:rPr>
            </w:pPr>
            <w:r>
              <w:rPr>
                <w:bCs/>
                <w:color w:val="auto"/>
                <w:sz w:val="24"/>
              </w:rPr>
              <w:t>①</w:t>
            </w:r>
            <w:r>
              <w:rPr>
                <w:rFonts w:hint="eastAsia"/>
                <w:bCs/>
                <w:color w:val="auto"/>
                <w:sz w:val="24"/>
              </w:rPr>
              <w:t>边角料、不合格品</w:t>
            </w:r>
          </w:p>
          <w:p>
            <w:pPr>
              <w:pStyle w:val="20"/>
              <w:keepLines/>
              <w:adjustRightInd w:val="0"/>
              <w:snapToGrid w:val="0"/>
              <w:spacing w:line="360" w:lineRule="auto"/>
              <w:ind w:firstLine="480"/>
              <w:rPr>
                <w:rFonts w:ascii="Times New Roman" w:hAnsi="Times New Roman"/>
                <w:bCs/>
                <w:color w:val="auto"/>
                <w:sz w:val="24"/>
                <w:szCs w:val="24"/>
              </w:rPr>
            </w:pPr>
            <w:r>
              <w:rPr>
                <w:rFonts w:ascii="Times New Roman" w:hAnsi="Times New Roman"/>
                <w:color w:val="auto"/>
                <w:sz w:val="24"/>
                <w:szCs w:val="24"/>
              </w:rPr>
              <w:t>项目在注塑过程中会产生一定量的边角料</w:t>
            </w:r>
            <w:r>
              <w:rPr>
                <w:rFonts w:hint="eastAsia" w:ascii="Times New Roman" w:hAnsi="Times New Roman"/>
                <w:color w:val="auto"/>
                <w:sz w:val="24"/>
                <w:szCs w:val="24"/>
              </w:rPr>
              <w:t>、</w:t>
            </w:r>
            <w:r>
              <w:rPr>
                <w:rFonts w:ascii="Times New Roman" w:hAnsi="Times New Roman"/>
                <w:color w:val="auto"/>
                <w:sz w:val="24"/>
                <w:szCs w:val="24"/>
              </w:rPr>
              <w:t>不合格品，根据企业提供资料，边角料、不合格品的产生量约为原料的</w:t>
            </w:r>
            <w:r>
              <w:rPr>
                <w:rFonts w:hint="eastAsia" w:ascii="Times New Roman" w:hAnsi="Times New Roman"/>
                <w:color w:val="auto"/>
                <w:sz w:val="24"/>
                <w:szCs w:val="24"/>
              </w:rPr>
              <w:t>5</w:t>
            </w:r>
            <w:r>
              <w:rPr>
                <w:rFonts w:ascii="Times New Roman" w:hAnsi="Times New Roman"/>
                <w:color w:val="auto"/>
                <w:sz w:val="24"/>
                <w:szCs w:val="24"/>
              </w:rPr>
              <w:t>%，项目原料总用量为</w:t>
            </w:r>
            <w:r>
              <w:rPr>
                <w:rFonts w:hint="eastAsia" w:ascii="Times New Roman" w:hAnsi="Times New Roman"/>
                <w:color w:val="auto"/>
                <w:sz w:val="24"/>
                <w:szCs w:val="24"/>
              </w:rPr>
              <w:t>303</w:t>
            </w:r>
            <w:r>
              <w:rPr>
                <w:rFonts w:ascii="Times New Roman" w:hAnsi="Times New Roman"/>
                <w:color w:val="auto"/>
                <w:sz w:val="24"/>
                <w:szCs w:val="24"/>
              </w:rPr>
              <w:t>t/a，故生产过程中边角料、不合格品产生量约为</w:t>
            </w:r>
            <w:r>
              <w:rPr>
                <w:rFonts w:hint="eastAsia" w:ascii="Times New Roman" w:hAnsi="Times New Roman"/>
                <w:color w:val="auto"/>
                <w:sz w:val="24"/>
                <w:szCs w:val="24"/>
              </w:rPr>
              <w:t>15.15</w:t>
            </w:r>
            <w:r>
              <w:rPr>
                <w:rFonts w:ascii="Times New Roman" w:hAnsi="Times New Roman"/>
                <w:color w:val="auto"/>
                <w:sz w:val="24"/>
                <w:szCs w:val="24"/>
              </w:rPr>
              <w:t>t/a。边角料、不合格品经破碎后回用于生产</w:t>
            </w:r>
            <w:r>
              <w:rPr>
                <w:rFonts w:ascii="Times New Roman" w:hAnsi="Times New Roman"/>
                <w:bCs/>
                <w:color w:val="auto"/>
                <w:sz w:val="24"/>
                <w:szCs w:val="24"/>
              </w:rPr>
              <w:t>。</w:t>
            </w:r>
          </w:p>
          <w:p>
            <w:pPr>
              <w:keepLines/>
              <w:adjustRightInd w:val="0"/>
              <w:snapToGrid w:val="0"/>
              <w:spacing w:line="360" w:lineRule="auto"/>
              <w:ind w:firstLine="480" w:firstLineChars="200"/>
              <w:rPr>
                <w:bCs/>
                <w:color w:val="auto"/>
                <w:sz w:val="24"/>
              </w:rPr>
            </w:pPr>
            <w:r>
              <w:rPr>
                <w:bCs/>
                <w:color w:val="auto"/>
                <w:sz w:val="24"/>
              </w:rPr>
              <w:t>②</w:t>
            </w:r>
            <w:r>
              <w:rPr>
                <w:rFonts w:hint="eastAsia"/>
                <w:bCs/>
                <w:color w:val="auto"/>
                <w:sz w:val="24"/>
              </w:rPr>
              <w:t>废包装材料</w:t>
            </w:r>
          </w:p>
          <w:p>
            <w:pPr>
              <w:keepLines/>
              <w:adjustRightInd w:val="0"/>
              <w:snapToGrid w:val="0"/>
              <w:spacing w:line="360" w:lineRule="auto"/>
              <w:ind w:firstLine="444" w:firstLineChars="200"/>
              <w:rPr>
                <w:color w:val="auto"/>
                <w:sz w:val="24"/>
              </w:rPr>
            </w:pPr>
            <w:r>
              <w:rPr>
                <w:color w:val="auto"/>
                <w:spacing w:val="-9"/>
                <w:sz w:val="24"/>
              </w:rPr>
              <w:t>根据企业提供的的资料，</w:t>
            </w:r>
            <w:r>
              <w:rPr>
                <w:color w:val="auto"/>
                <w:sz w:val="24"/>
              </w:rPr>
              <w:t>项目原辅材料拆包过程及成品包装过程中产生一定量</w:t>
            </w:r>
            <w:r>
              <w:rPr>
                <w:color w:val="auto"/>
                <w:kern w:val="0"/>
                <w:sz w:val="24"/>
              </w:rPr>
              <w:t>废包装</w:t>
            </w:r>
            <w:r>
              <w:rPr>
                <w:color w:val="auto"/>
                <w:sz w:val="24"/>
              </w:rPr>
              <w:t>材料，产生量约</w:t>
            </w:r>
            <w:r>
              <w:rPr>
                <w:rFonts w:hint="eastAsia"/>
                <w:color w:val="auto"/>
                <w:sz w:val="24"/>
              </w:rPr>
              <w:t>1.5</w:t>
            </w:r>
            <w:r>
              <w:rPr>
                <w:rFonts w:eastAsia="Times New Roman"/>
                <w:color w:val="auto"/>
                <w:sz w:val="24"/>
              </w:rPr>
              <w:t>t/a</w:t>
            </w:r>
            <w:r>
              <w:rPr>
                <w:color w:val="auto"/>
                <w:sz w:val="24"/>
              </w:rPr>
              <w:t>。</w:t>
            </w:r>
            <w:r>
              <w:rPr>
                <w:bCs/>
                <w:color w:val="auto"/>
                <w:sz w:val="24"/>
              </w:rPr>
              <w:t>废包装材料经收集后出售</w:t>
            </w:r>
            <w:r>
              <w:rPr>
                <w:color w:val="auto"/>
                <w:sz w:val="24"/>
              </w:rPr>
              <w:t>。</w:t>
            </w:r>
          </w:p>
          <w:p>
            <w:pPr>
              <w:keepLines/>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③废热转印膜</w:t>
            </w:r>
          </w:p>
          <w:p>
            <w:pPr>
              <w:keepLines/>
              <w:adjustRightInd w:val="0"/>
              <w:snapToGrid w:val="0"/>
              <w:spacing w:line="360" w:lineRule="auto"/>
              <w:ind w:firstLine="444" w:firstLineChars="200"/>
              <w:rPr>
                <w:color w:val="auto"/>
                <w:sz w:val="24"/>
              </w:rPr>
            </w:pPr>
            <w:r>
              <w:rPr>
                <w:color w:val="auto"/>
                <w:spacing w:val="-9"/>
                <w:sz w:val="24"/>
              </w:rPr>
              <w:t>根据企业提供的的资料，</w:t>
            </w:r>
            <w:r>
              <w:rPr>
                <w:color w:val="auto"/>
                <w:sz w:val="24"/>
              </w:rPr>
              <w:t>项目</w:t>
            </w:r>
            <w:r>
              <w:rPr>
                <w:rFonts w:hint="eastAsia"/>
                <w:color w:val="auto"/>
                <w:sz w:val="24"/>
              </w:rPr>
              <w:t>热转印过程中会产生一定量的废热转印膜</w:t>
            </w:r>
            <w:r>
              <w:rPr>
                <w:color w:val="auto"/>
                <w:sz w:val="24"/>
              </w:rPr>
              <w:t>，产生量约</w:t>
            </w:r>
            <w:r>
              <w:rPr>
                <w:rFonts w:hint="eastAsia"/>
                <w:color w:val="auto"/>
                <w:sz w:val="24"/>
              </w:rPr>
              <w:t>0.15</w:t>
            </w:r>
            <w:r>
              <w:rPr>
                <w:rFonts w:eastAsia="Times New Roman"/>
                <w:color w:val="auto"/>
                <w:sz w:val="24"/>
              </w:rPr>
              <w:t>t/a</w:t>
            </w:r>
            <w:r>
              <w:rPr>
                <w:color w:val="auto"/>
                <w:sz w:val="24"/>
              </w:rPr>
              <w:t>。</w:t>
            </w:r>
            <w:r>
              <w:rPr>
                <w:rFonts w:hint="eastAsia"/>
                <w:bCs/>
                <w:color w:val="auto"/>
                <w:sz w:val="24"/>
              </w:rPr>
              <w:t>废热转印膜</w:t>
            </w:r>
            <w:r>
              <w:rPr>
                <w:bCs/>
                <w:color w:val="auto"/>
                <w:sz w:val="24"/>
              </w:rPr>
              <w:t>经收集后出售</w:t>
            </w:r>
            <w:r>
              <w:rPr>
                <w:color w:val="auto"/>
                <w:sz w:val="24"/>
              </w:rPr>
              <w:t>。</w:t>
            </w:r>
          </w:p>
          <w:p>
            <w:pPr>
              <w:keepLines/>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④废玻璃内胆</w:t>
            </w:r>
          </w:p>
          <w:p>
            <w:pPr>
              <w:keepLines/>
              <w:adjustRightInd w:val="0"/>
              <w:snapToGrid w:val="0"/>
              <w:spacing w:line="360" w:lineRule="auto"/>
              <w:ind w:firstLine="444" w:firstLineChars="200"/>
              <w:rPr>
                <w:color w:val="auto"/>
                <w:sz w:val="24"/>
              </w:rPr>
            </w:pPr>
            <w:r>
              <w:rPr>
                <w:rFonts w:hint="eastAsia"/>
                <w:color w:val="auto"/>
                <w:spacing w:val="-9"/>
                <w:sz w:val="24"/>
              </w:rPr>
              <w:t>项目在组装过程中</w:t>
            </w:r>
            <w:r>
              <w:rPr>
                <w:rFonts w:hint="eastAsia"/>
                <w:snapToGrid w:val="0"/>
                <w:color w:val="auto"/>
                <w:kern w:val="0"/>
                <w:sz w:val="24"/>
              </w:rPr>
              <w:t>可能由于人工操作失误及玻璃内胆质量问题产生废品，</w:t>
            </w:r>
            <w:r>
              <w:rPr>
                <w:color w:val="auto"/>
                <w:spacing w:val="-9"/>
                <w:sz w:val="24"/>
              </w:rPr>
              <w:t>根据企业提供的的资料，</w:t>
            </w:r>
            <w:r>
              <w:rPr>
                <w:rFonts w:hint="eastAsia"/>
                <w:color w:val="auto"/>
                <w:sz w:val="24"/>
              </w:rPr>
              <w:t>废玻璃内胆</w:t>
            </w:r>
            <w:r>
              <w:rPr>
                <w:color w:val="auto"/>
                <w:sz w:val="24"/>
              </w:rPr>
              <w:t>产生量约</w:t>
            </w:r>
            <w:r>
              <w:rPr>
                <w:rFonts w:hint="eastAsia"/>
                <w:color w:val="auto"/>
                <w:sz w:val="24"/>
              </w:rPr>
              <w:t>1000个</w:t>
            </w:r>
            <w:r>
              <w:rPr>
                <w:rFonts w:eastAsia="Times New Roman"/>
                <w:color w:val="auto"/>
                <w:sz w:val="24"/>
              </w:rPr>
              <w:t>/a</w:t>
            </w:r>
            <w:r>
              <w:rPr>
                <w:color w:val="auto"/>
                <w:sz w:val="24"/>
              </w:rPr>
              <w:t>。</w:t>
            </w:r>
            <w:r>
              <w:rPr>
                <w:rFonts w:hint="eastAsia"/>
                <w:bCs/>
                <w:color w:val="auto"/>
                <w:sz w:val="24"/>
              </w:rPr>
              <w:t>废玻璃内胆</w:t>
            </w:r>
            <w:r>
              <w:rPr>
                <w:bCs/>
                <w:color w:val="auto"/>
                <w:sz w:val="24"/>
              </w:rPr>
              <w:t>经收集后出售</w:t>
            </w:r>
            <w:r>
              <w:rPr>
                <w:color w:val="auto"/>
                <w:sz w:val="24"/>
              </w:rPr>
              <w:t>。</w:t>
            </w:r>
          </w:p>
          <w:p>
            <w:pPr>
              <w:keepLines/>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③废智能显示屏</w:t>
            </w:r>
          </w:p>
          <w:p>
            <w:pPr>
              <w:keepLines/>
              <w:adjustRightInd w:val="0"/>
              <w:snapToGrid w:val="0"/>
              <w:spacing w:line="360" w:lineRule="auto"/>
              <w:ind w:firstLine="444" w:firstLineChars="200"/>
              <w:rPr>
                <w:color w:val="auto"/>
                <w:sz w:val="24"/>
              </w:rPr>
            </w:pPr>
            <w:r>
              <w:rPr>
                <w:rFonts w:hint="eastAsia"/>
                <w:color w:val="auto"/>
                <w:spacing w:val="-9"/>
                <w:sz w:val="24"/>
              </w:rPr>
              <w:t>项目在组装过程中</w:t>
            </w:r>
            <w:r>
              <w:rPr>
                <w:rFonts w:hint="eastAsia"/>
                <w:snapToGrid w:val="0"/>
                <w:color w:val="auto"/>
                <w:kern w:val="0"/>
                <w:sz w:val="24"/>
              </w:rPr>
              <w:t>可能由于人工操作失误及智能显示屏质量问题产生废品，</w:t>
            </w:r>
            <w:r>
              <w:rPr>
                <w:color w:val="auto"/>
                <w:spacing w:val="-9"/>
                <w:sz w:val="24"/>
              </w:rPr>
              <w:t>根据企业提供的的资料，</w:t>
            </w:r>
            <w:r>
              <w:rPr>
                <w:rFonts w:hint="eastAsia"/>
                <w:color w:val="auto"/>
                <w:sz w:val="24"/>
              </w:rPr>
              <w:t>废智能显示屏</w:t>
            </w:r>
            <w:r>
              <w:rPr>
                <w:color w:val="auto"/>
                <w:sz w:val="24"/>
              </w:rPr>
              <w:t>产生量约</w:t>
            </w:r>
            <w:r>
              <w:rPr>
                <w:rFonts w:hint="eastAsia"/>
                <w:color w:val="auto"/>
                <w:sz w:val="24"/>
              </w:rPr>
              <w:t>500个</w:t>
            </w:r>
            <w:r>
              <w:rPr>
                <w:rFonts w:eastAsia="Times New Roman"/>
                <w:color w:val="auto"/>
                <w:sz w:val="24"/>
              </w:rPr>
              <w:t>/a</w:t>
            </w:r>
            <w:r>
              <w:rPr>
                <w:color w:val="auto"/>
                <w:sz w:val="24"/>
              </w:rPr>
              <w:t>。</w:t>
            </w:r>
            <w:r>
              <w:rPr>
                <w:rFonts w:hint="eastAsia"/>
                <w:bCs/>
                <w:color w:val="auto"/>
                <w:sz w:val="24"/>
              </w:rPr>
              <w:t>废</w:t>
            </w:r>
            <w:r>
              <w:rPr>
                <w:rFonts w:hint="eastAsia"/>
                <w:color w:val="auto"/>
                <w:sz w:val="24"/>
              </w:rPr>
              <w:t>智能显示屏由原厂家回收</w:t>
            </w:r>
            <w:r>
              <w:rPr>
                <w:color w:val="auto"/>
                <w:sz w:val="24"/>
              </w:rPr>
              <w:t>。</w:t>
            </w:r>
          </w:p>
          <w:p>
            <w:pPr>
              <w:keepNext w:val="0"/>
              <w:keepLines/>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布袋除尘收集尘</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color w:val="auto"/>
                <w:sz w:val="24"/>
              </w:rPr>
              <w:t>项目废气处理过程中产生</w:t>
            </w:r>
            <w:r>
              <w:rPr>
                <w:rFonts w:hint="eastAsia"/>
                <w:color w:val="auto"/>
                <w:sz w:val="24"/>
                <w:lang w:val="en-US" w:eastAsia="zh-CN"/>
              </w:rPr>
              <w:t>布袋除尘</w:t>
            </w:r>
            <w:r>
              <w:rPr>
                <w:rFonts w:hint="eastAsia"/>
                <w:color w:val="auto"/>
                <w:sz w:val="24"/>
              </w:rPr>
              <w:t>收集尘</w:t>
            </w:r>
            <w:r>
              <w:rPr>
                <w:color w:val="auto"/>
                <w:sz w:val="24"/>
              </w:rPr>
              <w:t>，根据项目废气源强核算，</w:t>
            </w:r>
            <w:r>
              <w:rPr>
                <w:rFonts w:hint="eastAsia"/>
                <w:color w:val="auto"/>
                <w:sz w:val="24"/>
                <w:lang w:val="en-US" w:eastAsia="zh-CN"/>
              </w:rPr>
              <w:t>布袋除尘</w:t>
            </w:r>
            <w:r>
              <w:rPr>
                <w:rFonts w:hint="eastAsia"/>
                <w:color w:val="auto"/>
                <w:sz w:val="24"/>
              </w:rPr>
              <w:t>收集尘</w:t>
            </w:r>
            <w:r>
              <w:rPr>
                <w:color w:val="auto"/>
                <w:sz w:val="24"/>
              </w:rPr>
              <w:t>产生量</w:t>
            </w:r>
            <w:r>
              <w:rPr>
                <w:rFonts w:hint="eastAsia"/>
                <w:color w:val="auto"/>
                <w:sz w:val="24"/>
                <w:lang w:val="en-US" w:eastAsia="zh-CN"/>
              </w:rPr>
              <w:t>0.0056</w:t>
            </w:r>
            <w:r>
              <w:rPr>
                <w:rFonts w:eastAsia="Times New Roman"/>
                <w:color w:val="auto"/>
                <w:sz w:val="24"/>
              </w:rPr>
              <w:t>t/a</w:t>
            </w:r>
            <w:r>
              <w:rPr>
                <w:color w:val="auto"/>
                <w:sz w:val="24"/>
              </w:rPr>
              <w:t>。</w:t>
            </w:r>
            <w:r>
              <w:rPr>
                <w:rFonts w:hint="eastAsia"/>
                <w:color w:val="auto"/>
                <w:sz w:val="24"/>
              </w:rPr>
              <w:t>除尘器收集尘</w:t>
            </w:r>
            <w:r>
              <w:rPr>
                <w:bCs/>
                <w:color w:val="auto"/>
                <w:sz w:val="24"/>
              </w:rPr>
              <w:t>经收集后</w:t>
            </w:r>
            <w:r>
              <w:rPr>
                <w:rFonts w:hint="eastAsia"/>
                <w:bCs/>
                <w:color w:val="auto"/>
                <w:sz w:val="24"/>
                <w:lang w:val="en-US" w:eastAsia="zh-CN"/>
              </w:rPr>
              <w:t>出售</w:t>
            </w:r>
            <w:r>
              <w:rPr>
                <w:color w:val="auto"/>
                <w:sz w:val="24"/>
              </w:rPr>
              <w:t>。</w:t>
            </w:r>
          </w:p>
          <w:p>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b/>
                <w:color w:val="auto"/>
                <w:sz w:val="24"/>
              </w:rPr>
            </w:pPr>
            <w:r>
              <w:rPr>
                <w:b/>
                <w:color w:val="auto"/>
                <w:sz w:val="24"/>
              </w:rPr>
              <w:t>（2）生活垃圾</w:t>
            </w:r>
          </w:p>
          <w:p>
            <w:pPr>
              <w:keepLines/>
              <w:adjustRightInd w:val="0"/>
              <w:snapToGrid w:val="0"/>
              <w:spacing w:line="360" w:lineRule="auto"/>
              <w:ind w:firstLine="480" w:firstLineChars="200"/>
              <w:rPr>
                <w:bCs/>
                <w:color w:val="auto"/>
                <w:sz w:val="24"/>
              </w:rPr>
            </w:pPr>
            <w:r>
              <w:rPr>
                <w:bCs/>
                <w:color w:val="auto"/>
                <w:sz w:val="24"/>
              </w:rPr>
              <w:t>生活垃圾主要来自员工办公。厂区员工</w:t>
            </w:r>
            <w:r>
              <w:rPr>
                <w:rFonts w:hint="eastAsia"/>
                <w:bCs/>
                <w:color w:val="auto"/>
                <w:sz w:val="24"/>
              </w:rPr>
              <w:t>30人</w:t>
            </w:r>
            <w:r>
              <w:rPr>
                <w:bCs/>
                <w:color w:val="auto"/>
                <w:sz w:val="24"/>
              </w:rPr>
              <w:t>，垃圾产生量为0.5kg/人·d，则产生量为</w:t>
            </w:r>
            <w:r>
              <w:rPr>
                <w:rFonts w:hint="eastAsia"/>
                <w:bCs/>
                <w:color w:val="auto"/>
                <w:sz w:val="24"/>
              </w:rPr>
              <w:t>4.5t/a</w:t>
            </w:r>
            <w:r>
              <w:rPr>
                <w:bCs/>
                <w:color w:val="auto"/>
                <w:sz w:val="24"/>
              </w:rPr>
              <w:t>，分类收集后交由当地环卫部门清运。</w:t>
            </w:r>
          </w:p>
          <w:p>
            <w:pPr>
              <w:keepLines/>
              <w:adjustRightInd w:val="0"/>
              <w:snapToGrid w:val="0"/>
              <w:spacing w:line="360" w:lineRule="auto"/>
              <w:ind w:firstLine="482" w:firstLineChars="200"/>
              <w:rPr>
                <w:b/>
                <w:color w:val="auto"/>
                <w:sz w:val="24"/>
              </w:rPr>
            </w:pPr>
            <w:r>
              <w:rPr>
                <w:b/>
                <w:color w:val="auto"/>
                <w:sz w:val="24"/>
              </w:rPr>
              <w:t>（3）危险废物</w:t>
            </w:r>
          </w:p>
          <w:p>
            <w:pPr>
              <w:pStyle w:val="20"/>
              <w:adjustRightInd w:val="0"/>
              <w:snapToGrid w:val="0"/>
              <w:spacing w:line="336" w:lineRule="auto"/>
              <w:ind w:firstLine="480"/>
              <w:rPr>
                <w:rFonts w:ascii="Times New Roman" w:hAnsi="Times New Roman"/>
                <w:color w:val="auto"/>
                <w:sz w:val="24"/>
                <w:szCs w:val="24"/>
              </w:rPr>
            </w:pPr>
            <w:r>
              <w:rPr>
                <w:rFonts w:ascii="Times New Roman" w:hAnsi="Times New Roman"/>
                <w:color w:val="auto"/>
                <w:sz w:val="24"/>
              </w:rPr>
              <w:t>危险废物为</w:t>
            </w:r>
            <w:r>
              <w:rPr>
                <w:rFonts w:hint="eastAsia" w:ascii="Times New Roman" w:hAnsi="Times New Roman"/>
                <w:color w:val="auto"/>
                <w:sz w:val="24"/>
              </w:rPr>
              <w:t>废活性炭</w:t>
            </w:r>
            <w:r>
              <w:rPr>
                <w:rFonts w:ascii="Times New Roman" w:hAnsi="Times New Roman"/>
                <w:color w:val="auto"/>
                <w:sz w:val="24"/>
              </w:rPr>
              <w:t>。根据《工业通风》</w:t>
            </w:r>
            <w:r>
              <w:rPr>
                <w:rFonts w:hint="eastAsia" w:ascii="Times New Roman" w:hAnsi="Times New Roman"/>
                <w:color w:val="auto"/>
                <w:sz w:val="24"/>
              </w:rPr>
              <w:t>（</w:t>
            </w:r>
            <w:r>
              <w:rPr>
                <w:rFonts w:ascii="Times New Roman" w:hAnsi="Times New Roman"/>
                <w:color w:val="auto"/>
                <w:sz w:val="24"/>
              </w:rPr>
              <w:t>孙一坚主编第四版）中活性炭更换周期经验数据，新建项目去除有机废气量按每千克活性炭吸附0.2千克有机废气计算，项目活性炭吸附的废气量为</w:t>
            </w:r>
            <w:r>
              <w:rPr>
                <w:rFonts w:hint="eastAsia" w:ascii="Times New Roman" w:hAnsi="Times New Roman"/>
                <w:color w:val="auto"/>
                <w:sz w:val="24"/>
              </w:rPr>
              <w:t>0.66</w:t>
            </w:r>
            <w:r>
              <w:rPr>
                <w:rFonts w:hint="eastAsia" w:ascii="Times New Roman" w:hAnsi="Times New Roman"/>
                <w:color w:val="auto"/>
                <w:sz w:val="24"/>
                <w:lang w:val="en-US" w:eastAsia="zh-CN"/>
              </w:rPr>
              <w:t>33</w:t>
            </w:r>
            <w:r>
              <w:rPr>
                <w:rFonts w:ascii="Times New Roman" w:hAnsi="Times New Roman"/>
                <w:color w:val="auto"/>
                <w:sz w:val="24"/>
              </w:rPr>
              <w:t>t/a，则使用活性炭量为</w:t>
            </w:r>
            <w:r>
              <w:rPr>
                <w:rFonts w:hint="eastAsia" w:ascii="Times New Roman" w:hAnsi="Times New Roman"/>
                <w:color w:val="auto"/>
                <w:sz w:val="24"/>
              </w:rPr>
              <w:t>3.31</w:t>
            </w:r>
            <w:r>
              <w:rPr>
                <w:rFonts w:hint="eastAsia" w:ascii="Times New Roman" w:hAnsi="Times New Roman"/>
                <w:color w:val="auto"/>
                <w:sz w:val="24"/>
                <w:lang w:val="en-US" w:eastAsia="zh-CN"/>
              </w:rPr>
              <w:t>6</w:t>
            </w:r>
            <w:r>
              <w:rPr>
                <w:rFonts w:hint="eastAsia" w:ascii="Times New Roman" w:hAnsi="Times New Roman"/>
                <w:color w:val="auto"/>
                <w:sz w:val="24"/>
              </w:rPr>
              <w:t>5</w:t>
            </w:r>
            <w:r>
              <w:rPr>
                <w:rFonts w:ascii="Times New Roman" w:hAnsi="Times New Roman"/>
                <w:color w:val="auto"/>
                <w:sz w:val="24"/>
              </w:rPr>
              <w:t>t/a。</w:t>
            </w:r>
            <w:r>
              <w:rPr>
                <w:rFonts w:hint="eastAsia" w:ascii="Times New Roman" w:hAnsi="Times New Roman"/>
                <w:color w:val="auto"/>
                <w:sz w:val="24"/>
              </w:rPr>
              <w:t>本项目共设1套二级活性炭吸附装置，每个活性炭箱的设置相同，单个活性炭箱的填充量为0.414</w:t>
            </w:r>
            <w:r>
              <w:rPr>
                <w:rFonts w:hint="eastAsia" w:ascii="Times New Roman" w:hAnsi="Times New Roman"/>
                <w:color w:val="auto"/>
                <w:sz w:val="24"/>
                <w:lang w:val="en-US" w:eastAsia="zh-CN"/>
              </w:rPr>
              <w:t>6</w:t>
            </w:r>
            <w:r>
              <w:rPr>
                <w:rFonts w:hint="eastAsia" w:ascii="Times New Roman" w:hAnsi="Times New Roman"/>
                <w:color w:val="auto"/>
                <w:sz w:val="24"/>
              </w:rPr>
              <w:t>t，则1套二级活性炭吸附装置活性炭的填充量为0.82</w:t>
            </w:r>
            <w:r>
              <w:rPr>
                <w:rFonts w:hint="eastAsia" w:ascii="Times New Roman" w:hAnsi="Times New Roman"/>
                <w:color w:val="auto"/>
                <w:sz w:val="24"/>
                <w:lang w:val="en-US" w:eastAsia="zh-CN"/>
              </w:rPr>
              <w:t>92</w:t>
            </w:r>
            <w:r>
              <w:rPr>
                <w:rFonts w:hint="eastAsia" w:ascii="Times New Roman" w:hAnsi="Times New Roman"/>
                <w:color w:val="auto"/>
                <w:sz w:val="24"/>
              </w:rPr>
              <w:t>t，活性炭每季度更换一次，则活性炭的总用量为3.31</w:t>
            </w:r>
            <w:r>
              <w:rPr>
                <w:rFonts w:hint="eastAsia" w:ascii="Times New Roman" w:hAnsi="Times New Roman"/>
                <w:color w:val="auto"/>
                <w:sz w:val="24"/>
                <w:lang w:val="en-US" w:eastAsia="zh-CN"/>
              </w:rPr>
              <w:t>68</w:t>
            </w:r>
            <w:r>
              <w:rPr>
                <w:rFonts w:hint="eastAsia" w:ascii="Times New Roman" w:hAnsi="Times New Roman"/>
                <w:color w:val="auto"/>
                <w:sz w:val="24"/>
              </w:rPr>
              <w:t>t。</w:t>
            </w:r>
            <w:r>
              <w:rPr>
                <w:rFonts w:ascii="Times New Roman" w:hAnsi="Times New Roman"/>
                <w:color w:val="auto"/>
                <w:sz w:val="24"/>
              </w:rPr>
              <w:t>综上，项目废活性炭（含吸附废气）的产生量约为</w:t>
            </w:r>
            <w:r>
              <w:rPr>
                <w:rFonts w:hint="eastAsia" w:ascii="Times New Roman" w:hAnsi="Times New Roman"/>
                <w:color w:val="auto"/>
                <w:sz w:val="24"/>
                <w:lang w:eastAsia="zh-CN"/>
              </w:rPr>
              <w:t>3.9801</w:t>
            </w:r>
            <w:r>
              <w:rPr>
                <w:rFonts w:ascii="Times New Roman" w:hAnsi="Times New Roman"/>
                <w:color w:val="auto"/>
                <w:sz w:val="24"/>
              </w:rPr>
              <w:t>t/a。根据</w:t>
            </w:r>
            <w:r>
              <w:rPr>
                <w:rFonts w:hint="eastAsia" w:ascii="Times New Roman" w:hAnsi="Times New Roman"/>
                <w:color w:val="auto"/>
                <w:sz w:val="24"/>
              </w:rPr>
              <w:t>《国家危险废物名录》（2025年版）</w:t>
            </w:r>
            <w:r>
              <w:rPr>
                <w:rFonts w:ascii="Times New Roman" w:hAnsi="Times New Roman"/>
                <w:color w:val="auto"/>
                <w:sz w:val="24"/>
              </w:rPr>
              <w:t>可知：废活性炭属于危险废物，废物类别为HW49，废物代码为900-039-49。废活性炭经收集后暂存于危废暂存间内，交由有资质单位处理</w:t>
            </w:r>
            <w:r>
              <w:rPr>
                <w:rFonts w:hint="eastAsia" w:ascii="Times New Roman" w:hAnsi="Times New Roman"/>
                <w:color w:val="auto"/>
                <w:sz w:val="24"/>
              </w:rPr>
              <w:t>。</w:t>
            </w:r>
          </w:p>
          <w:p>
            <w:pPr>
              <w:keepLines/>
              <w:adjustRightInd w:val="0"/>
              <w:snapToGrid w:val="0"/>
              <w:spacing w:line="336" w:lineRule="auto"/>
              <w:ind w:firstLine="480" w:firstLineChars="200"/>
              <w:rPr>
                <w:bCs/>
                <w:color w:val="auto"/>
                <w:sz w:val="24"/>
              </w:rPr>
            </w:pPr>
            <w:r>
              <w:rPr>
                <w:bCs/>
                <w:color w:val="auto"/>
                <w:sz w:val="24"/>
              </w:rPr>
              <w:t>项目</w:t>
            </w:r>
            <w:r>
              <w:rPr>
                <w:color w:val="auto"/>
                <w:sz w:val="24"/>
              </w:rPr>
              <w:t>固废产生情况及处理措施详见下表。</w:t>
            </w:r>
          </w:p>
          <w:p>
            <w:pPr>
              <w:keepLines/>
              <w:autoSpaceDE w:val="0"/>
              <w:autoSpaceDN w:val="0"/>
              <w:adjustRightInd w:val="0"/>
              <w:snapToGrid w:val="0"/>
              <w:jc w:val="center"/>
              <w:rPr>
                <w:b/>
                <w:bCs/>
                <w:color w:val="auto"/>
                <w:sz w:val="24"/>
              </w:rPr>
            </w:pPr>
            <w:r>
              <w:rPr>
                <w:rFonts w:hint="eastAsia"/>
                <w:b/>
                <w:bCs/>
                <w:color w:val="auto"/>
                <w:sz w:val="24"/>
              </w:rPr>
              <w:t>表4-1</w:t>
            </w:r>
            <w:r>
              <w:rPr>
                <w:rFonts w:hint="eastAsia"/>
                <w:b/>
                <w:bCs/>
                <w:color w:val="auto"/>
                <w:sz w:val="24"/>
                <w:lang w:val="en-US" w:eastAsia="zh-CN"/>
              </w:rPr>
              <w:t>8</w:t>
            </w:r>
            <w:r>
              <w:rPr>
                <w:rFonts w:hint="eastAsia"/>
                <w:b/>
                <w:bCs/>
                <w:color w:val="auto"/>
                <w:sz w:val="24"/>
              </w:rPr>
              <w:t xml:space="preserve">  项目固废产生情况及处理措施一览表</w:t>
            </w:r>
          </w:p>
          <w:tbl>
            <w:tblPr>
              <w:tblStyle w:val="28"/>
              <w:tblW w:w="89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757"/>
              <w:gridCol w:w="2025"/>
              <w:gridCol w:w="1161"/>
              <w:gridCol w:w="1080"/>
              <w:gridCol w:w="2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序号</w:t>
                  </w:r>
                </w:p>
              </w:tc>
              <w:tc>
                <w:tcPr>
                  <w:tcW w:w="1757"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固体废物名称</w:t>
                  </w:r>
                </w:p>
              </w:tc>
              <w:tc>
                <w:tcPr>
                  <w:tcW w:w="202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产生环节</w:t>
                  </w:r>
                </w:p>
              </w:tc>
              <w:tc>
                <w:tcPr>
                  <w:tcW w:w="1161"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产生量</w:t>
                  </w:r>
                </w:p>
              </w:tc>
              <w:tc>
                <w:tcPr>
                  <w:tcW w:w="1080"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固废类别</w:t>
                  </w:r>
                </w:p>
              </w:tc>
              <w:tc>
                <w:tcPr>
                  <w:tcW w:w="2213"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zCs w:val="21"/>
                    </w:rPr>
                  </w:pPr>
                  <w:r>
                    <w:rPr>
                      <w:rFonts w:ascii="Times New Roman" w:hAnsi="Times New Roman"/>
                      <w:b/>
                      <w:bCs/>
                      <w:snapToGrid w:val="0"/>
                      <w:color w:val="auto"/>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ascii="Times New Roman" w:hAnsi="Times New Roman"/>
                      <w:snapToGrid w:val="0"/>
                      <w:color w:val="auto"/>
                      <w:szCs w:val="21"/>
                    </w:rPr>
                    <w:t>1</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snapToGrid w:val="0"/>
                      <w:color w:val="auto"/>
                      <w:kern w:val="0"/>
                      <w:szCs w:val="21"/>
                      <w:lang w:bidi="ar"/>
                    </w:rPr>
                    <w:t>生活垃圾</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r>
                    <w:rPr>
                      <w:snapToGrid w:val="0"/>
                      <w:color w:val="auto"/>
                      <w:kern w:val="0"/>
                      <w:szCs w:val="21"/>
                      <w:lang w:bidi="ar"/>
                    </w:rPr>
                    <w:t>员工办公</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4.5t/a</w:t>
                  </w:r>
                </w:p>
              </w:tc>
              <w:tc>
                <w:tcPr>
                  <w:tcW w:w="1080"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snapToGrid w:val="0"/>
                      <w:color w:val="auto"/>
                      <w:kern w:val="0"/>
                      <w:szCs w:val="21"/>
                    </w:rPr>
                    <w:t>生活垃圾</w:t>
                  </w:r>
                </w:p>
              </w:tc>
              <w:tc>
                <w:tcPr>
                  <w:tcW w:w="2213" w:type="dxa"/>
                  <w:vAlign w:val="center"/>
                </w:tcPr>
                <w:p>
                  <w:pPr>
                    <w:pStyle w:val="46"/>
                    <w:keepNext w:val="0"/>
                    <w:pageBreakBefore w:val="0"/>
                    <w:widowControl/>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ascii="Times New Roman" w:hAnsi="Times New Roman"/>
                      <w:snapToGrid w:val="0"/>
                      <w:color w:val="auto"/>
                      <w:szCs w:val="21"/>
                    </w:rPr>
                    <w:t>分类收集后</w:t>
                  </w:r>
                  <w:r>
                    <w:rPr>
                      <w:rFonts w:ascii="Times New Roman" w:hAnsi="Times New Roman"/>
                      <w:snapToGrid w:val="0"/>
                      <w:color w:val="auto"/>
                      <w:szCs w:val="21"/>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ascii="Times New Roman" w:hAnsi="Times New Roman"/>
                      <w:snapToGrid w:val="0"/>
                      <w:color w:val="auto"/>
                      <w:szCs w:val="21"/>
                    </w:rPr>
                    <w:t>2</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废包装材料</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原辅材料拆包、包装</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1.5t/a</w:t>
                  </w:r>
                </w:p>
              </w:tc>
              <w:tc>
                <w:tcPr>
                  <w:tcW w:w="1080" w:type="dxa"/>
                  <w:vMerge w:val="restart"/>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snapToGrid w:val="0"/>
                      <w:color w:val="auto"/>
                      <w:kern w:val="0"/>
                      <w:szCs w:val="21"/>
                      <w:lang w:bidi="ar"/>
                    </w:rPr>
                    <w:t>一般固废</w:t>
                  </w:r>
                </w:p>
              </w:tc>
              <w:tc>
                <w:tcPr>
                  <w:tcW w:w="2213" w:type="dxa"/>
                  <w:vMerge w:val="restart"/>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color w:val="auto"/>
                      <w:szCs w:val="21"/>
                    </w:rPr>
                    <w:t>收集后出售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ascii="Times New Roman" w:hAnsi="Times New Roman"/>
                      <w:snapToGrid w:val="0"/>
                      <w:color w:val="auto"/>
                      <w:szCs w:val="21"/>
                    </w:rPr>
                    <w:t>3</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废热转印膜</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热转印</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0.15t/a</w:t>
                  </w:r>
                </w:p>
              </w:tc>
              <w:tc>
                <w:tcPr>
                  <w:tcW w:w="1080"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p>
              </w:tc>
              <w:tc>
                <w:tcPr>
                  <w:tcW w:w="2213"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ascii="Times New Roman" w:hAnsi="Times New Roman"/>
                      <w:snapToGrid w:val="0"/>
                      <w:color w:val="auto"/>
                      <w:szCs w:val="21"/>
                    </w:rPr>
                    <w:t>4</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废玻璃内胆</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组装</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1000个/a</w:t>
                  </w:r>
                </w:p>
              </w:tc>
              <w:tc>
                <w:tcPr>
                  <w:tcW w:w="1080"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p>
              </w:tc>
              <w:tc>
                <w:tcPr>
                  <w:tcW w:w="2213"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Times New Roman"/>
                      <w:snapToGrid w:val="0"/>
                      <w:color w:val="auto"/>
                      <w:kern w:val="0"/>
                      <w:sz w:val="21"/>
                      <w:szCs w:val="21"/>
                      <w:lang w:val="en-US" w:eastAsia="zh-CN" w:bidi="ar-SA"/>
                    </w:rPr>
                  </w:pPr>
                  <w:bookmarkStart w:id="6" w:name="OLE_LINK5" w:colFirst="1" w:colLast="3"/>
                  <w:r>
                    <w:rPr>
                      <w:rFonts w:hint="eastAsia" w:ascii="Times New Roman" w:hAnsi="Times New Roman"/>
                      <w:snapToGrid w:val="0"/>
                      <w:color w:val="auto"/>
                      <w:szCs w:val="21"/>
                    </w:rPr>
                    <w:t>5</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rFonts w:hint="eastAsia" w:eastAsia="宋体"/>
                      <w:snapToGrid w:val="0"/>
                      <w:color w:val="auto"/>
                      <w:kern w:val="0"/>
                      <w:szCs w:val="21"/>
                      <w:lang w:val="en-US" w:eastAsia="zh-CN"/>
                    </w:rPr>
                  </w:pPr>
                  <w:r>
                    <w:rPr>
                      <w:rFonts w:hint="eastAsia"/>
                      <w:snapToGrid w:val="0"/>
                      <w:color w:val="auto"/>
                      <w:kern w:val="0"/>
                      <w:szCs w:val="21"/>
                      <w:lang w:val="en-US" w:eastAsia="zh-CN"/>
                    </w:rPr>
                    <w:t>布袋除尘收集尘</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rFonts w:hint="default" w:eastAsia="宋体"/>
                      <w:snapToGrid w:val="0"/>
                      <w:color w:val="auto"/>
                      <w:kern w:val="0"/>
                      <w:szCs w:val="21"/>
                      <w:lang w:val="en-US" w:eastAsia="zh-CN"/>
                    </w:rPr>
                  </w:pPr>
                  <w:r>
                    <w:rPr>
                      <w:rFonts w:hint="eastAsia"/>
                      <w:snapToGrid w:val="0"/>
                      <w:color w:val="auto"/>
                      <w:kern w:val="0"/>
                      <w:szCs w:val="21"/>
                      <w:lang w:val="en-US" w:eastAsia="zh-CN"/>
                    </w:rPr>
                    <w:t>废气处理</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rFonts w:hint="default" w:eastAsia="宋体"/>
                      <w:snapToGrid w:val="0"/>
                      <w:color w:val="auto"/>
                      <w:kern w:val="0"/>
                      <w:szCs w:val="21"/>
                      <w:lang w:val="en-US" w:eastAsia="zh-CN"/>
                    </w:rPr>
                  </w:pPr>
                  <w:r>
                    <w:rPr>
                      <w:rFonts w:hint="eastAsia"/>
                      <w:snapToGrid w:val="0"/>
                      <w:color w:val="auto"/>
                      <w:kern w:val="0"/>
                      <w:szCs w:val="21"/>
                      <w:lang w:val="en-US" w:eastAsia="zh-CN"/>
                    </w:rPr>
                    <w:t>0.0056t/a</w:t>
                  </w:r>
                </w:p>
              </w:tc>
              <w:tc>
                <w:tcPr>
                  <w:tcW w:w="1080"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p>
              </w:tc>
              <w:tc>
                <w:tcPr>
                  <w:tcW w:w="2213"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color w:val="auto"/>
                      <w:szCs w:val="21"/>
                    </w:rPr>
                  </w:pPr>
                </w:p>
              </w:tc>
            </w:tr>
            <w:bookmarkEnd w:id="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snapToGrid w:val="0"/>
                      <w:color w:val="auto"/>
                      <w:szCs w:val="21"/>
                    </w:rPr>
                    <w:t>6</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废智能显示屏</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组装</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500个/a</w:t>
                  </w:r>
                </w:p>
              </w:tc>
              <w:tc>
                <w:tcPr>
                  <w:tcW w:w="1080"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p>
              </w:tc>
              <w:tc>
                <w:tcPr>
                  <w:tcW w:w="2213"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color w:val="auto"/>
                      <w:szCs w:val="21"/>
                    </w:rPr>
                  </w:pPr>
                  <w:r>
                    <w:rPr>
                      <w:rFonts w:hint="eastAsia"/>
                      <w:color w:val="auto"/>
                      <w:szCs w:val="21"/>
                    </w:rPr>
                    <w:t>原厂家回收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Times New Roman"/>
                      <w:snapToGrid w:val="0"/>
                      <w:color w:val="auto"/>
                      <w:kern w:val="0"/>
                      <w:sz w:val="21"/>
                      <w:szCs w:val="21"/>
                      <w:lang w:val="en-US" w:eastAsia="zh-CN" w:bidi="ar-SA"/>
                    </w:rPr>
                  </w:pPr>
                  <w:r>
                    <w:rPr>
                      <w:rFonts w:hint="eastAsia" w:ascii="Times New Roman" w:hAnsi="Times New Roman"/>
                      <w:snapToGrid w:val="0"/>
                      <w:color w:val="auto"/>
                      <w:szCs w:val="21"/>
                    </w:rPr>
                    <w:t>7</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边角料、不合格品</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注塑</w:t>
                  </w:r>
                </w:p>
              </w:tc>
              <w:tc>
                <w:tcPr>
                  <w:tcW w:w="1161" w:type="dxa"/>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15.15</w:t>
                  </w:r>
                </w:p>
              </w:tc>
              <w:tc>
                <w:tcPr>
                  <w:tcW w:w="1080" w:type="dxa"/>
                  <w:vMerge w:val="continue"/>
                  <w:vAlign w:val="center"/>
                </w:tcPr>
                <w:p>
                  <w:pPr>
                    <w:keepNext w:val="0"/>
                    <w:keepLines/>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p>
              </w:tc>
              <w:tc>
                <w:tcPr>
                  <w:tcW w:w="2213"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ascii="Times New Roman" w:hAnsi="Times New Roman"/>
                      <w:snapToGrid w:val="0"/>
                      <w:color w:val="auto"/>
                      <w:szCs w:val="21"/>
                    </w:rPr>
                    <w:t>破碎后回用于生产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snapToGrid w:val="0"/>
                      <w:color w:val="auto"/>
                      <w:szCs w:val="21"/>
                      <w:lang w:val="en-US" w:eastAsia="zh-CN"/>
                    </w:rPr>
                  </w:pPr>
                  <w:r>
                    <w:rPr>
                      <w:rFonts w:hint="eastAsia"/>
                      <w:snapToGrid w:val="0"/>
                      <w:color w:val="auto"/>
                      <w:szCs w:val="21"/>
                      <w:lang w:val="en-US" w:eastAsia="zh-CN"/>
                    </w:rPr>
                    <w:t>8</w:t>
                  </w:r>
                </w:p>
              </w:tc>
              <w:tc>
                <w:tcPr>
                  <w:tcW w:w="1757"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rPr>
                  </w:pPr>
                  <w:r>
                    <w:rPr>
                      <w:rFonts w:hint="eastAsia"/>
                      <w:snapToGrid w:val="0"/>
                      <w:color w:val="auto"/>
                      <w:kern w:val="0"/>
                      <w:szCs w:val="21"/>
                    </w:rPr>
                    <w:t>废活性炭</w:t>
                  </w:r>
                </w:p>
              </w:tc>
              <w:tc>
                <w:tcPr>
                  <w:tcW w:w="2025" w:type="dxa"/>
                  <w:vAlign w:val="center"/>
                </w:tcPr>
                <w:p>
                  <w:pPr>
                    <w:keepNext w:val="0"/>
                    <w:pageBreakBefore w:val="0"/>
                    <w:kinsoku/>
                    <w:wordWrap/>
                    <w:overflowPunct/>
                    <w:topLinePunct w:val="0"/>
                    <w:autoSpaceDE/>
                    <w:autoSpaceDN/>
                    <w:bidi w:val="0"/>
                    <w:adjustRightInd w:val="0"/>
                    <w:snapToGrid w:val="0"/>
                    <w:ind w:firstLine="0" w:firstLineChars="0"/>
                    <w:jc w:val="center"/>
                    <w:textAlignment w:val="auto"/>
                    <w:rPr>
                      <w:snapToGrid w:val="0"/>
                      <w:color w:val="auto"/>
                      <w:kern w:val="0"/>
                      <w:szCs w:val="21"/>
                      <w:lang w:bidi="ar"/>
                    </w:rPr>
                  </w:pPr>
                  <w:r>
                    <w:rPr>
                      <w:rFonts w:hint="eastAsia"/>
                      <w:snapToGrid w:val="0"/>
                      <w:color w:val="auto"/>
                      <w:kern w:val="0"/>
                      <w:szCs w:val="21"/>
                      <w:lang w:bidi="ar"/>
                    </w:rPr>
                    <w:t>废气处理</w:t>
                  </w:r>
                </w:p>
              </w:tc>
              <w:tc>
                <w:tcPr>
                  <w:tcW w:w="1161"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snapToGrid w:val="0"/>
                      <w:color w:val="auto"/>
                      <w:szCs w:val="21"/>
                      <w:lang w:eastAsia="zh-CN"/>
                    </w:rPr>
                  </w:pPr>
                  <w:r>
                    <w:rPr>
                      <w:rFonts w:hint="eastAsia"/>
                      <w:snapToGrid w:val="0"/>
                      <w:color w:val="auto"/>
                      <w:szCs w:val="21"/>
                      <w:lang w:eastAsia="zh-CN"/>
                    </w:rPr>
                    <w:t>3.9801</w:t>
                  </w:r>
                </w:p>
              </w:tc>
              <w:tc>
                <w:tcPr>
                  <w:tcW w:w="1080"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ascii="Times New Roman" w:hAnsi="Times New Roman"/>
                      <w:snapToGrid w:val="0"/>
                      <w:color w:val="auto"/>
                      <w:szCs w:val="21"/>
                    </w:rPr>
                    <w:t>危险废物</w:t>
                  </w:r>
                </w:p>
              </w:tc>
              <w:tc>
                <w:tcPr>
                  <w:tcW w:w="2213"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ascii="Times New Roman" w:hAnsi="Times New Roman"/>
                      <w:snapToGrid w:val="0"/>
                      <w:color w:val="auto"/>
                      <w:szCs w:val="21"/>
                    </w:rPr>
                    <w:t>收集后暂存于危废暂存间内，交由有资质单位处理</w:t>
                  </w:r>
                </w:p>
              </w:tc>
            </w:tr>
          </w:tbl>
          <w:p>
            <w:pPr>
              <w:keepLines/>
              <w:autoSpaceDE w:val="0"/>
              <w:autoSpaceDN w:val="0"/>
              <w:adjustRightInd w:val="0"/>
              <w:snapToGrid w:val="0"/>
              <w:spacing w:before="120" w:beforeLines="50"/>
              <w:jc w:val="center"/>
              <w:rPr>
                <w:b/>
                <w:bCs/>
                <w:color w:val="auto"/>
                <w:sz w:val="24"/>
              </w:rPr>
            </w:pPr>
            <w:r>
              <w:rPr>
                <w:rFonts w:hint="eastAsia"/>
                <w:b/>
                <w:bCs/>
                <w:color w:val="auto"/>
                <w:sz w:val="24"/>
              </w:rPr>
              <w:t>表4-1</w:t>
            </w:r>
            <w:r>
              <w:rPr>
                <w:rFonts w:hint="eastAsia"/>
                <w:b/>
                <w:bCs/>
                <w:color w:val="auto"/>
                <w:sz w:val="24"/>
                <w:lang w:val="en-US" w:eastAsia="zh-CN"/>
              </w:rPr>
              <w:t>9</w:t>
            </w:r>
            <w:r>
              <w:rPr>
                <w:rFonts w:hint="eastAsia"/>
                <w:b/>
                <w:bCs/>
                <w:color w:val="auto"/>
                <w:sz w:val="24"/>
              </w:rPr>
              <w:t xml:space="preserve">  项目危险废物成分及特性情况</w:t>
            </w:r>
          </w:p>
          <w:tbl>
            <w:tblPr>
              <w:tblStyle w:val="28"/>
              <w:tblW w:w="89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1247"/>
              <w:gridCol w:w="1020"/>
              <w:gridCol w:w="1247"/>
              <w:gridCol w:w="794"/>
              <w:gridCol w:w="1020"/>
              <w:gridCol w:w="1020"/>
              <w:gridCol w:w="1020"/>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Align w:val="center"/>
                </w:tcPr>
                <w:p>
                  <w:pPr>
                    <w:pStyle w:val="74"/>
                    <w:keepLines/>
                    <w:topLinePunct/>
                    <w:rPr>
                      <w:rFonts w:hint="default"/>
                      <w:color w:val="auto"/>
                    </w:rPr>
                  </w:pPr>
                  <w:r>
                    <w:rPr>
                      <w:rFonts w:hint="default"/>
                      <w:color w:val="auto"/>
                    </w:rPr>
                    <w:t>序号</w:t>
                  </w:r>
                </w:p>
              </w:tc>
              <w:tc>
                <w:tcPr>
                  <w:tcW w:w="1247" w:type="dxa"/>
                  <w:vAlign w:val="center"/>
                </w:tcPr>
                <w:p>
                  <w:pPr>
                    <w:pStyle w:val="74"/>
                    <w:keepLines/>
                    <w:topLinePunct/>
                    <w:rPr>
                      <w:rFonts w:hint="default"/>
                      <w:color w:val="auto"/>
                    </w:rPr>
                  </w:pPr>
                  <w:r>
                    <w:rPr>
                      <w:color w:val="auto"/>
                    </w:rPr>
                    <w:t>废物名称</w:t>
                  </w:r>
                </w:p>
              </w:tc>
              <w:tc>
                <w:tcPr>
                  <w:tcW w:w="1020" w:type="dxa"/>
                  <w:vAlign w:val="center"/>
                </w:tcPr>
                <w:p>
                  <w:pPr>
                    <w:pStyle w:val="74"/>
                    <w:keepLines/>
                    <w:topLinePunct/>
                    <w:rPr>
                      <w:rFonts w:hint="default"/>
                      <w:color w:val="auto"/>
                    </w:rPr>
                  </w:pPr>
                  <w:r>
                    <w:rPr>
                      <w:rFonts w:hint="default"/>
                      <w:color w:val="auto"/>
                    </w:rPr>
                    <w:t>废物类别</w:t>
                  </w:r>
                </w:p>
              </w:tc>
              <w:tc>
                <w:tcPr>
                  <w:tcW w:w="1247" w:type="dxa"/>
                  <w:vAlign w:val="center"/>
                </w:tcPr>
                <w:p>
                  <w:pPr>
                    <w:pStyle w:val="74"/>
                    <w:keepLines/>
                    <w:topLinePunct/>
                    <w:rPr>
                      <w:rFonts w:hint="default"/>
                      <w:color w:val="auto"/>
                    </w:rPr>
                  </w:pPr>
                  <w:r>
                    <w:rPr>
                      <w:rFonts w:hint="default"/>
                      <w:color w:val="auto"/>
                    </w:rPr>
                    <w:t>废物代码</w:t>
                  </w:r>
                </w:p>
              </w:tc>
              <w:tc>
                <w:tcPr>
                  <w:tcW w:w="794" w:type="dxa"/>
                  <w:vAlign w:val="center"/>
                </w:tcPr>
                <w:p>
                  <w:pPr>
                    <w:pStyle w:val="74"/>
                    <w:keepLines/>
                    <w:topLinePunct/>
                    <w:rPr>
                      <w:rFonts w:hint="default"/>
                      <w:color w:val="auto"/>
                    </w:rPr>
                  </w:pPr>
                  <w:r>
                    <w:rPr>
                      <w:color w:val="auto"/>
                    </w:rPr>
                    <w:t>形态</w:t>
                  </w:r>
                </w:p>
              </w:tc>
              <w:tc>
                <w:tcPr>
                  <w:tcW w:w="1020" w:type="dxa"/>
                  <w:vAlign w:val="center"/>
                </w:tcPr>
                <w:p>
                  <w:pPr>
                    <w:pStyle w:val="74"/>
                    <w:keepLines/>
                    <w:topLinePunct/>
                    <w:rPr>
                      <w:rFonts w:hint="default"/>
                      <w:color w:val="auto"/>
                    </w:rPr>
                  </w:pPr>
                  <w:r>
                    <w:rPr>
                      <w:color w:val="auto"/>
                    </w:rPr>
                    <w:t>主要成分</w:t>
                  </w:r>
                </w:p>
              </w:tc>
              <w:tc>
                <w:tcPr>
                  <w:tcW w:w="1020" w:type="dxa"/>
                  <w:vAlign w:val="center"/>
                </w:tcPr>
                <w:p>
                  <w:pPr>
                    <w:pStyle w:val="74"/>
                    <w:keepLines/>
                    <w:topLinePunct/>
                    <w:rPr>
                      <w:rFonts w:hint="default"/>
                      <w:color w:val="auto"/>
                    </w:rPr>
                  </w:pPr>
                  <w:r>
                    <w:rPr>
                      <w:color w:val="auto"/>
                    </w:rPr>
                    <w:t>有害成分</w:t>
                  </w:r>
                </w:p>
              </w:tc>
              <w:tc>
                <w:tcPr>
                  <w:tcW w:w="1020" w:type="dxa"/>
                  <w:vAlign w:val="center"/>
                </w:tcPr>
                <w:p>
                  <w:pPr>
                    <w:pStyle w:val="74"/>
                    <w:keepLines/>
                    <w:topLinePunct/>
                    <w:rPr>
                      <w:rFonts w:hint="default"/>
                      <w:color w:val="auto"/>
                    </w:rPr>
                  </w:pPr>
                  <w:r>
                    <w:rPr>
                      <w:color w:val="auto"/>
                    </w:rPr>
                    <w:t>产废周期</w:t>
                  </w:r>
                </w:p>
              </w:tc>
              <w:tc>
                <w:tcPr>
                  <w:tcW w:w="964" w:type="dxa"/>
                  <w:vAlign w:val="center"/>
                </w:tcPr>
                <w:p>
                  <w:pPr>
                    <w:pStyle w:val="74"/>
                    <w:keepLines/>
                    <w:topLinePunct/>
                    <w:rPr>
                      <w:rFonts w:hint="default"/>
                      <w:color w:val="auto"/>
                    </w:rPr>
                  </w:pPr>
                  <w:r>
                    <w:rPr>
                      <w:color w:val="auto"/>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Align w:val="center"/>
                </w:tcPr>
                <w:p>
                  <w:pPr>
                    <w:keepLines/>
                    <w:topLinePunct/>
                    <w:adjustRightInd w:val="0"/>
                    <w:snapToGrid w:val="0"/>
                    <w:jc w:val="center"/>
                    <w:rPr>
                      <w:color w:val="auto"/>
                    </w:rPr>
                  </w:pPr>
                  <w:r>
                    <w:rPr>
                      <w:rFonts w:hint="eastAsia"/>
                      <w:color w:val="auto"/>
                    </w:rPr>
                    <w:t>1</w:t>
                  </w:r>
                </w:p>
              </w:tc>
              <w:tc>
                <w:tcPr>
                  <w:tcW w:w="1247" w:type="dxa"/>
                  <w:vAlign w:val="center"/>
                </w:tcPr>
                <w:p>
                  <w:pPr>
                    <w:adjustRightInd w:val="0"/>
                    <w:snapToGrid w:val="0"/>
                    <w:jc w:val="center"/>
                    <w:rPr>
                      <w:snapToGrid w:val="0"/>
                      <w:color w:val="auto"/>
                      <w:kern w:val="0"/>
                      <w:szCs w:val="21"/>
                    </w:rPr>
                  </w:pPr>
                  <w:r>
                    <w:rPr>
                      <w:rFonts w:hint="eastAsia"/>
                      <w:snapToGrid w:val="0"/>
                      <w:color w:val="auto"/>
                      <w:kern w:val="0"/>
                      <w:szCs w:val="21"/>
                    </w:rPr>
                    <w:t>废活性炭</w:t>
                  </w:r>
                </w:p>
              </w:tc>
              <w:tc>
                <w:tcPr>
                  <w:tcW w:w="1020" w:type="dxa"/>
                  <w:vAlign w:val="center"/>
                </w:tcPr>
                <w:p>
                  <w:pPr>
                    <w:keepLines/>
                    <w:topLinePunct/>
                    <w:adjustRightInd w:val="0"/>
                    <w:snapToGrid w:val="0"/>
                    <w:jc w:val="center"/>
                    <w:rPr>
                      <w:color w:val="auto"/>
                    </w:rPr>
                  </w:pPr>
                  <w:r>
                    <w:rPr>
                      <w:color w:val="auto"/>
                    </w:rPr>
                    <w:t>HW</w:t>
                  </w:r>
                  <w:r>
                    <w:rPr>
                      <w:rFonts w:hint="eastAsia"/>
                      <w:color w:val="auto"/>
                    </w:rPr>
                    <w:t>49</w:t>
                  </w:r>
                </w:p>
              </w:tc>
              <w:tc>
                <w:tcPr>
                  <w:tcW w:w="1247" w:type="dxa"/>
                  <w:vAlign w:val="center"/>
                </w:tcPr>
                <w:p>
                  <w:pPr>
                    <w:keepLines/>
                    <w:topLinePunct/>
                    <w:adjustRightInd w:val="0"/>
                    <w:snapToGrid w:val="0"/>
                    <w:jc w:val="center"/>
                    <w:rPr>
                      <w:color w:val="auto"/>
                    </w:rPr>
                  </w:pPr>
                  <w:r>
                    <w:rPr>
                      <w:color w:val="auto"/>
                    </w:rPr>
                    <w:t>900-</w:t>
                  </w:r>
                  <w:r>
                    <w:rPr>
                      <w:rFonts w:hint="eastAsia"/>
                      <w:color w:val="auto"/>
                    </w:rPr>
                    <w:t>039</w:t>
                  </w:r>
                  <w:r>
                    <w:rPr>
                      <w:color w:val="auto"/>
                    </w:rPr>
                    <w:t>-</w:t>
                  </w:r>
                  <w:r>
                    <w:rPr>
                      <w:rFonts w:hint="eastAsia"/>
                      <w:color w:val="auto"/>
                    </w:rPr>
                    <w:t>49</w:t>
                  </w:r>
                </w:p>
              </w:tc>
              <w:tc>
                <w:tcPr>
                  <w:tcW w:w="794" w:type="dxa"/>
                  <w:vAlign w:val="center"/>
                </w:tcPr>
                <w:p>
                  <w:pPr>
                    <w:keepLines/>
                    <w:topLinePunct/>
                    <w:adjustRightInd w:val="0"/>
                    <w:snapToGrid w:val="0"/>
                    <w:jc w:val="center"/>
                    <w:rPr>
                      <w:color w:val="auto"/>
                    </w:rPr>
                  </w:pPr>
                  <w:r>
                    <w:rPr>
                      <w:rFonts w:hint="eastAsia"/>
                      <w:color w:val="auto"/>
                    </w:rPr>
                    <w:t>固态</w:t>
                  </w:r>
                </w:p>
              </w:tc>
              <w:tc>
                <w:tcPr>
                  <w:tcW w:w="1020" w:type="dxa"/>
                  <w:vAlign w:val="center"/>
                </w:tcPr>
                <w:p>
                  <w:pPr>
                    <w:topLinePunct/>
                    <w:adjustRightInd w:val="0"/>
                    <w:snapToGrid w:val="0"/>
                    <w:jc w:val="center"/>
                    <w:rPr>
                      <w:color w:val="auto"/>
                    </w:rPr>
                  </w:pPr>
                  <w:r>
                    <w:rPr>
                      <w:rFonts w:hint="eastAsia"/>
                      <w:color w:val="auto"/>
                    </w:rPr>
                    <w:t>活性炭、有机废气</w:t>
                  </w:r>
                </w:p>
              </w:tc>
              <w:tc>
                <w:tcPr>
                  <w:tcW w:w="1020" w:type="dxa"/>
                  <w:vAlign w:val="center"/>
                </w:tcPr>
                <w:p>
                  <w:pPr>
                    <w:topLinePunct/>
                    <w:adjustRightInd w:val="0"/>
                    <w:snapToGrid w:val="0"/>
                    <w:jc w:val="center"/>
                    <w:rPr>
                      <w:color w:val="auto"/>
                    </w:rPr>
                  </w:pPr>
                  <w:r>
                    <w:rPr>
                      <w:rFonts w:hint="eastAsia"/>
                      <w:color w:val="auto"/>
                    </w:rPr>
                    <w:t>有机废气</w:t>
                  </w:r>
                </w:p>
              </w:tc>
              <w:tc>
                <w:tcPr>
                  <w:tcW w:w="1020" w:type="dxa"/>
                  <w:vAlign w:val="center"/>
                </w:tcPr>
                <w:p>
                  <w:pPr>
                    <w:topLinePunct/>
                    <w:adjustRightInd w:val="0"/>
                    <w:snapToGrid w:val="0"/>
                    <w:jc w:val="center"/>
                    <w:rPr>
                      <w:color w:val="auto"/>
                    </w:rPr>
                  </w:pPr>
                  <w:r>
                    <w:rPr>
                      <w:rFonts w:hint="eastAsia"/>
                      <w:color w:val="auto"/>
                    </w:rPr>
                    <w:t>季度</w:t>
                  </w:r>
                </w:p>
              </w:tc>
              <w:tc>
                <w:tcPr>
                  <w:tcW w:w="964" w:type="dxa"/>
                  <w:vAlign w:val="center"/>
                </w:tcPr>
                <w:p>
                  <w:pPr>
                    <w:topLinePunct/>
                    <w:adjustRightInd w:val="0"/>
                    <w:snapToGrid w:val="0"/>
                    <w:jc w:val="center"/>
                    <w:rPr>
                      <w:color w:val="auto"/>
                    </w:rPr>
                  </w:pPr>
                  <w:r>
                    <w:rPr>
                      <w:rFonts w:hint="eastAsia"/>
                      <w:color w:val="auto"/>
                    </w:rPr>
                    <w:t>T</w:t>
                  </w:r>
                </w:p>
              </w:tc>
            </w:tr>
          </w:tbl>
          <w:p>
            <w:pPr>
              <w:keepLines/>
              <w:topLinePunct/>
              <w:adjustRightInd w:val="0"/>
              <w:snapToGrid w:val="0"/>
              <w:spacing w:before="120" w:beforeLines="50"/>
              <w:jc w:val="center"/>
              <w:rPr>
                <w:b/>
                <w:color w:val="auto"/>
                <w:sz w:val="24"/>
              </w:rPr>
            </w:pPr>
            <w:r>
              <w:rPr>
                <w:rFonts w:hint="eastAsia"/>
                <w:b/>
                <w:color w:val="auto"/>
                <w:sz w:val="24"/>
              </w:rPr>
              <w:t>表4-</w:t>
            </w:r>
            <w:r>
              <w:rPr>
                <w:rFonts w:hint="eastAsia"/>
                <w:b/>
                <w:color w:val="auto"/>
                <w:sz w:val="24"/>
                <w:lang w:val="en-US" w:eastAsia="zh-CN"/>
              </w:rPr>
              <w:t>20</w:t>
            </w:r>
            <w:r>
              <w:rPr>
                <w:rFonts w:hint="eastAsia"/>
                <w:b/>
                <w:color w:val="auto"/>
                <w:sz w:val="24"/>
              </w:rPr>
              <w:t xml:space="preserve">  项目危险废物暂存场所基本情况</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88"/>
              <w:gridCol w:w="1004"/>
              <w:gridCol w:w="1093"/>
              <w:gridCol w:w="856"/>
              <w:gridCol w:w="930"/>
              <w:gridCol w:w="911"/>
              <w:gridCol w:w="1077"/>
              <w:gridCol w:w="741"/>
              <w:gridCol w:w="1020"/>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89" w:type="dxa"/>
                  <w:vMerge w:val="restart"/>
                  <w:vAlign w:val="center"/>
                </w:tcPr>
                <w:p>
                  <w:pPr>
                    <w:pStyle w:val="74"/>
                    <w:keepLines/>
                    <w:topLinePunct/>
                    <w:rPr>
                      <w:rFonts w:hint="default"/>
                      <w:color w:val="auto"/>
                    </w:rPr>
                  </w:pPr>
                  <w:r>
                    <w:rPr>
                      <w:rFonts w:hint="default"/>
                      <w:color w:val="auto"/>
                    </w:rPr>
                    <w:t>序号</w:t>
                  </w:r>
                </w:p>
              </w:tc>
              <w:tc>
                <w:tcPr>
                  <w:tcW w:w="1005" w:type="dxa"/>
                  <w:vMerge w:val="restart"/>
                  <w:vAlign w:val="center"/>
                </w:tcPr>
                <w:p>
                  <w:pPr>
                    <w:pStyle w:val="74"/>
                    <w:keepLines/>
                    <w:topLinePunct/>
                    <w:rPr>
                      <w:rFonts w:hint="default"/>
                      <w:color w:val="auto"/>
                    </w:rPr>
                  </w:pPr>
                  <w:r>
                    <w:rPr>
                      <w:color w:val="auto"/>
                    </w:rPr>
                    <w:t>场所名称</w:t>
                  </w:r>
                </w:p>
              </w:tc>
              <w:tc>
                <w:tcPr>
                  <w:tcW w:w="1095" w:type="dxa"/>
                  <w:vMerge w:val="restart"/>
                  <w:vAlign w:val="center"/>
                </w:tcPr>
                <w:p>
                  <w:pPr>
                    <w:pStyle w:val="74"/>
                    <w:keepLines/>
                    <w:topLinePunct/>
                    <w:rPr>
                      <w:rFonts w:hint="default"/>
                      <w:color w:val="auto"/>
                    </w:rPr>
                  </w:pPr>
                  <w:r>
                    <w:rPr>
                      <w:color w:val="auto"/>
                    </w:rPr>
                    <w:t>废物名称</w:t>
                  </w:r>
                </w:p>
              </w:tc>
              <w:tc>
                <w:tcPr>
                  <w:tcW w:w="856" w:type="dxa"/>
                  <w:vMerge w:val="restart"/>
                  <w:vAlign w:val="center"/>
                </w:tcPr>
                <w:p>
                  <w:pPr>
                    <w:pStyle w:val="74"/>
                    <w:keepLines/>
                    <w:topLinePunct/>
                    <w:rPr>
                      <w:rFonts w:hint="default"/>
                      <w:color w:val="auto"/>
                    </w:rPr>
                  </w:pPr>
                  <w:r>
                    <w:rPr>
                      <w:color w:val="auto"/>
                    </w:rPr>
                    <w:t>场所位置</w:t>
                  </w:r>
                </w:p>
              </w:tc>
              <w:tc>
                <w:tcPr>
                  <w:tcW w:w="1841" w:type="dxa"/>
                  <w:gridSpan w:val="2"/>
                  <w:vAlign w:val="center"/>
                </w:tcPr>
                <w:p>
                  <w:pPr>
                    <w:pStyle w:val="74"/>
                    <w:keepLines/>
                    <w:topLinePunct/>
                    <w:rPr>
                      <w:rFonts w:hint="default"/>
                      <w:color w:val="auto"/>
                    </w:rPr>
                  </w:pPr>
                  <w:r>
                    <w:rPr>
                      <w:color w:val="auto"/>
                    </w:rPr>
                    <w:t>坐标</w:t>
                  </w:r>
                </w:p>
              </w:tc>
              <w:tc>
                <w:tcPr>
                  <w:tcW w:w="1077" w:type="dxa"/>
                  <w:vMerge w:val="restart"/>
                  <w:vAlign w:val="center"/>
                </w:tcPr>
                <w:p>
                  <w:pPr>
                    <w:pStyle w:val="74"/>
                    <w:keepLines/>
                    <w:topLinePunct/>
                    <w:rPr>
                      <w:rFonts w:hint="default"/>
                      <w:color w:val="auto"/>
                    </w:rPr>
                  </w:pPr>
                  <w:r>
                    <w:rPr>
                      <w:color w:val="auto"/>
                    </w:rPr>
                    <w:t>占地面积</w:t>
                  </w:r>
                </w:p>
                <w:p>
                  <w:pPr>
                    <w:pStyle w:val="74"/>
                    <w:keepLines/>
                    <w:topLinePunct/>
                    <w:rPr>
                      <w:rFonts w:hint="default"/>
                      <w:color w:val="auto"/>
                    </w:rPr>
                  </w:pPr>
                  <w:r>
                    <w:rPr>
                      <w:color w:val="auto"/>
                    </w:rPr>
                    <w:t>（㎡）</w:t>
                  </w:r>
                </w:p>
              </w:tc>
              <w:tc>
                <w:tcPr>
                  <w:tcW w:w="737" w:type="dxa"/>
                  <w:vMerge w:val="restart"/>
                  <w:vAlign w:val="center"/>
                </w:tcPr>
                <w:p>
                  <w:pPr>
                    <w:pStyle w:val="74"/>
                    <w:keepLines/>
                    <w:topLinePunct/>
                    <w:rPr>
                      <w:rFonts w:hint="default"/>
                      <w:color w:val="auto"/>
                    </w:rPr>
                  </w:pPr>
                  <w:r>
                    <w:rPr>
                      <w:color w:val="auto"/>
                    </w:rPr>
                    <w:t>贮存方式</w:t>
                  </w:r>
                </w:p>
              </w:tc>
              <w:tc>
                <w:tcPr>
                  <w:tcW w:w="1020" w:type="dxa"/>
                  <w:vMerge w:val="restart"/>
                  <w:vAlign w:val="center"/>
                </w:tcPr>
                <w:p>
                  <w:pPr>
                    <w:pStyle w:val="74"/>
                    <w:keepLines/>
                    <w:topLinePunct/>
                    <w:rPr>
                      <w:rFonts w:hint="default"/>
                      <w:color w:val="auto"/>
                    </w:rPr>
                  </w:pPr>
                  <w:r>
                    <w:rPr>
                      <w:color w:val="auto"/>
                    </w:rPr>
                    <w:t>贮存能力（t/a）</w:t>
                  </w:r>
                </w:p>
              </w:tc>
              <w:tc>
                <w:tcPr>
                  <w:tcW w:w="737" w:type="dxa"/>
                  <w:vMerge w:val="restart"/>
                  <w:vAlign w:val="center"/>
                </w:tcPr>
                <w:p>
                  <w:pPr>
                    <w:pStyle w:val="74"/>
                    <w:keepLines/>
                    <w:topLinePunct/>
                    <w:rPr>
                      <w:rFonts w:hint="default"/>
                      <w:color w:val="auto"/>
                    </w:rPr>
                  </w:pPr>
                  <w:r>
                    <w:rPr>
                      <w:color w:val="auto"/>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9" w:type="dxa"/>
                  <w:vMerge w:val="continue"/>
                  <w:vAlign w:val="center"/>
                </w:tcPr>
                <w:p>
                  <w:pPr>
                    <w:pStyle w:val="74"/>
                    <w:keepLines/>
                    <w:topLinePunct/>
                    <w:rPr>
                      <w:rFonts w:hint="default"/>
                      <w:color w:val="auto"/>
                    </w:rPr>
                  </w:pPr>
                </w:p>
              </w:tc>
              <w:tc>
                <w:tcPr>
                  <w:tcW w:w="1005" w:type="dxa"/>
                  <w:vMerge w:val="continue"/>
                  <w:vAlign w:val="center"/>
                </w:tcPr>
                <w:p>
                  <w:pPr>
                    <w:pStyle w:val="74"/>
                    <w:keepLines/>
                    <w:topLinePunct/>
                    <w:rPr>
                      <w:rFonts w:hint="default"/>
                      <w:color w:val="auto"/>
                    </w:rPr>
                  </w:pPr>
                </w:p>
              </w:tc>
              <w:tc>
                <w:tcPr>
                  <w:tcW w:w="1095" w:type="dxa"/>
                  <w:vMerge w:val="continue"/>
                  <w:vAlign w:val="center"/>
                </w:tcPr>
                <w:p>
                  <w:pPr>
                    <w:pStyle w:val="74"/>
                    <w:keepLines/>
                    <w:topLinePunct/>
                    <w:rPr>
                      <w:rFonts w:hint="default"/>
                      <w:color w:val="auto"/>
                    </w:rPr>
                  </w:pPr>
                </w:p>
              </w:tc>
              <w:tc>
                <w:tcPr>
                  <w:tcW w:w="856" w:type="dxa"/>
                  <w:vMerge w:val="continue"/>
                  <w:vAlign w:val="center"/>
                </w:tcPr>
                <w:p>
                  <w:pPr>
                    <w:pStyle w:val="74"/>
                    <w:keepLines/>
                    <w:topLinePunct/>
                    <w:rPr>
                      <w:rFonts w:hint="default"/>
                      <w:color w:val="auto"/>
                    </w:rPr>
                  </w:pPr>
                </w:p>
              </w:tc>
              <w:tc>
                <w:tcPr>
                  <w:tcW w:w="930" w:type="dxa"/>
                  <w:vAlign w:val="center"/>
                </w:tcPr>
                <w:p>
                  <w:pPr>
                    <w:pStyle w:val="74"/>
                    <w:keepLines/>
                    <w:topLinePunct/>
                    <w:rPr>
                      <w:rFonts w:hint="default"/>
                      <w:color w:val="auto"/>
                    </w:rPr>
                  </w:pPr>
                  <w:r>
                    <w:rPr>
                      <w:color w:val="auto"/>
                    </w:rPr>
                    <w:t>经度</w:t>
                  </w:r>
                </w:p>
              </w:tc>
              <w:tc>
                <w:tcPr>
                  <w:tcW w:w="911" w:type="dxa"/>
                  <w:vAlign w:val="center"/>
                </w:tcPr>
                <w:p>
                  <w:pPr>
                    <w:pStyle w:val="74"/>
                    <w:keepLines/>
                    <w:topLinePunct/>
                    <w:rPr>
                      <w:rFonts w:hint="default"/>
                      <w:color w:val="auto"/>
                    </w:rPr>
                  </w:pPr>
                  <w:r>
                    <w:rPr>
                      <w:color w:val="auto"/>
                    </w:rPr>
                    <w:t>纬度</w:t>
                  </w:r>
                </w:p>
              </w:tc>
              <w:tc>
                <w:tcPr>
                  <w:tcW w:w="1077" w:type="dxa"/>
                  <w:vMerge w:val="continue"/>
                  <w:vAlign w:val="center"/>
                </w:tcPr>
                <w:p>
                  <w:pPr>
                    <w:pStyle w:val="74"/>
                    <w:keepLines/>
                    <w:topLinePunct/>
                    <w:rPr>
                      <w:rFonts w:hint="default"/>
                      <w:color w:val="auto"/>
                    </w:rPr>
                  </w:pPr>
                </w:p>
              </w:tc>
              <w:tc>
                <w:tcPr>
                  <w:tcW w:w="737" w:type="dxa"/>
                  <w:vMerge w:val="continue"/>
                  <w:vAlign w:val="center"/>
                </w:tcPr>
                <w:p>
                  <w:pPr>
                    <w:pStyle w:val="74"/>
                    <w:keepLines/>
                    <w:topLinePunct/>
                    <w:rPr>
                      <w:rFonts w:hint="default"/>
                      <w:color w:val="auto"/>
                    </w:rPr>
                  </w:pPr>
                </w:p>
              </w:tc>
              <w:tc>
                <w:tcPr>
                  <w:tcW w:w="1020" w:type="dxa"/>
                  <w:vMerge w:val="continue"/>
                  <w:vAlign w:val="center"/>
                </w:tcPr>
                <w:p>
                  <w:pPr>
                    <w:pStyle w:val="74"/>
                    <w:keepLines/>
                    <w:topLinePunct/>
                    <w:rPr>
                      <w:rFonts w:hint="default"/>
                      <w:color w:val="auto"/>
                    </w:rPr>
                  </w:pPr>
                </w:p>
              </w:tc>
              <w:tc>
                <w:tcPr>
                  <w:tcW w:w="737" w:type="dxa"/>
                  <w:vMerge w:val="continue"/>
                  <w:vAlign w:val="center"/>
                </w:tcPr>
                <w:p>
                  <w:pPr>
                    <w:pStyle w:val="74"/>
                    <w:keepLines/>
                    <w:topLinePunct/>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89" w:type="dxa"/>
                  <w:vAlign w:val="center"/>
                </w:tcPr>
                <w:p>
                  <w:pPr>
                    <w:keepLines/>
                    <w:topLinePunct/>
                    <w:adjustRightInd w:val="0"/>
                    <w:snapToGrid w:val="0"/>
                    <w:jc w:val="center"/>
                    <w:rPr>
                      <w:color w:val="auto"/>
                    </w:rPr>
                  </w:pPr>
                  <w:r>
                    <w:rPr>
                      <w:color w:val="auto"/>
                    </w:rPr>
                    <w:t>1</w:t>
                  </w:r>
                </w:p>
              </w:tc>
              <w:tc>
                <w:tcPr>
                  <w:tcW w:w="1005" w:type="dxa"/>
                  <w:vAlign w:val="center"/>
                </w:tcPr>
                <w:p>
                  <w:pPr>
                    <w:keepLines/>
                    <w:topLinePunct/>
                    <w:adjustRightInd w:val="0"/>
                    <w:snapToGrid w:val="0"/>
                    <w:jc w:val="center"/>
                    <w:rPr>
                      <w:color w:val="auto"/>
                    </w:rPr>
                  </w:pPr>
                  <w:r>
                    <w:rPr>
                      <w:rFonts w:hint="eastAsia"/>
                      <w:color w:val="auto"/>
                    </w:rPr>
                    <w:t>危废暂存间</w:t>
                  </w:r>
                </w:p>
              </w:tc>
              <w:tc>
                <w:tcPr>
                  <w:tcW w:w="1095" w:type="dxa"/>
                  <w:vAlign w:val="center"/>
                </w:tcPr>
                <w:p>
                  <w:pPr>
                    <w:adjustRightInd w:val="0"/>
                    <w:snapToGrid w:val="0"/>
                    <w:jc w:val="center"/>
                    <w:rPr>
                      <w:snapToGrid w:val="0"/>
                      <w:color w:val="auto"/>
                      <w:kern w:val="0"/>
                      <w:szCs w:val="21"/>
                    </w:rPr>
                  </w:pPr>
                  <w:r>
                    <w:rPr>
                      <w:rFonts w:hint="eastAsia"/>
                      <w:snapToGrid w:val="0"/>
                      <w:color w:val="auto"/>
                      <w:kern w:val="0"/>
                      <w:szCs w:val="21"/>
                    </w:rPr>
                    <w:t>废活性炭</w:t>
                  </w:r>
                </w:p>
              </w:tc>
              <w:tc>
                <w:tcPr>
                  <w:tcW w:w="856" w:type="dxa"/>
                  <w:vAlign w:val="center"/>
                </w:tcPr>
                <w:p>
                  <w:pPr>
                    <w:keepLines/>
                    <w:topLinePunct/>
                    <w:adjustRightInd w:val="0"/>
                    <w:snapToGrid w:val="0"/>
                    <w:jc w:val="center"/>
                    <w:rPr>
                      <w:color w:val="auto"/>
                    </w:rPr>
                  </w:pPr>
                  <w:r>
                    <w:rPr>
                      <w:rFonts w:hint="eastAsia"/>
                      <w:color w:val="auto"/>
                    </w:rPr>
                    <w:t>厂区西南角</w:t>
                  </w:r>
                </w:p>
              </w:tc>
              <w:tc>
                <w:tcPr>
                  <w:tcW w:w="930" w:type="dxa"/>
                  <w:vAlign w:val="center"/>
                </w:tcPr>
                <w:p>
                  <w:pPr>
                    <w:keepLines/>
                    <w:topLinePunct/>
                    <w:adjustRightInd w:val="0"/>
                    <w:snapToGrid w:val="0"/>
                    <w:jc w:val="center"/>
                    <w:rPr>
                      <w:color w:val="auto"/>
                    </w:rPr>
                  </w:pPr>
                  <w:r>
                    <w:rPr>
                      <w:rFonts w:hint="eastAsia"/>
                      <w:color w:val="auto"/>
                    </w:rPr>
                    <w:t>117.40267984°</w:t>
                  </w:r>
                </w:p>
              </w:tc>
              <w:tc>
                <w:tcPr>
                  <w:tcW w:w="911" w:type="dxa"/>
                  <w:vAlign w:val="center"/>
                </w:tcPr>
                <w:p>
                  <w:pPr>
                    <w:keepLines/>
                    <w:topLinePunct/>
                    <w:adjustRightInd w:val="0"/>
                    <w:snapToGrid w:val="0"/>
                    <w:jc w:val="center"/>
                    <w:rPr>
                      <w:color w:val="auto"/>
                    </w:rPr>
                  </w:pPr>
                  <w:r>
                    <w:rPr>
                      <w:rFonts w:hint="eastAsia"/>
                      <w:color w:val="auto"/>
                    </w:rPr>
                    <w:t>33.11392215°</w:t>
                  </w:r>
                </w:p>
              </w:tc>
              <w:tc>
                <w:tcPr>
                  <w:tcW w:w="1077" w:type="dxa"/>
                  <w:vAlign w:val="center"/>
                </w:tcPr>
                <w:p>
                  <w:pPr>
                    <w:keepLines/>
                    <w:topLinePunct/>
                    <w:adjustRightInd w:val="0"/>
                    <w:snapToGrid w:val="0"/>
                    <w:jc w:val="center"/>
                    <w:rPr>
                      <w:color w:val="auto"/>
                    </w:rPr>
                  </w:pPr>
                  <w:r>
                    <w:rPr>
                      <w:rFonts w:hint="eastAsia"/>
                      <w:color w:val="auto"/>
                    </w:rPr>
                    <w:t>10</w:t>
                  </w:r>
                </w:p>
              </w:tc>
              <w:tc>
                <w:tcPr>
                  <w:tcW w:w="741" w:type="dxa"/>
                  <w:vAlign w:val="center"/>
                </w:tcPr>
                <w:p>
                  <w:pPr>
                    <w:keepLines/>
                    <w:topLinePunct/>
                    <w:adjustRightInd w:val="0"/>
                    <w:snapToGrid w:val="0"/>
                    <w:jc w:val="center"/>
                    <w:rPr>
                      <w:color w:val="auto"/>
                    </w:rPr>
                  </w:pPr>
                  <w:r>
                    <w:rPr>
                      <w:rFonts w:hint="eastAsia"/>
                      <w:color w:val="auto"/>
                    </w:rPr>
                    <w:t>袋装</w:t>
                  </w:r>
                </w:p>
              </w:tc>
              <w:tc>
                <w:tcPr>
                  <w:tcW w:w="1016" w:type="dxa"/>
                  <w:vAlign w:val="center"/>
                </w:tcPr>
                <w:p>
                  <w:pPr>
                    <w:keepLines/>
                    <w:topLinePunct/>
                    <w:adjustRightInd w:val="0"/>
                    <w:snapToGrid w:val="0"/>
                    <w:jc w:val="center"/>
                    <w:rPr>
                      <w:snapToGrid w:val="0"/>
                      <w:color w:val="auto"/>
                      <w:kern w:val="0"/>
                      <w:szCs w:val="21"/>
                      <w:lang w:bidi="ar"/>
                    </w:rPr>
                  </w:pPr>
                  <w:r>
                    <w:rPr>
                      <w:rFonts w:hint="eastAsia"/>
                      <w:snapToGrid w:val="0"/>
                      <w:color w:val="auto"/>
                      <w:kern w:val="0"/>
                      <w:szCs w:val="21"/>
                      <w:lang w:bidi="ar"/>
                    </w:rPr>
                    <w:t>10</w:t>
                  </w:r>
                </w:p>
              </w:tc>
              <w:tc>
                <w:tcPr>
                  <w:tcW w:w="737" w:type="dxa"/>
                  <w:vAlign w:val="center"/>
                </w:tcPr>
                <w:p>
                  <w:pPr>
                    <w:keepLines/>
                    <w:topLinePunct/>
                    <w:adjustRightInd w:val="0"/>
                    <w:snapToGrid w:val="0"/>
                    <w:jc w:val="center"/>
                    <w:rPr>
                      <w:color w:val="auto"/>
                    </w:rPr>
                  </w:pPr>
                  <w:r>
                    <w:rPr>
                      <w:rFonts w:hint="eastAsia"/>
                      <w:color w:val="auto"/>
                    </w:rPr>
                    <w:t>季度</w:t>
                  </w:r>
                </w:p>
              </w:tc>
            </w:tr>
          </w:tbl>
          <w:p>
            <w:pPr>
              <w:keepNext w:val="0"/>
              <w:keepLines/>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ascii="宋体" w:hAnsi="宋体" w:cs="宋体"/>
                <w:b/>
                <w:bCs/>
                <w:color w:val="auto"/>
                <w:sz w:val="24"/>
              </w:rPr>
            </w:pPr>
            <w:r>
              <w:rPr>
                <w:rFonts w:hint="eastAsia" w:ascii="宋体" w:hAnsi="宋体" w:cs="宋体"/>
                <w:b/>
                <w:bCs/>
                <w:color w:val="auto"/>
                <w:sz w:val="24"/>
                <w:lang w:bidi="ar"/>
              </w:rPr>
              <w:t>一般固体废物暂存要求：</w:t>
            </w:r>
          </w:p>
          <w:p>
            <w:pPr>
              <w:keepNext w:val="0"/>
              <w:keepLines/>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firstLine="480" w:firstLineChars="200"/>
              <w:textAlignment w:val="auto"/>
              <w:rPr>
                <w:color w:val="auto"/>
                <w:sz w:val="24"/>
                <w:lang w:bidi="ar"/>
              </w:rPr>
            </w:pPr>
            <w:r>
              <w:rPr>
                <w:color w:val="auto"/>
                <w:sz w:val="24"/>
                <w:lang w:bidi="ar"/>
              </w:rPr>
              <w:t>一般固废暂存处应设置明显的符合相关规定的图形或文字标志。</w:t>
            </w:r>
          </w:p>
          <w:p>
            <w:pPr>
              <w:keepNext w:val="0"/>
              <w:keepLines/>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lang w:bidi="ar"/>
              </w:rPr>
              <w:t>各种固体废物应按照要求分类放置于相应区域，禁止混放。</w:t>
            </w:r>
          </w:p>
          <w:p>
            <w:pPr>
              <w:keepNext w:val="0"/>
              <w:keepLines/>
              <w:pageBreakBefore w:val="0"/>
              <w:widowControl w:val="0"/>
              <w:numPr>
                <w:ilvl w:val="0"/>
                <w:numId w:val="10"/>
              </w:numPr>
              <w:tabs>
                <w:tab w:val="left" w:pos="0"/>
              </w:tabs>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lang w:bidi="ar"/>
              </w:rPr>
              <w:t>一般固废暂存处应根据所收集、存放的固体废物的产生量及时进行清理，不得出现溢满现象，并在每次清运固体废物后，负责打扫一般固废暂存处的卫生，保持整洁。</w:t>
            </w:r>
          </w:p>
          <w:p>
            <w:pPr>
              <w:keepNext w:val="0"/>
              <w:keepLines/>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lang w:bidi="ar"/>
              </w:rPr>
              <w:t>（4）</w:t>
            </w:r>
            <w:r>
              <w:rPr>
                <w:color w:val="auto"/>
                <w:sz w:val="24"/>
                <w:lang w:bidi="ar"/>
              </w:rPr>
              <w:t>相关管理人员对一般固废暂存处进行日常检查，发现问题，及时处理。</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color w:val="auto"/>
                <w:sz w:val="24"/>
                <w:szCs w:val="24"/>
                <w:lang w:bidi="ar"/>
              </w:rPr>
            </w:pPr>
            <w:r>
              <w:rPr>
                <w:rFonts w:ascii="Times New Roman" w:hAnsi="Times New Roman"/>
                <w:b/>
                <w:bCs/>
                <w:color w:val="auto"/>
                <w:sz w:val="24"/>
                <w:szCs w:val="24"/>
                <w:lang w:bidi="ar"/>
              </w:rPr>
              <w:t>危险废物暂存要求：</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①贮存设施应根据危险废物的形态、物理化学性质、包装形式和污染物迁移途径，采取必要的防风、防晒、防雨、防漏、防渗、防腐以及其他环境污染防治措施，不应露天堆放危险废物；</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②贮存设施应根据危险废物的类别、数量、形态、物理化学性质和污染防治等要求设置必要的贮存分区，避免不相容的危险废物接触、混合；</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③贮存设施或贮存分区内地面、墙面裙脚、接触危险废物的隔板和墙体等应采用坚固的材料建造，表面无裂缝；</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④贮存设施地面与裙脚应采取表面防渗措施；表面防渗材料应与所接触的物料或污染物相容，可采用抗渗混凝土、高密度聚乙烯膜或其他防渗性能等效的材料。贮存的危险废物直接接触地面的，还应进行基础防渗，防渗层为至少1m厚黏土层（渗透系数不大于10</w:t>
            </w:r>
            <w:r>
              <w:rPr>
                <w:rFonts w:ascii="Times New Roman" w:hAnsi="Times New Roman"/>
                <w:color w:val="auto"/>
                <w:sz w:val="24"/>
                <w:szCs w:val="24"/>
                <w:vertAlign w:val="superscript"/>
              </w:rPr>
              <w:t>-7</w:t>
            </w:r>
            <w:r>
              <w:rPr>
                <w:rFonts w:ascii="Times New Roman" w:hAnsi="Times New Roman"/>
                <w:color w:val="auto"/>
                <w:sz w:val="24"/>
                <w:szCs w:val="24"/>
              </w:rPr>
              <w:t>cm/s），或至少2mm厚高密度聚乙烯膜等人工防渗材料（渗透系数不大于10</w:t>
            </w:r>
            <w:r>
              <w:rPr>
                <w:rFonts w:ascii="Times New Roman" w:hAnsi="Times New Roman"/>
                <w:color w:val="auto"/>
                <w:sz w:val="24"/>
                <w:szCs w:val="24"/>
                <w:vertAlign w:val="superscript"/>
              </w:rPr>
              <w:t>-10</w:t>
            </w:r>
            <w:r>
              <w:rPr>
                <w:rFonts w:ascii="Times New Roman" w:hAnsi="Times New Roman"/>
                <w:color w:val="auto"/>
                <w:sz w:val="24"/>
                <w:szCs w:val="24"/>
              </w:rPr>
              <w:t>cm/s），或其他防渗性能等效的材料；</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⑤危险废物贮存设施必须按《危险废物识别标志设置技术规范》（HJ 1276—2022）规定设置警示标志，周围应设置围墙或其他防护栅栏，配备通讯设备、照明设施、安全防护服装及工具，并设有应急防护设施。</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⑥同一贮存设施宜采用相同的防渗、防腐工艺（包括防渗、防腐结构或材料），防渗、防腐材料应覆盖所有可能与废物及其渗滤液、渗漏液等接触的构筑物表面；采用不同防渗、防腐工艺应分别建设贮存分区。</w:t>
            </w:r>
          </w:p>
          <w:p>
            <w:pPr>
              <w:pStyle w:val="20"/>
              <w:keepNext w:val="0"/>
              <w:keepLines/>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olor w:val="auto"/>
                <w:sz w:val="24"/>
                <w:szCs w:val="24"/>
              </w:rPr>
            </w:pPr>
            <w:r>
              <w:rPr>
                <w:rFonts w:ascii="Times New Roman" w:hAnsi="Times New Roman"/>
                <w:color w:val="auto"/>
                <w:sz w:val="24"/>
                <w:szCs w:val="24"/>
              </w:rPr>
              <w:t>⑦贮存设施应采取技术和管理措施防止无关人员进入。</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因此，本项目的固体废物均能得到妥善处理，对周围环境及卫生状况不会产生直接影响。</w:t>
            </w:r>
          </w:p>
          <w:p>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b/>
                <w:bCs/>
                <w:color w:val="auto"/>
                <w:sz w:val="24"/>
              </w:rPr>
            </w:pPr>
            <w:r>
              <w:rPr>
                <w:rFonts w:hint="eastAsia" w:ascii="宋体" w:hAnsi="宋体" w:cs="宋体"/>
                <w:b/>
                <w:bCs/>
                <w:color w:val="auto"/>
                <w:sz w:val="24"/>
              </w:rPr>
              <w:t>五、土壤、地下水</w:t>
            </w:r>
          </w:p>
          <w:p>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rFonts w:hint="eastAsia"/>
                <w:b/>
                <w:bCs/>
                <w:color w:val="auto"/>
                <w:sz w:val="24"/>
              </w:rPr>
              <w:t>1、土壤、地下水污染因子识别</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sz w:val="24"/>
              </w:rPr>
            </w:pPr>
            <w:r>
              <w:rPr>
                <w:color w:val="auto"/>
                <w:sz w:val="24"/>
              </w:rPr>
              <w:t>项目在生产过程中</w:t>
            </w:r>
            <w:r>
              <w:rPr>
                <w:rFonts w:hint="eastAsia"/>
                <w:color w:val="auto"/>
                <w:sz w:val="24"/>
              </w:rPr>
              <w:t>产生的</w:t>
            </w:r>
            <w:r>
              <w:rPr>
                <w:rFonts w:hint="eastAsia"/>
                <w:bCs/>
                <w:color w:val="auto"/>
                <w:sz w:val="24"/>
              </w:rPr>
              <w:t>废活性炭</w:t>
            </w:r>
            <w:r>
              <w:rPr>
                <w:color w:val="auto"/>
                <w:sz w:val="24"/>
              </w:rPr>
              <w:t>发生</w:t>
            </w:r>
            <w:r>
              <w:rPr>
                <w:rFonts w:hint="eastAsia"/>
                <w:color w:val="auto"/>
                <w:sz w:val="24"/>
              </w:rPr>
              <w:t>散落或流失</w:t>
            </w:r>
            <w:r>
              <w:rPr>
                <w:color w:val="auto"/>
                <w:sz w:val="24"/>
              </w:rPr>
              <w:t>可能会造成土壤和地下水污染</w:t>
            </w:r>
            <w:r>
              <w:rPr>
                <w:rFonts w:hint="eastAsia" w:ascii="宋体" w:hAnsi="宋体" w:cs="宋体"/>
                <w:color w:val="auto"/>
                <w:sz w:val="24"/>
              </w:rPr>
              <w:t>。</w:t>
            </w:r>
          </w:p>
          <w:p>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sz w:val="24"/>
              </w:rPr>
            </w:pPr>
            <w:r>
              <w:rPr>
                <w:rFonts w:hint="eastAsia" w:ascii="宋体" w:hAnsi="宋体" w:cs="宋体"/>
                <w:b/>
                <w:bCs/>
                <w:color w:val="auto"/>
                <w:sz w:val="24"/>
              </w:rPr>
              <w:t>2、</w:t>
            </w:r>
            <w:r>
              <w:rPr>
                <w:rFonts w:hint="eastAsia"/>
                <w:b/>
                <w:bCs/>
                <w:color w:val="auto"/>
                <w:sz w:val="24"/>
              </w:rPr>
              <w:t>土壤、地下水</w:t>
            </w:r>
            <w:r>
              <w:rPr>
                <w:rFonts w:hint="eastAsia" w:cs="宋体"/>
                <w:b/>
                <w:bCs/>
                <w:color w:val="auto"/>
                <w:sz w:val="24"/>
              </w:rPr>
              <w:t>防控区域划分和</w:t>
            </w:r>
            <w:r>
              <w:rPr>
                <w:rFonts w:hint="eastAsia" w:hAnsi="宋体"/>
                <w:b/>
                <w:color w:val="auto"/>
                <w:kern w:val="0"/>
                <w:sz w:val="24"/>
              </w:rPr>
              <w:t>污染</w:t>
            </w:r>
            <w:r>
              <w:rPr>
                <w:rFonts w:hint="eastAsia"/>
                <w:b/>
                <w:bCs/>
                <w:color w:val="auto"/>
                <w:kern w:val="0"/>
                <w:sz w:val="24"/>
              </w:rPr>
              <w:t>防控措施</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（1）项目防控区域划分</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地下水、土壤污染防治措施坚持</w:t>
            </w:r>
            <w:r>
              <w:rPr>
                <w:rFonts w:hint="eastAsia"/>
                <w:color w:val="auto"/>
                <w:kern w:val="0"/>
                <w:sz w:val="24"/>
                <w:lang w:bidi="ar"/>
              </w:rPr>
              <w:t>“</w:t>
            </w:r>
            <w:r>
              <w:rPr>
                <w:color w:val="auto"/>
                <w:kern w:val="0"/>
                <w:sz w:val="24"/>
                <w:lang w:bidi="ar"/>
              </w:rPr>
              <w:t>源头控制、末端防治、污染监控、应急响应相结合</w:t>
            </w:r>
            <w:r>
              <w:rPr>
                <w:rFonts w:hint="eastAsia"/>
                <w:color w:val="auto"/>
                <w:kern w:val="0"/>
                <w:sz w:val="24"/>
                <w:lang w:bidi="ar"/>
              </w:rPr>
              <w:t>”</w:t>
            </w:r>
            <w:r>
              <w:rPr>
                <w:color w:val="auto"/>
                <w:kern w:val="0"/>
                <w:sz w:val="24"/>
                <w:lang w:bidi="ar"/>
              </w:rPr>
              <w:t>的原则。</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项目区需要按照相关防渗要求进行分区防控处理。项目防控区域分为重点防渗区、一般防渗区以及简单防渗区，具体划分区域如下：</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①重点防渗区：危废暂存间等区域。</w:t>
            </w:r>
          </w:p>
          <w:p>
            <w:pPr>
              <w:keepNext w:val="0"/>
              <w:keepLines/>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color w:val="auto"/>
                <w:kern w:val="0"/>
                <w:sz w:val="24"/>
                <w:lang w:bidi="ar"/>
              </w:rPr>
            </w:pPr>
            <w:r>
              <w:rPr>
                <w:color w:val="auto"/>
                <w:kern w:val="0"/>
                <w:sz w:val="24"/>
                <w:lang w:bidi="ar"/>
              </w:rPr>
              <w:t>②一般防渗区：</w:t>
            </w:r>
            <w:r>
              <w:rPr>
                <w:rFonts w:hint="eastAsia"/>
                <w:color w:val="auto"/>
                <w:kern w:val="0"/>
                <w:sz w:val="24"/>
                <w:lang w:bidi="ar"/>
              </w:rPr>
              <w:t>一般固废暂存间等区域</w:t>
            </w:r>
            <w:r>
              <w:rPr>
                <w:color w:val="auto"/>
                <w:kern w:val="0"/>
                <w:sz w:val="24"/>
                <w:lang w:bidi="ar"/>
              </w:rPr>
              <w:t>。</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kern w:val="0"/>
                <w:sz w:val="24"/>
                <w:lang w:bidi="ar"/>
              </w:rPr>
            </w:pPr>
            <w:r>
              <w:rPr>
                <w:color w:val="auto"/>
                <w:kern w:val="0"/>
                <w:sz w:val="24"/>
                <w:lang w:bidi="ar"/>
              </w:rPr>
              <w:t>③简单防渗区：除重点防渗区和一般防渗区以外的其他区域。</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（2）分区防渗措施</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①重点防渗区：采用等效黏土防渗层进行防渗，等效厚度≥6.0m，确保渗透系数不大于10</w:t>
            </w:r>
            <w:r>
              <w:rPr>
                <w:color w:val="auto"/>
                <w:kern w:val="0"/>
                <w:sz w:val="24"/>
                <w:vertAlign w:val="superscript"/>
                <w:lang w:bidi="ar"/>
              </w:rPr>
              <w:t>-7</w:t>
            </w:r>
            <w:r>
              <w:rPr>
                <w:color w:val="auto"/>
                <w:kern w:val="0"/>
                <w:sz w:val="24"/>
                <w:lang w:bidi="ar"/>
              </w:rPr>
              <w:t>cm/s</w:t>
            </w:r>
            <w:r>
              <w:rPr>
                <w:rFonts w:hint="eastAsia"/>
                <w:color w:val="auto"/>
                <w:kern w:val="0"/>
                <w:sz w:val="24"/>
                <w:lang w:bidi="ar"/>
              </w:rPr>
              <w:t>，设防渗托盘等</w:t>
            </w:r>
            <w:r>
              <w:rPr>
                <w:color w:val="auto"/>
                <w:kern w:val="0"/>
                <w:sz w:val="24"/>
                <w:lang w:bidi="ar"/>
              </w:rPr>
              <w:t>。</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②一般防渗区：采取等效黏土防渗层进行防渗，等效厚度≥1.5m。</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③简单防渗区：采用一般地面硬化。</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lang w:bidi="ar"/>
              </w:rPr>
            </w:pPr>
            <w:r>
              <w:rPr>
                <w:color w:val="auto"/>
                <w:kern w:val="0"/>
                <w:sz w:val="24"/>
                <w:lang w:bidi="ar"/>
              </w:rPr>
              <w:t>项目污染防治分区及措施见下表。</w:t>
            </w:r>
          </w:p>
          <w:p>
            <w:pPr>
              <w:keepLines/>
              <w:adjustRightInd w:val="0"/>
              <w:snapToGrid w:val="0"/>
              <w:jc w:val="center"/>
              <w:rPr>
                <w:b/>
                <w:color w:val="auto"/>
                <w:sz w:val="24"/>
              </w:rPr>
            </w:pPr>
            <w:r>
              <w:rPr>
                <w:b/>
                <w:color w:val="auto"/>
                <w:sz w:val="24"/>
              </w:rPr>
              <w:t>表4-</w:t>
            </w:r>
            <w:r>
              <w:rPr>
                <w:rFonts w:hint="eastAsia"/>
                <w:b/>
                <w:color w:val="auto"/>
                <w:sz w:val="24"/>
              </w:rPr>
              <w:t>2</w:t>
            </w:r>
            <w:r>
              <w:rPr>
                <w:rFonts w:hint="eastAsia"/>
                <w:b/>
                <w:color w:val="auto"/>
                <w:sz w:val="24"/>
                <w:lang w:val="en-US" w:eastAsia="zh-CN"/>
              </w:rPr>
              <w:t>1</w:t>
            </w:r>
            <w:r>
              <w:rPr>
                <w:rFonts w:hint="eastAsia"/>
                <w:b/>
                <w:color w:val="auto"/>
                <w:sz w:val="24"/>
              </w:rPr>
              <w:t xml:space="preserve"> </w:t>
            </w:r>
            <w:r>
              <w:rPr>
                <w:b/>
                <w:color w:val="auto"/>
                <w:sz w:val="24"/>
              </w:rPr>
              <w:t xml:space="preserve"> 项目污染防治分区及措施</w:t>
            </w:r>
          </w:p>
          <w:tbl>
            <w:tblPr>
              <w:tblStyle w:val="28"/>
              <w:tblW w:w="8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9"/>
              <w:gridCol w:w="1332"/>
              <w:gridCol w:w="3288"/>
              <w:gridCol w:w="3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b/>
                      <w:bCs/>
                      <w:color w:val="auto"/>
                      <w:szCs w:val="21"/>
                    </w:rPr>
                  </w:pPr>
                  <w:r>
                    <w:rPr>
                      <w:b/>
                      <w:bCs/>
                      <w:color w:val="auto"/>
                      <w:szCs w:val="21"/>
                    </w:rPr>
                    <w:t>序号</w:t>
                  </w:r>
                </w:p>
              </w:tc>
              <w:tc>
                <w:tcPr>
                  <w:tcW w:w="1332" w:type="dxa"/>
                  <w:vAlign w:val="center"/>
                </w:tcPr>
                <w:p>
                  <w:pPr>
                    <w:keepLines/>
                    <w:adjustRightInd w:val="0"/>
                    <w:snapToGrid w:val="0"/>
                    <w:jc w:val="center"/>
                    <w:rPr>
                      <w:b/>
                      <w:bCs/>
                      <w:color w:val="auto"/>
                      <w:szCs w:val="21"/>
                    </w:rPr>
                  </w:pPr>
                  <w:r>
                    <w:rPr>
                      <w:b/>
                      <w:bCs/>
                      <w:color w:val="auto"/>
                      <w:szCs w:val="21"/>
                    </w:rPr>
                    <w:t>防渗区</w:t>
                  </w:r>
                </w:p>
              </w:tc>
              <w:tc>
                <w:tcPr>
                  <w:tcW w:w="3288" w:type="dxa"/>
                  <w:vAlign w:val="center"/>
                </w:tcPr>
                <w:p>
                  <w:pPr>
                    <w:keepLines/>
                    <w:adjustRightInd w:val="0"/>
                    <w:snapToGrid w:val="0"/>
                    <w:jc w:val="center"/>
                    <w:rPr>
                      <w:b/>
                      <w:bCs/>
                      <w:color w:val="auto"/>
                      <w:szCs w:val="21"/>
                    </w:rPr>
                  </w:pPr>
                  <w:r>
                    <w:rPr>
                      <w:b/>
                      <w:bCs/>
                      <w:color w:val="auto"/>
                      <w:szCs w:val="21"/>
                    </w:rPr>
                    <w:t>防渗位置</w:t>
                  </w:r>
                </w:p>
              </w:tc>
              <w:tc>
                <w:tcPr>
                  <w:tcW w:w="3582" w:type="dxa"/>
                  <w:vAlign w:val="center"/>
                </w:tcPr>
                <w:p>
                  <w:pPr>
                    <w:keepLines/>
                    <w:adjustRightInd w:val="0"/>
                    <w:snapToGrid w:val="0"/>
                    <w:jc w:val="center"/>
                    <w:rPr>
                      <w:b/>
                      <w:bCs/>
                      <w:color w:val="auto"/>
                      <w:szCs w:val="21"/>
                    </w:rPr>
                  </w:pPr>
                  <w:r>
                    <w:rPr>
                      <w:b/>
                      <w:bCs/>
                      <w:color w:val="auto"/>
                      <w:szCs w:val="21"/>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color w:val="auto"/>
                      <w:szCs w:val="21"/>
                    </w:rPr>
                  </w:pPr>
                  <w:r>
                    <w:rPr>
                      <w:color w:val="auto"/>
                      <w:szCs w:val="21"/>
                    </w:rPr>
                    <w:t>1</w:t>
                  </w:r>
                </w:p>
              </w:tc>
              <w:tc>
                <w:tcPr>
                  <w:tcW w:w="1332" w:type="dxa"/>
                  <w:vAlign w:val="center"/>
                </w:tcPr>
                <w:p>
                  <w:pPr>
                    <w:keepLines/>
                    <w:adjustRightInd w:val="0"/>
                    <w:snapToGrid w:val="0"/>
                    <w:jc w:val="center"/>
                    <w:rPr>
                      <w:color w:val="auto"/>
                      <w:szCs w:val="21"/>
                    </w:rPr>
                  </w:pPr>
                  <w:r>
                    <w:rPr>
                      <w:color w:val="auto"/>
                      <w:szCs w:val="21"/>
                    </w:rPr>
                    <w:t>重点防渗区</w:t>
                  </w:r>
                </w:p>
              </w:tc>
              <w:tc>
                <w:tcPr>
                  <w:tcW w:w="3288" w:type="dxa"/>
                  <w:vAlign w:val="center"/>
                </w:tcPr>
                <w:p>
                  <w:pPr>
                    <w:keepLines/>
                    <w:adjustRightInd w:val="0"/>
                    <w:snapToGrid w:val="0"/>
                    <w:jc w:val="center"/>
                    <w:rPr>
                      <w:color w:val="auto"/>
                      <w:szCs w:val="21"/>
                    </w:rPr>
                  </w:pPr>
                  <w:r>
                    <w:rPr>
                      <w:color w:val="auto"/>
                      <w:szCs w:val="21"/>
                    </w:rPr>
                    <w:t>危废暂存间等区域</w:t>
                  </w:r>
                </w:p>
              </w:tc>
              <w:tc>
                <w:tcPr>
                  <w:tcW w:w="3582" w:type="dxa"/>
                  <w:vAlign w:val="center"/>
                </w:tcPr>
                <w:p>
                  <w:pPr>
                    <w:keepLines/>
                    <w:wordWrap w:val="0"/>
                    <w:adjustRightInd w:val="0"/>
                    <w:snapToGrid w:val="0"/>
                    <w:jc w:val="center"/>
                    <w:rPr>
                      <w:color w:val="auto"/>
                      <w:szCs w:val="21"/>
                    </w:rPr>
                  </w:pPr>
                  <w:r>
                    <w:rPr>
                      <w:color w:val="auto"/>
                      <w:szCs w:val="21"/>
                    </w:rPr>
                    <w:t>等效黏土防渗层Mb≥6.0m，K≤1×10</w:t>
                  </w:r>
                  <w:r>
                    <w:rPr>
                      <w:color w:val="auto"/>
                      <w:szCs w:val="21"/>
                      <w:vertAlign w:val="superscript"/>
                    </w:rPr>
                    <w:t>-7</w:t>
                  </w:r>
                  <w:r>
                    <w:rPr>
                      <w:color w:val="auto"/>
                      <w:szCs w:val="21"/>
                    </w:rPr>
                    <w:t>cm/s；或参照GB 18598执行</w:t>
                  </w:r>
                  <w:r>
                    <w:rPr>
                      <w:rFonts w:hint="eastAsia"/>
                      <w:color w:val="auto"/>
                      <w:szCs w:val="21"/>
                    </w:rPr>
                    <w:t>，设防渗托盘等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color w:val="auto"/>
                      <w:szCs w:val="21"/>
                    </w:rPr>
                  </w:pPr>
                  <w:r>
                    <w:rPr>
                      <w:color w:val="auto"/>
                      <w:szCs w:val="21"/>
                    </w:rPr>
                    <w:t>2</w:t>
                  </w:r>
                </w:p>
              </w:tc>
              <w:tc>
                <w:tcPr>
                  <w:tcW w:w="1332" w:type="dxa"/>
                  <w:vAlign w:val="center"/>
                </w:tcPr>
                <w:p>
                  <w:pPr>
                    <w:keepLines/>
                    <w:adjustRightInd w:val="0"/>
                    <w:snapToGrid w:val="0"/>
                    <w:jc w:val="center"/>
                    <w:rPr>
                      <w:color w:val="auto"/>
                      <w:szCs w:val="21"/>
                    </w:rPr>
                  </w:pPr>
                  <w:r>
                    <w:rPr>
                      <w:color w:val="auto"/>
                      <w:szCs w:val="21"/>
                    </w:rPr>
                    <w:t>一般防渗区</w:t>
                  </w:r>
                </w:p>
              </w:tc>
              <w:tc>
                <w:tcPr>
                  <w:tcW w:w="3288" w:type="dxa"/>
                  <w:vAlign w:val="center"/>
                </w:tcPr>
                <w:p>
                  <w:pPr>
                    <w:keepLines/>
                    <w:adjustRightInd w:val="0"/>
                    <w:snapToGrid w:val="0"/>
                    <w:jc w:val="center"/>
                    <w:rPr>
                      <w:color w:val="auto"/>
                      <w:szCs w:val="21"/>
                    </w:rPr>
                  </w:pPr>
                  <w:r>
                    <w:rPr>
                      <w:rFonts w:hint="eastAsia"/>
                      <w:color w:val="auto"/>
                      <w:szCs w:val="21"/>
                    </w:rPr>
                    <w:t>一般固废暂存间等区域</w:t>
                  </w:r>
                </w:p>
              </w:tc>
              <w:tc>
                <w:tcPr>
                  <w:tcW w:w="3582" w:type="dxa"/>
                  <w:vAlign w:val="center"/>
                </w:tcPr>
                <w:p>
                  <w:pPr>
                    <w:keepLines/>
                    <w:wordWrap w:val="0"/>
                    <w:adjustRightInd w:val="0"/>
                    <w:snapToGrid w:val="0"/>
                    <w:jc w:val="center"/>
                    <w:rPr>
                      <w:color w:val="auto"/>
                      <w:szCs w:val="21"/>
                    </w:rPr>
                  </w:pPr>
                  <w:r>
                    <w:rPr>
                      <w:color w:val="auto"/>
                      <w:szCs w:val="21"/>
                    </w:rPr>
                    <w:t>等效黏土防渗层Mb≥1.5m，K≤1×10</w:t>
                  </w:r>
                  <w:r>
                    <w:rPr>
                      <w:color w:val="auto"/>
                      <w:szCs w:val="21"/>
                      <w:vertAlign w:val="superscript"/>
                    </w:rPr>
                    <w:t>-7</w:t>
                  </w:r>
                  <w:r>
                    <w:rPr>
                      <w:color w:val="auto"/>
                      <w:szCs w:val="21"/>
                    </w:rPr>
                    <w:t>cm/s；或参照GB 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color w:val="auto"/>
                      <w:szCs w:val="21"/>
                    </w:rPr>
                  </w:pPr>
                  <w:r>
                    <w:rPr>
                      <w:color w:val="auto"/>
                      <w:szCs w:val="21"/>
                    </w:rPr>
                    <w:t>3</w:t>
                  </w:r>
                </w:p>
              </w:tc>
              <w:tc>
                <w:tcPr>
                  <w:tcW w:w="1332" w:type="dxa"/>
                  <w:vAlign w:val="center"/>
                </w:tcPr>
                <w:p>
                  <w:pPr>
                    <w:keepLines/>
                    <w:adjustRightInd w:val="0"/>
                    <w:snapToGrid w:val="0"/>
                    <w:jc w:val="center"/>
                    <w:rPr>
                      <w:color w:val="auto"/>
                      <w:szCs w:val="21"/>
                    </w:rPr>
                  </w:pPr>
                  <w:r>
                    <w:rPr>
                      <w:color w:val="auto"/>
                      <w:szCs w:val="21"/>
                    </w:rPr>
                    <w:t>简单防渗区</w:t>
                  </w:r>
                </w:p>
              </w:tc>
              <w:tc>
                <w:tcPr>
                  <w:tcW w:w="3288" w:type="dxa"/>
                  <w:vAlign w:val="center"/>
                </w:tcPr>
                <w:p>
                  <w:pPr>
                    <w:keepLines/>
                    <w:adjustRightInd w:val="0"/>
                    <w:snapToGrid w:val="0"/>
                    <w:jc w:val="center"/>
                    <w:rPr>
                      <w:color w:val="auto"/>
                      <w:szCs w:val="21"/>
                    </w:rPr>
                  </w:pPr>
                  <w:r>
                    <w:rPr>
                      <w:color w:val="auto"/>
                      <w:szCs w:val="21"/>
                    </w:rPr>
                    <w:t>除重点防渗区和一般防渗区以外的其他区域</w:t>
                  </w:r>
                </w:p>
              </w:tc>
              <w:tc>
                <w:tcPr>
                  <w:tcW w:w="3582" w:type="dxa"/>
                  <w:vAlign w:val="center"/>
                </w:tcPr>
                <w:p>
                  <w:pPr>
                    <w:keepLines/>
                    <w:adjustRightInd w:val="0"/>
                    <w:snapToGrid w:val="0"/>
                    <w:jc w:val="center"/>
                    <w:rPr>
                      <w:color w:val="auto"/>
                      <w:szCs w:val="21"/>
                    </w:rPr>
                  </w:pPr>
                  <w:r>
                    <w:rPr>
                      <w:color w:val="auto"/>
                      <w:szCs w:val="21"/>
                    </w:rPr>
                    <w:t>一般地面硬化</w:t>
                  </w:r>
                </w:p>
              </w:tc>
            </w:tr>
          </w:tbl>
          <w:p>
            <w:pPr>
              <w:keepNext w:val="0"/>
              <w:keepLines/>
              <w:pageBreakBefore w:val="0"/>
              <w:widowControl w:val="0"/>
              <w:kinsoku/>
              <w:wordWrap/>
              <w:overflowPunct/>
              <w:topLinePunct w:val="0"/>
              <w:autoSpaceDE/>
              <w:autoSpaceDN/>
              <w:bidi w:val="0"/>
              <w:adjustRightInd w:val="0"/>
              <w:snapToGrid w:val="0"/>
              <w:spacing w:before="120" w:beforeLines="50" w:line="372" w:lineRule="auto"/>
              <w:ind w:firstLine="480" w:firstLineChars="200"/>
              <w:textAlignment w:val="auto"/>
              <w:rPr>
                <w:rFonts w:ascii="宋体" w:hAnsi="宋体" w:cs="宋体"/>
                <w:color w:val="auto"/>
                <w:sz w:val="24"/>
              </w:rPr>
            </w:pPr>
            <w:r>
              <w:rPr>
                <w:color w:val="auto"/>
                <w:kern w:val="0"/>
                <w:sz w:val="24"/>
                <w:lang w:bidi="ar"/>
              </w:rPr>
              <w:t>因此，项目在采取上述措施后，可以有效地避免因</w:t>
            </w:r>
            <w:r>
              <w:rPr>
                <w:rFonts w:hint="eastAsia"/>
                <w:color w:val="auto"/>
                <w:kern w:val="0"/>
                <w:sz w:val="24"/>
                <w:lang w:bidi="ar"/>
              </w:rPr>
              <w:t>废活性炭散落或流失</w:t>
            </w:r>
            <w:r>
              <w:rPr>
                <w:color w:val="auto"/>
                <w:kern w:val="0"/>
                <w:sz w:val="24"/>
                <w:lang w:bidi="ar"/>
              </w:rPr>
              <w:t>导致土壤和地下水污染，对周边环境影响较小。</w:t>
            </w:r>
          </w:p>
          <w:p>
            <w:pPr>
              <w:keepNext w:val="0"/>
              <w:keepLines/>
              <w:pageBreakBefore w:val="0"/>
              <w:widowControl w:val="0"/>
              <w:tabs>
                <w:tab w:val="left" w:pos="2940"/>
              </w:tabs>
              <w:kinsoku/>
              <w:wordWrap/>
              <w:overflowPunct/>
              <w:topLinePunct w:val="0"/>
              <w:autoSpaceDE/>
              <w:autoSpaceDN/>
              <w:bidi w:val="0"/>
              <w:adjustRightInd w:val="0"/>
              <w:snapToGrid w:val="0"/>
              <w:spacing w:line="372" w:lineRule="auto"/>
              <w:ind w:firstLine="482" w:firstLineChars="200"/>
              <w:textAlignment w:val="auto"/>
              <w:rPr>
                <w:rFonts w:ascii="宋体" w:hAnsi="宋体" w:cs="宋体"/>
                <w:b/>
                <w:bCs/>
                <w:color w:val="auto"/>
                <w:sz w:val="24"/>
              </w:rPr>
            </w:pPr>
            <w:r>
              <w:rPr>
                <w:rFonts w:hint="eastAsia" w:ascii="宋体" w:hAnsi="宋体" w:cs="宋体"/>
                <w:b/>
                <w:bCs/>
                <w:color w:val="auto"/>
                <w:kern w:val="0"/>
                <w:sz w:val="24"/>
              </w:rPr>
              <w:t>六、</w:t>
            </w:r>
            <w:r>
              <w:rPr>
                <w:rFonts w:hint="eastAsia" w:ascii="宋体" w:hAnsi="宋体" w:cs="宋体"/>
                <w:b/>
                <w:color w:val="auto"/>
                <w:sz w:val="24"/>
              </w:rPr>
              <w:t>环境风险</w:t>
            </w:r>
          </w:p>
          <w:p>
            <w:pPr>
              <w:keepNext w:val="0"/>
              <w:keepLines/>
              <w:pageBreakBefore w:val="0"/>
              <w:widowControl w:val="0"/>
              <w:kinsoku/>
              <w:wordWrap/>
              <w:overflowPunct/>
              <w:topLinePunct w:val="0"/>
              <w:autoSpaceDE/>
              <w:autoSpaceDN/>
              <w:bidi w:val="0"/>
              <w:adjustRightInd w:val="0"/>
              <w:snapToGrid w:val="0"/>
              <w:spacing w:before="157" w:beforeLines="50" w:line="372" w:lineRule="auto"/>
              <w:ind w:firstLine="480" w:firstLineChars="200"/>
              <w:textAlignment w:val="auto"/>
              <w:rPr>
                <w:bCs/>
                <w:color w:val="auto"/>
                <w:sz w:val="24"/>
              </w:rPr>
            </w:pPr>
            <w:r>
              <w:rPr>
                <w:bCs/>
                <w:color w:val="auto"/>
                <w:sz w:val="24"/>
              </w:rPr>
              <w:t>1、环境风险潜势判断</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项目生产过程中涉及的环境风险物质为</w:t>
            </w:r>
            <w:r>
              <w:rPr>
                <w:rFonts w:hint="eastAsia"/>
                <w:bCs/>
                <w:color w:val="auto"/>
                <w:sz w:val="24"/>
              </w:rPr>
              <w:t>废活性炭，</w:t>
            </w:r>
            <w:r>
              <w:rPr>
                <w:bCs/>
                <w:color w:val="auto"/>
                <w:sz w:val="24"/>
              </w:rPr>
              <w:t>根据《建设项目环境风险评价技术导则》</w:t>
            </w:r>
            <w:r>
              <w:rPr>
                <w:rFonts w:hint="eastAsia"/>
                <w:bCs/>
                <w:color w:val="auto"/>
                <w:sz w:val="24"/>
              </w:rPr>
              <w:t>（</w:t>
            </w:r>
            <w:r>
              <w:rPr>
                <w:bCs/>
                <w:color w:val="auto"/>
                <w:sz w:val="24"/>
              </w:rPr>
              <w:t>HJ 169-2018）</w:t>
            </w:r>
            <w:r>
              <w:rPr>
                <w:rFonts w:hint="eastAsia"/>
                <w:bCs/>
                <w:color w:val="auto"/>
                <w:sz w:val="24"/>
              </w:rPr>
              <w:t>，废活性炭为危害水环境物质（急性毒性类别1），推荐临界量为100t</w:t>
            </w:r>
            <w:r>
              <w:rPr>
                <w:bCs/>
                <w:color w:val="auto"/>
                <w:sz w:val="24"/>
              </w:rPr>
              <w:t>。</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根据《建设项目环境风险评价技术导则》</w:t>
            </w:r>
            <w:r>
              <w:rPr>
                <w:rFonts w:hint="eastAsia"/>
                <w:bCs/>
                <w:color w:val="auto"/>
                <w:sz w:val="24"/>
              </w:rPr>
              <w:t>（</w:t>
            </w:r>
            <w:r>
              <w:rPr>
                <w:bCs/>
                <w:color w:val="auto"/>
                <w:sz w:val="24"/>
              </w:rPr>
              <w:t>HJ 169-2018）附录C1.1，</w:t>
            </w:r>
            <w:r>
              <w:rPr>
                <w:rFonts w:hint="eastAsia"/>
                <w:bCs/>
                <w:color w:val="auto"/>
                <w:sz w:val="24"/>
              </w:rPr>
              <w:t>“</w:t>
            </w:r>
            <w:r>
              <w:rPr>
                <w:bCs/>
                <w:color w:val="auto"/>
                <w:sz w:val="24"/>
              </w:rPr>
              <w:t>危险物质数量与临界量比值</w:t>
            </w:r>
            <w:r>
              <w:rPr>
                <w:rFonts w:hint="eastAsia"/>
                <w:bCs/>
                <w:color w:val="auto"/>
                <w:sz w:val="24"/>
              </w:rPr>
              <w:t>（</w:t>
            </w:r>
            <w:r>
              <w:rPr>
                <w:bCs/>
                <w:color w:val="auto"/>
                <w:sz w:val="24"/>
              </w:rPr>
              <w:t>Q）</w:t>
            </w:r>
            <w:r>
              <w:rPr>
                <w:rFonts w:hint="eastAsia"/>
                <w:bCs/>
                <w:color w:val="auto"/>
                <w:sz w:val="24"/>
              </w:rPr>
              <w:t>”</w:t>
            </w:r>
            <w:r>
              <w:rPr>
                <w:bCs/>
                <w:color w:val="auto"/>
                <w:sz w:val="24"/>
              </w:rPr>
              <w:t>：计算所涉及的每种风险物质在厂界内的最大存在总量与其在附录B中对应临界量的比值Q。在不同厂区的同一种物质，按其在厂界内的最大存在总量计算。</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①当只涉及一种危险物质时，计算该物质的总量与其临界量比值，即为Q；</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rFonts w:ascii="宋体" w:hAnsi="宋体" w:cs="宋体"/>
                <w:bCs/>
                <w:color w:val="auto"/>
                <w:sz w:val="24"/>
              </w:rPr>
            </w:pPr>
            <w:r>
              <w:rPr>
                <w:bCs/>
                <w:color w:val="auto"/>
                <w:sz w:val="24"/>
              </w:rPr>
              <w:t>②当存在多种危险物质时，则按式</w:t>
            </w:r>
            <w:r>
              <w:rPr>
                <w:rFonts w:hint="eastAsia"/>
                <w:bCs/>
                <w:color w:val="auto"/>
                <w:sz w:val="24"/>
              </w:rPr>
              <w:t>（</w:t>
            </w:r>
            <w:r>
              <w:rPr>
                <w:bCs/>
                <w:color w:val="auto"/>
                <w:sz w:val="24"/>
              </w:rPr>
              <w:t>C.1）计算物质总量与其临界量比值</w:t>
            </w:r>
            <w:r>
              <w:rPr>
                <w:rFonts w:hint="eastAsia"/>
                <w:bCs/>
                <w:color w:val="auto"/>
                <w:sz w:val="24"/>
              </w:rPr>
              <w:t>（</w:t>
            </w:r>
            <w:r>
              <w:rPr>
                <w:bCs/>
                <w:color w:val="auto"/>
                <w:sz w:val="24"/>
              </w:rPr>
              <w:t>Q）</w:t>
            </w:r>
            <w:r>
              <w:rPr>
                <w:rFonts w:hint="eastAsia" w:ascii="宋体" w:hAnsi="宋体" w:cs="宋体"/>
                <w:bCs/>
                <w:color w:val="auto"/>
                <w:sz w:val="24"/>
              </w:rPr>
              <w:t>。</w:t>
            </w:r>
          </w:p>
          <w:p>
            <w:pPr>
              <w:keepNext w:val="0"/>
              <w:keepLines/>
              <w:pageBreakBefore w:val="0"/>
              <w:widowControl w:val="0"/>
              <w:kinsoku/>
              <w:wordWrap/>
              <w:overflowPunct/>
              <w:topLinePunct w:val="0"/>
              <w:autoSpaceDE/>
              <w:autoSpaceDN/>
              <w:bidi w:val="0"/>
              <w:adjustRightInd w:val="0"/>
              <w:snapToGrid w:val="0"/>
              <w:spacing w:line="372" w:lineRule="auto"/>
              <w:jc w:val="center"/>
              <w:textAlignment w:val="auto"/>
              <w:rPr>
                <w:rFonts w:ascii="宋体" w:hAnsi="宋体" w:cs="宋体"/>
                <w:bCs/>
                <w:color w:val="auto"/>
                <w:sz w:val="24"/>
              </w:rPr>
            </w:pPr>
            <w:r>
              <w:rPr>
                <w:rFonts w:ascii="宋体" w:hAnsi="宋体" w:cs="宋体"/>
                <w:bCs/>
                <w:color w:val="auto"/>
                <w:position w:val="-30"/>
                <w:sz w:val="24"/>
              </w:rPr>
              <w:object>
                <v:shape id="_x0000_i1038" o:spt="75" type="#_x0000_t75" style="height:35.3pt;width:116.15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式中：q</w:t>
            </w:r>
            <w:r>
              <w:rPr>
                <w:bCs/>
                <w:color w:val="auto"/>
                <w:sz w:val="24"/>
                <w:vertAlign w:val="subscript"/>
              </w:rPr>
              <w:t>1</w:t>
            </w:r>
            <w:r>
              <w:rPr>
                <w:bCs/>
                <w:color w:val="auto"/>
                <w:sz w:val="24"/>
              </w:rPr>
              <w:t>，q</w:t>
            </w:r>
            <w:r>
              <w:rPr>
                <w:bCs/>
                <w:color w:val="auto"/>
                <w:sz w:val="24"/>
                <w:vertAlign w:val="subscript"/>
              </w:rPr>
              <w:t>2</w:t>
            </w:r>
            <w:r>
              <w:rPr>
                <w:bCs/>
                <w:color w:val="auto"/>
                <w:sz w:val="24"/>
              </w:rPr>
              <w:t>…q</w:t>
            </w:r>
            <w:r>
              <w:rPr>
                <w:bCs/>
                <w:color w:val="auto"/>
                <w:sz w:val="24"/>
                <w:vertAlign w:val="subscript"/>
              </w:rPr>
              <w:t>n</w:t>
            </w:r>
            <w:r>
              <w:rPr>
                <w:bCs/>
                <w:color w:val="auto"/>
                <w:sz w:val="24"/>
              </w:rPr>
              <w:t>为每种危险物质最大存在总量，t。</w:t>
            </w:r>
          </w:p>
          <w:p>
            <w:pPr>
              <w:keepNext w:val="0"/>
              <w:keepLines/>
              <w:pageBreakBefore w:val="0"/>
              <w:widowControl w:val="0"/>
              <w:kinsoku/>
              <w:wordWrap/>
              <w:overflowPunct/>
              <w:topLinePunct w:val="0"/>
              <w:autoSpaceDE/>
              <w:autoSpaceDN/>
              <w:bidi w:val="0"/>
              <w:adjustRightInd w:val="0"/>
              <w:snapToGrid w:val="0"/>
              <w:spacing w:line="372" w:lineRule="auto"/>
              <w:ind w:firstLine="1200" w:firstLineChars="500"/>
              <w:textAlignment w:val="auto"/>
              <w:rPr>
                <w:bCs/>
                <w:color w:val="auto"/>
                <w:sz w:val="24"/>
              </w:rPr>
            </w:pPr>
            <w:r>
              <w:rPr>
                <w:bCs/>
                <w:color w:val="auto"/>
                <w:sz w:val="24"/>
              </w:rPr>
              <w:t>Q</w:t>
            </w:r>
            <w:r>
              <w:rPr>
                <w:bCs/>
                <w:color w:val="auto"/>
                <w:sz w:val="24"/>
                <w:vertAlign w:val="subscript"/>
              </w:rPr>
              <w:t>1</w:t>
            </w:r>
            <w:r>
              <w:rPr>
                <w:bCs/>
                <w:color w:val="auto"/>
                <w:sz w:val="24"/>
              </w:rPr>
              <w:t>，Q</w:t>
            </w:r>
            <w:r>
              <w:rPr>
                <w:bCs/>
                <w:color w:val="auto"/>
                <w:sz w:val="24"/>
                <w:vertAlign w:val="subscript"/>
              </w:rPr>
              <w:t>2</w:t>
            </w:r>
            <w:r>
              <w:rPr>
                <w:bCs/>
                <w:color w:val="auto"/>
                <w:sz w:val="24"/>
              </w:rPr>
              <w:t>…Q</w:t>
            </w:r>
            <w:r>
              <w:rPr>
                <w:bCs/>
                <w:color w:val="auto"/>
                <w:sz w:val="24"/>
                <w:vertAlign w:val="subscript"/>
              </w:rPr>
              <w:t>n</w:t>
            </w:r>
            <w:r>
              <w:rPr>
                <w:bCs/>
                <w:color w:val="auto"/>
                <w:sz w:val="24"/>
              </w:rPr>
              <w:t>为每种危险物质的临界量，t。</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当Q＜1时，该项目环境风险潜势为I；</w:t>
            </w:r>
          </w:p>
          <w:p>
            <w:pPr>
              <w:keepNext w:val="0"/>
              <w:keepLines/>
              <w:pageBreakBefore w:val="0"/>
              <w:widowControl w:val="0"/>
              <w:kinsoku/>
              <w:wordWrap/>
              <w:overflowPunct/>
              <w:topLinePunct w:val="0"/>
              <w:autoSpaceDE/>
              <w:autoSpaceDN/>
              <w:bidi w:val="0"/>
              <w:adjustRightInd w:val="0"/>
              <w:snapToGrid w:val="0"/>
              <w:spacing w:line="372" w:lineRule="auto"/>
              <w:ind w:firstLine="480" w:firstLineChars="200"/>
              <w:textAlignment w:val="auto"/>
              <w:rPr>
                <w:bCs/>
                <w:color w:val="auto"/>
                <w:sz w:val="24"/>
              </w:rPr>
            </w:pPr>
            <w:r>
              <w:rPr>
                <w:bCs/>
                <w:color w:val="auto"/>
                <w:sz w:val="24"/>
              </w:rPr>
              <w:t>当Q≥1时，将Q值划分为：</w:t>
            </w:r>
            <w:r>
              <w:rPr>
                <w:rFonts w:hint="eastAsia"/>
                <w:bCs/>
                <w:color w:val="auto"/>
                <w:sz w:val="24"/>
              </w:rPr>
              <w:t>（</w:t>
            </w:r>
            <w:r>
              <w:rPr>
                <w:bCs/>
                <w:color w:val="auto"/>
                <w:sz w:val="24"/>
              </w:rPr>
              <w:t>1）1≤Q＜10；</w:t>
            </w:r>
            <w:r>
              <w:rPr>
                <w:rFonts w:hint="eastAsia"/>
                <w:bCs/>
                <w:color w:val="auto"/>
                <w:sz w:val="24"/>
              </w:rPr>
              <w:t>（</w:t>
            </w:r>
            <w:r>
              <w:rPr>
                <w:bCs/>
                <w:color w:val="auto"/>
                <w:sz w:val="24"/>
              </w:rPr>
              <w:t>2）10≤Q＜100；</w:t>
            </w:r>
            <w:r>
              <w:rPr>
                <w:rFonts w:hint="eastAsia"/>
                <w:bCs/>
                <w:color w:val="auto"/>
                <w:sz w:val="24"/>
              </w:rPr>
              <w:t>（</w:t>
            </w:r>
            <w:r>
              <w:rPr>
                <w:bCs/>
                <w:color w:val="auto"/>
                <w:sz w:val="24"/>
              </w:rPr>
              <w:t>3）Q≥100。</w:t>
            </w:r>
          </w:p>
          <w:p>
            <w:pPr>
              <w:keepLines/>
              <w:autoSpaceDE w:val="0"/>
              <w:autoSpaceDN w:val="0"/>
              <w:adjustRightInd w:val="0"/>
              <w:snapToGrid w:val="0"/>
              <w:jc w:val="center"/>
              <w:rPr>
                <w:b/>
                <w:bCs/>
                <w:color w:val="auto"/>
                <w:sz w:val="24"/>
              </w:rPr>
            </w:pPr>
            <w:r>
              <w:rPr>
                <w:rFonts w:hint="eastAsia"/>
                <w:b/>
                <w:bCs/>
                <w:color w:val="auto"/>
                <w:sz w:val="24"/>
              </w:rPr>
              <w:t>表4-2</w:t>
            </w:r>
            <w:r>
              <w:rPr>
                <w:rFonts w:hint="eastAsia"/>
                <w:b/>
                <w:bCs/>
                <w:color w:val="auto"/>
                <w:sz w:val="24"/>
                <w:lang w:val="en-US" w:eastAsia="zh-CN"/>
              </w:rPr>
              <w:t>2</w:t>
            </w:r>
            <w:r>
              <w:rPr>
                <w:rFonts w:hint="eastAsia"/>
                <w:b/>
                <w:bCs/>
                <w:color w:val="auto"/>
                <w:sz w:val="24"/>
              </w:rPr>
              <w:t xml:space="preserve">  危险物质量与临界量比值</w:t>
            </w:r>
          </w:p>
          <w:tbl>
            <w:tblPr>
              <w:tblStyle w:val="28"/>
              <w:tblW w:w="88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26"/>
              <w:gridCol w:w="1327"/>
              <w:gridCol w:w="1314"/>
              <w:gridCol w:w="1185"/>
              <w:gridCol w:w="1146"/>
              <w:gridCol w:w="1170"/>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dxa"/>
                  <w:vAlign w:val="center"/>
                </w:tcPr>
                <w:p>
                  <w:pPr>
                    <w:adjustRightInd w:val="0"/>
                    <w:snapToGrid w:val="0"/>
                    <w:jc w:val="center"/>
                    <w:rPr>
                      <w:b/>
                      <w:color w:val="auto"/>
                      <w:szCs w:val="21"/>
                    </w:rPr>
                  </w:pPr>
                  <w:r>
                    <w:rPr>
                      <w:b/>
                      <w:color w:val="auto"/>
                      <w:szCs w:val="21"/>
                    </w:rPr>
                    <w:t>序号</w:t>
                  </w:r>
                </w:p>
              </w:tc>
              <w:tc>
                <w:tcPr>
                  <w:tcW w:w="926" w:type="dxa"/>
                  <w:vAlign w:val="center"/>
                </w:tcPr>
                <w:p>
                  <w:pPr>
                    <w:adjustRightInd w:val="0"/>
                    <w:snapToGrid w:val="0"/>
                    <w:jc w:val="center"/>
                    <w:rPr>
                      <w:b/>
                      <w:color w:val="auto"/>
                      <w:szCs w:val="21"/>
                    </w:rPr>
                  </w:pPr>
                  <w:r>
                    <w:rPr>
                      <w:b/>
                      <w:color w:val="auto"/>
                      <w:szCs w:val="21"/>
                    </w:rPr>
                    <w:t>存储位置</w:t>
                  </w:r>
                </w:p>
              </w:tc>
              <w:tc>
                <w:tcPr>
                  <w:tcW w:w="1327" w:type="dxa"/>
                  <w:vAlign w:val="center"/>
                </w:tcPr>
                <w:p>
                  <w:pPr>
                    <w:adjustRightInd w:val="0"/>
                    <w:snapToGrid w:val="0"/>
                    <w:jc w:val="center"/>
                    <w:rPr>
                      <w:b/>
                      <w:color w:val="auto"/>
                      <w:szCs w:val="21"/>
                    </w:rPr>
                  </w:pPr>
                  <w:r>
                    <w:rPr>
                      <w:b/>
                      <w:color w:val="auto"/>
                      <w:szCs w:val="21"/>
                    </w:rPr>
                    <w:t>环境风险物质</w:t>
                  </w:r>
                </w:p>
              </w:tc>
              <w:tc>
                <w:tcPr>
                  <w:tcW w:w="1314" w:type="dxa"/>
                  <w:vAlign w:val="center"/>
                </w:tcPr>
                <w:p>
                  <w:pPr>
                    <w:adjustRightInd w:val="0"/>
                    <w:snapToGrid w:val="0"/>
                    <w:jc w:val="center"/>
                    <w:rPr>
                      <w:b/>
                      <w:color w:val="auto"/>
                      <w:szCs w:val="21"/>
                    </w:rPr>
                  </w:pPr>
                  <w:r>
                    <w:rPr>
                      <w:b/>
                      <w:color w:val="auto"/>
                      <w:szCs w:val="21"/>
                    </w:rPr>
                    <w:t>最大储存量（t）</w:t>
                  </w:r>
                </w:p>
              </w:tc>
              <w:tc>
                <w:tcPr>
                  <w:tcW w:w="1185" w:type="dxa"/>
                  <w:vAlign w:val="center"/>
                </w:tcPr>
                <w:p>
                  <w:pPr>
                    <w:adjustRightInd w:val="0"/>
                    <w:snapToGrid w:val="0"/>
                    <w:jc w:val="center"/>
                    <w:rPr>
                      <w:b/>
                      <w:color w:val="auto"/>
                      <w:szCs w:val="21"/>
                    </w:rPr>
                  </w:pPr>
                  <w:r>
                    <w:rPr>
                      <w:b/>
                      <w:color w:val="auto"/>
                      <w:szCs w:val="21"/>
                    </w:rPr>
                    <w:t>在线量（t）</w:t>
                  </w:r>
                </w:p>
              </w:tc>
              <w:tc>
                <w:tcPr>
                  <w:tcW w:w="1146" w:type="dxa"/>
                  <w:vAlign w:val="center"/>
                </w:tcPr>
                <w:p>
                  <w:pPr>
                    <w:adjustRightInd w:val="0"/>
                    <w:snapToGrid w:val="0"/>
                    <w:jc w:val="center"/>
                    <w:rPr>
                      <w:b/>
                      <w:color w:val="auto"/>
                      <w:szCs w:val="21"/>
                    </w:rPr>
                  </w:pPr>
                  <w:r>
                    <w:rPr>
                      <w:b/>
                      <w:color w:val="auto"/>
                      <w:szCs w:val="21"/>
                    </w:rPr>
                    <w:t>折算量（t）</w:t>
                  </w:r>
                </w:p>
              </w:tc>
              <w:tc>
                <w:tcPr>
                  <w:tcW w:w="1170" w:type="dxa"/>
                  <w:vAlign w:val="center"/>
                </w:tcPr>
                <w:p>
                  <w:pPr>
                    <w:adjustRightInd w:val="0"/>
                    <w:snapToGrid w:val="0"/>
                    <w:jc w:val="center"/>
                    <w:rPr>
                      <w:b/>
                      <w:color w:val="auto"/>
                      <w:szCs w:val="21"/>
                    </w:rPr>
                  </w:pPr>
                  <w:r>
                    <w:rPr>
                      <w:b/>
                      <w:color w:val="auto"/>
                      <w:szCs w:val="21"/>
                    </w:rPr>
                    <w:t>临界量（t）</w:t>
                  </w:r>
                </w:p>
              </w:tc>
              <w:tc>
                <w:tcPr>
                  <w:tcW w:w="1166" w:type="dxa"/>
                  <w:vAlign w:val="center"/>
                </w:tcPr>
                <w:p>
                  <w:pPr>
                    <w:adjustRightInd w:val="0"/>
                    <w:snapToGrid w:val="0"/>
                    <w:jc w:val="center"/>
                    <w:rPr>
                      <w:b/>
                      <w:color w:val="auto"/>
                      <w:szCs w:val="21"/>
                    </w:rPr>
                  </w:pPr>
                  <w:r>
                    <w:rPr>
                      <w:b/>
                      <w:color w:val="auto"/>
                      <w:szCs w:val="21"/>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dxa"/>
                  <w:vAlign w:val="center"/>
                </w:tcPr>
                <w:p>
                  <w:pPr>
                    <w:autoSpaceDE w:val="0"/>
                    <w:autoSpaceDN w:val="0"/>
                    <w:adjustRightInd w:val="0"/>
                    <w:snapToGrid w:val="0"/>
                    <w:jc w:val="center"/>
                    <w:rPr>
                      <w:color w:val="auto"/>
                      <w:szCs w:val="21"/>
                    </w:rPr>
                  </w:pPr>
                  <w:r>
                    <w:rPr>
                      <w:rFonts w:hint="eastAsia"/>
                      <w:color w:val="auto"/>
                      <w:szCs w:val="21"/>
                    </w:rPr>
                    <w:t>1</w:t>
                  </w:r>
                </w:p>
              </w:tc>
              <w:tc>
                <w:tcPr>
                  <w:tcW w:w="926" w:type="dxa"/>
                  <w:vAlign w:val="center"/>
                </w:tcPr>
                <w:p>
                  <w:pPr>
                    <w:adjustRightInd w:val="0"/>
                    <w:snapToGrid w:val="0"/>
                    <w:jc w:val="center"/>
                    <w:rPr>
                      <w:color w:val="auto"/>
                      <w:szCs w:val="21"/>
                    </w:rPr>
                  </w:pPr>
                  <w:r>
                    <w:rPr>
                      <w:color w:val="auto"/>
                      <w:szCs w:val="21"/>
                    </w:rPr>
                    <w:t>危废暂存间</w:t>
                  </w:r>
                </w:p>
              </w:tc>
              <w:tc>
                <w:tcPr>
                  <w:tcW w:w="1327" w:type="dxa"/>
                  <w:vAlign w:val="center"/>
                </w:tcPr>
                <w:p>
                  <w:pPr>
                    <w:adjustRightInd w:val="0"/>
                    <w:snapToGrid w:val="0"/>
                    <w:jc w:val="center"/>
                    <w:rPr>
                      <w:snapToGrid w:val="0"/>
                      <w:color w:val="auto"/>
                      <w:kern w:val="0"/>
                      <w:szCs w:val="21"/>
                    </w:rPr>
                  </w:pPr>
                  <w:r>
                    <w:rPr>
                      <w:snapToGrid w:val="0"/>
                      <w:color w:val="auto"/>
                      <w:kern w:val="0"/>
                      <w:szCs w:val="21"/>
                    </w:rPr>
                    <w:t>废活性炭</w:t>
                  </w:r>
                </w:p>
              </w:tc>
              <w:tc>
                <w:tcPr>
                  <w:tcW w:w="1314" w:type="dxa"/>
                  <w:vAlign w:val="center"/>
                </w:tcPr>
                <w:p>
                  <w:pPr>
                    <w:keepLines/>
                    <w:adjustRightInd w:val="0"/>
                    <w:snapToGrid w:val="0"/>
                    <w:jc w:val="center"/>
                    <w:rPr>
                      <w:rFonts w:hint="default" w:eastAsia="宋体"/>
                      <w:snapToGrid w:val="0"/>
                      <w:color w:val="auto"/>
                      <w:kern w:val="0"/>
                      <w:szCs w:val="21"/>
                      <w:lang w:val="en-US" w:eastAsia="zh-CN"/>
                    </w:rPr>
                  </w:pPr>
                  <w:r>
                    <w:rPr>
                      <w:rFonts w:hint="eastAsia"/>
                      <w:snapToGrid w:val="0"/>
                      <w:color w:val="auto"/>
                      <w:szCs w:val="21"/>
                    </w:rPr>
                    <w:t>0.99</w:t>
                  </w:r>
                  <w:r>
                    <w:rPr>
                      <w:rFonts w:hint="eastAsia"/>
                      <w:snapToGrid w:val="0"/>
                      <w:color w:val="auto"/>
                      <w:szCs w:val="21"/>
                      <w:lang w:val="en-US" w:eastAsia="zh-CN"/>
                    </w:rPr>
                    <w:t>51</w:t>
                  </w:r>
                </w:p>
              </w:tc>
              <w:tc>
                <w:tcPr>
                  <w:tcW w:w="1185" w:type="dxa"/>
                  <w:vAlign w:val="center"/>
                </w:tcPr>
                <w:p>
                  <w:pPr>
                    <w:adjustRightInd w:val="0"/>
                    <w:snapToGrid w:val="0"/>
                    <w:jc w:val="center"/>
                    <w:rPr>
                      <w:color w:val="auto"/>
                      <w:szCs w:val="21"/>
                    </w:rPr>
                  </w:pPr>
                  <w:r>
                    <w:rPr>
                      <w:color w:val="auto"/>
                      <w:szCs w:val="21"/>
                    </w:rPr>
                    <w:t>/</w:t>
                  </w:r>
                </w:p>
              </w:tc>
              <w:tc>
                <w:tcPr>
                  <w:tcW w:w="1146" w:type="dxa"/>
                  <w:vAlign w:val="center"/>
                </w:tcPr>
                <w:p>
                  <w:pPr>
                    <w:pStyle w:val="46"/>
                    <w:keepLines/>
                    <w:spacing w:before="0" w:beforeLines="0" w:afterLines="0" w:line="240" w:lineRule="auto"/>
                    <w:ind w:left="0" w:leftChars="0" w:firstLine="0" w:firstLineChars="0"/>
                    <w:jc w:val="center"/>
                    <w:textAlignment w:val="auto"/>
                    <w:rPr>
                      <w:rFonts w:hint="default" w:ascii="Times New Roman" w:hAnsi="Times New Roman" w:eastAsia="宋体"/>
                      <w:snapToGrid w:val="0"/>
                      <w:color w:val="auto"/>
                      <w:szCs w:val="21"/>
                      <w:lang w:val="en-US" w:eastAsia="zh-CN"/>
                    </w:rPr>
                  </w:pPr>
                  <w:r>
                    <w:rPr>
                      <w:rFonts w:hint="eastAsia" w:ascii="Times New Roman" w:hAnsi="Times New Roman"/>
                      <w:snapToGrid w:val="0"/>
                      <w:color w:val="auto"/>
                      <w:szCs w:val="21"/>
                    </w:rPr>
                    <w:t>0.99</w:t>
                  </w:r>
                  <w:r>
                    <w:rPr>
                      <w:rFonts w:hint="eastAsia"/>
                      <w:snapToGrid w:val="0"/>
                      <w:color w:val="auto"/>
                      <w:szCs w:val="21"/>
                      <w:lang w:val="en-US" w:eastAsia="zh-CN"/>
                    </w:rPr>
                    <w:t>51</w:t>
                  </w:r>
                </w:p>
              </w:tc>
              <w:tc>
                <w:tcPr>
                  <w:tcW w:w="1170" w:type="dxa"/>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100</w:t>
                  </w:r>
                </w:p>
              </w:tc>
              <w:tc>
                <w:tcPr>
                  <w:tcW w:w="1166" w:type="dxa"/>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0.0099</w:t>
                  </w:r>
                  <w:r>
                    <w:rPr>
                      <w:rFonts w:hint="eastAsia"/>
                      <w:color w:val="auto"/>
                      <w:kern w:val="0"/>
                      <w:szCs w:val="21"/>
                      <w:lang w:val="en-US" w:eastAsia="zh-CN" w:bidi="ar"/>
                    </w:rPr>
                    <w:t>5</w:t>
                  </w:r>
                  <w:r>
                    <w:rPr>
                      <w:rFonts w:hint="eastAsia"/>
                      <w:color w:val="auto"/>
                      <w:kern w:val="0"/>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11" w:type="dxa"/>
                  <w:gridSpan w:val="7"/>
                  <w:vAlign w:val="center"/>
                </w:tcPr>
                <w:p>
                  <w:pPr>
                    <w:autoSpaceDE w:val="0"/>
                    <w:autoSpaceDN w:val="0"/>
                    <w:adjustRightInd w:val="0"/>
                    <w:snapToGrid w:val="0"/>
                    <w:jc w:val="center"/>
                    <w:rPr>
                      <w:color w:val="auto"/>
                      <w:szCs w:val="21"/>
                    </w:rPr>
                  </w:pPr>
                  <w:r>
                    <w:rPr>
                      <w:color w:val="auto"/>
                      <w:szCs w:val="21"/>
                    </w:rPr>
                    <w:t>合计</w:t>
                  </w:r>
                </w:p>
              </w:tc>
              <w:tc>
                <w:tcPr>
                  <w:tcW w:w="1166" w:type="dxa"/>
                  <w:vAlign w:val="center"/>
                </w:tcPr>
                <w:p>
                  <w:pPr>
                    <w:widowControl/>
                    <w:adjustRightInd w:val="0"/>
                    <w:snapToGrid w:val="0"/>
                    <w:jc w:val="center"/>
                    <w:textAlignment w:val="center"/>
                    <w:rPr>
                      <w:bCs/>
                      <w:color w:val="auto"/>
                      <w:szCs w:val="21"/>
                    </w:rPr>
                  </w:pPr>
                  <w:r>
                    <w:rPr>
                      <w:rFonts w:hint="eastAsia"/>
                      <w:color w:val="auto"/>
                      <w:kern w:val="0"/>
                      <w:szCs w:val="21"/>
                      <w:lang w:bidi="ar"/>
                    </w:rPr>
                    <w:t>0.0099</w:t>
                  </w:r>
                  <w:r>
                    <w:rPr>
                      <w:rFonts w:hint="eastAsia"/>
                      <w:color w:val="auto"/>
                      <w:kern w:val="0"/>
                      <w:szCs w:val="21"/>
                      <w:lang w:val="en-US" w:eastAsia="zh-CN" w:bidi="ar"/>
                    </w:rPr>
                    <w:t>5</w:t>
                  </w:r>
                  <w:r>
                    <w:rPr>
                      <w:rFonts w:hint="eastAsia"/>
                      <w:color w:val="auto"/>
                      <w:kern w:val="0"/>
                      <w:szCs w:val="21"/>
                      <w:lang w:bidi="ar"/>
                    </w:rPr>
                    <w:t>1</w:t>
                  </w:r>
                </w:p>
              </w:tc>
            </w:tr>
          </w:tbl>
          <w:p>
            <w:pPr>
              <w:keepLines/>
              <w:adjustRightInd w:val="0"/>
              <w:snapToGrid w:val="0"/>
              <w:spacing w:before="120" w:beforeLines="50" w:line="372" w:lineRule="auto"/>
              <w:ind w:firstLine="480" w:firstLineChars="200"/>
              <w:rPr>
                <w:bCs/>
                <w:color w:val="auto"/>
                <w:sz w:val="24"/>
              </w:rPr>
            </w:pPr>
            <w:r>
              <w:rPr>
                <w:bCs/>
                <w:color w:val="auto"/>
                <w:sz w:val="24"/>
              </w:rPr>
              <w:t>经计算，项目涉及的危险物质量与临界量的比值Q=</w:t>
            </w:r>
            <w:r>
              <w:rPr>
                <w:rFonts w:hint="eastAsia"/>
                <w:bCs/>
                <w:color w:val="auto"/>
                <w:sz w:val="24"/>
              </w:rPr>
              <w:t>0.0099</w:t>
            </w:r>
            <w:r>
              <w:rPr>
                <w:rFonts w:hint="eastAsia"/>
                <w:bCs/>
                <w:color w:val="auto"/>
                <w:sz w:val="24"/>
                <w:lang w:val="en-US" w:eastAsia="zh-CN"/>
              </w:rPr>
              <w:t>5</w:t>
            </w:r>
            <w:r>
              <w:rPr>
                <w:rFonts w:hint="eastAsia"/>
                <w:bCs/>
                <w:color w:val="auto"/>
                <w:sz w:val="24"/>
              </w:rPr>
              <w:t>1</w:t>
            </w:r>
            <w:r>
              <w:rPr>
                <w:bCs/>
                <w:color w:val="auto"/>
                <w:sz w:val="24"/>
              </w:rPr>
              <w:t>＜1</w:t>
            </w:r>
            <w:r>
              <w:rPr>
                <w:rFonts w:hint="eastAsia"/>
                <w:bCs/>
                <w:color w:val="auto"/>
                <w:sz w:val="24"/>
              </w:rPr>
              <w:t>，故无需设置环境风险专项评价</w:t>
            </w:r>
            <w:r>
              <w:rPr>
                <w:bCs/>
                <w:color w:val="auto"/>
                <w:sz w:val="24"/>
              </w:rPr>
              <w:t>，风险评价工作级别为简单分析，只对事故风险影响进行简要分析，提出防范、减缓和应急措施。</w:t>
            </w:r>
          </w:p>
          <w:p>
            <w:pPr>
              <w:keepNext w:val="0"/>
              <w:keepLines/>
              <w:pageBreakBefore w:val="0"/>
              <w:widowControl w:val="0"/>
              <w:kinsoku/>
              <w:wordWrap/>
              <w:overflowPunct/>
              <w:topLinePunct w:val="0"/>
              <w:autoSpaceDE w:val="0"/>
              <w:autoSpaceDN w:val="0"/>
              <w:bidi w:val="0"/>
              <w:adjustRightInd w:val="0"/>
              <w:snapToGrid w:val="0"/>
              <w:jc w:val="center"/>
              <w:textAlignment w:val="auto"/>
              <w:rPr>
                <w:rFonts w:hint="eastAsia"/>
                <w:b/>
                <w:bCs/>
                <w:color w:val="auto"/>
                <w:sz w:val="24"/>
              </w:rPr>
            </w:pPr>
          </w:p>
          <w:p>
            <w:pPr>
              <w:keepNext w:val="0"/>
              <w:keepLines/>
              <w:pageBreakBefore w:val="0"/>
              <w:widowControl w:val="0"/>
              <w:kinsoku/>
              <w:wordWrap/>
              <w:overflowPunct/>
              <w:topLinePunct w:val="0"/>
              <w:autoSpaceDE w:val="0"/>
              <w:autoSpaceDN w:val="0"/>
              <w:bidi w:val="0"/>
              <w:adjustRightInd w:val="0"/>
              <w:snapToGrid w:val="0"/>
              <w:jc w:val="center"/>
              <w:textAlignment w:val="auto"/>
              <w:rPr>
                <w:rFonts w:hint="eastAsia"/>
                <w:b/>
                <w:bCs/>
                <w:color w:val="auto"/>
                <w:sz w:val="24"/>
              </w:rPr>
            </w:pPr>
          </w:p>
          <w:p>
            <w:pPr>
              <w:keepNext w:val="0"/>
              <w:keepLines/>
              <w:pageBreakBefore w:val="0"/>
              <w:widowControl w:val="0"/>
              <w:kinsoku/>
              <w:wordWrap/>
              <w:overflowPunct/>
              <w:topLinePunct w:val="0"/>
              <w:autoSpaceDE w:val="0"/>
              <w:autoSpaceDN w:val="0"/>
              <w:bidi w:val="0"/>
              <w:adjustRightInd w:val="0"/>
              <w:snapToGrid w:val="0"/>
              <w:jc w:val="center"/>
              <w:textAlignment w:val="auto"/>
              <w:rPr>
                <w:rFonts w:hint="eastAsia"/>
                <w:b/>
                <w:bCs/>
                <w:color w:val="auto"/>
                <w:sz w:val="24"/>
              </w:rPr>
            </w:pPr>
          </w:p>
          <w:p>
            <w:pPr>
              <w:keepNext w:val="0"/>
              <w:keepLines/>
              <w:pageBreakBefore w:val="0"/>
              <w:widowControl w:val="0"/>
              <w:kinsoku/>
              <w:wordWrap/>
              <w:overflowPunct/>
              <w:topLinePunct w:val="0"/>
              <w:autoSpaceDE w:val="0"/>
              <w:autoSpaceDN w:val="0"/>
              <w:bidi w:val="0"/>
              <w:adjustRightInd w:val="0"/>
              <w:snapToGrid w:val="0"/>
              <w:spacing w:before="157" w:beforeLines="50"/>
              <w:jc w:val="center"/>
              <w:textAlignment w:val="auto"/>
              <w:rPr>
                <w:b/>
                <w:bCs/>
                <w:color w:val="auto"/>
                <w:sz w:val="24"/>
              </w:rPr>
            </w:pPr>
            <w:r>
              <w:rPr>
                <w:rFonts w:hint="eastAsia"/>
                <w:b/>
                <w:bCs/>
                <w:color w:val="auto"/>
                <w:sz w:val="24"/>
              </w:rPr>
              <w:t>表4-2</w:t>
            </w:r>
            <w:r>
              <w:rPr>
                <w:rFonts w:hint="eastAsia"/>
                <w:b/>
                <w:bCs/>
                <w:color w:val="auto"/>
                <w:sz w:val="24"/>
                <w:lang w:val="en-US" w:eastAsia="zh-CN"/>
              </w:rPr>
              <w:t>3</w:t>
            </w:r>
            <w:r>
              <w:rPr>
                <w:rFonts w:hint="eastAsia"/>
                <w:b/>
                <w:bCs/>
                <w:color w:val="auto"/>
                <w:sz w:val="24"/>
              </w:rPr>
              <w:t xml:space="preserve">  建设项目环境风险简单分析内容表</w:t>
            </w:r>
          </w:p>
          <w:tbl>
            <w:tblPr>
              <w:tblStyle w:val="28"/>
              <w:tblW w:w="88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1020"/>
              <w:gridCol w:w="1680"/>
              <w:gridCol w:w="1080"/>
              <w:gridCol w:w="2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建设项目名称</w:t>
                  </w:r>
                </w:p>
              </w:tc>
              <w:tc>
                <w:tcPr>
                  <w:tcW w:w="6100" w:type="dxa"/>
                  <w:gridSpan w:val="4"/>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智能显温器材生产项目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建设地点</w:t>
                  </w:r>
                </w:p>
              </w:tc>
              <w:tc>
                <w:tcPr>
                  <w:tcW w:w="1020" w:type="dxa"/>
                  <w:vAlign w:val="center"/>
                </w:tcPr>
                <w:p>
                  <w:pPr>
                    <w:pStyle w:val="2"/>
                    <w:keepNext w:val="0"/>
                    <w:keepLines/>
                    <w:numPr>
                      <w:ilvl w:val="0"/>
                      <w:numId w:val="0"/>
                    </w:numPr>
                    <w:overflowPunct/>
                    <w:spacing w:after="0" w:line="240" w:lineRule="auto"/>
                    <w:rPr>
                      <w:color w:val="auto"/>
                      <w:sz w:val="21"/>
                      <w:szCs w:val="21"/>
                    </w:rPr>
                  </w:pPr>
                  <w:r>
                    <w:rPr>
                      <w:color w:val="auto"/>
                      <w:sz w:val="21"/>
                      <w:szCs w:val="21"/>
                    </w:rPr>
                    <w:t>安徽省</w:t>
                  </w:r>
                </w:p>
              </w:tc>
              <w:tc>
                <w:tcPr>
                  <w:tcW w:w="1680" w:type="dxa"/>
                  <w:vAlign w:val="center"/>
                </w:tcPr>
                <w:p>
                  <w:pPr>
                    <w:pStyle w:val="2"/>
                    <w:keepNext w:val="0"/>
                    <w:keepLines/>
                    <w:numPr>
                      <w:ilvl w:val="0"/>
                      <w:numId w:val="0"/>
                    </w:numPr>
                    <w:overflowPunct/>
                    <w:spacing w:after="0" w:line="240" w:lineRule="auto"/>
                    <w:rPr>
                      <w:color w:val="auto"/>
                      <w:sz w:val="21"/>
                      <w:szCs w:val="21"/>
                    </w:rPr>
                  </w:pPr>
                  <w:r>
                    <w:rPr>
                      <w:color w:val="auto"/>
                      <w:sz w:val="21"/>
                      <w:szCs w:val="21"/>
                    </w:rPr>
                    <w:t>蚌埠市</w:t>
                  </w:r>
                </w:p>
              </w:tc>
              <w:tc>
                <w:tcPr>
                  <w:tcW w:w="1080" w:type="dxa"/>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固镇县</w:t>
                  </w:r>
                </w:p>
              </w:tc>
              <w:tc>
                <w:tcPr>
                  <w:tcW w:w="2320" w:type="dxa"/>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新马桥镇铜陵产业园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地理坐标</w:t>
                  </w:r>
                </w:p>
              </w:tc>
              <w:tc>
                <w:tcPr>
                  <w:tcW w:w="1020" w:type="dxa"/>
                  <w:vAlign w:val="center"/>
                </w:tcPr>
                <w:p>
                  <w:pPr>
                    <w:pStyle w:val="2"/>
                    <w:keepNext w:val="0"/>
                    <w:keepLines/>
                    <w:numPr>
                      <w:ilvl w:val="0"/>
                      <w:numId w:val="0"/>
                    </w:numPr>
                    <w:overflowPunct/>
                    <w:spacing w:after="0" w:line="240" w:lineRule="auto"/>
                    <w:rPr>
                      <w:color w:val="auto"/>
                      <w:sz w:val="21"/>
                      <w:szCs w:val="21"/>
                    </w:rPr>
                  </w:pPr>
                  <w:r>
                    <w:rPr>
                      <w:color w:val="auto"/>
                      <w:sz w:val="21"/>
                      <w:szCs w:val="21"/>
                    </w:rPr>
                    <w:t>经度</w:t>
                  </w:r>
                </w:p>
              </w:tc>
              <w:tc>
                <w:tcPr>
                  <w:tcW w:w="1680" w:type="dxa"/>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117.40287308°</w:t>
                  </w:r>
                </w:p>
              </w:tc>
              <w:tc>
                <w:tcPr>
                  <w:tcW w:w="1080" w:type="dxa"/>
                  <w:vAlign w:val="center"/>
                </w:tcPr>
                <w:p>
                  <w:pPr>
                    <w:pStyle w:val="2"/>
                    <w:keepNext w:val="0"/>
                    <w:keepLines/>
                    <w:numPr>
                      <w:ilvl w:val="0"/>
                      <w:numId w:val="0"/>
                    </w:numPr>
                    <w:overflowPunct/>
                    <w:spacing w:after="0" w:line="240" w:lineRule="auto"/>
                    <w:rPr>
                      <w:color w:val="auto"/>
                      <w:sz w:val="21"/>
                      <w:szCs w:val="21"/>
                    </w:rPr>
                  </w:pPr>
                  <w:r>
                    <w:rPr>
                      <w:color w:val="auto"/>
                      <w:sz w:val="21"/>
                      <w:szCs w:val="21"/>
                    </w:rPr>
                    <w:t>纬度</w:t>
                  </w:r>
                </w:p>
              </w:tc>
              <w:tc>
                <w:tcPr>
                  <w:tcW w:w="2320" w:type="dxa"/>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33.11412228°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主要危险物质及分布</w:t>
                  </w:r>
                </w:p>
              </w:tc>
              <w:tc>
                <w:tcPr>
                  <w:tcW w:w="6100" w:type="dxa"/>
                  <w:gridSpan w:val="4"/>
                  <w:vAlign w:val="center"/>
                </w:tcPr>
                <w:p>
                  <w:pPr>
                    <w:pStyle w:val="68"/>
                    <w:keepLines/>
                    <w:adjustRightInd w:val="0"/>
                    <w:snapToGrid w:val="0"/>
                    <w:spacing w:line="240" w:lineRule="auto"/>
                    <w:jc w:val="center"/>
                    <w:rPr>
                      <w:color w:val="auto"/>
                      <w:szCs w:val="21"/>
                    </w:rPr>
                  </w:pPr>
                  <w:r>
                    <w:rPr>
                      <w:rFonts w:hint="eastAsia"/>
                      <w:color w:val="auto"/>
                      <w:szCs w:val="21"/>
                    </w:rPr>
                    <w:t>废活性炭分布于危废暂存间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环境影响途径及危害后果（大气、地表水、地下水等）</w:t>
                  </w:r>
                </w:p>
              </w:tc>
              <w:tc>
                <w:tcPr>
                  <w:tcW w:w="6100" w:type="dxa"/>
                  <w:gridSpan w:val="4"/>
                  <w:vAlign w:val="center"/>
                </w:tcPr>
                <w:p>
                  <w:pPr>
                    <w:pStyle w:val="2"/>
                    <w:keepNext w:val="0"/>
                    <w:keepLines/>
                    <w:numPr>
                      <w:ilvl w:val="0"/>
                      <w:numId w:val="0"/>
                    </w:numPr>
                    <w:overflowPunct/>
                    <w:spacing w:after="0" w:line="240" w:lineRule="auto"/>
                    <w:rPr>
                      <w:color w:val="auto"/>
                      <w:sz w:val="21"/>
                      <w:szCs w:val="21"/>
                    </w:rPr>
                  </w:pPr>
                  <w:r>
                    <w:rPr>
                      <w:rFonts w:hint="eastAsia"/>
                      <w:color w:val="auto"/>
                      <w:sz w:val="21"/>
                      <w:szCs w:val="21"/>
                    </w:rPr>
                    <w:t>废活性炭</w:t>
                  </w:r>
                  <w:r>
                    <w:rPr>
                      <w:color w:val="auto"/>
                      <w:sz w:val="21"/>
                      <w:szCs w:val="21"/>
                    </w:rPr>
                    <w:t>发生</w:t>
                  </w:r>
                  <w:r>
                    <w:rPr>
                      <w:rFonts w:hint="eastAsia"/>
                      <w:color w:val="auto"/>
                      <w:sz w:val="21"/>
                      <w:szCs w:val="21"/>
                    </w:rPr>
                    <w:t>散落</w:t>
                  </w:r>
                  <w:r>
                    <w:rPr>
                      <w:color w:val="auto"/>
                      <w:sz w:val="21"/>
                      <w:szCs w:val="21"/>
                    </w:rPr>
                    <w:t>时会造成土壤和地下水污染</w:t>
                  </w: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3" w:type="dxa"/>
                  <w:vAlign w:val="center"/>
                </w:tcPr>
                <w:p>
                  <w:pPr>
                    <w:pStyle w:val="2"/>
                    <w:keepNext w:val="0"/>
                    <w:keepLines/>
                    <w:numPr>
                      <w:ilvl w:val="0"/>
                      <w:numId w:val="0"/>
                    </w:numPr>
                    <w:overflowPunct/>
                    <w:spacing w:after="0" w:line="240" w:lineRule="auto"/>
                    <w:rPr>
                      <w:b/>
                      <w:color w:val="auto"/>
                      <w:sz w:val="21"/>
                      <w:szCs w:val="21"/>
                    </w:rPr>
                  </w:pPr>
                  <w:r>
                    <w:rPr>
                      <w:b/>
                      <w:color w:val="auto"/>
                      <w:sz w:val="21"/>
                      <w:szCs w:val="21"/>
                    </w:rPr>
                    <w:t>风险防范措施要求</w:t>
                  </w:r>
                </w:p>
              </w:tc>
              <w:tc>
                <w:tcPr>
                  <w:tcW w:w="6100" w:type="dxa"/>
                  <w:gridSpan w:val="4"/>
                  <w:vAlign w:val="center"/>
                </w:tcPr>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①储存物存放处设置明显的标志。</w:t>
                  </w:r>
                </w:p>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②对各类原料按计划采购、分期分批入库，严格控制贮存量。</w:t>
                  </w:r>
                </w:p>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③对各类火种、火源和有散发火花危险的机械设备、作业活动，以及可燃、易燃物品的控制和管理。</w:t>
                  </w:r>
                </w:p>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④实行安全检查制度，各类安全设施、消防器材，进行各种日常的、定期的、专业的防火安全检查，并将发现的问题定人、限期落实整改。</w:t>
                  </w:r>
                </w:p>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⑤制定各种操作规范，加强监督管理，严格看管检查制度，避免事故的发生。</w:t>
                  </w:r>
                </w:p>
                <w:p>
                  <w:pPr>
                    <w:keepLines/>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⑥在事故状态下，由于管理、失误操作等原因，可能会导致泄漏的物料、</w:t>
                  </w:r>
                  <w:r>
                    <w:rPr>
                      <w:rFonts w:hint="eastAsia" w:ascii="宋体" w:hAnsi="宋体" w:cs="宋体"/>
                      <w:color w:val="auto"/>
                      <w:kern w:val="0"/>
                      <w:szCs w:val="21"/>
                      <w:lang w:bidi="zh-CN"/>
                    </w:rPr>
                    <w:t>生产废水</w:t>
                  </w:r>
                  <w:r>
                    <w:rPr>
                      <w:rFonts w:hint="eastAsia" w:ascii="宋体" w:hAnsi="宋体" w:cs="宋体"/>
                      <w:color w:val="auto"/>
                      <w:kern w:val="0"/>
                      <w:szCs w:val="21"/>
                      <w:lang w:val="zh-CN" w:bidi="zh-CN"/>
                    </w:rPr>
                    <w:t>和消防污水通过净下水（雨水）系统从雨水排口进入外部水体，污染地表水体。为防止消防废水、</w:t>
                  </w:r>
                  <w:r>
                    <w:rPr>
                      <w:rFonts w:hint="eastAsia" w:ascii="宋体" w:hAnsi="宋体" w:cs="宋体"/>
                      <w:color w:val="auto"/>
                      <w:kern w:val="0"/>
                      <w:szCs w:val="21"/>
                      <w:lang w:bidi="zh-CN"/>
                    </w:rPr>
                    <w:t>生产废水</w:t>
                  </w:r>
                  <w:r>
                    <w:rPr>
                      <w:rFonts w:hint="eastAsia" w:ascii="宋体" w:hAnsi="宋体" w:cs="宋体"/>
                      <w:color w:val="auto"/>
                      <w:kern w:val="0"/>
                      <w:szCs w:val="21"/>
                      <w:lang w:val="zh-CN" w:bidi="zh-CN"/>
                    </w:rPr>
                    <w:t>等从雨排口或清下水排口直接排出，在排水管网（包括雨水管网、污水管网）全部设置切断装置，必要时立即切断所有排水管网（包括雨水管网、污水管网），严防未经处理的事故废水排入区域地表水体。</w:t>
                  </w:r>
                </w:p>
                <w:p>
                  <w:pPr>
                    <w:pStyle w:val="2"/>
                    <w:keepNext w:val="0"/>
                    <w:keepLines/>
                    <w:numPr>
                      <w:ilvl w:val="0"/>
                      <w:numId w:val="0"/>
                    </w:numPr>
                    <w:overflowPunct/>
                    <w:spacing w:after="0" w:line="240" w:lineRule="auto"/>
                    <w:jc w:val="both"/>
                    <w:rPr>
                      <w:color w:val="auto"/>
                      <w:sz w:val="21"/>
                      <w:szCs w:val="21"/>
                    </w:rPr>
                  </w:pPr>
                  <w:r>
                    <w:rPr>
                      <w:rFonts w:hint="eastAsia" w:ascii="宋体" w:hAnsi="宋体" w:cs="宋体"/>
                      <w:color w:val="auto"/>
                      <w:kern w:val="0"/>
                      <w:sz w:val="21"/>
                      <w:szCs w:val="21"/>
                      <w:lang w:val="zh-CN" w:bidi="zh-CN"/>
                    </w:rPr>
                    <w:t>⑦制定、落实事故风险应急预案</w:t>
                  </w:r>
                  <w:r>
                    <w:rPr>
                      <w:color w:val="auto"/>
                    </w:rPr>
                    <w:t>。</w:t>
                  </w:r>
                </w:p>
              </w:tc>
            </w:tr>
          </w:tbl>
          <w:p>
            <w:pPr>
              <w:keepLines/>
              <w:adjustRightInd w:val="0"/>
              <w:snapToGrid w:val="0"/>
              <w:spacing w:before="120" w:beforeLines="50" w:line="384" w:lineRule="auto"/>
              <w:ind w:firstLine="482" w:firstLineChars="200"/>
              <w:outlineLvl w:val="2"/>
              <w:rPr>
                <w:rFonts w:ascii="宋体" w:hAnsi="宋体" w:cs="宋体"/>
                <w:color w:val="auto"/>
                <w:sz w:val="24"/>
              </w:rPr>
            </w:pPr>
            <w:r>
              <w:rPr>
                <w:rFonts w:hint="eastAsia" w:ascii="宋体" w:hAnsi="宋体" w:cs="宋体"/>
                <w:b/>
                <w:bCs/>
                <w:color w:val="auto"/>
                <w:sz w:val="24"/>
              </w:rPr>
              <w:t>七、项目环保投资</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本项目总投资</w:t>
            </w:r>
            <w:r>
              <w:rPr>
                <w:rFonts w:hint="eastAsia"/>
                <w:color w:val="auto"/>
                <w:sz w:val="24"/>
              </w:rPr>
              <w:t>1000万元</w:t>
            </w:r>
            <w:r>
              <w:rPr>
                <w:color w:val="auto"/>
                <w:sz w:val="24"/>
              </w:rPr>
              <w:t>，环保投资约</w:t>
            </w:r>
            <w:r>
              <w:rPr>
                <w:rFonts w:hint="eastAsia"/>
                <w:color w:val="auto"/>
                <w:sz w:val="24"/>
              </w:rPr>
              <w:t>27.5</w:t>
            </w:r>
            <w:r>
              <w:rPr>
                <w:color w:val="auto"/>
                <w:sz w:val="24"/>
              </w:rPr>
              <w:t>万元，占投资总额</w:t>
            </w:r>
            <w:r>
              <w:rPr>
                <w:rFonts w:hint="eastAsia"/>
                <w:color w:val="auto"/>
                <w:sz w:val="24"/>
              </w:rPr>
              <w:t>2.75%</w:t>
            </w:r>
            <w:r>
              <w:rPr>
                <w:color w:val="auto"/>
                <w:sz w:val="24"/>
              </w:rPr>
              <w:t>。</w:t>
            </w:r>
          </w:p>
          <w:p>
            <w:pPr>
              <w:keepLines/>
              <w:autoSpaceDE w:val="0"/>
              <w:autoSpaceDN w:val="0"/>
              <w:adjustRightInd w:val="0"/>
              <w:snapToGrid w:val="0"/>
              <w:jc w:val="center"/>
              <w:rPr>
                <w:b/>
                <w:bCs/>
                <w:color w:val="auto"/>
                <w:sz w:val="24"/>
              </w:rPr>
            </w:pPr>
            <w:r>
              <w:rPr>
                <w:rFonts w:hint="eastAsia"/>
                <w:b/>
                <w:bCs/>
                <w:color w:val="auto"/>
                <w:sz w:val="24"/>
              </w:rPr>
              <w:t>表4-2</w:t>
            </w:r>
            <w:r>
              <w:rPr>
                <w:rFonts w:hint="eastAsia"/>
                <w:b/>
                <w:bCs/>
                <w:color w:val="auto"/>
                <w:sz w:val="24"/>
                <w:lang w:val="en-US" w:eastAsia="zh-CN"/>
              </w:rPr>
              <w:t>4</w:t>
            </w:r>
            <w:r>
              <w:rPr>
                <w:rFonts w:hint="eastAsia"/>
                <w:b/>
                <w:bCs/>
                <w:color w:val="auto"/>
                <w:sz w:val="24"/>
              </w:rPr>
              <w:t xml:space="preserve">  环保投资一览表</w:t>
            </w:r>
          </w:p>
          <w:tbl>
            <w:tblPr>
              <w:tblStyle w:val="28"/>
              <w:tblW w:w="88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60"/>
              <w:gridCol w:w="2248"/>
              <w:gridCol w:w="3752"/>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b/>
                      <w:bCs/>
                      <w:color w:val="auto"/>
                      <w:kern w:val="24"/>
                      <w:szCs w:val="21"/>
                    </w:rPr>
                  </w:pPr>
                  <w:r>
                    <w:rPr>
                      <w:b/>
                      <w:bCs/>
                      <w:color w:val="auto"/>
                      <w:kern w:val="24"/>
                      <w:szCs w:val="21"/>
                    </w:rPr>
                    <w:t>序号</w:t>
                  </w:r>
                </w:p>
              </w:tc>
              <w:tc>
                <w:tcPr>
                  <w:tcW w:w="660" w:type="dxa"/>
                  <w:vAlign w:val="center"/>
                </w:tcPr>
                <w:p>
                  <w:pPr>
                    <w:keepLines/>
                    <w:adjustRightInd w:val="0"/>
                    <w:snapToGrid w:val="0"/>
                    <w:jc w:val="center"/>
                    <w:rPr>
                      <w:b/>
                      <w:bCs/>
                      <w:color w:val="auto"/>
                      <w:kern w:val="24"/>
                      <w:szCs w:val="21"/>
                    </w:rPr>
                  </w:pPr>
                  <w:r>
                    <w:rPr>
                      <w:b/>
                      <w:bCs/>
                      <w:color w:val="auto"/>
                      <w:kern w:val="24"/>
                      <w:szCs w:val="21"/>
                    </w:rPr>
                    <w:t>类型</w:t>
                  </w:r>
                </w:p>
              </w:tc>
              <w:tc>
                <w:tcPr>
                  <w:tcW w:w="2248" w:type="dxa"/>
                  <w:vAlign w:val="center"/>
                </w:tcPr>
                <w:p>
                  <w:pPr>
                    <w:keepLines/>
                    <w:adjustRightInd w:val="0"/>
                    <w:snapToGrid w:val="0"/>
                    <w:jc w:val="center"/>
                    <w:rPr>
                      <w:b/>
                      <w:bCs/>
                      <w:color w:val="auto"/>
                      <w:kern w:val="24"/>
                      <w:szCs w:val="21"/>
                    </w:rPr>
                  </w:pPr>
                  <w:r>
                    <w:rPr>
                      <w:b/>
                      <w:bCs/>
                      <w:color w:val="auto"/>
                      <w:kern w:val="24"/>
                      <w:szCs w:val="21"/>
                    </w:rPr>
                    <w:t>项目</w:t>
                  </w:r>
                </w:p>
              </w:tc>
              <w:tc>
                <w:tcPr>
                  <w:tcW w:w="3752" w:type="dxa"/>
                  <w:vAlign w:val="center"/>
                </w:tcPr>
                <w:p>
                  <w:pPr>
                    <w:keepLines/>
                    <w:adjustRightInd w:val="0"/>
                    <w:snapToGrid w:val="0"/>
                    <w:jc w:val="center"/>
                    <w:rPr>
                      <w:b/>
                      <w:bCs/>
                      <w:color w:val="auto"/>
                      <w:kern w:val="24"/>
                      <w:szCs w:val="21"/>
                    </w:rPr>
                  </w:pPr>
                  <w:r>
                    <w:rPr>
                      <w:b/>
                      <w:bCs/>
                      <w:color w:val="auto"/>
                      <w:kern w:val="24"/>
                      <w:szCs w:val="21"/>
                    </w:rPr>
                    <w:t>建设内容</w:t>
                  </w:r>
                </w:p>
              </w:tc>
              <w:tc>
                <w:tcPr>
                  <w:tcW w:w="1520" w:type="dxa"/>
                  <w:vAlign w:val="center"/>
                </w:tcPr>
                <w:p>
                  <w:pPr>
                    <w:keepLines/>
                    <w:adjustRightInd w:val="0"/>
                    <w:snapToGrid w:val="0"/>
                    <w:jc w:val="center"/>
                    <w:rPr>
                      <w:b/>
                      <w:bCs/>
                      <w:color w:val="auto"/>
                      <w:kern w:val="24"/>
                      <w:szCs w:val="21"/>
                    </w:rPr>
                  </w:pPr>
                  <w:r>
                    <w:rPr>
                      <w:b/>
                      <w:bCs/>
                      <w:color w:val="auto"/>
                      <w:kern w:val="24"/>
                      <w:szCs w:val="21"/>
                    </w:rPr>
                    <w:t>投资</w:t>
                  </w:r>
                  <w:r>
                    <w:rPr>
                      <w:rFonts w:hint="eastAsia"/>
                      <w:b/>
                      <w:bCs/>
                      <w:color w:val="auto"/>
                      <w:kern w:val="24"/>
                      <w:szCs w:val="21"/>
                    </w:rPr>
                    <w:t>（</w:t>
                  </w:r>
                  <w:r>
                    <w:rPr>
                      <w:b/>
                      <w:bCs/>
                      <w:color w:val="auto"/>
                      <w:kern w:val="24"/>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color w:val="auto"/>
                      <w:kern w:val="24"/>
                      <w:szCs w:val="21"/>
                    </w:rPr>
                    <w:t>1</w:t>
                  </w:r>
                </w:p>
              </w:tc>
              <w:tc>
                <w:tcPr>
                  <w:tcW w:w="660" w:type="dxa"/>
                  <w:vMerge w:val="restart"/>
                  <w:vAlign w:val="center"/>
                </w:tcPr>
                <w:p>
                  <w:pPr>
                    <w:keepLines/>
                    <w:adjustRightInd w:val="0"/>
                    <w:snapToGrid w:val="0"/>
                    <w:jc w:val="center"/>
                    <w:rPr>
                      <w:color w:val="auto"/>
                      <w:kern w:val="24"/>
                      <w:szCs w:val="21"/>
                    </w:rPr>
                  </w:pPr>
                  <w:r>
                    <w:rPr>
                      <w:color w:val="auto"/>
                      <w:szCs w:val="21"/>
                    </w:rPr>
                    <w:t>废水</w:t>
                  </w:r>
                </w:p>
              </w:tc>
              <w:tc>
                <w:tcPr>
                  <w:tcW w:w="2248" w:type="dxa"/>
                  <w:vAlign w:val="center"/>
                </w:tcPr>
                <w:p>
                  <w:pPr>
                    <w:keepLines/>
                    <w:adjustRightInd w:val="0"/>
                    <w:snapToGrid w:val="0"/>
                    <w:jc w:val="center"/>
                    <w:rPr>
                      <w:color w:val="auto"/>
                      <w:szCs w:val="21"/>
                    </w:rPr>
                  </w:pPr>
                  <w:r>
                    <w:rPr>
                      <w:rFonts w:hint="eastAsia"/>
                      <w:color w:val="auto"/>
                      <w:szCs w:val="21"/>
                    </w:rPr>
                    <w:t>生活污水</w:t>
                  </w:r>
                </w:p>
              </w:tc>
              <w:tc>
                <w:tcPr>
                  <w:tcW w:w="3752" w:type="dxa"/>
                  <w:vMerge w:val="restart"/>
                  <w:vAlign w:val="center"/>
                </w:tcPr>
                <w:p>
                  <w:pPr>
                    <w:keepLines/>
                    <w:adjustRightInd w:val="0"/>
                    <w:snapToGrid w:val="0"/>
                    <w:jc w:val="center"/>
                    <w:rPr>
                      <w:color w:val="auto"/>
                      <w:szCs w:val="21"/>
                    </w:rPr>
                  </w:pPr>
                  <w:r>
                    <w:rPr>
                      <w:rFonts w:hint="eastAsia"/>
                      <w:color w:val="auto"/>
                      <w:szCs w:val="21"/>
                    </w:rPr>
                    <w:t>化粪池及废水管道</w:t>
                  </w:r>
                </w:p>
              </w:tc>
              <w:tc>
                <w:tcPr>
                  <w:tcW w:w="1520" w:type="dxa"/>
                  <w:vMerge w:val="restart"/>
                  <w:vAlign w:val="center"/>
                </w:tcPr>
                <w:p>
                  <w:pPr>
                    <w:keepLines/>
                    <w:adjustRightInd w:val="0"/>
                    <w:snapToGrid w:val="0"/>
                    <w:jc w:val="center"/>
                    <w:rPr>
                      <w:color w:val="auto"/>
                      <w:kern w:val="24"/>
                      <w:szCs w:val="21"/>
                    </w:rPr>
                  </w:pPr>
                  <w:r>
                    <w:rPr>
                      <w:rFonts w:hint="eastAsia"/>
                      <w:color w:val="auto"/>
                      <w:kern w:val="24"/>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2</w:t>
                  </w:r>
                </w:p>
              </w:tc>
              <w:tc>
                <w:tcPr>
                  <w:tcW w:w="660" w:type="dxa"/>
                  <w:vMerge w:val="continue"/>
                  <w:vAlign w:val="center"/>
                </w:tcPr>
                <w:p>
                  <w:pPr>
                    <w:keepLines/>
                    <w:adjustRightInd w:val="0"/>
                    <w:snapToGrid w:val="0"/>
                    <w:jc w:val="center"/>
                    <w:rPr>
                      <w:color w:val="auto"/>
                      <w:szCs w:val="21"/>
                    </w:rPr>
                  </w:pPr>
                </w:p>
              </w:tc>
              <w:tc>
                <w:tcPr>
                  <w:tcW w:w="2248" w:type="dxa"/>
                  <w:vAlign w:val="center"/>
                </w:tcPr>
                <w:p>
                  <w:pPr>
                    <w:keepLines/>
                    <w:adjustRightInd w:val="0"/>
                    <w:snapToGrid w:val="0"/>
                    <w:jc w:val="center"/>
                    <w:rPr>
                      <w:color w:val="auto"/>
                      <w:szCs w:val="21"/>
                    </w:rPr>
                  </w:pPr>
                  <w:r>
                    <w:rPr>
                      <w:rFonts w:hint="eastAsia"/>
                      <w:color w:val="auto"/>
                      <w:szCs w:val="21"/>
                    </w:rPr>
                    <w:t>冷却废水</w:t>
                  </w:r>
                </w:p>
              </w:tc>
              <w:tc>
                <w:tcPr>
                  <w:tcW w:w="3752" w:type="dxa"/>
                  <w:vMerge w:val="continue"/>
                  <w:vAlign w:val="center"/>
                </w:tcPr>
                <w:p>
                  <w:pPr>
                    <w:keepLines/>
                    <w:adjustRightInd w:val="0"/>
                    <w:snapToGrid w:val="0"/>
                    <w:jc w:val="center"/>
                    <w:rPr>
                      <w:color w:val="auto"/>
                      <w:szCs w:val="21"/>
                    </w:rPr>
                  </w:pPr>
                </w:p>
              </w:tc>
              <w:tc>
                <w:tcPr>
                  <w:tcW w:w="1520" w:type="dxa"/>
                  <w:vMerge w:val="continue"/>
                  <w:vAlign w:val="center"/>
                </w:tcPr>
                <w:p>
                  <w:pPr>
                    <w:keepLines/>
                    <w:adjustRightInd w:val="0"/>
                    <w:snapToGrid w:val="0"/>
                    <w:jc w:val="center"/>
                    <w:rPr>
                      <w:color w:val="auto"/>
                      <w:kern w:val="2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3</w:t>
                  </w:r>
                </w:p>
              </w:tc>
              <w:tc>
                <w:tcPr>
                  <w:tcW w:w="660" w:type="dxa"/>
                  <w:vAlign w:val="center"/>
                </w:tcPr>
                <w:p>
                  <w:pPr>
                    <w:keepLines/>
                    <w:adjustRightInd w:val="0"/>
                    <w:snapToGrid w:val="0"/>
                    <w:jc w:val="center"/>
                    <w:rPr>
                      <w:color w:val="auto"/>
                      <w:kern w:val="24"/>
                      <w:szCs w:val="21"/>
                    </w:rPr>
                  </w:pPr>
                  <w:r>
                    <w:rPr>
                      <w:color w:val="auto"/>
                      <w:szCs w:val="21"/>
                    </w:rPr>
                    <w:t>雨水</w:t>
                  </w:r>
                </w:p>
              </w:tc>
              <w:tc>
                <w:tcPr>
                  <w:tcW w:w="2248" w:type="dxa"/>
                  <w:vAlign w:val="center"/>
                </w:tcPr>
                <w:p>
                  <w:pPr>
                    <w:keepLines/>
                    <w:adjustRightInd w:val="0"/>
                    <w:snapToGrid w:val="0"/>
                    <w:jc w:val="center"/>
                    <w:rPr>
                      <w:color w:val="auto"/>
                      <w:szCs w:val="21"/>
                    </w:rPr>
                  </w:pPr>
                  <w:r>
                    <w:rPr>
                      <w:color w:val="auto"/>
                      <w:szCs w:val="21"/>
                    </w:rPr>
                    <w:t>雨水</w:t>
                  </w:r>
                </w:p>
              </w:tc>
              <w:tc>
                <w:tcPr>
                  <w:tcW w:w="3752" w:type="dxa"/>
                  <w:vAlign w:val="center"/>
                </w:tcPr>
                <w:p>
                  <w:pPr>
                    <w:keepLines/>
                    <w:adjustRightInd w:val="0"/>
                    <w:snapToGrid w:val="0"/>
                    <w:jc w:val="center"/>
                    <w:rPr>
                      <w:color w:val="auto"/>
                      <w:kern w:val="24"/>
                      <w:szCs w:val="21"/>
                    </w:rPr>
                  </w:pPr>
                  <w:r>
                    <w:rPr>
                      <w:color w:val="auto"/>
                      <w:szCs w:val="21"/>
                    </w:rPr>
                    <w:t>雨水管道</w:t>
                  </w:r>
                </w:p>
              </w:tc>
              <w:tc>
                <w:tcPr>
                  <w:tcW w:w="1520" w:type="dxa"/>
                  <w:vAlign w:val="center"/>
                </w:tcPr>
                <w:p>
                  <w:pPr>
                    <w:keepLines/>
                    <w:adjustRightInd w:val="0"/>
                    <w:snapToGrid w:val="0"/>
                    <w:jc w:val="center"/>
                    <w:rPr>
                      <w:color w:val="auto"/>
                      <w:kern w:val="24"/>
                      <w:szCs w:val="21"/>
                    </w:rPr>
                  </w:pPr>
                  <w:r>
                    <w:rPr>
                      <w:rFonts w:hint="eastAsia"/>
                      <w:color w:val="auto"/>
                      <w:kern w:val="24"/>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4</w:t>
                  </w:r>
                </w:p>
              </w:tc>
              <w:tc>
                <w:tcPr>
                  <w:tcW w:w="660" w:type="dxa"/>
                  <w:vAlign w:val="center"/>
                </w:tcPr>
                <w:p>
                  <w:pPr>
                    <w:keepLines/>
                    <w:adjustRightInd w:val="0"/>
                    <w:snapToGrid w:val="0"/>
                    <w:jc w:val="center"/>
                    <w:rPr>
                      <w:color w:val="auto"/>
                      <w:szCs w:val="21"/>
                    </w:rPr>
                  </w:pPr>
                  <w:r>
                    <w:rPr>
                      <w:rFonts w:hint="eastAsia"/>
                      <w:color w:val="auto"/>
                      <w:szCs w:val="21"/>
                    </w:rPr>
                    <w:t>废气</w:t>
                  </w:r>
                </w:p>
              </w:tc>
              <w:tc>
                <w:tcPr>
                  <w:tcW w:w="2248" w:type="dxa"/>
                  <w:vAlign w:val="center"/>
                </w:tcPr>
                <w:p>
                  <w:pPr>
                    <w:keepLines/>
                    <w:adjustRightInd w:val="0"/>
                    <w:snapToGrid w:val="0"/>
                    <w:jc w:val="center"/>
                    <w:rPr>
                      <w:color w:val="auto"/>
                      <w:szCs w:val="21"/>
                    </w:rPr>
                  </w:pPr>
                  <w:r>
                    <w:rPr>
                      <w:rFonts w:hint="eastAsia"/>
                      <w:color w:val="auto"/>
                      <w:szCs w:val="21"/>
                    </w:rPr>
                    <w:t>注塑废气</w:t>
                  </w:r>
                </w:p>
              </w:tc>
              <w:tc>
                <w:tcPr>
                  <w:tcW w:w="3752" w:type="dxa"/>
                  <w:vAlign w:val="center"/>
                </w:tcPr>
                <w:p>
                  <w:pPr>
                    <w:keepLines/>
                    <w:adjustRightInd w:val="0"/>
                    <w:snapToGrid w:val="0"/>
                    <w:jc w:val="center"/>
                    <w:rPr>
                      <w:color w:val="auto"/>
                      <w:szCs w:val="21"/>
                    </w:rPr>
                  </w:pPr>
                  <w:r>
                    <w:rPr>
                      <w:rFonts w:hint="eastAsia"/>
                      <w:color w:val="auto"/>
                      <w:szCs w:val="21"/>
                    </w:rPr>
                    <w:t>二级活性炭吸附装置及废气管道</w:t>
                  </w:r>
                </w:p>
              </w:tc>
              <w:tc>
                <w:tcPr>
                  <w:tcW w:w="1520" w:type="dxa"/>
                  <w:vAlign w:val="center"/>
                </w:tcPr>
                <w:p>
                  <w:pPr>
                    <w:keepLines/>
                    <w:adjustRightInd w:val="0"/>
                    <w:snapToGrid w:val="0"/>
                    <w:jc w:val="center"/>
                    <w:rPr>
                      <w:color w:val="auto"/>
                      <w:kern w:val="24"/>
                      <w:szCs w:val="21"/>
                    </w:rPr>
                  </w:pPr>
                  <w:r>
                    <w:rPr>
                      <w:rFonts w:hint="eastAsia"/>
                      <w:color w:val="auto"/>
                      <w:kern w:val="24"/>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5</w:t>
                  </w:r>
                </w:p>
              </w:tc>
              <w:tc>
                <w:tcPr>
                  <w:tcW w:w="660" w:type="dxa"/>
                  <w:vAlign w:val="center"/>
                </w:tcPr>
                <w:p>
                  <w:pPr>
                    <w:keepLines/>
                    <w:adjustRightInd w:val="0"/>
                    <w:snapToGrid w:val="0"/>
                    <w:jc w:val="center"/>
                    <w:rPr>
                      <w:color w:val="auto"/>
                      <w:kern w:val="24"/>
                      <w:szCs w:val="21"/>
                    </w:rPr>
                  </w:pPr>
                  <w:r>
                    <w:rPr>
                      <w:color w:val="auto"/>
                      <w:kern w:val="24"/>
                      <w:szCs w:val="21"/>
                    </w:rPr>
                    <w:t>噪声</w:t>
                  </w:r>
                </w:p>
              </w:tc>
              <w:tc>
                <w:tcPr>
                  <w:tcW w:w="2248" w:type="dxa"/>
                  <w:vAlign w:val="center"/>
                </w:tcPr>
                <w:p>
                  <w:pPr>
                    <w:keepLines/>
                    <w:adjustRightInd w:val="0"/>
                    <w:snapToGrid w:val="0"/>
                    <w:jc w:val="center"/>
                    <w:rPr>
                      <w:color w:val="auto"/>
                      <w:szCs w:val="21"/>
                    </w:rPr>
                  </w:pPr>
                  <w:r>
                    <w:rPr>
                      <w:color w:val="auto"/>
                      <w:szCs w:val="21"/>
                    </w:rPr>
                    <w:t>设备运转噪声</w:t>
                  </w:r>
                </w:p>
              </w:tc>
              <w:tc>
                <w:tcPr>
                  <w:tcW w:w="3752" w:type="dxa"/>
                  <w:vAlign w:val="center"/>
                </w:tcPr>
                <w:p>
                  <w:pPr>
                    <w:keepLines/>
                    <w:adjustRightInd w:val="0"/>
                    <w:snapToGrid w:val="0"/>
                    <w:jc w:val="center"/>
                    <w:rPr>
                      <w:bCs/>
                      <w:color w:val="auto"/>
                      <w:szCs w:val="21"/>
                    </w:rPr>
                  </w:pPr>
                  <w:r>
                    <w:rPr>
                      <w:rFonts w:hint="eastAsia"/>
                      <w:color w:val="auto"/>
                      <w:szCs w:val="21"/>
                    </w:rPr>
                    <w:t>选用低噪设备、厂房隔声、基础减振</w:t>
                  </w:r>
                  <w:r>
                    <w:rPr>
                      <w:color w:val="auto"/>
                      <w:szCs w:val="21"/>
                    </w:rPr>
                    <w:t>等措施</w:t>
                  </w:r>
                </w:p>
              </w:tc>
              <w:tc>
                <w:tcPr>
                  <w:tcW w:w="1520" w:type="dxa"/>
                  <w:vAlign w:val="center"/>
                </w:tcPr>
                <w:p>
                  <w:pPr>
                    <w:keepLines/>
                    <w:adjustRightInd w:val="0"/>
                    <w:snapToGrid w:val="0"/>
                    <w:jc w:val="center"/>
                    <w:rPr>
                      <w:color w:val="auto"/>
                      <w:kern w:val="24"/>
                      <w:szCs w:val="21"/>
                    </w:rPr>
                  </w:pPr>
                  <w:r>
                    <w:rPr>
                      <w:rFonts w:hint="eastAsia"/>
                      <w:color w:val="auto"/>
                      <w:kern w:val="24"/>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6</w:t>
                  </w:r>
                </w:p>
              </w:tc>
              <w:tc>
                <w:tcPr>
                  <w:tcW w:w="660" w:type="dxa"/>
                  <w:vMerge w:val="restart"/>
                  <w:vAlign w:val="center"/>
                </w:tcPr>
                <w:p>
                  <w:pPr>
                    <w:keepLines/>
                    <w:adjustRightInd w:val="0"/>
                    <w:snapToGrid w:val="0"/>
                    <w:jc w:val="center"/>
                    <w:rPr>
                      <w:color w:val="auto"/>
                      <w:kern w:val="24"/>
                      <w:szCs w:val="21"/>
                    </w:rPr>
                  </w:pPr>
                  <w:r>
                    <w:rPr>
                      <w:color w:val="auto"/>
                      <w:kern w:val="24"/>
                      <w:szCs w:val="21"/>
                    </w:rPr>
                    <w:t>固废</w:t>
                  </w:r>
                </w:p>
              </w:tc>
              <w:tc>
                <w:tcPr>
                  <w:tcW w:w="2248" w:type="dxa"/>
                  <w:vAlign w:val="center"/>
                </w:tcPr>
                <w:p>
                  <w:pPr>
                    <w:keepLines/>
                    <w:adjustRightInd w:val="0"/>
                    <w:snapToGrid w:val="0"/>
                    <w:jc w:val="center"/>
                    <w:rPr>
                      <w:color w:val="auto"/>
                      <w:szCs w:val="21"/>
                    </w:rPr>
                  </w:pPr>
                  <w:r>
                    <w:rPr>
                      <w:color w:val="auto"/>
                      <w:szCs w:val="21"/>
                    </w:rPr>
                    <w:t>生活垃圾</w:t>
                  </w:r>
                </w:p>
              </w:tc>
              <w:tc>
                <w:tcPr>
                  <w:tcW w:w="3752" w:type="dxa"/>
                  <w:vAlign w:val="center"/>
                </w:tcPr>
                <w:p>
                  <w:pPr>
                    <w:keepLines/>
                    <w:adjustRightInd w:val="0"/>
                    <w:snapToGrid w:val="0"/>
                    <w:jc w:val="center"/>
                    <w:rPr>
                      <w:color w:val="auto"/>
                      <w:szCs w:val="21"/>
                    </w:rPr>
                  </w:pPr>
                  <w:r>
                    <w:rPr>
                      <w:color w:val="auto"/>
                      <w:szCs w:val="21"/>
                    </w:rPr>
                    <w:t>垃圾桶</w:t>
                  </w:r>
                  <w:r>
                    <w:rPr>
                      <w:rFonts w:hint="eastAsia"/>
                      <w:color w:val="auto"/>
                      <w:szCs w:val="21"/>
                    </w:rPr>
                    <w:t>等</w:t>
                  </w:r>
                </w:p>
              </w:tc>
              <w:tc>
                <w:tcPr>
                  <w:tcW w:w="1520" w:type="dxa"/>
                  <w:vAlign w:val="center"/>
                </w:tcPr>
                <w:p>
                  <w:pPr>
                    <w:keepLines/>
                    <w:adjustRightInd w:val="0"/>
                    <w:snapToGrid w:val="0"/>
                    <w:jc w:val="center"/>
                    <w:rPr>
                      <w:color w:val="auto"/>
                      <w:kern w:val="24"/>
                      <w:szCs w:val="21"/>
                    </w:rPr>
                  </w:pPr>
                  <w:r>
                    <w:rPr>
                      <w:rFonts w:hint="eastAsia"/>
                      <w:color w:val="auto"/>
                      <w:kern w:val="24"/>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7</w:t>
                  </w:r>
                </w:p>
              </w:tc>
              <w:tc>
                <w:tcPr>
                  <w:tcW w:w="660" w:type="dxa"/>
                  <w:vMerge w:val="continue"/>
                  <w:vAlign w:val="center"/>
                </w:tcPr>
                <w:p>
                  <w:pPr>
                    <w:keepLines/>
                    <w:adjustRightInd w:val="0"/>
                    <w:snapToGrid w:val="0"/>
                    <w:jc w:val="center"/>
                    <w:rPr>
                      <w:color w:val="auto"/>
                      <w:szCs w:val="21"/>
                    </w:rPr>
                  </w:pPr>
                </w:p>
              </w:tc>
              <w:tc>
                <w:tcPr>
                  <w:tcW w:w="2248" w:type="dxa"/>
                  <w:vAlign w:val="center"/>
                </w:tcPr>
                <w:p>
                  <w:pPr>
                    <w:keepLines/>
                    <w:adjustRightInd w:val="0"/>
                    <w:snapToGrid w:val="0"/>
                    <w:jc w:val="center"/>
                    <w:rPr>
                      <w:color w:val="auto"/>
                      <w:szCs w:val="21"/>
                    </w:rPr>
                  </w:pPr>
                  <w:r>
                    <w:rPr>
                      <w:bCs/>
                      <w:color w:val="auto"/>
                      <w:szCs w:val="21"/>
                    </w:rPr>
                    <w:t>一般固废</w:t>
                  </w:r>
                </w:p>
              </w:tc>
              <w:tc>
                <w:tcPr>
                  <w:tcW w:w="3752" w:type="dxa"/>
                  <w:vAlign w:val="center"/>
                </w:tcPr>
                <w:p>
                  <w:pPr>
                    <w:keepLines/>
                    <w:adjustRightInd w:val="0"/>
                    <w:snapToGrid w:val="0"/>
                    <w:jc w:val="center"/>
                    <w:rPr>
                      <w:bCs/>
                      <w:color w:val="auto"/>
                      <w:szCs w:val="21"/>
                    </w:rPr>
                  </w:pPr>
                  <w:r>
                    <w:rPr>
                      <w:bCs/>
                      <w:color w:val="auto"/>
                      <w:szCs w:val="21"/>
                    </w:rPr>
                    <w:t>一般固废暂存间</w:t>
                  </w:r>
                </w:p>
              </w:tc>
              <w:tc>
                <w:tcPr>
                  <w:tcW w:w="1520" w:type="dxa"/>
                  <w:vAlign w:val="center"/>
                </w:tcPr>
                <w:p>
                  <w:pPr>
                    <w:keepLines/>
                    <w:adjustRightInd w:val="0"/>
                    <w:snapToGrid w:val="0"/>
                    <w:jc w:val="center"/>
                    <w:rPr>
                      <w:bCs/>
                      <w:color w:val="auto"/>
                      <w:szCs w:val="21"/>
                    </w:rPr>
                  </w:pPr>
                  <w:r>
                    <w:rPr>
                      <w:rFonts w:hint="eastAsia"/>
                      <w:bCs/>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8</w:t>
                  </w:r>
                </w:p>
              </w:tc>
              <w:tc>
                <w:tcPr>
                  <w:tcW w:w="660" w:type="dxa"/>
                  <w:vMerge w:val="continue"/>
                  <w:vAlign w:val="center"/>
                </w:tcPr>
                <w:p>
                  <w:pPr>
                    <w:keepLines/>
                    <w:adjustRightInd w:val="0"/>
                    <w:snapToGrid w:val="0"/>
                    <w:jc w:val="center"/>
                    <w:rPr>
                      <w:color w:val="auto"/>
                      <w:szCs w:val="21"/>
                    </w:rPr>
                  </w:pPr>
                </w:p>
              </w:tc>
              <w:tc>
                <w:tcPr>
                  <w:tcW w:w="2248" w:type="dxa"/>
                  <w:vAlign w:val="center"/>
                </w:tcPr>
                <w:p>
                  <w:pPr>
                    <w:pStyle w:val="10"/>
                    <w:keepLines/>
                    <w:adjustRightInd w:val="0"/>
                    <w:snapToGrid w:val="0"/>
                    <w:spacing w:after="0"/>
                    <w:ind w:left="0" w:leftChars="0" w:firstLine="0" w:firstLineChars="0"/>
                    <w:jc w:val="center"/>
                    <w:rPr>
                      <w:color w:val="auto"/>
                      <w:kern w:val="2"/>
                      <w:sz w:val="21"/>
                      <w:szCs w:val="21"/>
                      <w:lang w:bidi="ar"/>
                    </w:rPr>
                  </w:pPr>
                  <w:r>
                    <w:rPr>
                      <w:bCs/>
                      <w:color w:val="auto"/>
                      <w:sz w:val="21"/>
                      <w:szCs w:val="21"/>
                    </w:rPr>
                    <w:t>危险废物</w:t>
                  </w:r>
                </w:p>
              </w:tc>
              <w:tc>
                <w:tcPr>
                  <w:tcW w:w="3752" w:type="dxa"/>
                  <w:vAlign w:val="center"/>
                </w:tcPr>
                <w:p>
                  <w:pPr>
                    <w:keepLines/>
                    <w:adjustRightInd w:val="0"/>
                    <w:snapToGrid w:val="0"/>
                    <w:jc w:val="center"/>
                    <w:rPr>
                      <w:bCs/>
                      <w:color w:val="auto"/>
                      <w:szCs w:val="21"/>
                    </w:rPr>
                  </w:pPr>
                  <w:r>
                    <w:rPr>
                      <w:bCs/>
                      <w:color w:val="auto"/>
                      <w:szCs w:val="21"/>
                    </w:rPr>
                    <w:t>危废暂存间</w:t>
                  </w:r>
                </w:p>
              </w:tc>
              <w:tc>
                <w:tcPr>
                  <w:tcW w:w="1520" w:type="dxa"/>
                  <w:vAlign w:val="center"/>
                </w:tcPr>
                <w:p>
                  <w:pPr>
                    <w:keepLines/>
                    <w:adjustRightInd w:val="0"/>
                    <w:snapToGrid w:val="0"/>
                    <w:jc w:val="center"/>
                    <w:rPr>
                      <w:bCs/>
                      <w:color w:val="auto"/>
                      <w:szCs w:val="21"/>
                    </w:rPr>
                  </w:pPr>
                  <w:r>
                    <w:rPr>
                      <w:rFonts w:hint="eastAsia"/>
                      <w:bCs/>
                      <w:color w:val="auto"/>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4" w:type="dxa"/>
                  <w:vAlign w:val="center"/>
                </w:tcPr>
                <w:p>
                  <w:pPr>
                    <w:keepLines/>
                    <w:adjustRightInd w:val="0"/>
                    <w:snapToGrid w:val="0"/>
                    <w:jc w:val="center"/>
                    <w:rPr>
                      <w:color w:val="auto"/>
                      <w:kern w:val="24"/>
                      <w:szCs w:val="21"/>
                    </w:rPr>
                  </w:pPr>
                  <w:r>
                    <w:rPr>
                      <w:rFonts w:hint="eastAsia"/>
                      <w:color w:val="auto"/>
                      <w:kern w:val="24"/>
                      <w:szCs w:val="21"/>
                    </w:rPr>
                    <w:t>9</w:t>
                  </w:r>
                </w:p>
              </w:tc>
              <w:tc>
                <w:tcPr>
                  <w:tcW w:w="6660" w:type="dxa"/>
                  <w:gridSpan w:val="3"/>
                  <w:vAlign w:val="center"/>
                </w:tcPr>
                <w:p>
                  <w:pPr>
                    <w:keepLines/>
                    <w:adjustRightInd w:val="0"/>
                    <w:snapToGrid w:val="0"/>
                    <w:jc w:val="center"/>
                    <w:rPr>
                      <w:bCs/>
                      <w:color w:val="auto"/>
                      <w:szCs w:val="21"/>
                    </w:rPr>
                  </w:pPr>
                  <w:r>
                    <w:rPr>
                      <w:color w:val="auto"/>
                      <w:szCs w:val="21"/>
                    </w:rPr>
                    <w:t>总计</w:t>
                  </w:r>
                </w:p>
              </w:tc>
              <w:tc>
                <w:tcPr>
                  <w:tcW w:w="1520" w:type="dxa"/>
                  <w:vAlign w:val="center"/>
                </w:tcPr>
                <w:p>
                  <w:pPr>
                    <w:keepLines/>
                    <w:adjustRightInd w:val="0"/>
                    <w:snapToGrid w:val="0"/>
                    <w:jc w:val="center"/>
                    <w:rPr>
                      <w:color w:val="auto"/>
                      <w:kern w:val="24"/>
                      <w:szCs w:val="21"/>
                    </w:rPr>
                  </w:pPr>
                  <w:r>
                    <w:rPr>
                      <w:rFonts w:hint="eastAsia"/>
                      <w:color w:val="auto"/>
                      <w:kern w:val="24"/>
                      <w:szCs w:val="21"/>
                    </w:rPr>
                    <w:t>27.5</w:t>
                  </w:r>
                </w:p>
              </w:tc>
            </w:tr>
          </w:tbl>
          <w:p>
            <w:pPr>
              <w:keepLines/>
              <w:autoSpaceDE w:val="0"/>
              <w:autoSpaceDN w:val="0"/>
              <w:adjustRightInd w:val="0"/>
              <w:snapToGrid w:val="0"/>
              <w:rPr>
                <w:rFonts w:hint="eastAsia" w:ascii="宋体" w:hAnsi="宋体" w:eastAsia="宋体" w:cs="宋体"/>
                <w:bCs/>
                <w:color w:val="auto"/>
                <w:spacing w:val="-10"/>
                <w:sz w:val="24"/>
                <w:lang w:val="en-US" w:eastAsia="zh-CN"/>
              </w:rPr>
            </w:pPr>
          </w:p>
        </w:tc>
      </w:tr>
    </w:tbl>
    <w:p>
      <w:pPr>
        <w:adjustRightInd w:val="0"/>
        <w:snapToGrid w:val="0"/>
        <w:spacing w:line="360" w:lineRule="auto"/>
        <w:rPr>
          <w:rFonts w:ascii="宋体" w:cs="宋体"/>
          <w:b/>
          <w:color w:val="auto"/>
          <w:kern w:val="0"/>
          <w:sz w:val="28"/>
          <w:szCs w:val="28"/>
        </w:rPr>
        <w:sectPr>
          <w:pgSz w:w="11907" w:h="16840"/>
          <w:pgMar w:top="1304" w:right="1191" w:bottom="1304" w:left="1191" w:header="907" w:footer="907" w:gutter="0"/>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7" w:name="_Hlk54167917"/>
      <w:r>
        <w:rPr>
          <w:rFonts w:hint="eastAsia" w:ascii="黑体" w:hAnsi="黑体" w:eastAsia="黑体"/>
          <w:snapToGrid w:val="0"/>
          <w:color w:val="auto"/>
          <w:sz w:val="30"/>
          <w:szCs w:val="30"/>
        </w:rPr>
        <w:t>环境保护措施监督检查清单</w:t>
      </w:r>
      <w:bookmarkEnd w:id="7"/>
    </w:p>
    <w:tbl>
      <w:tblPr>
        <w:tblStyle w:val="28"/>
        <w:tblW w:w="97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675"/>
        <w:gridCol w:w="885"/>
        <w:gridCol w:w="1171"/>
        <w:gridCol w:w="3023"/>
        <w:gridCol w:w="28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tcBorders>
              <w:tl2br w:val="single" w:color="auto" w:sz="4" w:space="0"/>
            </w:tcBorders>
            <w:vAlign w:val="center"/>
          </w:tcPr>
          <w:p>
            <w:pPr>
              <w:adjustRightInd w:val="0"/>
              <w:snapToGrid w:val="0"/>
              <w:jc w:val="center"/>
              <w:rPr>
                <w:b/>
                <w:bCs/>
                <w:snapToGrid w:val="0"/>
                <w:color w:val="auto"/>
                <w:kern w:val="0"/>
                <w:szCs w:val="21"/>
              </w:rPr>
            </w:pPr>
            <w:r>
              <w:rPr>
                <w:rFonts w:hint="eastAsia"/>
                <w:b/>
                <w:bCs/>
                <w:snapToGrid w:val="0"/>
                <w:color w:val="auto"/>
                <w:kern w:val="0"/>
                <w:szCs w:val="21"/>
              </w:rPr>
              <w:t xml:space="preserve">    </w:t>
            </w:r>
            <w:r>
              <w:rPr>
                <w:b/>
                <w:bCs/>
                <w:snapToGrid w:val="0"/>
                <w:color w:val="auto"/>
                <w:kern w:val="0"/>
                <w:szCs w:val="21"/>
              </w:rPr>
              <w:t>内容</w:t>
            </w:r>
          </w:p>
          <w:p>
            <w:pPr>
              <w:adjustRightInd w:val="0"/>
              <w:snapToGrid w:val="0"/>
              <w:rPr>
                <w:b/>
                <w:bCs/>
                <w:snapToGrid w:val="0"/>
                <w:color w:val="auto"/>
                <w:kern w:val="0"/>
                <w:szCs w:val="21"/>
              </w:rPr>
            </w:pPr>
            <w:r>
              <w:rPr>
                <w:b/>
                <w:bCs/>
                <w:snapToGrid w:val="0"/>
                <w:color w:val="auto"/>
                <w:kern w:val="0"/>
                <w:szCs w:val="21"/>
              </w:rPr>
              <w:t>要素</w:t>
            </w:r>
          </w:p>
        </w:tc>
        <w:tc>
          <w:tcPr>
            <w:tcW w:w="1560" w:type="dxa"/>
            <w:gridSpan w:val="2"/>
            <w:vAlign w:val="center"/>
          </w:tcPr>
          <w:p>
            <w:pPr>
              <w:adjustRightInd w:val="0"/>
              <w:snapToGrid w:val="0"/>
              <w:jc w:val="center"/>
              <w:rPr>
                <w:b/>
                <w:bCs/>
                <w:snapToGrid w:val="0"/>
                <w:color w:val="auto"/>
                <w:kern w:val="0"/>
                <w:szCs w:val="21"/>
              </w:rPr>
            </w:pPr>
            <w:r>
              <w:rPr>
                <w:b/>
                <w:bCs/>
                <w:snapToGrid w:val="0"/>
                <w:color w:val="auto"/>
                <w:kern w:val="0"/>
                <w:szCs w:val="21"/>
              </w:rPr>
              <w:t>排放口（编号、名称）/污染源</w:t>
            </w:r>
          </w:p>
        </w:tc>
        <w:tc>
          <w:tcPr>
            <w:tcW w:w="1171" w:type="dxa"/>
            <w:vAlign w:val="center"/>
          </w:tcPr>
          <w:p>
            <w:pPr>
              <w:adjustRightInd w:val="0"/>
              <w:snapToGrid w:val="0"/>
              <w:jc w:val="center"/>
              <w:rPr>
                <w:b/>
                <w:bCs/>
                <w:snapToGrid w:val="0"/>
                <w:color w:val="auto"/>
                <w:kern w:val="0"/>
                <w:szCs w:val="21"/>
              </w:rPr>
            </w:pPr>
            <w:r>
              <w:rPr>
                <w:b/>
                <w:bCs/>
                <w:snapToGrid w:val="0"/>
                <w:color w:val="auto"/>
                <w:kern w:val="0"/>
                <w:szCs w:val="21"/>
              </w:rPr>
              <w:t>污染物项目</w:t>
            </w:r>
          </w:p>
        </w:tc>
        <w:tc>
          <w:tcPr>
            <w:tcW w:w="3023" w:type="dxa"/>
            <w:vAlign w:val="center"/>
          </w:tcPr>
          <w:p>
            <w:pPr>
              <w:adjustRightInd w:val="0"/>
              <w:snapToGrid w:val="0"/>
              <w:jc w:val="center"/>
              <w:rPr>
                <w:b/>
                <w:bCs/>
                <w:snapToGrid w:val="0"/>
                <w:color w:val="auto"/>
                <w:kern w:val="0"/>
                <w:szCs w:val="21"/>
              </w:rPr>
            </w:pPr>
            <w:r>
              <w:rPr>
                <w:b/>
                <w:bCs/>
                <w:snapToGrid w:val="0"/>
                <w:color w:val="auto"/>
                <w:kern w:val="0"/>
                <w:szCs w:val="21"/>
              </w:rPr>
              <w:t>环境保护措施</w:t>
            </w:r>
          </w:p>
        </w:tc>
        <w:tc>
          <w:tcPr>
            <w:tcW w:w="2845" w:type="dxa"/>
            <w:vAlign w:val="center"/>
          </w:tcPr>
          <w:p>
            <w:pPr>
              <w:wordWrap w:val="0"/>
              <w:adjustRightInd w:val="0"/>
              <w:snapToGrid w:val="0"/>
              <w:jc w:val="center"/>
              <w:rPr>
                <w:b/>
                <w:bCs/>
                <w:snapToGrid w:val="0"/>
                <w:color w:val="auto"/>
                <w:kern w:val="0"/>
                <w:szCs w:val="21"/>
              </w:rPr>
            </w:pPr>
            <w:r>
              <w:rPr>
                <w:b/>
                <w:bCs/>
                <w:snapToGrid w:val="0"/>
                <w:color w:val="auto"/>
                <w:kern w:val="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restart"/>
            <w:vAlign w:val="center"/>
          </w:tcPr>
          <w:p>
            <w:pPr>
              <w:adjustRightInd w:val="0"/>
              <w:snapToGrid w:val="0"/>
              <w:jc w:val="center"/>
              <w:rPr>
                <w:snapToGrid w:val="0"/>
                <w:color w:val="auto"/>
                <w:kern w:val="0"/>
                <w:szCs w:val="21"/>
              </w:rPr>
            </w:pPr>
            <w:r>
              <w:rPr>
                <w:rFonts w:hint="eastAsia"/>
                <w:snapToGrid w:val="0"/>
                <w:color w:val="auto"/>
                <w:kern w:val="0"/>
                <w:szCs w:val="21"/>
              </w:rPr>
              <w:t>大气环境</w:t>
            </w:r>
          </w:p>
        </w:tc>
        <w:tc>
          <w:tcPr>
            <w:tcW w:w="675" w:type="dxa"/>
            <w:vAlign w:val="center"/>
          </w:tcPr>
          <w:p>
            <w:pPr>
              <w:adjustRightInd w:val="0"/>
              <w:snapToGrid w:val="0"/>
              <w:jc w:val="center"/>
              <w:rPr>
                <w:bCs/>
                <w:snapToGrid w:val="0"/>
                <w:color w:val="auto"/>
                <w:kern w:val="0"/>
                <w:szCs w:val="21"/>
              </w:rPr>
            </w:pPr>
            <w:r>
              <w:rPr>
                <w:rFonts w:hint="eastAsia"/>
                <w:bCs/>
                <w:snapToGrid w:val="0"/>
                <w:color w:val="auto"/>
                <w:kern w:val="0"/>
                <w:szCs w:val="21"/>
              </w:rPr>
              <w:t>有组织</w:t>
            </w:r>
          </w:p>
        </w:tc>
        <w:tc>
          <w:tcPr>
            <w:tcW w:w="885" w:type="dxa"/>
            <w:vAlign w:val="center"/>
          </w:tcPr>
          <w:p>
            <w:pPr>
              <w:topLinePunct/>
              <w:jc w:val="center"/>
              <w:rPr>
                <w:color w:val="auto"/>
                <w:szCs w:val="20"/>
              </w:rPr>
            </w:pPr>
            <w:r>
              <w:rPr>
                <w:rFonts w:hint="eastAsia"/>
                <w:color w:val="auto"/>
                <w:szCs w:val="20"/>
              </w:rPr>
              <w:t>DA001</w:t>
            </w:r>
          </w:p>
        </w:tc>
        <w:tc>
          <w:tcPr>
            <w:tcW w:w="1171" w:type="dxa"/>
            <w:vAlign w:val="center"/>
          </w:tcPr>
          <w:p>
            <w:pPr>
              <w:jc w:val="center"/>
              <w:rPr>
                <w:color w:val="auto"/>
                <w:szCs w:val="21"/>
              </w:rPr>
            </w:pPr>
            <w:r>
              <w:rPr>
                <w:rFonts w:hint="eastAsia"/>
                <w:color w:val="auto"/>
                <w:szCs w:val="21"/>
              </w:rPr>
              <w:t>VOCs（非甲烷总烃）</w:t>
            </w:r>
          </w:p>
        </w:tc>
        <w:tc>
          <w:tcPr>
            <w:tcW w:w="3023" w:type="dxa"/>
            <w:vAlign w:val="center"/>
          </w:tcPr>
          <w:p>
            <w:pPr>
              <w:adjustRightInd w:val="0"/>
              <w:snapToGrid w:val="0"/>
              <w:jc w:val="center"/>
              <w:rPr>
                <w:snapToGrid w:val="0"/>
                <w:color w:val="auto"/>
                <w:kern w:val="0"/>
                <w:szCs w:val="21"/>
              </w:rPr>
            </w:pPr>
            <w:r>
              <w:rPr>
                <w:rFonts w:hint="eastAsia"/>
                <w:color w:val="auto"/>
                <w:szCs w:val="21"/>
              </w:rPr>
              <w:t>经集气罩收集后由</w:t>
            </w:r>
            <w:r>
              <w:rPr>
                <w:rFonts w:hint="eastAsia"/>
                <w:snapToGrid w:val="0"/>
                <w:color w:val="auto"/>
                <w:kern w:val="0"/>
                <w:szCs w:val="21"/>
              </w:rPr>
              <w:t>二级活性炭吸附装置吸附处理后通过1根15m高排气筒（DA001）排放</w:t>
            </w:r>
          </w:p>
        </w:tc>
        <w:tc>
          <w:tcPr>
            <w:tcW w:w="2845" w:type="dxa"/>
            <w:vAlign w:val="center"/>
          </w:tcPr>
          <w:p>
            <w:pPr>
              <w:adjustRightInd w:val="0"/>
              <w:snapToGrid w:val="0"/>
              <w:jc w:val="center"/>
              <w:rPr>
                <w:rFonts w:hint="eastAsia" w:eastAsia="宋体"/>
                <w:snapToGrid w:val="0"/>
                <w:color w:val="auto"/>
                <w:kern w:val="0"/>
                <w:szCs w:val="21"/>
                <w:lang w:eastAsia="zh-CN"/>
              </w:rPr>
            </w:pPr>
            <w:r>
              <w:rPr>
                <w:rFonts w:hint="eastAsia"/>
                <w:snapToGrid w:val="0"/>
                <w:color w:val="auto"/>
                <w:kern w:val="0"/>
                <w:szCs w:val="21"/>
                <w:lang w:eastAsia="zh-CN"/>
              </w:rPr>
              <w:t>《固定源挥发性有机物综合排放标准 第四部分：印刷工业》（DB34/4812.4-2024）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continue"/>
            <w:vAlign w:val="center"/>
          </w:tcPr>
          <w:p>
            <w:pPr>
              <w:adjustRightInd w:val="0"/>
              <w:snapToGrid w:val="0"/>
              <w:jc w:val="center"/>
              <w:rPr>
                <w:snapToGrid w:val="0"/>
                <w:color w:val="auto"/>
                <w:kern w:val="0"/>
                <w:szCs w:val="21"/>
              </w:rPr>
            </w:pPr>
          </w:p>
        </w:tc>
        <w:tc>
          <w:tcPr>
            <w:tcW w:w="675" w:type="dxa"/>
            <w:vMerge w:val="restart"/>
            <w:vAlign w:val="center"/>
          </w:tcPr>
          <w:p>
            <w:pPr>
              <w:adjustRightInd w:val="0"/>
              <w:snapToGrid w:val="0"/>
              <w:jc w:val="center"/>
              <w:rPr>
                <w:bCs/>
                <w:snapToGrid w:val="0"/>
                <w:color w:val="auto"/>
                <w:kern w:val="0"/>
                <w:szCs w:val="21"/>
              </w:rPr>
            </w:pPr>
            <w:r>
              <w:rPr>
                <w:bCs/>
                <w:snapToGrid w:val="0"/>
                <w:color w:val="auto"/>
                <w:kern w:val="0"/>
                <w:szCs w:val="21"/>
              </w:rPr>
              <w:t>无组织</w:t>
            </w:r>
          </w:p>
        </w:tc>
        <w:tc>
          <w:tcPr>
            <w:tcW w:w="885" w:type="dxa"/>
            <w:vMerge w:val="restart"/>
            <w:vAlign w:val="center"/>
          </w:tcPr>
          <w:p>
            <w:pPr>
              <w:adjustRightInd w:val="0"/>
              <w:snapToGrid w:val="0"/>
              <w:jc w:val="center"/>
              <w:rPr>
                <w:bCs/>
                <w:snapToGrid w:val="0"/>
                <w:color w:val="auto"/>
                <w:kern w:val="0"/>
                <w:szCs w:val="21"/>
              </w:rPr>
            </w:pPr>
            <w:r>
              <w:rPr>
                <w:rFonts w:hint="eastAsia"/>
                <w:bCs/>
                <w:snapToGrid w:val="0"/>
                <w:color w:val="auto"/>
                <w:kern w:val="0"/>
                <w:szCs w:val="21"/>
              </w:rPr>
              <w:t>厂界</w:t>
            </w:r>
          </w:p>
        </w:tc>
        <w:tc>
          <w:tcPr>
            <w:tcW w:w="1171" w:type="dxa"/>
            <w:vAlign w:val="center"/>
          </w:tcPr>
          <w:p>
            <w:pPr>
              <w:adjustRightInd w:val="0"/>
              <w:snapToGrid w:val="0"/>
              <w:jc w:val="center"/>
              <w:rPr>
                <w:snapToGrid w:val="0"/>
                <w:color w:val="auto"/>
                <w:kern w:val="0"/>
                <w:szCs w:val="21"/>
              </w:rPr>
            </w:pPr>
            <w:r>
              <w:rPr>
                <w:rFonts w:hint="eastAsia"/>
                <w:snapToGrid w:val="0"/>
                <w:color w:val="auto"/>
                <w:kern w:val="0"/>
                <w:szCs w:val="21"/>
              </w:rPr>
              <w:t>颗粒物</w:t>
            </w:r>
          </w:p>
        </w:tc>
        <w:tc>
          <w:tcPr>
            <w:tcW w:w="3023" w:type="dxa"/>
            <w:vMerge w:val="restart"/>
            <w:vAlign w:val="center"/>
          </w:tcPr>
          <w:p>
            <w:pPr>
              <w:adjustRightInd w:val="0"/>
              <w:snapToGrid w:val="0"/>
              <w:jc w:val="center"/>
              <w:rPr>
                <w:snapToGrid w:val="0"/>
                <w:color w:val="auto"/>
                <w:kern w:val="0"/>
                <w:szCs w:val="21"/>
              </w:rPr>
            </w:pPr>
            <w:r>
              <w:rPr>
                <w:rFonts w:hint="eastAsia"/>
                <w:snapToGrid w:val="0"/>
                <w:color w:val="auto"/>
                <w:kern w:val="0"/>
                <w:szCs w:val="21"/>
              </w:rPr>
              <w:t>加强车间通风、增强厂区绿化等</w:t>
            </w:r>
          </w:p>
        </w:tc>
        <w:tc>
          <w:tcPr>
            <w:tcW w:w="2845" w:type="dxa"/>
            <w:vAlign w:val="center"/>
          </w:tcPr>
          <w:p>
            <w:pPr>
              <w:adjustRightInd w:val="0"/>
              <w:snapToGrid w:val="0"/>
              <w:jc w:val="center"/>
              <w:rPr>
                <w:snapToGrid w:val="0"/>
                <w:color w:val="auto"/>
                <w:kern w:val="0"/>
                <w:szCs w:val="21"/>
              </w:rPr>
            </w:pPr>
            <w:r>
              <w:rPr>
                <w:rFonts w:hint="eastAsia"/>
                <w:snapToGrid w:val="0"/>
                <w:color w:val="auto"/>
                <w:kern w:val="0"/>
                <w:szCs w:val="21"/>
              </w:rPr>
              <w:t>《合成树脂工业污染物排放标准》（GB31572-2015（含2024年修改单））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continue"/>
            <w:vAlign w:val="center"/>
          </w:tcPr>
          <w:p>
            <w:pPr>
              <w:adjustRightInd w:val="0"/>
              <w:snapToGrid w:val="0"/>
              <w:jc w:val="center"/>
              <w:rPr>
                <w:snapToGrid w:val="0"/>
                <w:color w:val="auto"/>
                <w:kern w:val="0"/>
                <w:szCs w:val="21"/>
              </w:rPr>
            </w:pPr>
          </w:p>
        </w:tc>
        <w:tc>
          <w:tcPr>
            <w:tcW w:w="675" w:type="dxa"/>
            <w:vMerge w:val="continue"/>
            <w:vAlign w:val="center"/>
          </w:tcPr>
          <w:p>
            <w:pPr>
              <w:adjustRightInd w:val="0"/>
              <w:snapToGrid w:val="0"/>
              <w:jc w:val="center"/>
              <w:rPr>
                <w:bCs/>
                <w:snapToGrid w:val="0"/>
                <w:color w:val="auto"/>
                <w:kern w:val="0"/>
                <w:szCs w:val="21"/>
              </w:rPr>
            </w:pPr>
          </w:p>
        </w:tc>
        <w:tc>
          <w:tcPr>
            <w:tcW w:w="885" w:type="dxa"/>
            <w:vMerge w:val="continue"/>
            <w:vAlign w:val="center"/>
          </w:tcPr>
          <w:p>
            <w:pPr>
              <w:adjustRightInd w:val="0"/>
              <w:snapToGrid w:val="0"/>
              <w:jc w:val="center"/>
              <w:rPr>
                <w:bCs/>
                <w:snapToGrid w:val="0"/>
                <w:color w:val="auto"/>
                <w:kern w:val="0"/>
                <w:szCs w:val="21"/>
              </w:rPr>
            </w:pPr>
          </w:p>
        </w:tc>
        <w:tc>
          <w:tcPr>
            <w:tcW w:w="1171" w:type="dxa"/>
            <w:vAlign w:val="center"/>
          </w:tcPr>
          <w:p>
            <w:pPr>
              <w:adjustRightInd w:val="0"/>
              <w:snapToGrid w:val="0"/>
              <w:jc w:val="center"/>
              <w:rPr>
                <w:snapToGrid w:val="0"/>
                <w:color w:val="auto"/>
                <w:kern w:val="0"/>
                <w:szCs w:val="21"/>
              </w:rPr>
            </w:pPr>
            <w:r>
              <w:rPr>
                <w:rFonts w:hint="eastAsia"/>
                <w:color w:val="auto"/>
                <w:szCs w:val="21"/>
              </w:rPr>
              <w:t>VOCs（非甲烷总烃）</w:t>
            </w:r>
          </w:p>
        </w:tc>
        <w:tc>
          <w:tcPr>
            <w:tcW w:w="3023" w:type="dxa"/>
            <w:vMerge w:val="continue"/>
            <w:vAlign w:val="center"/>
          </w:tcPr>
          <w:p>
            <w:pPr>
              <w:adjustRightInd w:val="0"/>
              <w:snapToGrid w:val="0"/>
              <w:jc w:val="center"/>
              <w:rPr>
                <w:snapToGrid w:val="0"/>
                <w:color w:val="auto"/>
                <w:kern w:val="0"/>
                <w:szCs w:val="21"/>
              </w:rPr>
            </w:pPr>
          </w:p>
        </w:tc>
        <w:tc>
          <w:tcPr>
            <w:tcW w:w="2845" w:type="dxa"/>
            <w:vAlign w:val="center"/>
          </w:tcPr>
          <w:p>
            <w:pPr>
              <w:adjustRightInd w:val="0"/>
              <w:snapToGrid w:val="0"/>
              <w:jc w:val="center"/>
              <w:rPr>
                <w:snapToGrid w:val="0"/>
                <w:color w:val="auto"/>
                <w:kern w:val="0"/>
                <w:szCs w:val="21"/>
              </w:rPr>
            </w:pPr>
            <w:r>
              <w:rPr>
                <w:rFonts w:hint="eastAsia"/>
                <w:snapToGrid w:val="0"/>
                <w:color w:val="auto"/>
                <w:kern w:val="0"/>
                <w:szCs w:val="21"/>
              </w:rPr>
              <w:t>《大气污染物综合排放标准》（GB16297-1996）、《合成树脂工业污染物排放标准》（GB31572-2015（含2024年修改单））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continue"/>
            <w:vAlign w:val="center"/>
          </w:tcPr>
          <w:p>
            <w:pPr>
              <w:adjustRightInd w:val="0"/>
              <w:snapToGrid w:val="0"/>
              <w:jc w:val="center"/>
              <w:rPr>
                <w:snapToGrid w:val="0"/>
                <w:color w:val="auto"/>
                <w:kern w:val="0"/>
                <w:szCs w:val="21"/>
              </w:rPr>
            </w:pPr>
          </w:p>
        </w:tc>
        <w:tc>
          <w:tcPr>
            <w:tcW w:w="675" w:type="dxa"/>
            <w:vMerge w:val="continue"/>
            <w:vAlign w:val="center"/>
          </w:tcPr>
          <w:p>
            <w:pPr>
              <w:adjustRightInd w:val="0"/>
              <w:snapToGrid w:val="0"/>
              <w:jc w:val="center"/>
              <w:rPr>
                <w:bCs/>
                <w:snapToGrid w:val="0"/>
                <w:color w:val="auto"/>
                <w:kern w:val="0"/>
                <w:szCs w:val="21"/>
              </w:rPr>
            </w:pPr>
          </w:p>
        </w:tc>
        <w:tc>
          <w:tcPr>
            <w:tcW w:w="885" w:type="dxa"/>
            <w:vAlign w:val="center"/>
          </w:tcPr>
          <w:p>
            <w:pPr>
              <w:jc w:val="center"/>
              <w:rPr>
                <w:bCs/>
                <w:color w:val="auto"/>
                <w:szCs w:val="21"/>
              </w:rPr>
            </w:pPr>
            <w:r>
              <w:rPr>
                <w:rFonts w:hint="eastAsia"/>
                <w:bCs/>
                <w:color w:val="auto"/>
                <w:szCs w:val="21"/>
              </w:rPr>
              <w:t>厂区内</w:t>
            </w:r>
          </w:p>
        </w:tc>
        <w:tc>
          <w:tcPr>
            <w:tcW w:w="1171" w:type="dxa"/>
            <w:vAlign w:val="center"/>
          </w:tcPr>
          <w:p>
            <w:pPr>
              <w:jc w:val="center"/>
              <w:rPr>
                <w:bCs/>
                <w:color w:val="auto"/>
                <w:szCs w:val="21"/>
              </w:rPr>
            </w:pPr>
            <w:r>
              <w:rPr>
                <w:rFonts w:hint="eastAsia"/>
                <w:color w:val="auto"/>
                <w:szCs w:val="21"/>
              </w:rPr>
              <w:t>VOCs（非甲烷总烃）</w:t>
            </w:r>
          </w:p>
        </w:tc>
        <w:tc>
          <w:tcPr>
            <w:tcW w:w="3023" w:type="dxa"/>
            <w:vAlign w:val="center"/>
          </w:tcPr>
          <w:p>
            <w:pPr>
              <w:adjustRightInd w:val="0"/>
              <w:snapToGrid w:val="0"/>
              <w:jc w:val="center"/>
              <w:rPr>
                <w:snapToGrid w:val="0"/>
                <w:color w:val="auto"/>
                <w:kern w:val="0"/>
                <w:szCs w:val="21"/>
              </w:rPr>
            </w:pPr>
            <w:r>
              <w:rPr>
                <w:rFonts w:hint="eastAsia"/>
                <w:snapToGrid w:val="0"/>
                <w:color w:val="auto"/>
                <w:kern w:val="0"/>
                <w:szCs w:val="21"/>
              </w:rPr>
              <w:t>加强车间通风</w:t>
            </w:r>
          </w:p>
        </w:tc>
        <w:tc>
          <w:tcPr>
            <w:tcW w:w="2845" w:type="dxa"/>
            <w:vAlign w:val="center"/>
          </w:tcPr>
          <w:p>
            <w:pPr>
              <w:adjustRightInd w:val="0"/>
              <w:snapToGrid w:val="0"/>
              <w:jc w:val="center"/>
              <w:rPr>
                <w:snapToGrid w:val="0"/>
                <w:color w:val="auto"/>
                <w:kern w:val="0"/>
                <w:szCs w:val="21"/>
              </w:rPr>
            </w:pPr>
            <w:r>
              <w:rPr>
                <w:rFonts w:hint="eastAsia"/>
                <w:snapToGrid w:val="0"/>
                <w:color w:val="auto"/>
                <w:kern w:val="0"/>
                <w:szCs w:val="21"/>
              </w:rPr>
              <w:t>《固定源挥发性有机物综合排放标准 第四部分：印刷工业》（DB34/4812.4-2024）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restart"/>
            <w:vAlign w:val="center"/>
          </w:tcPr>
          <w:p>
            <w:pPr>
              <w:adjustRightInd w:val="0"/>
              <w:snapToGrid w:val="0"/>
              <w:jc w:val="center"/>
              <w:rPr>
                <w:snapToGrid w:val="0"/>
                <w:color w:val="auto"/>
                <w:kern w:val="0"/>
                <w:szCs w:val="21"/>
              </w:rPr>
            </w:pPr>
            <w:r>
              <w:rPr>
                <w:snapToGrid w:val="0"/>
                <w:color w:val="auto"/>
                <w:kern w:val="0"/>
                <w:szCs w:val="21"/>
              </w:rPr>
              <w:t>地表水</w:t>
            </w:r>
          </w:p>
          <w:p>
            <w:pPr>
              <w:adjustRightInd w:val="0"/>
              <w:snapToGrid w:val="0"/>
              <w:jc w:val="center"/>
              <w:rPr>
                <w:snapToGrid w:val="0"/>
                <w:color w:val="auto"/>
                <w:kern w:val="0"/>
                <w:szCs w:val="21"/>
              </w:rPr>
            </w:pPr>
            <w:r>
              <w:rPr>
                <w:snapToGrid w:val="0"/>
                <w:color w:val="auto"/>
                <w:kern w:val="0"/>
                <w:szCs w:val="21"/>
              </w:rPr>
              <w:t>环境</w:t>
            </w:r>
          </w:p>
        </w:tc>
        <w:tc>
          <w:tcPr>
            <w:tcW w:w="1560" w:type="dxa"/>
            <w:gridSpan w:val="2"/>
            <w:vAlign w:val="center"/>
          </w:tcPr>
          <w:p>
            <w:pPr>
              <w:adjustRightInd w:val="0"/>
              <w:snapToGrid w:val="0"/>
              <w:jc w:val="center"/>
              <w:rPr>
                <w:snapToGrid w:val="0"/>
                <w:color w:val="auto"/>
                <w:kern w:val="0"/>
                <w:szCs w:val="21"/>
              </w:rPr>
            </w:pPr>
            <w:r>
              <w:rPr>
                <w:snapToGrid w:val="0"/>
                <w:color w:val="auto"/>
                <w:kern w:val="0"/>
                <w:szCs w:val="21"/>
              </w:rPr>
              <w:t>生活污水</w:t>
            </w:r>
          </w:p>
        </w:tc>
        <w:tc>
          <w:tcPr>
            <w:tcW w:w="1171" w:type="dxa"/>
            <w:vAlign w:val="center"/>
          </w:tcPr>
          <w:p>
            <w:pPr>
              <w:adjustRightInd w:val="0"/>
              <w:snapToGrid w:val="0"/>
              <w:jc w:val="center"/>
              <w:rPr>
                <w:snapToGrid w:val="0"/>
                <w:color w:val="auto"/>
                <w:kern w:val="0"/>
                <w:szCs w:val="21"/>
              </w:rPr>
            </w:pPr>
            <w:r>
              <w:rPr>
                <w:snapToGrid w:val="0"/>
                <w:color w:val="auto"/>
                <w:kern w:val="0"/>
                <w:szCs w:val="21"/>
              </w:rPr>
              <w:t>COD、BOD</w:t>
            </w:r>
            <w:r>
              <w:rPr>
                <w:snapToGrid w:val="0"/>
                <w:color w:val="auto"/>
                <w:kern w:val="0"/>
                <w:szCs w:val="21"/>
                <w:vertAlign w:val="subscript"/>
              </w:rPr>
              <w:t>5</w:t>
            </w:r>
            <w:r>
              <w:rPr>
                <w:snapToGrid w:val="0"/>
                <w:color w:val="auto"/>
                <w:kern w:val="0"/>
                <w:szCs w:val="21"/>
              </w:rPr>
              <w:t>、SS、NH</w:t>
            </w:r>
            <w:r>
              <w:rPr>
                <w:snapToGrid w:val="0"/>
                <w:color w:val="auto"/>
                <w:kern w:val="0"/>
                <w:szCs w:val="21"/>
                <w:vertAlign w:val="subscript"/>
              </w:rPr>
              <w:t>3</w:t>
            </w:r>
            <w:r>
              <w:rPr>
                <w:snapToGrid w:val="0"/>
                <w:color w:val="auto"/>
                <w:kern w:val="0"/>
                <w:szCs w:val="21"/>
              </w:rPr>
              <w:t>-N</w:t>
            </w:r>
          </w:p>
        </w:tc>
        <w:tc>
          <w:tcPr>
            <w:tcW w:w="3023" w:type="dxa"/>
            <w:vAlign w:val="center"/>
          </w:tcPr>
          <w:p>
            <w:pPr>
              <w:adjustRightInd w:val="0"/>
              <w:snapToGrid w:val="0"/>
              <w:jc w:val="center"/>
              <w:rPr>
                <w:snapToGrid w:val="0"/>
                <w:color w:val="auto"/>
                <w:kern w:val="0"/>
                <w:szCs w:val="21"/>
              </w:rPr>
            </w:pPr>
            <w:r>
              <w:rPr>
                <w:rFonts w:hint="eastAsia"/>
                <w:snapToGrid w:val="0"/>
                <w:color w:val="auto"/>
                <w:kern w:val="0"/>
                <w:szCs w:val="21"/>
              </w:rPr>
              <w:t>经化粪池收集后接管至</w:t>
            </w:r>
            <w:r>
              <w:rPr>
                <w:rFonts w:hint="eastAsia"/>
                <w:snapToGrid w:val="0"/>
                <w:color w:val="auto"/>
                <w:kern w:val="0"/>
                <w:szCs w:val="21"/>
                <w:lang w:eastAsia="zh-CN"/>
              </w:rPr>
              <w:t>蚌埠铜陵现代产业园污水处理厂</w:t>
            </w:r>
            <w:r>
              <w:rPr>
                <w:rFonts w:hint="eastAsia"/>
                <w:snapToGrid w:val="0"/>
                <w:color w:val="auto"/>
                <w:kern w:val="0"/>
                <w:szCs w:val="21"/>
              </w:rPr>
              <w:t>处理最终排入北淝河</w:t>
            </w:r>
          </w:p>
        </w:tc>
        <w:tc>
          <w:tcPr>
            <w:tcW w:w="2845" w:type="dxa"/>
            <w:vMerge w:val="restart"/>
            <w:vAlign w:val="center"/>
          </w:tcPr>
          <w:p>
            <w:pPr>
              <w:kinsoku w:val="0"/>
              <w:overflowPunct w:val="0"/>
              <w:autoSpaceDE w:val="0"/>
              <w:autoSpaceDN w:val="0"/>
              <w:adjustRightInd w:val="0"/>
              <w:snapToGrid w:val="0"/>
              <w:jc w:val="center"/>
              <w:rPr>
                <w:snapToGrid w:val="0"/>
                <w:color w:val="auto"/>
                <w:kern w:val="0"/>
                <w:szCs w:val="21"/>
              </w:rPr>
            </w:pPr>
            <w:r>
              <w:rPr>
                <w:rFonts w:hint="eastAsia"/>
                <w:snapToGrid w:val="0"/>
                <w:color w:val="auto"/>
                <w:kern w:val="0"/>
                <w:szCs w:val="21"/>
                <w:lang w:eastAsia="zh-CN"/>
              </w:rPr>
              <w:t>蚌埠铜陵现代产业园污水处理厂</w:t>
            </w:r>
            <w:r>
              <w:rPr>
                <w:rFonts w:hint="eastAsia"/>
                <w:snapToGrid w:val="0"/>
                <w:color w:val="auto"/>
                <w:kern w:val="0"/>
                <w:szCs w:val="21"/>
              </w:rPr>
              <w:t>接管限值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Merge w:val="continue"/>
            <w:vAlign w:val="center"/>
          </w:tcPr>
          <w:p>
            <w:pPr>
              <w:adjustRightInd w:val="0"/>
              <w:snapToGrid w:val="0"/>
              <w:jc w:val="center"/>
              <w:rPr>
                <w:snapToGrid w:val="0"/>
                <w:color w:val="auto"/>
                <w:kern w:val="0"/>
                <w:szCs w:val="21"/>
              </w:rPr>
            </w:pPr>
          </w:p>
        </w:tc>
        <w:tc>
          <w:tcPr>
            <w:tcW w:w="1560" w:type="dxa"/>
            <w:gridSpan w:val="2"/>
            <w:vAlign w:val="center"/>
          </w:tcPr>
          <w:p>
            <w:pPr>
              <w:adjustRightInd w:val="0"/>
              <w:snapToGrid w:val="0"/>
              <w:jc w:val="center"/>
              <w:rPr>
                <w:snapToGrid w:val="0"/>
                <w:color w:val="auto"/>
                <w:kern w:val="0"/>
                <w:szCs w:val="21"/>
              </w:rPr>
            </w:pPr>
            <w:r>
              <w:rPr>
                <w:rFonts w:hint="eastAsia"/>
                <w:snapToGrid w:val="0"/>
                <w:color w:val="auto"/>
                <w:kern w:val="0"/>
                <w:szCs w:val="21"/>
              </w:rPr>
              <w:t>冷却废水</w:t>
            </w:r>
          </w:p>
        </w:tc>
        <w:tc>
          <w:tcPr>
            <w:tcW w:w="1171" w:type="dxa"/>
            <w:vAlign w:val="center"/>
          </w:tcPr>
          <w:p>
            <w:pPr>
              <w:adjustRightInd w:val="0"/>
              <w:snapToGrid w:val="0"/>
              <w:jc w:val="center"/>
              <w:rPr>
                <w:snapToGrid w:val="0"/>
                <w:color w:val="auto"/>
                <w:kern w:val="0"/>
                <w:szCs w:val="21"/>
              </w:rPr>
            </w:pPr>
            <w:r>
              <w:rPr>
                <w:snapToGrid w:val="0"/>
                <w:color w:val="auto"/>
                <w:kern w:val="0"/>
                <w:szCs w:val="21"/>
              </w:rPr>
              <w:t>COD、SS、</w:t>
            </w:r>
          </w:p>
        </w:tc>
        <w:tc>
          <w:tcPr>
            <w:tcW w:w="3023" w:type="dxa"/>
            <w:vAlign w:val="center"/>
          </w:tcPr>
          <w:p>
            <w:pPr>
              <w:adjustRightInd w:val="0"/>
              <w:snapToGrid w:val="0"/>
              <w:jc w:val="center"/>
              <w:rPr>
                <w:snapToGrid w:val="0"/>
                <w:color w:val="auto"/>
                <w:kern w:val="0"/>
                <w:szCs w:val="21"/>
              </w:rPr>
            </w:pPr>
            <w:r>
              <w:rPr>
                <w:rFonts w:hint="eastAsia"/>
                <w:snapToGrid w:val="0"/>
                <w:color w:val="auto"/>
                <w:kern w:val="0"/>
                <w:szCs w:val="21"/>
              </w:rPr>
              <w:t>接管至</w:t>
            </w:r>
            <w:r>
              <w:rPr>
                <w:rFonts w:hint="eastAsia"/>
                <w:snapToGrid w:val="0"/>
                <w:color w:val="auto"/>
                <w:kern w:val="0"/>
                <w:szCs w:val="21"/>
                <w:lang w:eastAsia="zh-CN"/>
              </w:rPr>
              <w:t>蚌埠铜陵现代产业园污水处理厂</w:t>
            </w:r>
            <w:r>
              <w:rPr>
                <w:rFonts w:hint="eastAsia"/>
                <w:snapToGrid w:val="0"/>
                <w:color w:val="auto"/>
                <w:kern w:val="0"/>
                <w:szCs w:val="21"/>
              </w:rPr>
              <w:t>处理最终排入北淝河</w:t>
            </w:r>
          </w:p>
        </w:tc>
        <w:tc>
          <w:tcPr>
            <w:tcW w:w="2845" w:type="dxa"/>
            <w:vMerge w:val="continue"/>
            <w:vAlign w:val="center"/>
          </w:tcPr>
          <w:p>
            <w:pPr>
              <w:kinsoku w:val="0"/>
              <w:overflowPunct w:val="0"/>
              <w:autoSpaceDE w:val="0"/>
              <w:autoSpaceDN w:val="0"/>
              <w:adjustRightInd w:val="0"/>
              <w:snapToGrid w:val="0"/>
              <w:jc w:val="center"/>
              <w:rPr>
                <w:snapToGrid w:val="0"/>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声环境</w:t>
            </w:r>
          </w:p>
        </w:tc>
        <w:tc>
          <w:tcPr>
            <w:tcW w:w="1560" w:type="dxa"/>
            <w:gridSpan w:val="2"/>
            <w:vAlign w:val="center"/>
          </w:tcPr>
          <w:p>
            <w:pPr>
              <w:adjustRightInd w:val="0"/>
              <w:snapToGrid w:val="0"/>
              <w:jc w:val="center"/>
              <w:rPr>
                <w:snapToGrid w:val="0"/>
                <w:color w:val="auto"/>
                <w:kern w:val="0"/>
                <w:szCs w:val="21"/>
              </w:rPr>
            </w:pPr>
            <w:r>
              <w:rPr>
                <w:snapToGrid w:val="0"/>
                <w:color w:val="auto"/>
                <w:kern w:val="0"/>
                <w:szCs w:val="21"/>
              </w:rPr>
              <w:t>生产设备</w:t>
            </w:r>
          </w:p>
        </w:tc>
        <w:tc>
          <w:tcPr>
            <w:tcW w:w="1171" w:type="dxa"/>
            <w:vAlign w:val="center"/>
          </w:tcPr>
          <w:p>
            <w:pPr>
              <w:adjustRightInd w:val="0"/>
              <w:snapToGrid w:val="0"/>
              <w:jc w:val="center"/>
              <w:rPr>
                <w:snapToGrid w:val="0"/>
                <w:color w:val="auto"/>
                <w:kern w:val="0"/>
                <w:szCs w:val="21"/>
              </w:rPr>
            </w:pPr>
            <w:r>
              <w:rPr>
                <w:snapToGrid w:val="0"/>
                <w:color w:val="auto"/>
                <w:kern w:val="0"/>
                <w:szCs w:val="21"/>
              </w:rPr>
              <w:t>设备噪声</w:t>
            </w:r>
          </w:p>
        </w:tc>
        <w:tc>
          <w:tcPr>
            <w:tcW w:w="3023" w:type="dxa"/>
            <w:vAlign w:val="center"/>
          </w:tcPr>
          <w:p>
            <w:pPr>
              <w:adjustRightInd w:val="0"/>
              <w:snapToGrid w:val="0"/>
              <w:jc w:val="center"/>
              <w:rPr>
                <w:snapToGrid w:val="0"/>
                <w:color w:val="auto"/>
                <w:kern w:val="0"/>
                <w:szCs w:val="21"/>
              </w:rPr>
            </w:pPr>
            <w:r>
              <w:rPr>
                <w:rFonts w:hint="eastAsia"/>
                <w:color w:val="auto"/>
                <w:szCs w:val="21"/>
              </w:rPr>
              <w:t>选用低噪设备、厂房隔声、基础减振</w:t>
            </w:r>
            <w:r>
              <w:rPr>
                <w:color w:val="auto"/>
                <w:szCs w:val="21"/>
              </w:rPr>
              <w:t>等措施</w:t>
            </w:r>
          </w:p>
        </w:tc>
        <w:tc>
          <w:tcPr>
            <w:tcW w:w="2845" w:type="dxa"/>
            <w:vAlign w:val="center"/>
          </w:tcPr>
          <w:p>
            <w:pPr>
              <w:wordWrap w:val="0"/>
              <w:adjustRightInd w:val="0"/>
              <w:snapToGrid w:val="0"/>
              <w:jc w:val="center"/>
              <w:rPr>
                <w:snapToGrid w:val="0"/>
                <w:color w:val="auto"/>
                <w:kern w:val="0"/>
                <w:szCs w:val="21"/>
              </w:rPr>
            </w:pPr>
            <w:r>
              <w:rPr>
                <w:rFonts w:hint="eastAsia"/>
                <w:snapToGrid w:val="0"/>
                <w:color w:val="auto"/>
                <w:kern w:val="0"/>
                <w:szCs w:val="21"/>
              </w:rPr>
              <w:t>厂界噪声执行《工业企业厂界环境噪声排放标准》（GB12348-2008）中的3类标准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电磁辐射</w:t>
            </w:r>
          </w:p>
        </w:tc>
        <w:tc>
          <w:tcPr>
            <w:tcW w:w="1560" w:type="dxa"/>
            <w:gridSpan w:val="2"/>
            <w:vAlign w:val="center"/>
          </w:tcPr>
          <w:p>
            <w:pPr>
              <w:adjustRightInd w:val="0"/>
              <w:snapToGrid w:val="0"/>
              <w:jc w:val="center"/>
              <w:rPr>
                <w:snapToGrid w:val="0"/>
                <w:color w:val="auto"/>
                <w:kern w:val="0"/>
                <w:szCs w:val="21"/>
              </w:rPr>
            </w:pPr>
            <w:r>
              <w:rPr>
                <w:snapToGrid w:val="0"/>
                <w:color w:val="auto"/>
                <w:kern w:val="0"/>
                <w:szCs w:val="21"/>
              </w:rPr>
              <w:t>/</w:t>
            </w:r>
          </w:p>
        </w:tc>
        <w:tc>
          <w:tcPr>
            <w:tcW w:w="1171" w:type="dxa"/>
            <w:vAlign w:val="center"/>
          </w:tcPr>
          <w:p>
            <w:pPr>
              <w:adjustRightInd w:val="0"/>
              <w:snapToGrid w:val="0"/>
              <w:jc w:val="center"/>
              <w:rPr>
                <w:snapToGrid w:val="0"/>
                <w:color w:val="auto"/>
                <w:kern w:val="0"/>
                <w:szCs w:val="21"/>
              </w:rPr>
            </w:pPr>
            <w:r>
              <w:rPr>
                <w:snapToGrid w:val="0"/>
                <w:color w:val="auto"/>
                <w:kern w:val="0"/>
                <w:szCs w:val="21"/>
              </w:rPr>
              <w:t>/</w:t>
            </w:r>
          </w:p>
        </w:tc>
        <w:tc>
          <w:tcPr>
            <w:tcW w:w="3023" w:type="dxa"/>
            <w:vAlign w:val="center"/>
          </w:tcPr>
          <w:p>
            <w:pPr>
              <w:adjustRightInd w:val="0"/>
              <w:snapToGrid w:val="0"/>
              <w:jc w:val="center"/>
              <w:rPr>
                <w:snapToGrid w:val="0"/>
                <w:color w:val="auto"/>
                <w:kern w:val="0"/>
                <w:szCs w:val="21"/>
              </w:rPr>
            </w:pPr>
            <w:r>
              <w:rPr>
                <w:snapToGrid w:val="0"/>
                <w:color w:val="auto"/>
                <w:kern w:val="0"/>
                <w:szCs w:val="21"/>
              </w:rPr>
              <w:t>/</w:t>
            </w:r>
          </w:p>
        </w:tc>
        <w:tc>
          <w:tcPr>
            <w:tcW w:w="2845" w:type="dxa"/>
            <w:vAlign w:val="center"/>
          </w:tcPr>
          <w:p>
            <w:pPr>
              <w:adjustRightInd w:val="0"/>
              <w:snapToGrid w:val="0"/>
              <w:jc w:val="center"/>
              <w:rPr>
                <w:snapToGrid w:val="0"/>
                <w:color w:val="auto"/>
                <w:kern w:val="0"/>
                <w:szCs w:val="21"/>
              </w:rPr>
            </w:pPr>
            <w:r>
              <w:rPr>
                <w:snapToGrid w:val="0"/>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固体废物</w:t>
            </w:r>
          </w:p>
        </w:tc>
        <w:tc>
          <w:tcPr>
            <w:tcW w:w="8599" w:type="dxa"/>
            <w:gridSpan w:val="5"/>
            <w:vAlign w:val="center"/>
          </w:tcPr>
          <w:p>
            <w:pPr>
              <w:adjustRightInd w:val="0"/>
              <w:snapToGrid w:val="0"/>
              <w:jc w:val="center"/>
              <w:rPr>
                <w:snapToGrid w:val="0"/>
                <w:color w:val="auto"/>
                <w:kern w:val="0"/>
                <w:szCs w:val="21"/>
              </w:rPr>
            </w:pPr>
            <w:r>
              <w:rPr>
                <w:snapToGrid w:val="0"/>
                <w:color w:val="auto"/>
                <w:kern w:val="0"/>
                <w:szCs w:val="21"/>
              </w:rPr>
              <w:t>一般固废：</w:t>
            </w:r>
            <w:r>
              <w:rPr>
                <w:rFonts w:hint="eastAsia"/>
                <w:snapToGrid w:val="0"/>
                <w:color w:val="auto"/>
                <w:kern w:val="0"/>
                <w:szCs w:val="21"/>
              </w:rPr>
              <w:t>废包装材料、废热转印膜、废玻璃内胆</w:t>
            </w:r>
            <w:r>
              <w:rPr>
                <w:rFonts w:hint="eastAsia"/>
                <w:snapToGrid w:val="0"/>
                <w:color w:val="auto"/>
                <w:kern w:val="0"/>
                <w:szCs w:val="21"/>
                <w:lang w:eastAsia="zh-CN"/>
              </w:rPr>
              <w:t>、</w:t>
            </w:r>
            <w:r>
              <w:rPr>
                <w:rFonts w:hint="eastAsia"/>
                <w:snapToGrid w:val="0"/>
                <w:color w:val="auto"/>
                <w:kern w:val="0"/>
                <w:szCs w:val="21"/>
                <w:lang w:val="en-US" w:eastAsia="zh-CN"/>
              </w:rPr>
              <w:t>布袋除尘收集尘</w:t>
            </w:r>
            <w:r>
              <w:rPr>
                <w:rFonts w:hint="eastAsia"/>
                <w:snapToGrid w:val="0"/>
                <w:color w:val="auto"/>
                <w:kern w:val="0"/>
                <w:szCs w:val="21"/>
              </w:rPr>
              <w:t>经</w:t>
            </w:r>
            <w:r>
              <w:rPr>
                <w:snapToGrid w:val="0"/>
                <w:color w:val="auto"/>
                <w:kern w:val="0"/>
                <w:szCs w:val="21"/>
              </w:rPr>
              <w:t>收集</w:t>
            </w:r>
            <w:r>
              <w:rPr>
                <w:rFonts w:hint="eastAsia"/>
                <w:snapToGrid w:val="0"/>
                <w:color w:val="auto"/>
                <w:kern w:val="0"/>
                <w:szCs w:val="21"/>
              </w:rPr>
              <w:t>后出售，边角料、不合格品经破碎后回用于生产，废智能显示屏由原厂家回收</w:t>
            </w:r>
            <w:r>
              <w:rPr>
                <w:snapToGrid w:val="0"/>
                <w:color w:val="auto"/>
                <w:kern w:val="0"/>
                <w:szCs w:val="21"/>
              </w:rPr>
              <w:t>；危险废物：</w:t>
            </w:r>
            <w:r>
              <w:rPr>
                <w:rFonts w:hint="eastAsia"/>
                <w:snapToGrid w:val="0"/>
                <w:color w:val="auto"/>
                <w:kern w:val="0"/>
                <w:szCs w:val="21"/>
              </w:rPr>
              <w:t>废活性炭收集后暂存于危废暂存间并委托有资质单位处置；</w:t>
            </w:r>
            <w:r>
              <w:rPr>
                <w:snapToGrid w:val="0"/>
                <w:color w:val="auto"/>
                <w:kern w:val="0"/>
                <w:szCs w:val="21"/>
              </w:rPr>
              <w:t>生活垃圾</w:t>
            </w:r>
            <w:r>
              <w:rPr>
                <w:rFonts w:hint="eastAsia"/>
                <w:snapToGrid w:val="0"/>
                <w:color w:val="auto"/>
                <w:kern w:val="0"/>
                <w:szCs w:val="21"/>
              </w:rPr>
              <w:t>分类收集后</w:t>
            </w:r>
            <w:r>
              <w:rPr>
                <w:snapToGrid w:val="0"/>
                <w:color w:val="auto"/>
                <w:kern w:val="0"/>
                <w:szCs w:val="21"/>
              </w:rPr>
              <w:t>由环卫部门统一清运。一般固废贮存执行《安徽省实施〈中华人民共和国固体废物污染环境防治法〉办法》；危险废物贮存执行</w:t>
            </w:r>
            <w:r>
              <w:rPr>
                <w:rFonts w:hint="eastAsia"/>
                <w:snapToGrid w:val="0"/>
                <w:color w:val="auto"/>
                <w:kern w:val="0"/>
                <w:szCs w:val="21"/>
              </w:rPr>
              <w:t>《危险废物贮存污染控制标准》（GB 18597-2023）中相关要求</w:t>
            </w:r>
            <w:r>
              <w:rPr>
                <w:snapToGrid w:val="0"/>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土壤及地下水污染防治措施</w:t>
            </w:r>
          </w:p>
        </w:tc>
        <w:tc>
          <w:tcPr>
            <w:tcW w:w="8599" w:type="dxa"/>
            <w:gridSpan w:val="5"/>
            <w:vAlign w:val="center"/>
          </w:tcPr>
          <w:p>
            <w:pPr>
              <w:pStyle w:val="84"/>
              <w:spacing w:before="72" w:beforeLines="30"/>
              <w:jc w:val="both"/>
              <w:rPr>
                <w:b w:val="0"/>
                <w:bCs w:val="0"/>
                <w:color w:val="auto"/>
              </w:rPr>
            </w:pPr>
            <w:r>
              <w:rPr>
                <w:b w:val="0"/>
                <w:bCs w:val="0"/>
                <w:color w:val="auto"/>
              </w:rPr>
              <w:t>项目区按照相关防腐防渗要求采取分区防渗措施。</w:t>
            </w:r>
          </w:p>
          <w:p>
            <w:pPr>
              <w:pStyle w:val="84"/>
              <w:jc w:val="both"/>
              <w:rPr>
                <w:b w:val="0"/>
                <w:bCs w:val="0"/>
                <w:color w:val="auto"/>
              </w:rPr>
            </w:pPr>
            <w:r>
              <w:rPr>
                <w:rFonts w:hint="eastAsia"/>
                <w:b w:val="0"/>
                <w:bCs w:val="0"/>
                <w:color w:val="auto"/>
              </w:rPr>
              <w:t>（1）重点防渗区：重点防渗区为危废暂存间等区域，</w:t>
            </w:r>
            <w:r>
              <w:rPr>
                <w:b w:val="0"/>
                <w:bCs w:val="0"/>
                <w:color w:val="auto"/>
              </w:rPr>
              <w:t>等效黏土防渗层Mb≥6.0m</w:t>
            </w:r>
            <w:r>
              <w:rPr>
                <w:rFonts w:hint="eastAsia"/>
                <w:b w:val="0"/>
                <w:bCs w:val="0"/>
                <w:color w:val="auto"/>
              </w:rPr>
              <w:t>，</w:t>
            </w:r>
            <w:r>
              <w:rPr>
                <w:b w:val="0"/>
                <w:bCs w:val="0"/>
                <w:color w:val="auto"/>
              </w:rPr>
              <w:t>K≤1×10</w:t>
            </w:r>
            <w:r>
              <w:rPr>
                <w:b w:val="0"/>
                <w:bCs w:val="0"/>
                <w:color w:val="auto"/>
                <w:vertAlign w:val="superscript"/>
              </w:rPr>
              <w:t>-7</w:t>
            </w:r>
            <w:r>
              <w:rPr>
                <w:b w:val="0"/>
                <w:bCs w:val="0"/>
                <w:color w:val="auto"/>
              </w:rPr>
              <w:t>cm/s</w:t>
            </w:r>
            <w:r>
              <w:rPr>
                <w:rFonts w:hint="eastAsia"/>
                <w:b w:val="0"/>
                <w:bCs w:val="0"/>
                <w:color w:val="auto"/>
              </w:rPr>
              <w:t>，</w:t>
            </w:r>
            <w:r>
              <w:rPr>
                <w:b w:val="0"/>
                <w:bCs w:val="0"/>
                <w:color w:val="auto"/>
              </w:rPr>
              <w:t>或参照GB18598执行</w:t>
            </w:r>
            <w:r>
              <w:rPr>
                <w:rFonts w:hint="eastAsia"/>
                <w:b w:val="0"/>
                <w:bCs w:val="0"/>
                <w:color w:val="auto"/>
              </w:rPr>
              <w:t>，设防渗托盘等。</w:t>
            </w:r>
          </w:p>
          <w:p>
            <w:pPr>
              <w:pStyle w:val="84"/>
              <w:jc w:val="both"/>
              <w:rPr>
                <w:b w:val="0"/>
                <w:bCs w:val="0"/>
                <w:color w:val="auto"/>
              </w:rPr>
            </w:pPr>
            <w:r>
              <w:rPr>
                <w:rFonts w:hint="eastAsia"/>
                <w:b w:val="0"/>
                <w:bCs w:val="0"/>
                <w:color w:val="auto"/>
              </w:rPr>
              <w:t>（2）一般防渗区：一般防渗区为一般固废暂存间等区域，</w:t>
            </w:r>
            <w:r>
              <w:rPr>
                <w:b w:val="0"/>
                <w:bCs w:val="0"/>
                <w:color w:val="auto"/>
              </w:rPr>
              <w:t>等效黏土防渗层Mb≥</w:t>
            </w:r>
            <w:r>
              <w:rPr>
                <w:rFonts w:hint="eastAsia"/>
                <w:b w:val="0"/>
                <w:bCs w:val="0"/>
                <w:color w:val="auto"/>
              </w:rPr>
              <w:t>1.5</w:t>
            </w:r>
            <w:r>
              <w:rPr>
                <w:b w:val="0"/>
                <w:bCs w:val="0"/>
                <w:color w:val="auto"/>
              </w:rPr>
              <w:t>m</w:t>
            </w:r>
            <w:r>
              <w:rPr>
                <w:rFonts w:hint="eastAsia"/>
                <w:b w:val="0"/>
                <w:bCs w:val="0"/>
                <w:color w:val="auto"/>
              </w:rPr>
              <w:t>，</w:t>
            </w:r>
            <w:r>
              <w:rPr>
                <w:b w:val="0"/>
                <w:bCs w:val="0"/>
                <w:color w:val="auto"/>
              </w:rPr>
              <w:t>K≤1×10</w:t>
            </w:r>
            <w:r>
              <w:rPr>
                <w:b w:val="0"/>
                <w:bCs w:val="0"/>
                <w:color w:val="auto"/>
                <w:vertAlign w:val="superscript"/>
              </w:rPr>
              <w:t>-7</w:t>
            </w:r>
            <w:r>
              <w:rPr>
                <w:b w:val="0"/>
                <w:bCs w:val="0"/>
                <w:color w:val="auto"/>
              </w:rPr>
              <w:t>cm/s</w:t>
            </w:r>
            <w:r>
              <w:rPr>
                <w:rFonts w:hint="eastAsia"/>
                <w:b w:val="0"/>
                <w:bCs w:val="0"/>
                <w:color w:val="auto"/>
              </w:rPr>
              <w:t>，</w:t>
            </w:r>
            <w:r>
              <w:rPr>
                <w:b w:val="0"/>
                <w:bCs w:val="0"/>
                <w:color w:val="auto"/>
              </w:rPr>
              <w:t>或参照GB1</w:t>
            </w:r>
            <w:r>
              <w:rPr>
                <w:rFonts w:hint="eastAsia"/>
                <w:b w:val="0"/>
                <w:bCs w:val="0"/>
                <w:color w:val="auto"/>
              </w:rPr>
              <w:t>6889</w:t>
            </w:r>
            <w:r>
              <w:rPr>
                <w:b w:val="0"/>
                <w:bCs w:val="0"/>
                <w:color w:val="auto"/>
              </w:rPr>
              <w:t>执行</w:t>
            </w:r>
            <w:r>
              <w:rPr>
                <w:rFonts w:hint="eastAsia"/>
                <w:b w:val="0"/>
                <w:bCs w:val="0"/>
                <w:color w:val="auto"/>
              </w:rPr>
              <w:t>。</w:t>
            </w:r>
          </w:p>
          <w:p>
            <w:pPr>
              <w:pStyle w:val="84"/>
              <w:jc w:val="both"/>
              <w:rPr>
                <w:snapToGrid w:val="0"/>
                <w:color w:val="auto"/>
                <w:kern w:val="0"/>
              </w:rPr>
            </w:pPr>
            <w:r>
              <w:rPr>
                <w:rFonts w:hint="eastAsia"/>
                <w:b w:val="0"/>
                <w:bCs w:val="0"/>
                <w:color w:val="auto"/>
              </w:rPr>
              <w:t>（3）简单防渗区：除重点防渗区和一般防渗区以外的其他区域为简单防渗区，进行一般地面硬化。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生态保护措施</w:t>
            </w:r>
          </w:p>
        </w:tc>
        <w:tc>
          <w:tcPr>
            <w:tcW w:w="8599" w:type="dxa"/>
            <w:gridSpan w:val="5"/>
            <w:vAlign w:val="center"/>
          </w:tcPr>
          <w:p>
            <w:pPr>
              <w:adjustRightInd w:val="0"/>
              <w:snapToGrid w:val="0"/>
              <w:jc w:val="center"/>
              <w:rPr>
                <w:snapToGrid w:val="0"/>
                <w:color w:val="auto"/>
                <w:kern w:val="0"/>
                <w:szCs w:val="21"/>
              </w:rPr>
            </w:pPr>
            <w:r>
              <w:rPr>
                <w:snapToGrid w:val="0"/>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环境风险</w:t>
            </w:r>
          </w:p>
          <w:p>
            <w:pPr>
              <w:adjustRightInd w:val="0"/>
              <w:snapToGrid w:val="0"/>
              <w:jc w:val="center"/>
              <w:rPr>
                <w:snapToGrid w:val="0"/>
                <w:color w:val="auto"/>
                <w:kern w:val="0"/>
                <w:szCs w:val="21"/>
              </w:rPr>
            </w:pPr>
            <w:r>
              <w:rPr>
                <w:snapToGrid w:val="0"/>
                <w:color w:val="auto"/>
                <w:kern w:val="0"/>
                <w:szCs w:val="21"/>
              </w:rPr>
              <w:t>防范措施</w:t>
            </w:r>
          </w:p>
        </w:tc>
        <w:tc>
          <w:tcPr>
            <w:tcW w:w="8599" w:type="dxa"/>
            <w:gridSpan w:val="5"/>
            <w:vAlign w:val="center"/>
          </w:tcPr>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①</w:t>
            </w:r>
            <w:r>
              <w:rPr>
                <w:rFonts w:hint="eastAsia" w:ascii="宋体" w:hAnsi="宋体" w:cs="宋体"/>
                <w:color w:val="auto"/>
                <w:kern w:val="0"/>
                <w:szCs w:val="21"/>
                <w:lang w:bidi="zh-CN"/>
              </w:rPr>
              <w:t>风险区域</w:t>
            </w:r>
            <w:r>
              <w:rPr>
                <w:rFonts w:hint="eastAsia" w:ascii="宋体" w:hAnsi="宋体" w:cs="宋体"/>
                <w:color w:val="auto"/>
                <w:kern w:val="0"/>
                <w:szCs w:val="21"/>
                <w:lang w:val="zh-CN" w:bidi="zh-CN"/>
              </w:rPr>
              <w:t>设置明显的标志。</w:t>
            </w:r>
          </w:p>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②定期检修废气处理设施，定时巡查废气处理设施。</w:t>
            </w:r>
          </w:p>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③定期检修危险废物储存容器及危险废物暂存间等设施。</w:t>
            </w:r>
          </w:p>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④实行安全检查制度，各类安全设施、消防器材，进行各种日常的、定期的、专业的防火安全检查，并将发现的问题定人、限期落实整改。</w:t>
            </w:r>
          </w:p>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⑤制定各种操作规范，加强监督管理，严格看管检查制度，避免事故的发生。</w:t>
            </w:r>
          </w:p>
          <w:p>
            <w:pPr>
              <w:autoSpaceDE w:val="0"/>
              <w:autoSpaceDN w:val="0"/>
              <w:adjustRightInd w:val="0"/>
              <w:snapToGrid w:val="0"/>
              <w:rPr>
                <w:rFonts w:ascii="宋体" w:hAnsi="宋体" w:cs="宋体"/>
                <w:color w:val="auto"/>
                <w:kern w:val="0"/>
                <w:szCs w:val="21"/>
                <w:lang w:val="zh-CN" w:bidi="zh-CN"/>
              </w:rPr>
            </w:pPr>
            <w:r>
              <w:rPr>
                <w:rFonts w:hint="eastAsia" w:ascii="宋体" w:hAnsi="宋体" w:cs="宋体"/>
                <w:color w:val="auto"/>
                <w:kern w:val="0"/>
                <w:szCs w:val="21"/>
                <w:lang w:val="zh-CN" w:bidi="zh-CN"/>
              </w:rPr>
              <w:t>⑥在事故状态下，由于管理、失误操作等原因，可能会导致</w:t>
            </w:r>
            <w:r>
              <w:rPr>
                <w:rFonts w:hint="eastAsia" w:ascii="宋体" w:hAnsi="宋体" w:cs="宋体"/>
                <w:color w:val="auto"/>
                <w:kern w:val="0"/>
                <w:szCs w:val="21"/>
                <w:lang w:bidi="zh-CN"/>
              </w:rPr>
              <w:t>事故废水</w:t>
            </w:r>
            <w:r>
              <w:rPr>
                <w:rFonts w:hint="eastAsia" w:ascii="宋体" w:hAnsi="宋体" w:cs="宋体"/>
                <w:color w:val="auto"/>
                <w:kern w:val="0"/>
                <w:szCs w:val="21"/>
                <w:lang w:val="zh-CN" w:bidi="zh-CN"/>
              </w:rPr>
              <w:t>通过雨水系统从雨水排口进入外部水体，污染地表水体。为防止</w:t>
            </w:r>
            <w:r>
              <w:rPr>
                <w:rFonts w:hint="eastAsia" w:ascii="宋体" w:hAnsi="宋体" w:cs="宋体"/>
                <w:color w:val="auto"/>
                <w:kern w:val="0"/>
                <w:szCs w:val="21"/>
                <w:lang w:bidi="zh-CN"/>
              </w:rPr>
              <w:t>事故废水从雨水排口</w:t>
            </w:r>
            <w:r>
              <w:rPr>
                <w:rFonts w:hint="eastAsia" w:ascii="宋体" w:hAnsi="宋体" w:cs="宋体"/>
                <w:color w:val="auto"/>
                <w:kern w:val="0"/>
                <w:szCs w:val="21"/>
                <w:lang w:val="zh-CN" w:bidi="zh-CN"/>
              </w:rPr>
              <w:t>直接排出，在排水管网（包括雨水管网、污水管网）全部设置切断装置，必要时立即切断所有排水管网（包括雨水管网、污水管网），严防未经处理的事故废水排入区域地表水体。</w:t>
            </w:r>
          </w:p>
          <w:p>
            <w:pPr>
              <w:adjustRightInd w:val="0"/>
              <w:snapToGrid w:val="0"/>
              <w:jc w:val="left"/>
              <w:rPr>
                <w:snapToGrid w:val="0"/>
                <w:color w:val="auto"/>
                <w:kern w:val="0"/>
                <w:szCs w:val="21"/>
              </w:rPr>
            </w:pPr>
            <w:r>
              <w:rPr>
                <w:rFonts w:hint="eastAsia" w:ascii="宋体" w:hAnsi="宋体" w:cs="宋体"/>
                <w:bCs/>
                <w:color w:val="auto"/>
                <w:kern w:val="0"/>
                <w:szCs w:val="21"/>
                <w:lang w:val="zh-CN" w:bidi="zh-CN"/>
              </w:rPr>
              <w:t>⑦制定、落实事故风险应急预案</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128" w:type="dxa"/>
            <w:vAlign w:val="center"/>
          </w:tcPr>
          <w:p>
            <w:pPr>
              <w:adjustRightInd w:val="0"/>
              <w:snapToGrid w:val="0"/>
              <w:jc w:val="center"/>
              <w:rPr>
                <w:snapToGrid w:val="0"/>
                <w:color w:val="auto"/>
                <w:kern w:val="0"/>
                <w:szCs w:val="21"/>
              </w:rPr>
            </w:pPr>
            <w:r>
              <w:rPr>
                <w:snapToGrid w:val="0"/>
                <w:color w:val="auto"/>
                <w:kern w:val="0"/>
                <w:szCs w:val="21"/>
              </w:rPr>
              <w:t>其他环境</w:t>
            </w:r>
          </w:p>
          <w:p>
            <w:pPr>
              <w:adjustRightInd w:val="0"/>
              <w:snapToGrid w:val="0"/>
              <w:jc w:val="center"/>
              <w:rPr>
                <w:snapToGrid w:val="0"/>
                <w:color w:val="auto"/>
                <w:kern w:val="0"/>
                <w:szCs w:val="21"/>
              </w:rPr>
            </w:pPr>
            <w:r>
              <w:rPr>
                <w:snapToGrid w:val="0"/>
                <w:color w:val="auto"/>
                <w:kern w:val="0"/>
                <w:szCs w:val="21"/>
              </w:rPr>
              <w:t>管理要求</w:t>
            </w:r>
          </w:p>
        </w:tc>
        <w:tc>
          <w:tcPr>
            <w:tcW w:w="8599" w:type="dxa"/>
            <w:gridSpan w:val="5"/>
            <w:vAlign w:val="center"/>
          </w:tcPr>
          <w:p>
            <w:pPr>
              <w:adjustRightInd w:val="0"/>
              <w:snapToGrid w:val="0"/>
              <w:jc w:val="center"/>
              <w:rPr>
                <w:snapToGrid w:val="0"/>
                <w:color w:val="auto"/>
                <w:kern w:val="0"/>
                <w:szCs w:val="21"/>
              </w:rPr>
            </w:pPr>
            <w:r>
              <w:rPr>
                <w:snapToGrid w:val="0"/>
                <w:color w:val="auto"/>
                <w:kern w:val="0"/>
                <w:szCs w:val="21"/>
              </w:rPr>
              <w:t>规范设置</w:t>
            </w:r>
            <w:r>
              <w:rPr>
                <w:rFonts w:hint="eastAsia"/>
                <w:snapToGrid w:val="0"/>
                <w:color w:val="auto"/>
                <w:kern w:val="0"/>
                <w:szCs w:val="21"/>
              </w:rPr>
              <w:t>雨污排放口；</w:t>
            </w:r>
            <w:r>
              <w:rPr>
                <w:snapToGrid w:val="0"/>
                <w:color w:val="auto"/>
                <w:kern w:val="0"/>
                <w:szCs w:val="21"/>
              </w:rPr>
              <w:t>定期维护环保处理设施</w:t>
            </w:r>
            <w:r>
              <w:rPr>
                <w:rFonts w:hint="eastAsia"/>
                <w:snapToGrid w:val="0"/>
                <w:color w:val="auto"/>
                <w:kern w:val="0"/>
                <w:szCs w:val="21"/>
              </w:rPr>
              <w:t>；</w:t>
            </w:r>
            <w:r>
              <w:rPr>
                <w:snapToGrid w:val="0"/>
                <w:color w:val="auto"/>
                <w:kern w:val="0"/>
                <w:szCs w:val="21"/>
              </w:rPr>
              <w:t>加强厂区管理</w:t>
            </w:r>
            <w:r>
              <w:rPr>
                <w:rFonts w:hint="eastAsia"/>
                <w:snapToGrid w:val="0"/>
                <w:color w:val="auto"/>
                <w:kern w:val="0"/>
                <w:szCs w:val="21"/>
              </w:rPr>
              <w:t>；</w:t>
            </w:r>
            <w:r>
              <w:rPr>
                <w:rFonts w:hint="eastAsia"/>
                <w:color w:val="auto"/>
                <w:szCs w:val="21"/>
              </w:rPr>
              <w:t>本项目需实行登记管理，按照《排污许可管理条例》排污单位应当在启动生产设施或者在实际排污前应取得排污许可；同时项目建成投产后还需按《建设项目竣工环境保护验收技术指南 污染影响类》（生态环境部令第9号）要求完成竣工环保验收</w:t>
            </w:r>
            <w:r>
              <w:rPr>
                <w:snapToGrid w:val="0"/>
                <w:color w:val="auto"/>
                <w:kern w:val="0"/>
                <w:szCs w:val="21"/>
              </w:rPr>
              <w:t>。</w:t>
            </w:r>
          </w:p>
        </w:tc>
      </w:tr>
    </w:tbl>
    <w:p>
      <w:pPr>
        <w:pStyle w:val="25"/>
        <w:adjustRightInd w:val="0"/>
        <w:snapToGrid w:val="0"/>
        <w:spacing w:before="120" w:beforeLines="50" w:beforeAutospacing="0" w:after="120" w:afterLines="50" w:afterAutospacing="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638" w:type="dxa"/>
          </w:tcPr>
          <w:p>
            <w:pPr>
              <w:spacing w:before="1440" w:beforeLines="600" w:line="360" w:lineRule="auto"/>
              <w:ind w:firstLine="480" w:firstLineChars="200"/>
              <w:rPr>
                <w:rFonts w:ascii="宋体" w:hAnsi="宋体" w:cs="宋体"/>
                <w:color w:val="auto"/>
                <w:sz w:val="24"/>
              </w:rPr>
            </w:pPr>
          </w:p>
          <w:p>
            <w:pPr>
              <w:spacing w:before="1440" w:beforeLines="600" w:line="360" w:lineRule="auto"/>
              <w:ind w:firstLine="480" w:firstLineChars="200"/>
              <w:rPr>
                <w:rFonts w:ascii="宋体" w:hAnsi="宋体" w:cs="宋体"/>
                <w:color w:val="auto"/>
                <w:sz w:val="24"/>
              </w:rPr>
            </w:pPr>
            <w:r>
              <w:rPr>
                <w:rFonts w:hint="eastAsia" w:ascii="宋体" w:hAnsi="宋体" w:cs="宋体"/>
                <w:color w:val="auto"/>
                <w:sz w:val="24"/>
              </w:rPr>
              <w:t>综上所述，建设项目厂址地理位置优越，交通便利，选址合适、可行，项目符合国家和地方相关产业政策要求；项目所产生的污染物均采取了有效的污染控制措施，污染物可确保达标排放，不会降低评价区域环境质量现状。项目建成投入使用后项目对环境的影响程度较小，在认真落实相关污染防治措施后，严格做到污染防治措施与主体工程“三同时”制度即“同时设计、同时施工、同时投产”，污染物均可实现达标排放，对周围环境的影响较小，从环保角度分析，该项目建设是可行的。</w:t>
            </w:r>
          </w:p>
          <w:p>
            <w:pPr>
              <w:spacing w:before="1440" w:beforeLines="600" w:line="360" w:lineRule="auto"/>
              <w:ind w:firstLine="480" w:firstLineChars="200"/>
              <w:rPr>
                <w:rFonts w:ascii="宋体" w:hAnsi="宋体" w:cs="宋体"/>
                <w:color w:val="auto"/>
                <w:sz w:val="24"/>
              </w:rPr>
            </w:pPr>
          </w:p>
          <w:p>
            <w:pPr>
              <w:spacing w:before="1440" w:beforeLines="600" w:line="360" w:lineRule="auto"/>
              <w:ind w:firstLine="480" w:firstLineChars="200"/>
              <w:rPr>
                <w:rFonts w:ascii="宋体" w:hAnsi="宋体" w:cs="宋体"/>
                <w:color w:val="auto"/>
                <w:sz w:val="24"/>
              </w:rPr>
            </w:pPr>
          </w:p>
          <w:p>
            <w:pPr>
              <w:pStyle w:val="8"/>
              <w:spacing w:before="240" w:after="120"/>
              <w:rPr>
                <w:rFonts w:hAnsi="宋体"/>
                <w:color w:val="auto"/>
                <w:sz w:val="24"/>
                <w:szCs w:val="24"/>
              </w:rPr>
            </w:pPr>
          </w:p>
          <w:p>
            <w:pPr>
              <w:pStyle w:val="8"/>
              <w:spacing w:before="240" w:after="120"/>
              <w:ind w:left="0" w:firstLine="0"/>
              <w:rPr>
                <w:color w:val="auto"/>
              </w:rPr>
            </w:pPr>
          </w:p>
          <w:p>
            <w:pPr>
              <w:spacing w:before="1440" w:beforeLines="600" w:line="360" w:lineRule="auto"/>
              <w:rPr>
                <w:rFonts w:ascii="宋体" w:cs="宋体"/>
                <w:color w:val="auto"/>
                <w:sz w:val="24"/>
              </w:rPr>
            </w:pPr>
          </w:p>
        </w:tc>
      </w:tr>
    </w:tbl>
    <w:p>
      <w:pPr>
        <w:rPr>
          <w:rFonts w:ascii="宋体"/>
          <w:color w:val="auto"/>
        </w:rPr>
        <w:sectPr>
          <w:pgSz w:w="11906" w:h="16838"/>
          <w:pgMar w:top="1304" w:right="1191" w:bottom="1304" w:left="1191" w:header="907" w:footer="907" w:gutter="0"/>
          <w:cols w:space="720" w:num="1"/>
          <w:docGrid w:linePitch="312" w:charSpace="0"/>
        </w:sectPr>
      </w:pPr>
    </w:p>
    <w:p>
      <w:pPr>
        <w:pStyle w:val="25"/>
        <w:adjustRightInd w:val="0"/>
        <w:snapToGrid w:val="0"/>
        <w:spacing w:before="0" w:beforeAutospacing="0" w:after="0" w:afterAutospacing="0"/>
        <w:outlineLvl w:val="0"/>
        <w:rPr>
          <w:rFonts w:cs="宋体"/>
          <w:b/>
          <w:bCs/>
          <w:snapToGrid w:val="0"/>
          <w:color w:val="auto"/>
          <w:sz w:val="30"/>
          <w:szCs w:val="30"/>
        </w:rPr>
      </w:pPr>
      <w:r>
        <w:rPr>
          <w:rFonts w:hint="eastAsia" w:cs="宋体"/>
          <w:b/>
          <w:bCs/>
          <w:snapToGrid w:val="0"/>
          <w:color w:val="auto"/>
          <w:sz w:val="30"/>
          <w:szCs w:val="30"/>
        </w:rPr>
        <w:t>附表</w:t>
      </w:r>
    </w:p>
    <w:p>
      <w:pPr>
        <w:pStyle w:val="25"/>
        <w:adjustRightInd w:val="0"/>
        <w:snapToGrid w:val="0"/>
        <w:spacing w:before="0" w:beforeAutospacing="0" w:after="0" w:afterAutospacing="0" w:line="360" w:lineRule="auto"/>
        <w:jc w:val="center"/>
        <w:rPr>
          <w:rFonts w:cs="宋体"/>
          <w:b/>
          <w:bCs/>
          <w:snapToGrid w:val="0"/>
          <w:color w:val="auto"/>
          <w:sz w:val="30"/>
          <w:szCs w:val="30"/>
        </w:rPr>
      </w:pPr>
      <w:r>
        <w:rPr>
          <w:rFonts w:hint="eastAsia" w:cs="宋体"/>
          <w:b/>
          <w:bCs/>
          <w:snapToGrid w:val="0"/>
          <w:color w:val="auto"/>
          <w:sz w:val="30"/>
          <w:szCs w:val="30"/>
        </w:rPr>
        <w:t>建设项目污染物排放量汇总表</w:t>
      </w:r>
    </w:p>
    <w:tbl>
      <w:tblPr>
        <w:tblStyle w:val="28"/>
        <w:tblW w:w="132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027"/>
        <w:gridCol w:w="1531"/>
        <w:gridCol w:w="1247"/>
        <w:gridCol w:w="1531"/>
        <w:gridCol w:w="1417"/>
        <w:gridCol w:w="1417"/>
        <w:gridCol w:w="1757"/>
        <w:gridCol w:w="1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091" w:type="dxa"/>
            <w:tcBorders>
              <w:tl2br w:val="single" w:color="auto" w:sz="4" w:space="0"/>
            </w:tcBorders>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hint="eastAsia" w:ascii="Times New Roman" w:hAnsi="Times New Roman"/>
                <w:b/>
                <w:bCs/>
                <w:snapToGrid w:val="0"/>
                <w:color w:val="auto"/>
                <w:spacing w:val="-6"/>
                <w:kern w:val="21"/>
                <w:szCs w:val="21"/>
              </w:rPr>
              <w:t xml:space="preserve">      </w:t>
            </w:r>
            <w:r>
              <w:rPr>
                <w:rFonts w:ascii="Times New Roman" w:hAnsi="Times New Roman"/>
                <w:b/>
                <w:bCs/>
                <w:snapToGrid w:val="0"/>
                <w:color w:val="auto"/>
                <w:spacing w:val="-6"/>
                <w:kern w:val="21"/>
                <w:szCs w:val="21"/>
              </w:rPr>
              <w:t>项目</w:t>
            </w:r>
          </w:p>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分类</w:t>
            </w:r>
          </w:p>
        </w:tc>
        <w:tc>
          <w:tcPr>
            <w:tcW w:w="202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污染物名称</w:t>
            </w:r>
          </w:p>
        </w:tc>
        <w:tc>
          <w:tcPr>
            <w:tcW w:w="1531"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现有工程排放量（固体废物产生量）</w:t>
            </w:r>
            <w:r>
              <w:rPr>
                <w:rFonts w:ascii="Times New Roman" w:hAnsi="Times New Roman"/>
                <w:b/>
                <w:bCs/>
                <w:snapToGrid w:val="0"/>
                <w:color w:val="auto"/>
                <w:spacing w:val="-6"/>
                <w:kern w:val="21"/>
                <w:szCs w:val="21"/>
              </w:rPr>
              <w:fldChar w:fldCharType="begin"/>
            </w:r>
            <w:r>
              <w:rPr>
                <w:rFonts w:ascii="Times New Roman" w:hAnsi="Times New Roman"/>
                <w:b/>
                <w:bCs/>
                <w:snapToGrid w:val="0"/>
                <w:color w:val="auto"/>
                <w:spacing w:val="-6"/>
                <w:kern w:val="21"/>
                <w:szCs w:val="21"/>
              </w:rPr>
              <w:instrText xml:space="preserve"> = 1 \* GB3 \* MERGEFORMAT </w:instrText>
            </w:r>
            <w:r>
              <w:rPr>
                <w:rFonts w:ascii="Times New Roman" w:hAnsi="Times New Roman"/>
                <w:b/>
                <w:bCs/>
                <w:snapToGrid w:val="0"/>
                <w:color w:val="auto"/>
                <w:spacing w:val="-6"/>
                <w:kern w:val="21"/>
                <w:szCs w:val="21"/>
              </w:rPr>
              <w:fldChar w:fldCharType="separate"/>
            </w:r>
            <w:r>
              <w:rPr>
                <w:rFonts w:ascii="Times New Roman" w:hAnsi="Times New Roman"/>
                <w:b/>
                <w:bCs/>
                <w:color w:val="auto"/>
                <w:kern w:val="2"/>
                <w:szCs w:val="21"/>
              </w:rPr>
              <w:t>①</w:t>
            </w:r>
            <w:r>
              <w:rPr>
                <w:rFonts w:ascii="Times New Roman" w:hAnsi="Times New Roman"/>
                <w:b/>
                <w:bCs/>
                <w:snapToGrid w:val="0"/>
                <w:color w:val="auto"/>
                <w:spacing w:val="-6"/>
                <w:kern w:val="21"/>
                <w:szCs w:val="21"/>
              </w:rPr>
              <w:fldChar w:fldCharType="end"/>
            </w:r>
          </w:p>
        </w:tc>
        <w:tc>
          <w:tcPr>
            <w:tcW w:w="124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现有工程许可排放量</w:t>
            </w:r>
            <w:r>
              <w:rPr>
                <w:rFonts w:ascii="Times New Roman" w:hAnsi="Times New Roman"/>
                <w:b/>
                <w:bCs/>
                <w:snapToGrid w:val="0"/>
                <w:color w:val="auto"/>
                <w:spacing w:val="-6"/>
                <w:kern w:val="21"/>
                <w:szCs w:val="21"/>
              </w:rPr>
              <w:fldChar w:fldCharType="begin"/>
            </w:r>
            <w:r>
              <w:rPr>
                <w:rFonts w:ascii="Times New Roman" w:hAnsi="Times New Roman"/>
                <w:b/>
                <w:bCs/>
                <w:snapToGrid w:val="0"/>
                <w:color w:val="auto"/>
                <w:spacing w:val="-6"/>
                <w:kern w:val="21"/>
                <w:szCs w:val="21"/>
              </w:rPr>
              <w:instrText xml:space="preserve"> = 2 \* GB3 \* MERGEFORMAT </w:instrText>
            </w:r>
            <w:r>
              <w:rPr>
                <w:rFonts w:ascii="Times New Roman" w:hAnsi="Times New Roman"/>
                <w:b/>
                <w:bCs/>
                <w:snapToGrid w:val="0"/>
                <w:color w:val="auto"/>
                <w:spacing w:val="-6"/>
                <w:kern w:val="21"/>
                <w:szCs w:val="21"/>
              </w:rPr>
              <w:fldChar w:fldCharType="separate"/>
            </w:r>
            <w:r>
              <w:rPr>
                <w:rFonts w:ascii="Times New Roman" w:hAnsi="Times New Roman"/>
                <w:b/>
                <w:bCs/>
                <w:snapToGrid w:val="0"/>
                <w:color w:val="auto"/>
                <w:spacing w:val="-6"/>
                <w:kern w:val="21"/>
                <w:szCs w:val="21"/>
              </w:rPr>
              <w:t>②</w:t>
            </w:r>
            <w:r>
              <w:rPr>
                <w:rFonts w:ascii="Times New Roman" w:hAnsi="Times New Roman"/>
                <w:b/>
                <w:bCs/>
                <w:snapToGrid w:val="0"/>
                <w:color w:val="auto"/>
                <w:spacing w:val="-6"/>
                <w:kern w:val="21"/>
                <w:szCs w:val="21"/>
              </w:rPr>
              <w:fldChar w:fldCharType="end"/>
            </w:r>
          </w:p>
        </w:tc>
        <w:tc>
          <w:tcPr>
            <w:tcW w:w="1531"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在建工程排放量（固体废物产生量）</w:t>
            </w:r>
            <w:r>
              <w:rPr>
                <w:rFonts w:ascii="Times New Roman" w:hAnsi="Times New Roman"/>
                <w:b/>
                <w:bCs/>
                <w:snapToGrid w:val="0"/>
                <w:color w:val="auto"/>
                <w:spacing w:val="-6"/>
                <w:kern w:val="21"/>
                <w:szCs w:val="21"/>
              </w:rPr>
              <w:fldChar w:fldCharType="begin"/>
            </w:r>
            <w:r>
              <w:rPr>
                <w:rFonts w:ascii="Times New Roman" w:hAnsi="Times New Roman"/>
                <w:b/>
                <w:bCs/>
                <w:snapToGrid w:val="0"/>
                <w:color w:val="auto"/>
                <w:spacing w:val="-6"/>
                <w:kern w:val="21"/>
                <w:szCs w:val="21"/>
              </w:rPr>
              <w:instrText xml:space="preserve"> = 3 \* GB3 \* MERGEFORMAT </w:instrText>
            </w:r>
            <w:r>
              <w:rPr>
                <w:rFonts w:ascii="Times New Roman" w:hAnsi="Times New Roman"/>
                <w:b/>
                <w:bCs/>
                <w:snapToGrid w:val="0"/>
                <w:color w:val="auto"/>
                <w:spacing w:val="-6"/>
                <w:kern w:val="21"/>
                <w:szCs w:val="21"/>
              </w:rPr>
              <w:fldChar w:fldCharType="separate"/>
            </w:r>
            <w:r>
              <w:rPr>
                <w:rFonts w:ascii="Times New Roman" w:hAnsi="Times New Roman"/>
                <w:b/>
                <w:bCs/>
                <w:color w:val="auto"/>
                <w:kern w:val="2"/>
                <w:szCs w:val="21"/>
              </w:rPr>
              <w:t>③</w:t>
            </w:r>
            <w:r>
              <w:rPr>
                <w:rFonts w:ascii="Times New Roman" w:hAnsi="Times New Roman"/>
                <w:b/>
                <w:bCs/>
                <w:snapToGrid w:val="0"/>
                <w:color w:val="auto"/>
                <w:spacing w:val="-6"/>
                <w:kern w:val="21"/>
                <w:szCs w:val="21"/>
              </w:rPr>
              <w:fldChar w:fldCharType="end"/>
            </w:r>
          </w:p>
        </w:tc>
        <w:tc>
          <w:tcPr>
            <w:tcW w:w="141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本项目排放量（固体废物产生量）</w:t>
            </w:r>
            <w:r>
              <w:rPr>
                <w:rFonts w:ascii="Times New Roman" w:hAnsi="Times New Roman"/>
                <w:b/>
                <w:bCs/>
                <w:snapToGrid w:val="0"/>
                <w:color w:val="auto"/>
                <w:spacing w:val="-6"/>
                <w:kern w:val="21"/>
                <w:szCs w:val="21"/>
              </w:rPr>
              <w:fldChar w:fldCharType="begin"/>
            </w:r>
            <w:r>
              <w:rPr>
                <w:rFonts w:ascii="Times New Roman" w:hAnsi="Times New Roman"/>
                <w:b/>
                <w:bCs/>
                <w:snapToGrid w:val="0"/>
                <w:color w:val="auto"/>
                <w:spacing w:val="-6"/>
                <w:kern w:val="21"/>
                <w:szCs w:val="21"/>
              </w:rPr>
              <w:instrText xml:space="preserve"> = 4 \* GB3 \* MERGEFORMAT </w:instrText>
            </w:r>
            <w:r>
              <w:rPr>
                <w:rFonts w:ascii="Times New Roman" w:hAnsi="Times New Roman"/>
                <w:b/>
                <w:bCs/>
                <w:snapToGrid w:val="0"/>
                <w:color w:val="auto"/>
                <w:spacing w:val="-6"/>
                <w:kern w:val="21"/>
                <w:szCs w:val="21"/>
              </w:rPr>
              <w:fldChar w:fldCharType="separate"/>
            </w:r>
            <w:r>
              <w:rPr>
                <w:rFonts w:ascii="Times New Roman" w:hAnsi="Times New Roman"/>
                <w:b/>
                <w:bCs/>
                <w:color w:val="auto"/>
                <w:kern w:val="2"/>
                <w:szCs w:val="21"/>
              </w:rPr>
              <w:t>④</w:t>
            </w:r>
            <w:r>
              <w:rPr>
                <w:rFonts w:ascii="Times New Roman" w:hAnsi="Times New Roman"/>
                <w:b/>
                <w:bCs/>
                <w:snapToGrid w:val="0"/>
                <w:color w:val="auto"/>
                <w:spacing w:val="-6"/>
                <w:kern w:val="21"/>
                <w:szCs w:val="21"/>
              </w:rPr>
              <w:fldChar w:fldCharType="end"/>
            </w:r>
          </w:p>
        </w:tc>
        <w:tc>
          <w:tcPr>
            <w:tcW w:w="141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16"/>
                <w:kern w:val="21"/>
                <w:szCs w:val="21"/>
              </w:rPr>
            </w:pPr>
            <w:r>
              <w:rPr>
                <w:rFonts w:ascii="Times New Roman" w:hAnsi="Times New Roman"/>
                <w:b/>
                <w:bCs/>
                <w:snapToGrid w:val="0"/>
                <w:color w:val="auto"/>
                <w:spacing w:val="-16"/>
                <w:kern w:val="21"/>
                <w:szCs w:val="21"/>
              </w:rPr>
              <w:t>以新带老削减量（新建项目不填）</w:t>
            </w:r>
            <w:r>
              <w:rPr>
                <w:rFonts w:ascii="Times New Roman" w:hAnsi="Times New Roman"/>
                <w:b/>
                <w:bCs/>
                <w:snapToGrid w:val="0"/>
                <w:color w:val="auto"/>
                <w:spacing w:val="-16"/>
                <w:kern w:val="21"/>
                <w:szCs w:val="21"/>
              </w:rPr>
              <w:fldChar w:fldCharType="begin"/>
            </w:r>
            <w:r>
              <w:rPr>
                <w:rFonts w:ascii="Times New Roman" w:hAnsi="Times New Roman"/>
                <w:b/>
                <w:bCs/>
                <w:snapToGrid w:val="0"/>
                <w:color w:val="auto"/>
                <w:spacing w:val="-16"/>
                <w:kern w:val="21"/>
                <w:szCs w:val="21"/>
              </w:rPr>
              <w:instrText xml:space="preserve"> = 5 \* GB3 \* MERGEFORMAT </w:instrText>
            </w:r>
            <w:r>
              <w:rPr>
                <w:rFonts w:ascii="Times New Roman" w:hAnsi="Times New Roman"/>
                <w:b/>
                <w:bCs/>
                <w:snapToGrid w:val="0"/>
                <w:color w:val="auto"/>
                <w:spacing w:val="-16"/>
                <w:kern w:val="21"/>
                <w:szCs w:val="21"/>
              </w:rPr>
              <w:fldChar w:fldCharType="separate"/>
            </w:r>
            <w:r>
              <w:rPr>
                <w:rFonts w:ascii="Times New Roman" w:hAnsi="Times New Roman"/>
                <w:b/>
                <w:bCs/>
                <w:color w:val="auto"/>
                <w:kern w:val="2"/>
                <w:szCs w:val="21"/>
              </w:rPr>
              <w:t>⑤</w:t>
            </w:r>
            <w:r>
              <w:rPr>
                <w:rFonts w:ascii="Times New Roman" w:hAnsi="Times New Roman"/>
                <w:b/>
                <w:bCs/>
                <w:snapToGrid w:val="0"/>
                <w:color w:val="auto"/>
                <w:spacing w:val="-16"/>
                <w:kern w:val="21"/>
                <w:szCs w:val="21"/>
              </w:rPr>
              <w:fldChar w:fldCharType="end"/>
            </w:r>
          </w:p>
        </w:tc>
        <w:tc>
          <w:tcPr>
            <w:tcW w:w="175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16"/>
                <w:kern w:val="21"/>
                <w:szCs w:val="21"/>
              </w:rPr>
            </w:pPr>
            <w:r>
              <w:rPr>
                <w:rFonts w:ascii="Times New Roman" w:hAnsi="Times New Roman"/>
                <w:b/>
                <w:bCs/>
                <w:snapToGrid w:val="0"/>
                <w:color w:val="auto"/>
                <w:spacing w:val="-16"/>
                <w:kern w:val="21"/>
                <w:szCs w:val="21"/>
              </w:rPr>
              <w:t>本项目建成后全厂排放量（固体废物产生量）</w:t>
            </w:r>
            <w:r>
              <w:rPr>
                <w:rFonts w:ascii="Times New Roman" w:hAnsi="Times New Roman"/>
                <w:b/>
                <w:bCs/>
                <w:snapToGrid w:val="0"/>
                <w:color w:val="auto"/>
                <w:spacing w:val="-16"/>
                <w:kern w:val="21"/>
                <w:szCs w:val="21"/>
              </w:rPr>
              <w:fldChar w:fldCharType="begin"/>
            </w:r>
            <w:r>
              <w:rPr>
                <w:rFonts w:ascii="Times New Roman" w:hAnsi="Times New Roman"/>
                <w:b/>
                <w:bCs/>
                <w:snapToGrid w:val="0"/>
                <w:color w:val="auto"/>
                <w:spacing w:val="-16"/>
                <w:kern w:val="21"/>
                <w:szCs w:val="21"/>
              </w:rPr>
              <w:instrText xml:space="preserve"> = 6 \* GB3 \* MERGEFORMAT </w:instrText>
            </w:r>
            <w:r>
              <w:rPr>
                <w:rFonts w:ascii="Times New Roman" w:hAnsi="Times New Roman"/>
                <w:b/>
                <w:bCs/>
                <w:snapToGrid w:val="0"/>
                <w:color w:val="auto"/>
                <w:spacing w:val="-16"/>
                <w:kern w:val="21"/>
                <w:szCs w:val="21"/>
              </w:rPr>
              <w:fldChar w:fldCharType="separate"/>
            </w:r>
            <w:r>
              <w:rPr>
                <w:rFonts w:ascii="Times New Roman" w:hAnsi="Times New Roman"/>
                <w:b/>
                <w:bCs/>
                <w:color w:val="auto"/>
                <w:kern w:val="2"/>
                <w:szCs w:val="21"/>
              </w:rPr>
              <w:t>⑥</w:t>
            </w:r>
            <w:r>
              <w:rPr>
                <w:rFonts w:ascii="Times New Roman" w:hAnsi="Times New Roman"/>
                <w:b/>
                <w:bCs/>
                <w:snapToGrid w:val="0"/>
                <w:color w:val="auto"/>
                <w:spacing w:val="-16"/>
                <w:kern w:val="21"/>
                <w:szCs w:val="21"/>
              </w:rPr>
              <w:fldChar w:fldCharType="end"/>
            </w:r>
          </w:p>
        </w:tc>
        <w:tc>
          <w:tcPr>
            <w:tcW w:w="1247" w:type="dxa"/>
            <w:tcMar>
              <w:left w:w="28" w:type="dxa"/>
              <w:right w:w="28" w:type="dxa"/>
            </w:tcMar>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b/>
                <w:bCs/>
                <w:snapToGrid w:val="0"/>
                <w:color w:val="auto"/>
                <w:spacing w:val="-6"/>
                <w:kern w:val="21"/>
                <w:szCs w:val="21"/>
              </w:rPr>
            </w:pPr>
            <w:r>
              <w:rPr>
                <w:rFonts w:ascii="Times New Roman" w:hAnsi="Times New Roman"/>
                <w:b/>
                <w:bCs/>
                <w:snapToGrid w:val="0"/>
                <w:color w:val="auto"/>
                <w:spacing w:val="-6"/>
                <w:kern w:val="21"/>
                <w:szCs w:val="21"/>
              </w:rPr>
              <w:t>变化量</w:t>
            </w:r>
            <w:r>
              <w:rPr>
                <w:rFonts w:ascii="Times New Roman" w:hAnsi="Times New Roman"/>
                <w:b/>
                <w:bCs/>
                <w:snapToGrid w:val="0"/>
                <w:color w:val="auto"/>
                <w:spacing w:val="-6"/>
                <w:kern w:val="21"/>
                <w:szCs w:val="21"/>
              </w:rPr>
              <w:fldChar w:fldCharType="begin"/>
            </w:r>
            <w:r>
              <w:rPr>
                <w:rFonts w:ascii="Times New Roman" w:hAnsi="Times New Roman"/>
                <w:b/>
                <w:bCs/>
                <w:snapToGrid w:val="0"/>
                <w:color w:val="auto"/>
                <w:spacing w:val="-6"/>
                <w:kern w:val="21"/>
                <w:szCs w:val="21"/>
              </w:rPr>
              <w:instrText xml:space="preserve"> = 7 \* GB3 \* MERGEFORMAT </w:instrText>
            </w:r>
            <w:r>
              <w:rPr>
                <w:rFonts w:ascii="Times New Roman" w:hAnsi="Times New Roman"/>
                <w:b/>
                <w:bCs/>
                <w:snapToGrid w:val="0"/>
                <w:color w:val="auto"/>
                <w:spacing w:val="-6"/>
                <w:kern w:val="21"/>
                <w:szCs w:val="21"/>
              </w:rPr>
              <w:fldChar w:fldCharType="separate"/>
            </w:r>
            <w:r>
              <w:rPr>
                <w:rFonts w:ascii="Times New Roman" w:hAnsi="Times New Roman"/>
                <w:b/>
                <w:bCs/>
                <w:color w:val="auto"/>
                <w:kern w:val="2"/>
                <w:szCs w:val="21"/>
              </w:rPr>
              <w:t>⑦</w:t>
            </w:r>
            <w:r>
              <w:rPr>
                <w:rFonts w:ascii="Times New Roman" w:hAnsi="Times New Roman"/>
                <w:b/>
                <w:bCs/>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restart"/>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r>
              <w:rPr>
                <w:rFonts w:ascii="Times New Roman" w:hAnsi="Times New Roman"/>
                <w:snapToGrid w:val="0"/>
                <w:color w:val="auto"/>
                <w:kern w:val="21"/>
                <w:szCs w:val="21"/>
              </w:rPr>
              <w:t>废气</w:t>
            </w: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color w:val="auto"/>
                <w:szCs w:val="21"/>
              </w:rPr>
            </w:pPr>
            <w:r>
              <w:rPr>
                <w:color w:val="auto"/>
                <w:szCs w:val="21"/>
              </w:rPr>
              <w:t>颗粒物</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szCs w:val="21"/>
              </w:rPr>
            </w:pPr>
            <w:r>
              <w:rPr>
                <w:rFonts w:hint="eastAsia"/>
                <w:color w:val="auto"/>
                <w:kern w:val="0"/>
                <w:szCs w:val="21"/>
                <w:lang w:eastAsia="zh-CN" w:bidi="ar"/>
              </w:rPr>
              <w:t>0.0001</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szCs w:val="21"/>
              </w:rPr>
            </w:pPr>
            <w:r>
              <w:rPr>
                <w:rFonts w:hint="eastAsia"/>
                <w:color w:val="auto"/>
                <w:kern w:val="0"/>
                <w:szCs w:val="21"/>
                <w:lang w:eastAsia="zh-CN" w:bidi="ar"/>
              </w:rPr>
              <w:t>0.0001</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szCs w:val="21"/>
              </w:rPr>
            </w:pPr>
            <w:r>
              <w:rPr>
                <w:color w:val="auto"/>
                <w:kern w:val="0"/>
                <w:szCs w:val="21"/>
                <w:lang w:bidi="ar"/>
              </w:rPr>
              <w:t>+</w:t>
            </w:r>
            <w:r>
              <w:rPr>
                <w:rFonts w:hint="eastAsia"/>
                <w:color w:val="auto"/>
                <w:kern w:val="0"/>
                <w:szCs w:val="21"/>
                <w:lang w:eastAsia="zh-CN" w:bidi="ar"/>
              </w:rPr>
              <w:t>0.0001</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snapToGrid w:val="0"/>
                <w:color w:val="auto"/>
                <w:kern w:val="0"/>
                <w:szCs w:val="21"/>
              </w:rPr>
              <w:t>VOCs</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kern w:val="0"/>
                <w:szCs w:val="21"/>
                <w:lang w:bidi="ar"/>
              </w:rPr>
            </w:pPr>
            <w:r>
              <w:rPr>
                <w:rFonts w:hint="eastAsia"/>
                <w:color w:val="auto"/>
                <w:kern w:val="0"/>
                <w:szCs w:val="21"/>
                <w:lang w:eastAsia="zh-CN" w:bidi="ar"/>
              </w:rPr>
              <w:t>0.1556</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kern w:val="0"/>
                <w:szCs w:val="21"/>
                <w:lang w:bidi="ar"/>
              </w:rPr>
            </w:pPr>
            <w:r>
              <w:rPr>
                <w:rFonts w:hint="eastAsia"/>
                <w:color w:val="auto"/>
                <w:kern w:val="0"/>
                <w:szCs w:val="21"/>
                <w:lang w:eastAsia="zh-CN" w:bidi="ar"/>
              </w:rPr>
              <w:t>0.1556</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color w:val="auto"/>
                <w:kern w:val="0"/>
                <w:szCs w:val="21"/>
                <w:lang w:bidi="ar"/>
              </w:rPr>
            </w:pPr>
            <w:r>
              <w:rPr>
                <w:rFonts w:hint="eastAsia"/>
                <w:color w:val="auto"/>
                <w:kern w:val="0"/>
                <w:szCs w:val="21"/>
                <w:lang w:bidi="ar"/>
              </w:rPr>
              <w:t>+</w:t>
            </w:r>
            <w:r>
              <w:rPr>
                <w:rFonts w:hint="eastAsia"/>
                <w:color w:val="auto"/>
                <w:kern w:val="0"/>
                <w:szCs w:val="21"/>
                <w:lang w:eastAsia="zh-CN" w:bidi="ar"/>
              </w:rPr>
              <w:t>0.1556</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restart"/>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r>
              <w:rPr>
                <w:rFonts w:ascii="Times New Roman" w:hAnsi="Times New Roman"/>
                <w:snapToGrid w:val="0"/>
                <w:color w:val="auto"/>
                <w:kern w:val="21"/>
                <w:szCs w:val="21"/>
              </w:rPr>
              <w:t>废水</w:t>
            </w:r>
          </w:p>
        </w:tc>
        <w:tc>
          <w:tcPr>
            <w:tcW w:w="202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COD</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0.0182</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0.0182</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rFonts w:hint="eastAsia"/>
                <w:color w:val="auto"/>
                <w:kern w:val="0"/>
                <w:szCs w:val="21"/>
                <w:lang w:bidi="ar"/>
              </w:rPr>
              <w:t>+</w:t>
            </w:r>
            <w:r>
              <w:rPr>
                <w:color w:val="auto"/>
                <w:kern w:val="0"/>
                <w:szCs w:val="21"/>
                <w:lang w:bidi="ar"/>
              </w:rPr>
              <w:t>0.0182</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BOD</w:t>
            </w:r>
            <w:r>
              <w:rPr>
                <w:color w:val="auto"/>
                <w:szCs w:val="21"/>
                <w:vertAlign w:val="subscript"/>
                <w:lang w:bidi="ar"/>
              </w:rPr>
              <w:t>5</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0.0036</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0.0036</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rFonts w:hint="eastAsia"/>
                <w:color w:val="auto"/>
                <w:kern w:val="0"/>
                <w:szCs w:val="21"/>
                <w:lang w:bidi="ar"/>
              </w:rPr>
              <w:t>+</w:t>
            </w:r>
            <w:r>
              <w:rPr>
                <w:color w:val="auto"/>
                <w:kern w:val="0"/>
                <w:szCs w:val="21"/>
                <w:lang w:bidi="ar"/>
              </w:rPr>
              <w:t>0.0036</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SS</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0.0036</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0.0036</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rFonts w:hint="eastAsia"/>
                <w:color w:val="auto"/>
                <w:kern w:val="0"/>
                <w:szCs w:val="21"/>
                <w:lang w:bidi="ar"/>
              </w:rPr>
              <w:t>+</w:t>
            </w:r>
            <w:r>
              <w:rPr>
                <w:color w:val="auto"/>
                <w:kern w:val="0"/>
                <w:szCs w:val="21"/>
                <w:lang w:bidi="ar"/>
              </w:rPr>
              <w:t>0.0036</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NH</w:t>
            </w:r>
            <w:r>
              <w:rPr>
                <w:color w:val="auto"/>
                <w:szCs w:val="21"/>
                <w:vertAlign w:val="subscript"/>
                <w:lang w:bidi="ar"/>
              </w:rPr>
              <w:t>3</w:t>
            </w:r>
            <w:r>
              <w:rPr>
                <w:color w:val="auto"/>
                <w:kern w:val="0"/>
                <w:szCs w:val="21"/>
                <w:lang w:bidi="ar"/>
              </w:rPr>
              <w:t>-N</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0.0018</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color w:val="auto"/>
                <w:kern w:val="0"/>
                <w:szCs w:val="21"/>
                <w:lang w:bidi="ar"/>
              </w:rPr>
              <w:t>0.0018</w:t>
            </w:r>
            <w:r>
              <w:rPr>
                <w:snapToGrid w:val="0"/>
                <w:color w:val="auto"/>
                <w:spacing w:val="-6"/>
                <w:kern w:val="21"/>
                <w:szCs w:val="21"/>
              </w:rPr>
              <w:t>t/a</w:t>
            </w:r>
          </w:p>
        </w:tc>
        <w:tc>
          <w:tcPr>
            <w:tcW w:w="1247" w:type="dxa"/>
            <w:vAlign w:val="center"/>
          </w:tcPr>
          <w:p>
            <w:pPr>
              <w:keepNext w:val="0"/>
              <w:pageBreakBefore w:val="0"/>
              <w:widowControl/>
              <w:kinsoku/>
              <w:wordWrap/>
              <w:overflowPunct/>
              <w:topLinePunct w:val="0"/>
              <w:autoSpaceDE/>
              <w:autoSpaceDN/>
              <w:bidi w:val="0"/>
              <w:adjustRightInd w:val="0"/>
              <w:snapToGrid w:val="0"/>
              <w:ind w:firstLine="0" w:firstLineChars="0"/>
              <w:jc w:val="center"/>
              <w:textAlignment w:val="center"/>
              <w:rPr>
                <w:bCs/>
                <w:snapToGrid w:val="0"/>
                <w:color w:val="auto"/>
                <w:kern w:val="0"/>
                <w:szCs w:val="21"/>
              </w:rPr>
            </w:pPr>
            <w:r>
              <w:rPr>
                <w:rFonts w:hint="eastAsia"/>
                <w:color w:val="auto"/>
                <w:kern w:val="0"/>
                <w:szCs w:val="21"/>
                <w:lang w:bidi="ar"/>
              </w:rPr>
              <w:t>+</w:t>
            </w:r>
            <w:r>
              <w:rPr>
                <w:color w:val="auto"/>
                <w:kern w:val="0"/>
                <w:szCs w:val="21"/>
                <w:lang w:bidi="ar"/>
              </w:rPr>
              <w:t>0.0018</w:t>
            </w:r>
            <w:r>
              <w:rPr>
                <w:snapToGrid w:val="0"/>
                <w:color w:val="auto"/>
                <w:spacing w:val="-6"/>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restart"/>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r>
              <w:rPr>
                <w:rFonts w:ascii="Times New Roman" w:hAnsi="Times New Roman"/>
                <w:snapToGrid w:val="0"/>
                <w:color w:val="auto"/>
                <w:kern w:val="21"/>
                <w:szCs w:val="21"/>
              </w:rPr>
              <w:t>一般工业固体废物</w:t>
            </w: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snapToGrid w:val="0"/>
                <w:color w:val="auto"/>
                <w:kern w:val="0"/>
                <w:szCs w:val="21"/>
                <w:lang w:bidi="ar"/>
              </w:rPr>
              <w:t>生活垃圾</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4.5</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4.5</w:t>
            </w:r>
            <w:r>
              <w:rPr>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snapToGrid w:val="0"/>
                <w:color w:val="auto"/>
                <w:kern w:val="0"/>
                <w:szCs w:val="21"/>
              </w:rPr>
              <w:t>废包装材料</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1.5</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1.5</w:t>
            </w:r>
            <w:r>
              <w:rPr>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废玻璃内胆</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1000个/a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1000个/a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废智能显示屏</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500个/a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500个/a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废热转印膜</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0.15</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0.15</w:t>
            </w:r>
            <w:r>
              <w:rPr>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边角料、不合格品</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15.15</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rFonts w:hint="eastAsia"/>
                <w:snapToGrid w:val="0"/>
                <w:color w:val="auto"/>
                <w:kern w:val="0"/>
                <w:szCs w:val="21"/>
              </w:rPr>
              <w:t>15.15</w:t>
            </w:r>
            <w:r>
              <w:rPr>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Merge w:val="continue"/>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布袋除尘收集尘</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41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0.0056</w:t>
            </w:r>
            <w:r>
              <w:rPr>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757" w:type="dxa"/>
            <w:vAlign w:val="center"/>
          </w:tcPr>
          <w:p>
            <w:pPr>
              <w:keepNext w:val="0"/>
              <w:keepLines/>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0.0056</w:t>
            </w:r>
            <w:r>
              <w:rPr>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1" w:type="dxa"/>
            <w:vAlign w:val="center"/>
          </w:tcPr>
          <w:p>
            <w:pPr>
              <w:pStyle w:val="46"/>
              <w:keepNext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kern w:val="21"/>
                <w:szCs w:val="21"/>
              </w:rPr>
            </w:pPr>
            <w:r>
              <w:rPr>
                <w:rFonts w:ascii="Times New Roman" w:hAnsi="Times New Roman"/>
                <w:snapToGrid w:val="0"/>
                <w:color w:val="auto"/>
                <w:kern w:val="21"/>
                <w:szCs w:val="21"/>
              </w:rPr>
              <w:t>危险废物</w:t>
            </w:r>
          </w:p>
        </w:tc>
        <w:tc>
          <w:tcPr>
            <w:tcW w:w="202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0"/>
                <w:szCs w:val="21"/>
              </w:rPr>
            </w:pPr>
            <w:r>
              <w:rPr>
                <w:snapToGrid w:val="0"/>
                <w:color w:val="auto"/>
                <w:kern w:val="0"/>
                <w:szCs w:val="21"/>
              </w:rPr>
              <w:t>废活性炭</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531"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417"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snapToGrid w:val="0"/>
                <w:color w:val="auto"/>
                <w:szCs w:val="21"/>
                <w:lang w:eastAsia="zh-CN"/>
              </w:rPr>
              <w:t>3.9801</w:t>
            </w:r>
            <w:r>
              <w:rPr>
                <w:rFonts w:ascii="Times New Roman" w:hAnsi="Times New Roman"/>
                <w:snapToGrid w:val="0"/>
                <w:color w:val="auto"/>
                <w:spacing w:val="-6"/>
                <w:kern w:val="21"/>
                <w:szCs w:val="21"/>
              </w:rPr>
              <w:t>t/a</w:t>
            </w:r>
          </w:p>
        </w:tc>
        <w:tc>
          <w:tcPr>
            <w:tcW w:w="141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c>
          <w:tcPr>
            <w:tcW w:w="1757" w:type="dxa"/>
            <w:vAlign w:val="center"/>
          </w:tcPr>
          <w:p>
            <w:pPr>
              <w:pStyle w:val="46"/>
              <w:keepNext w:val="0"/>
              <w:keepLines/>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snapToGrid w:val="0"/>
                <w:color w:val="auto"/>
                <w:szCs w:val="21"/>
              </w:rPr>
            </w:pPr>
            <w:r>
              <w:rPr>
                <w:rFonts w:hint="eastAsia"/>
                <w:snapToGrid w:val="0"/>
                <w:color w:val="auto"/>
                <w:szCs w:val="21"/>
                <w:lang w:eastAsia="zh-CN"/>
              </w:rPr>
              <w:t>3.9801</w:t>
            </w:r>
            <w:r>
              <w:rPr>
                <w:rFonts w:ascii="Times New Roman" w:hAnsi="Times New Roman"/>
                <w:snapToGrid w:val="0"/>
                <w:color w:val="auto"/>
                <w:spacing w:val="-6"/>
                <w:kern w:val="21"/>
                <w:szCs w:val="21"/>
              </w:rPr>
              <w:t>t/a</w:t>
            </w:r>
          </w:p>
        </w:tc>
        <w:tc>
          <w:tcPr>
            <w:tcW w:w="1247" w:type="dxa"/>
            <w:vAlign w:val="center"/>
          </w:tcPr>
          <w:p>
            <w:pPr>
              <w:keepNext w:val="0"/>
              <w:pageBreakBefore w:val="0"/>
              <w:kinsoku/>
              <w:wordWrap/>
              <w:overflowPunct/>
              <w:topLinePunct w:val="0"/>
              <w:autoSpaceDE/>
              <w:autoSpaceDN/>
              <w:bidi w:val="0"/>
              <w:adjustRightInd w:val="0"/>
              <w:snapToGrid w:val="0"/>
              <w:ind w:firstLine="0" w:firstLineChars="0"/>
              <w:jc w:val="center"/>
              <w:rPr>
                <w:snapToGrid w:val="0"/>
                <w:color w:val="auto"/>
                <w:kern w:val="21"/>
                <w:szCs w:val="21"/>
              </w:rPr>
            </w:pPr>
            <w:r>
              <w:rPr>
                <w:snapToGrid w:val="0"/>
                <w:color w:val="auto"/>
                <w:kern w:val="21"/>
                <w:szCs w:val="21"/>
              </w:rPr>
              <w:t>/</w:t>
            </w:r>
          </w:p>
        </w:tc>
      </w:tr>
    </w:tbl>
    <w:p>
      <w:pPr>
        <w:pStyle w:val="46"/>
        <w:spacing w:before="0" w:beforeLines="0" w:afterLines="0" w:line="240" w:lineRule="auto"/>
        <w:jc w:val="left"/>
        <w:rPr>
          <w:rFonts w:ascii="Times New Roman" w:hAnsi="Times New Roman" w:eastAsia="黑体"/>
          <w:color w:val="auto"/>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p>
    <w:sectPr>
      <w:footerReference r:id="rId8" w:type="default"/>
      <w:pgSz w:w="16838" w:h="11906" w:orient="landscape"/>
      <w:pgMar w:top="1440" w:right="1800" w:bottom="1440" w:left="180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2"/>
      </w:rPr>
    </w:pPr>
    <w:r>
      <w:fldChar w:fldCharType="begin"/>
    </w:r>
    <w:r>
      <w:rPr>
        <w:rStyle w:val="32"/>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29"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jc w:val="both"/>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52</w:t>
                          </w:r>
                          <w:r>
                            <w:rPr>
                              <w:sz w:val="26"/>
                              <w:szCs w:val="26"/>
                            </w:rPr>
                            <w:fldChar w:fldCharType="end"/>
                          </w:r>
                          <w:r>
                            <w:rPr>
                              <w:rStyle w:val="32"/>
                              <w:sz w:val="20"/>
                            </w:rPr>
                            <w:t xml:space="preserve">  </w:t>
                          </w:r>
                          <w:r>
                            <w:rPr>
                              <w:rStyle w:val="32"/>
                              <w:rFonts w:hint="eastAsia" w:ascii="宋体" w:hAnsi="宋体"/>
                              <w:sz w:val="28"/>
                              <w:szCs w:val="28"/>
                            </w:rPr>
                            <w:t>—</w:t>
                          </w:r>
                        </w:p>
                      </w:txbxContent>
                    </wps:txbx>
                    <wps:bodyPr wrap="none" lIns="0" tIns="0" rIns="0" bIns="0">
                      <a:spAutoFit/>
                    </wps:bodyPr>
                  </wps:wsp>
                </a:graphicData>
              </a:graphic>
            </wp:anchor>
          </w:drawing>
        </mc:Choice>
        <mc:Fallback>
          <w:pict>
            <v:shape id="文本框 2050" o:spid="_x0000_s1026" o:spt="202" type="#_x0000_t202" style="position:absolute;left:0pt;margin-top:-7.5pt;height:144pt;width:144pt;mso-position-horizontal:outside;mso-position-horizontal-relative:margin;mso-wrap-style:none;z-index:251659264;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4NsWfUAAAACAEAAA8AAAAAAAAAAQAgAAAAIgAAAGRycy9kb3ducmV2Lnht&#10;bFBLAQIUABQAAAAIAIdO4kBDmq8MxAEAAJEDAAAOAAAAAAAAAAEAIAAAACMBAABkcnMvZTJvRG9j&#10;LnhtbFBLBQYAAAAABgAGAFkBAABZBQAAAAA=&#10;">
              <v:fill on="f" focussize="0,0"/>
              <v:stroke on="f"/>
              <v:imagedata o:title=""/>
              <o:lock v:ext="edit" aspectratio="f"/>
              <v:textbox inset="0mm,0mm,0mm,0mm" style="mso-fit-shape-to-text:t;">
                <w:txbxContent>
                  <w:p>
                    <w:pPr>
                      <w:pStyle w:val="22"/>
                      <w:jc w:val="both"/>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52</w:t>
                    </w:r>
                    <w:r>
                      <w:rPr>
                        <w:sz w:val="26"/>
                        <w:szCs w:val="26"/>
                      </w:rPr>
                      <w:fldChar w:fldCharType="end"/>
                    </w:r>
                    <w:r>
                      <w:rPr>
                        <w:rStyle w:val="32"/>
                        <w:sz w:val="20"/>
                      </w:rPr>
                      <w:t xml:space="preserve">  </w:t>
                    </w:r>
                    <w:r>
                      <w:rPr>
                        <w:rStyle w:val="3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30"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56</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wrap="none" lIns="0" tIns="0" rIns="0" bIns="0">
                      <a:spAutoFit/>
                    </wps:bodyPr>
                  </wps:wsp>
                </a:graphicData>
              </a:graphic>
            </wp:anchor>
          </w:drawing>
        </mc:Choice>
        <mc:Fallback>
          <w:pict>
            <v:shape id="文本框 2052" o:spid="_x0000_s1026" o:spt="202" type="#_x0000_t202" style="position:absolute;left:0pt;margin-top:-7.5pt;height:144pt;width:144pt;mso-position-horizontal:outside;mso-position-horizontal-relative:margin;mso-wrap-style:none;z-index:251660288;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bFn1AAAAAgBAAAPAAAAAAAAAAEAIAAAACIAAABkcnMvZG93bnJldi54&#10;bWxQSwECFAAUAAAACACHTuJAEQyL8sUBAACRAwAADgAAAAAAAAABACAAAAAjAQAAZHJzL2Uyb0Rv&#10;Yy54bWxQSwUGAAAAAAYABgBZAQAAWgUAAAAA&#10;">
              <v:fill on="f" focussize="0,0"/>
              <v:stroke on="f"/>
              <v:imagedata o:title=""/>
              <o:lock v:ext="edit" aspectratio="f"/>
              <v:textbox inset="0mm,0mm,0mm,0mm" style="mso-fit-shape-to-text:t;">
                <w:txbxContent>
                  <w:p>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56</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sz w:val="24"/>
        <w:szCs w:val="24"/>
      </w:rPr>
      <w:t>智能显温器材生产项目环境影响报告表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2B0F0"/>
    <w:multiLevelType w:val="singleLevel"/>
    <w:tmpl w:val="82E2B0F0"/>
    <w:lvl w:ilvl="0" w:tentative="0">
      <w:start w:val="1"/>
      <w:numFmt w:val="decimal"/>
      <w:suff w:val="nothing"/>
      <w:lvlText w:val="（%1）"/>
      <w:lvlJc w:val="left"/>
    </w:lvl>
  </w:abstractNum>
  <w:abstractNum w:abstractNumId="1">
    <w:nsid w:val="94B2036F"/>
    <w:multiLevelType w:val="singleLevel"/>
    <w:tmpl w:val="94B2036F"/>
    <w:lvl w:ilvl="0" w:tentative="0">
      <w:start w:val="1"/>
      <w:numFmt w:val="lowerLetter"/>
      <w:suff w:val="nothing"/>
      <w:lvlText w:val="（%1）"/>
      <w:lvlJc w:val="left"/>
    </w:lvl>
  </w:abstractNum>
  <w:abstractNum w:abstractNumId="2">
    <w:nsid w:val="A9DEEEF1"/>
    <w:multiLevelType w:val="singleLevel"/>
    <w:tmpl w:val="A9DEEEF1"/>
    <w:lvl w:ilvl="0" w:tentative="0">
      <w:start w:val="2"/>
      <w:numFmt w:val="decimal"/>
      <w:suff w:val="nothing"/>
      <w:lvlText w:val="%1、"/>
      <w:lvlJc w:val="left"/>
    </w:lvl>
  </w:abstractNum>
  <w:abstractNum w:abstractNumId="3">
    <w:nsid w:val="DA9795C0"/>
    <w:multiLevelType w:val="singleLevel"/>
    <w:tmpl w:val="DA9795C0"/>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F2414CF4"/>
    <w:multiLevelType w:val="singleLevel"/>
    <w:tmpl w:val="F2414CF4"/>
    <w:lvl w:ilvl="0" w:tentative="0">
      <w:start w:val="1"/>
      <w:numFmt w:val="decimal"/>
      <w:suff w:val="nothing"/>
      <w:lvlText w:val="（%1）"/>
      <w:lvlJc w:val="left"/>
    </w:lvl>
  </w:abstractNum>
  <w:abstractNum w:abstractNumId="5">
    <w:nsid w:val="1C41A0B9"/>
    <w:multiLevelType w:val="multilevel"/>
    <w:tmpl w:val="1C41A0B9"/>
    <w:lvl w:ilvl="0" w:tentative="0">
      <w:start w:val="1"/>
      <w:numFmt w:val="chineseCounting"/>
      <w:suff w:val="nothing"/>
      <w:lvlText w:val="%1、"/>
      <w:lvlJc w:val="left"/>
      <w:pPr>
        <w:ind w:left="0" w:firstLine="0"/>
      </w:pPr>
    </w:lvl>
    <w:lvl w:ilvl="1" w:tentative="0">
      <w:start w:val="1"/>
      <w:numFmt w:val="decimal"/>
      <w:pStyle w:val="3"/>
      <w:suff w:val="nothing"/>
      <w:lvlText w:val="%2．"/>
      <w:lvlJc w:val="left"/>
      <w:pPr>
        <w:ind w:left="0" w:firstLine="0"/>
      </w:pPr>
    </w:lvl>
    <w:lvl w:ilvl="2" w:tentative="0">
      <w:start w:val="1"/>
      <w:numFmt w:val="decimal"/>
      <w:suff w:val="nothing"/>
      <w:lvlText w:val="（%3）"/>
      <w:lvlJc w:val="left"/>
      <w:pPr>
        <w:ind w:left="0" w:firstLine="0"/>
      </w:pPr>
    </w:lvl>
    <w:lvl w:ilvl="3" w:tentative="0">
      <w:start w:val="1"/>
      <w:numFmt w:val="decimalEnclosedCircleChinese"/>
      <w:suff w:val="nothing"/>
      <w:lvlText w:val="%4"/>
      <w:lvlJc w:val="left"/>
      <w:pPr>
        <w:ind w:left="0" w:firstLine="0"/>
      </w:pPr>
    </w:lvl>
    <w:lvl w:ilvl="4" w:tentative="0">
      <w:start w:val="1"/>
      <w:numFmt w:val="decimal"/>
      <w:suff w:val="nothing"/>
      <w:lvlText w:val="%5）"/>
      <w:lvlJc w:val="left"/>
      <w:pPr>
        <w:ind w:left="0" w:firstLine="0"/>
      </w:pPr>
    </w:lvl>
    <w:lvl w:ilvl="5" w:tentative="0">
      <w:start w:val="1"/>
      <w:numFmt w:val="lowerLetter"/>
      <w:suff w:val="nothing"/>
      <w:lvlText w:val="%6．"/>
      <w:lvlJc w:val="left"/>
      <w:pPr>
        <w:ind w:left="0" w:firstLine="0"/>
      </w:pPr>
    </w:lvl>
    <w:lvl w:ilvl="6" w:tentative="0">
      <w:start w:val="1"/>
      <w:numFmt w:val="lowerLetter"/>
      <w:suff w:val="nothing"/>
      <w:lvlText w:val="%7）"/>
      <w:lvlJc w:val="left"/>
      <w:pPr>
        <w:ind w:left="0" w:firstLine="0"/>
      </w:pPr>
    </w:lvl>
    <w:lvl w:ilvl="7" w:tentative="0">
      <w:start w:val="1"/>
      <w:numFmt w:val="lowerRoman"/>
      <w:suff w:val="nothing"/>
      <w:lvlText w:val="%8．"/>
      <w:lvlJc w:val="left"/>
      <w:pPr>
        <w:ind w:left="0" w:firstLine="0"/>
      </w:pPr>
    </w:lvl>
    <w:lvl w:ilvl="8" w:tentative="0">
      <w:start w:val="1"/>
      <w:numFmt w:val="lowerRoman"/>
      <w:suff w:val="nothing"/>
      <w:lvlText w:val="%9）"/>
      <w:lvlJc w:val="left"/>
      <w:pPr>
        <w:ind w:left="0" w:firstLine="0"/>
      </w:pPr>
    </w:lvl>
  </w:abstractNum>
  <w:abstractNum w:abstractNumId="6">
    <w:nsid w:val="1C46817A"/>
    <w:multiLevelType w:val="singleLevel"/>
    <w:tmpl w:val="1C46817A"/>
    <w:lvl w:ilvl="0" w:tentative="0">
      <w:start w:val="1"/>
      <w:numFmt w:val="decimal"/>
      <w:suff w:val="nothing"/>
      <w:lvlText w:val="（%1）"/>
      <w:lvlJc w:val="left"/>
    </w:lvl>
  </w:abstractNum>
  <w:abstractNum w:abstractNumId="7">
    <w:nsid w:val="4319CF3B"/>
    <w:multiLevelType w:val="singleLevel"/>
    <w:tmpl w:val="4319CF3B"/>
    <w:lvl w:ilvl="0" w:tentative="0">
      <w:start w:val="8"/>
      <w:numFmt w:val="upperLetter"/>
      <w:suff w:val="nothing"/>
      <w:lvlText w:val="%1-"/>
      <w:lvlJc w:val="left"/>
    </w:lvl>
  </w:abstractNum>
  <w:abstractNum w:abstractNumId="8">
    <w:nsid w:val="595CD85B"/>
    <w:multiLevelType w:val="singleLevel"/>
    <w:tmpl w:val="595CD85B"/>
    <w:lvl w:ilvl="0" w:tentative="0">
      <w:start w:val="1"/>
      <w:numFmt w:val="decimal"/>
      <w:suff w:val="nothing"/>
      <w:lvlText w:val="（%1）"/>
      <w:lvlJc w:val="left"/>
    </w:lvl>
  </w:abstractNum>
  <w:abstractNum w:abstractNumId="9">
    <w:nsid w:val="6F185F17"/>
    <w:multiLevelType w:val="singleLevel"/>
    <w:tmpl w:val="6F185F17"/>
    <w:lvl w:ilvl="0" w:tentative="0">
      <w:start w:val="6"/>
      <w:numFmt w:val="decimal"/>
      <w:suff w:val="nothing"/>
      <w:lvlText w:val="（%1）"/>
      <w:lvlJc w:val="left"/>
    </w:lvl>
  </w:abstractNum>
  <w:num w:numId="1">
    <w:abstractNumId w:val="5"/>
    <w:lvlOverride w:ilvl="0">
      <w:startOverride w:val="1"/>
    </w:lvlOverride>
  </w:num>
  <w:num w:numId="2">
    <w:abstractNumId w:val="3"/>
  </w:num>
  <w:num w:numId="3">
    <w:abstractNumId w:val="8"/>
  </w:num>
  <w:num w:numId="4">
    <w:abstractNumId w:val="9"/>
  </w:num>
  <w:num w:numId="5">
    <w:abstractNumId w:val="2"/>
  </w:num>
  <w:num w:numId="6">
    <w:abstractNumId w:val="0"/>
  </w:num>
  <w:num w:numId="7">
    <w:abstractNumId w:val="7"/>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0YjA1OGNhMzAzNGJiZWI5N2Y3MDczY2NhZDRmMTIifQ=="/>
    <w:docVar w:name="KSO_WPS_MARK_KEY" w:val="ea51c18e-3015-49c6-a80a-52a54c2c8e28"/>
  </w:docVars>
  <w:rsids>
    <w:rsidRoot w:val="00A14947"/>
    <w:rsid w:val="000060B3"/>
    <w:rsid w:val="00012FC7"/>
    <w:rsid w:val="00014D54"/>
    <w:rsid w:val="00033B03"/>
    <w:rsid w:val="00041843"/>
    <w:rsid w:val="0004264D"/>
    <w:rsid w:val="0004364B"/>
    <w:rsid w:val="00050964"/>
    <w:rsid w:val="00051151"/>
    <w:rsid w:val="0005125F"/>
    <w:rsid w:val="00053AE2"/>
    <w:rsid w:val="00060C6A"/>
    <w:rsid w:val="00061046"/>
    <w:rsid w:val="00061B1F"/>
    <w:rsid w:val="000656B1"/>
    <w:rsid w:val="00072670"/>
    <w:rsid w:val="000733C4"/>
    <w:rsid w:val="00074783"/>
    <w:rsid w:val="0008070B"/>
    <w:rsid w:val="000810AC"/>
    <w:rsid w:val="00081A02"/>
    <w:rsid w:val="00082231"/>
    <w:rsid w:val="00092D38"/>
    <w:rsid w:val="0009314B"/>
    <w:rsid w:val="0009377B"/>
    <w:rsid w:val="000A20C9"/>
    <w:rsid w:val="000A6343"/>
    <w:rsid w:val="000A648A"/>
    <w:rsid w:val="000B058F"/>
    <w:rsid w:val="000B4467"/>
    <w:rsid w:val="000B4DB9"/>
    <w:rsid w:val="000B6F3E"/>
    <w:rsid w:val="000B7EAF"/>
    <w:rsid w:val="000C09AC"/>
    <w:rsid w:val="000C1FF9"/>
    <w:rsid w:val="000C3CCA"/>
    <w:rsid w:val="000C767F"/>
    <w:rsid w:val="000D4E27"/>
    <w:rsid w:val="000D5A44"/>
    <w:rsid w:val="000E019D"/>
    <w:rsid w:val="000E0E35"/>
    <w:rsid w:val="000E0F36"/>
    <w:rsid w:val="000E3ED2"/>
    <w:rsid w:val="000E467E"/>
    <w:rsid w:val="000F4C57"/>
    <w:rsid w:val="0010226B"/>
    <w:rsid w:val="0010295B"/>
    <w:rsid w:val="001079AA"/>
    <w:rsid w:val="0011306E"/>
    <w:rsid w:val="00114CF3"/>
    <w:rsid w:val="001315D9"/>
    <w:rsid w:val="00131F42"/>
    <w:rsid w:val="001357F1"/>
    <w:rsid w:val="00140FA8"/>
    <w:rsid w:val="00142FEB"/>
    <w:rsid w:val="00143A2D"/>
    <w:rsid w:val="00145A41"/>
    <w:rsid w:val="001470B2"/>
    <w:rsid w:val="00151675"/>
    <w:rsid w:val="001517AA"/>
    <w:rsid w:val="00157435"/>
    <w:rsid w:val="00160D04"/>
    <w:rsid w:val="00163FD9"/>
    <w:rsid w:val="00164FA3"/>
    <w:rsid w:val="00171F6B"/>
    <w:rsid w:val="0017504D"/>
    <w:rsid w:val="0017671A"/>
    <w:rsid w:val="00177422"/>
    <w:rsid w:val="00184590"/>
    <w:rsid w:val="001870D1"/>
    <w:rsid w:val="0018781E"/>
    <w:rsid w:val="0019262D"/>
    <w:rsid w:val="001A1848"/>
    <w:rsid w:val="001A1B35"/>
    <w:rsid w:val="001A4716"/>
    <w:rsid w:val="001A48A2"/>
    <w:rsid w:val="001A6F61"/>
    <w:rsid w:val="001A7CDF"/>
    <w:rsid w:val="001B72B8"/>
    <w:rsid w:val="001C59CA"/>
    <w:rsid w:val="001C63A7"/>
    <w:rsid w:val="001C69B3"/>
    <w:rsid w:val="001D5595"/>
    <w:rsid w:val="001D5FB4"/>
    <w:rsid w:val="001D7874"/>
    <w:rsid w:val="001D7F22"/>
    <w:rsid w:val="001E7019"/>
    <w:rsid w:val="001F0F17"/>
    <w:rsid w:val="001F3347"/>
    <w:rsid w:val="001F69E4"/>
    <w:rsid w:val="00200717"/>
    <w:rsid w:val="0020736B"/>
    <w:rsid w:val="002125B4"/>
    <w:rsid w:val="00212D25"/>
    <w:rsid w:val="00212FBA"/>
    <w:rsid w:val="002155B8"/>
    <w:rsid w:val="00224839"/>
    <w:rsid w:val="002249B2"/>
    <w:rsid w:val="002253A7"/>
    <w:rsid w:val="00226574"/>
    <w:rsid w:val="002268D5"/>
    <w:rsid w:val="002278EC"/>
    <w:rsid w:val="0023280E"/>
    <w:rsid w:val="00234852"/>
    <w:rsid w:val="002377D1"/>
    <w:rsid w:val="002424A7"/>
    <w:rsid w:val="002506BC"/>
    <w:rsid w:val="00254345"/>
    <w:rsid w:val="00255439"/>
    <w:rsid w:val="0026130D"/>
    <w:rsid w:val="002630BB"/>
    <w:rsid w:val="00264557"/>
    <w:rsid w:val="00264FA5"/>
    <w:rsid w:val="00267FD6"/>
    <w:rsid w:val="00270BE1"/>
    <w:rsid w:val="00272842"/>
    <w:rsid w:val="00273563"/>
    <w:rsid w:val="002805AB"/>
    <w:rsid w:val="00284204"/>
    <w:rsid w:val="00291773"/>
    <w:rsid w:val="00296707"/>
    <w:rsid w:val="00296C70"/>
    <w:rsid w:val="002A168C"/>
    <w:rsid w:val="002A3DC7"/>
    <w:rsid w:val="002A412A"/>
    <w:rsid w:val="002A6C82"/>
    <w:rsid w:val="002B0C30"/>
    <w:rsid w:val="002B42F3"/>
    <w:rsid w:val="002B49E2"/>
    <w:rsid w:val="002B64B0"/>
    <w:rsid w:val="002B6923"/>
    <w:rsid w:val="002B7B00"/>
    <w:rsid w:val="002B7C44"/>
    <w:rsid w:val="002C2B17"/>
    <w:rsid w:val="002D3DD0"/>
    <w:rsid w:val="002E0A7A"/>
    <w:rsid w:val="002E1F3A"/>
    <w:rsid w:val="002E1F6F"/>
    <w:rsid w:val="002E298A"/>
    <w:rsid w:val="002E6017"/>
    <w:rsid w:val="00301978"/>
    <w:rsid w:val="0030332C"/>
    <w:rsid w:val="00303A46"/>
    <w:rsid w:val="003051C2"/>
    <w:rsid w:val="003054F8"/>
    <w:rsid w:val="00307152"/>
    <w:rsid w:val="00311A5F"/>
    <w:rsid w:val="00312296"/>
    <w:rsid w:val="00314F0E"/>
    <w:rsid w:val="00320FA7"/>
    <w:rsid w:val="00321D8E"/>
    <w:rsid w:val="00325928"/>
    <w:rsid w:val="00330605"/>
    <w:rsid w:val="00332863"/>
    <w:rsid w:val="00335D84"/>
    <w:rsid w:val="00336416"/>
    <w:rsid w:val="0033684D"/>
    <w:rsid w:val="00337B42"/>
    <w:rsid w:val="00341B42"/>
    <w:rsid w:val="0034348F"/>
    <w:rsid w:val="00356653"/>
    <w:rsid w:val="0035743F"/>
    <w:rsid w:val="00357BE2"/>
    <w:rsid w:val="0036170C"/>
    <w:rsid w:val="00362EC7"/>
    <w:rsid w:val="003639AB"/>
    <w:rsid w:val="00364315"/>
    <w:rsid w:val="003656DF"/>
    <w:rsid w:val="00366E0F"/>
    <w:rsid w:val="003714AA"/>
    <w:rsid w:val="00371723"/>
    <w:rsid w:val="00377076"/>
    <w:rsid w:val="00381A72"/>
    <w:rsid w:val="00384676"/>
    <w:rsid w:val="003900E7"/>
    <w:rsid w:val="00390857"/>
    <w:rsid w:val="003A4BF3"/>
    <w:rsid w:val="003B1576"/>
    <w:rsid w:val="003B420D"/>
    <w:rsid w:val="003C3FC7"/>
    <w:rsid w:val="003C6C16"/>
    <w:rsid w:val="003D5583"/>
    <w:rsid w:val="003D6DF8"/>
    <w:rsid w:val="003D794D"/>
    <w:rsid w:val="003D79E7"/>
    <w:rsid w:val="003E2890"/>
    <w:rsid w:val="003E3058"/>
    <w:rsid w:val="003E6630"/>
    <w:rsid w:val="003E76A9"/>
    <w:rsid w:val="003E7DEC"/>
    <w:rsid w:val="003F0809"/>
    <w:rsid w:val="003F2496"/>
    <w:rsid w:val="003F3DD6"/>
    <w:rsid w:val="003F6A8C"/>
    <w:rsid w:val="003F6BA5"/>
    <w:rsid w:val="003F755C"/>
    <w:rsid w:val="00406F01"/>
    <w:rsid w:val="00411D1B"/>
    <w:rsid w:val="00416D50"/>
    <w:rsid w:val="00416FD5"/>
    <w:rsid w:val="00417772"/>
    <w:rsid w:val="00420E6A"/>
    <w:rsid w:val="00425A9E"/>
    <w:rsid w:val="00426D6B"/>
    <w:rsid w:val="00427803"/>
    <w:rsid w:val="00431E6C"/>
    <w:rsid w:val="00433CE7"/>
    <w:rsid w:val="00436710"/>
    <w:rsid w:val="00437FEC"/>
    <w:rsid w:val="00444748"/>
    <w:rsid w:val="00450FAC"/>
    <w:rsid w:val="00452738"/>
    <w:rsid w:val="00455379"/>
    <w:rsid w:val="00456091"/>
    <w:rsid w:val="00463028"/>
    <w:rsid w:val="00466321"/>
    <w:rsid w:val="00470447"/>
    <w:rsid w:val="00470A3E"/>
    <w:rsid w:val="00470E84"/>
    <w:rsid w:val="00474151"/>
    <w:rsid w:val="00484B9B"/>
    <w:rsid w:val="004855F6"/>
    <w:rsid w:val="0048661E"/>
    <w:rsid w:val="00494221"/>
    <w:rsid w:val="00494670"/>
    <w:rsid w:val="00494FFB"/>
    <w:rsid w:val="004958DC"/>
    <w:rsid w:val="004A3823"/>
    <w:rsid w:val="004A74BF"/>
    <w:rsid w:val="004B24B6"/>
    <w:rsid w:val="004B261E"/>
    <w:rsid w:val="004C036E"/>
    <w:rsid w:val="004C6992"/>
    <w:rsid w:val="004D07E4"/>
    <w:rsid w:val="004D5499"/>
    <w:rsid w:val="004D6EE3"/>
    <w:rsid w:val="004D71B5"/>
    <w:rsid w:val="004D79F8"/>
    <w:rsid w:val="004E4DF6"/>
    <w:rsid w:val="004E6946"/>
    <w:rsid w:val="004E7843"/>
    <w:rsid w:val="004F1AD8"/>
    <w:rsid w:val="005039CB"/>
    <w:rsid w:val="0050558F"/>
    <w:rsid w:val="00505CA1"/>
    <w:rsid w:val="00506286"/>
    <w:rsid w:val="0050693D"/>
    <w:rsid w:val="00510813"/>
    <w:rsid w:val="00511990"/>
    <w:rsid w:val="00511DE0"/>
    <w:rsid w:val="005120DB"/>
    <w:rsid w:val="00514870"/>
    <w:rsid w:val="00514B9B"/>
    <w:rsid w:val="00517F02"/>
    <w:rsid w:val="00524303"/>
    <w:rsid w:val="005246DB"/>
    <w:rsid w:val="005258A2"/>
    <w:rsid w:val="00527E70"/>
    <w:rsid w:val="005401AE"/>
    <w:rsid w:val="00542E07"/>
    <w:rsid w:val="00545424"/>
    <w:rsid w:val="00553E30"/>
    <w:rsid w:val="00554A7B"/>
    <w:rsid w:val="0055572C"/>
    <w:rsid w:val="00556B5F"/>
    <w:rsid w:val="0056106A"/>
    <w:rsid w:val="00563274"/>
    <w:rsid w:val="00564911"/>
    <w:rsid w:val="00566645"/>
    <w:rsid w:val="005720AE"/>
    <w:rsid w:val="00582E6E"/>
    <w:rsid w:val="0058523E"/>
    <w:rsid w:val="00594D77"/>
    <w:rsid w:val="005969E4"/>
    <w:rsid w:val="005A06B7"/>
    <w:rsid w:val="005A0F66"/>
    <w:rsid w:val="005A1759"/>
    <w:rsid w:val="005A68A7"/>
    <w:rsid w:val="005A7F51"/>
    <w:rsid w:val="005B2B9A"/>
    <w:rsid w:val="005B5A40"/>
    <w:rsid w:val="005D13B5"/>
    <w:rsid w:val="005D36AB"/>
    <w:rsid w:val="005D4582"/>
    <w:rsid w:val="005D61EB"/>
    <w:rsid w:val="005F0697"/>
    <w:rsid w:val="005F2F6A"/>
    <w:rsid w:val="00617CC3"/>
    <w:rsid w:val="006377A6"/>
    <w:rsid w:val="00637A3D"/>
    <w:rsid w:val="006411EF"/>
    <w:rsid w:val="006503B3"/>
    <w:rsid w:val="00652E85"/>
    <w:rsid w:val="00654DC3"/>
    <w:rsid w:val="00666383"/>
    <w:rsid w:val="00672977"/>
    <w:rsid w:val="006748B8"/>
    <w:rsid w:val="006775C3"/>
    <w:rsid w:val="00680B68"/>
    <w:rsid w:val="00687D2C"/>
    <w:rsid w:val="0069290A"/>
    <w:rsid w:val="00696F98"/>
    <w:rsid w:val="0069775A"/>
    <w:rsid w:val="00697813"/>
    <w:rsid w:val="006A3EE8"/>
    <w:rsid w:val="006A72BF"/>
    <w:rsid w:val="006B03F2"/>
    <w:rsid w:val="006B37DC"/>
    <w:rsid w:val="006B4F68"/>
    <w:rsid w:val="006C0592"/>
    <w:rsid w:val="006C1F77"/>
    <w:rsid w:val="006C272E"/>
    <w:rsid w:val="006C5479"/>
    <w:rsid w:val="006C6354"/>
    <w:rsid w:val="006D13B5"/>
    <w:rsid w:val="006D3700"/>
    <w:rsid w:val="006D3E0F"/>
    <w:rsid w:val="006E0737"/>
    <w:rsid w:val="006E12FF"/>
    <w:rsid w:val="006E4952"/>
    <w:rsid w:val="006E607E"/>
    <w:rsid w:val="0070308C"/>
    <w:rsid w:val="00706C5D"/>
    <w:rsid w:val="0071172C"/>
    <w:rsid w:val="00713498"/>
    <w:rsid w:val="00723E51"/>
    <w:rsid w:val="00726300"/>
    <w:rsid w:val="007274CA"/>
    <w:rsid w:val="00731411"/>
    <w:rsid w:val="00732922"/>
    <w:rsid w:val="00734569"/>
    <w:rsid w:val="00734E7A"/>
    <w:rsid w:val="00742E94"/>
    <w:rsid w:val="0075130D"/>
    <w:rsid w:val="0075162E"/>
    <w:rsid w:val="00754034"/>
    <w:rsid w:val="00754621"/>
    <w:rsid w:val="00756556"/>
    <w:rsid w:val="007618C4"/>
    <w:rsid w:val="00765FDE"/>
    <w:rsid w:val="00766872"/>
    <w:rsid w:val="00767980"/>
    <w:rsid w:val="00770B19"/>
    <w:rsid w:val="00771B68"/>
    <w:rsid w:val="0077463F"/>
    <w:rsid w:val="0077693A"/>
    <w:rsid w:val="0078346A"/>
    <w:rsid w:val="007836EA"/>
    <w:rsid w:val="00784CDA"/>
    <w:rsid w:val="0078768E"/>
    <w:rsid w:val="00790550"/>
    <w:rsid w:val="007906C4"/>
    <w:rsid w:val="007940EA"/>
    <w:rsid w:val="007958E0"/>
    <w:rsid w:val="007967E8"/>
    <w:rsid w:val="007A14B3"/>
    <w:rsid w:val="007A2170"/>
    <w:rsid w:val="007A22BF"/>
    <w:rsid w:val="007A3323"/>
    <w:rsid w:val="007A6F63"/>
    <w:rsid w:val="007B72B8"/>
    <w:rsid w:val="007B7A58"/>
    <w:rsid w:val="007C2043"/>
    <w:rsid w:val="007C21B5"/>
    <w:rsid w:val="007D7598"/>
    <w:rsid w:val="007E4BD2"/>
    <w:rsid w:val="007F0A1D"/>
    <w:rsid w:val="007F0AAD"/>
    <w:rsid w:val="00801393"/>
    <w:rsid w:val="00802C50"/>
    <w:rsid w:val="00802F88"/>
    <w:rsid w:val="00804AF6"/>
    <w:rsid w:val="0081293E"/>
    <w:rsid w:val="00815465"/>
    <w:rsid w:val="00817E9A"/>
    <w:rsid w:val="008272BB"/>
    <w:rsid w:val="008306BD"/>
    <w:rsid w:val="00830F13"/>
    <w:rsid w:val="00831A80"/>
    <w:rsid w:val="00833743"/>
    <w:rsid w:val="008340A4"/>
    <w:rsid w:val="008344DD"/>
    <w:rsid w:val="008365E0"/>
    <w:rsid w:val="00844285"/>
    <w:rsid w:val="0084455C"/>
    <w:rsid w:val="00847DE1"/>
    <w:rsid w:val="00854BCA"/>
    <w:rsid w:val="0087135F"/>
    <w:rsid w:val="0087167F"/>
    <w:rsid w:val="008726A5"/>
    <w:rsid w:val="00872D94"/>
    <w:rsid w:val="00880364"/>
    <w:rsid w:val="00884810"/>
    <w:rsid w:val="00885B23"/>
    <w:rsid w:val="00886778"/>
    <w:rsid w:val="00891592"/>
    <w:rsid w:val="00891E9E"/>
    <w:rsid w:val="00893649"/>
    <w:rsid w:val="008A2F68"/>
    <w:rsid w:val="008B1170"/>
    <w:rsid w:val="008B2ECD"/>
    <w:rsid w:val="008B357E"/>
    <w:rsid w:val="008B3F5B"/>
    <w:rsid w:val="008B4FA6"/>
    <w:rsid w:val="008B5282"/>
    <w:rsid w:val="008B73C2"/>
    <w:rsid w:val="008B7C17"/>
    <w:rsid w:val="008C2D01"/>
    <w:rsid w:val="008C40E6"/>
    <w:rsid w:val="008C6556"/>
    <w:rsid w:val="008D0F7A"/>
    <w:rsid w:val="008D68E4"/>
    <w:rsid w:val="008E0506"/>
    <w:rsid w:val="008E0CFF"/>
    <w:rsid w:val="008E1DC3"/>
    <w:rsid w:val="008E5D6B"/>
    <w:rsid w:val="008E76F0"/>
    <w:rsid w:val="008F15FE"/>
    <w:rsid w:val="008F2D29"/>
    <w:rsid w:val="008F5187"/>
    <w:rsid w:val="008F60D8"/>
    <w:rsid w:val="009024CD"/>
    <w:rsid w:val="00902727"/>
    <w:rsid w:val="0090312B"/>
    <w:rsid w:val="00906441"/>
    <w:rsid w:val="00911692"/>
    <w:rsid w:val="00914C51"/>
    <w:rsid w:val="0091736D"/>
    <w:rsid w:val="00920B00"/>
    <w:rsid w:val="0093037A"/>
    <w:rsid w:val="009310A2"/>
    <w:rsid w:val="00936848"/>
    <w:rsid w:val="0094154D"/>
    <w:rsid w:val="00943DD8"/>
    <w:rsid w:val="0095101F"/>
    <w:rsid w:val="0095155F"/>
    <w:rsid w:val="00954429"/>
    <w:rsid w:val="009563CE"/>
    <w:rsid w:val="00962205"/>
    <w:rsid w:val="00976328"/>
    <w:rsid w:val="0097680D"/>
    <w:rsid w:val="00982438"/>
    <w:rsid w:val="0098404C"/>
    <w:rsid w:val="00985283"/>
    <w:rsid w:val="0099452D"/>
    <w:rsid w:val="00995992"/>
    <w:rsid w:val="009A03E5"/>
    <w:rsid w:val="009A0E3C"/>
    <w:rsid w:val="009A0F3B"/>
    <w:rsid w:val="009A1BB4"/>
    <w:rsid w:val="009A2628"/>
    <w:rsid w:val="009A3200"/>
    <w:rsid w:val="009B0897"/>
    <w:rsid w:val="009B7BD9"/>
    <w:rsid w:val="009C7DD5"/>
    <w:rsid w:val="009D0D56"/>
    <w:rsid w:val="009D6407"/>
    <w:rsid w:val="009E227D"/>
    <w:rsid w:val="009E335F"/>
    <w:rsid w:val="009E5019"/>
    <w:rsid w:val="009F28F7"/>
    <w:rsid w:val="00A04F1B"/>
    <w:rsid w:val="00A0501B"/>
    <w:rsid w:val="00A07650"/>
    <w:rsid w:val="00A14947"/>
    <w:rsid w:val="00A3020E"/>
    <w:rsid w:val="00A32A83"/>
    <w:rsid w:val="00A368DB"/>
    <w:rsid w:val="00A37CD2"/>
    <w:rsid w:val="00A423AA"/>
    <w:rsid w:val="00A42F47"/>
    <w:rsid w:val="00A53EC6"/>
    <w:rsid w:val="00A54CD9"/>
    <w:rsid w:val="00A55C0F"/>
    <w:rsid w:val="00A5739E"/>
    <w:rsid w:val="00A622A5"/>
    <w:rsid w:val="00A763C6"/>
    <w:rsid w:val="00A80B5A"/>
    <w:rsid w:val="00A8713F"/>
    <w:rsid w:val="00A90479"/>
    <w:rsid w:val="00A90BA1"/>
    <w:rsid w:val="00A91EFA"/>
    <w:rsid w:val="00A97A9A"/>
    <w:rsid w:val="00AA0671"/>
    <w:rsid w:val="00AA15E3"/>
    <w:rsid w:val="00AA2531"/>
    <w:rsid w:val="00AB1E09"/>
    <w:rsid w:val="00AB5330"/>
    <w:rsid w:val="00AB7747"/>
    <w:rsid w:val="00AB7A64"/>
    <w:rsid w:val="00AC14CE"/>
    <w:rsid w:val="00AC2A56"/>
    <w:rsid w:val="00AD055E"/>
    <w:rsid w:val="00AD47A7"/>
    <w:rsid w:val="00AD488D"/>
    <w:rsid w:val="00AE30B0"/>
    <w:rsid w:val="00AF0CBF"/>
    <w:rsid w:val="00AF19F8"/>
    <w:rsid w:val="00AF257F"/>
    <w:rsid w:val="00AF33CF"/>
    <w:rsid w:val="00AF4D50"/>
    <w:rsid w:val="00AF5A36"/>
    <w:rsid w:val="00AF5E10"/>
    <w:rsid w:val="00AF6179"/>
    <w:rsid w:val="00B02D76"/>
    <w:rsid w:val="00B057ED"/>
    <w:rsid w:val="00B1295A"/>
    <w:rsid w:val="00B14E1A"/>
    <w:rsid w:val="00B15661"/>
    <w:rsid w:val="00B15CE6"/>
    <w:rsid w:val="00B2084B"/>
    <w:rsid w:val="00B20A45"/>
    <w:rsid w:val="00B217BE"/>
    <w:rsid w:val="00B22C5C"/>
    <w:rsid w:val="00B24F30"/>
    <w:rsid w:val="00B26C7B"/>
    <w:rsid w:val="00B31ABF"/>
    <w:rsid w:val="00B32447"/>
    <w:rsid w:val="00B33BE3"/>
    <w:rsid w:val="00B53B5D"/>
    <w:rsid w:val="00B556B9"/>
    <w:rsid w:val="00B6055E"/>
    <w:rsid w:val="00B6317D"/>
    <w:rsid w:val="00B701B7"/>
    <w:rsid w:val="00B7723F"/>
    <w:rsid w:val="00B80534"/>
    <w:rsid w:val="00B8433C"/>
    <w:rsid w:val="00B85520"/>
    <w:rsid w:val="00B87491"/>
    <w:rsid w:val="00B953CB"/>
    <w:rsid w:val="00B9618E"/>
    <w:rsid w:val="00BA29E9"/>
    <w:rsid w:val="00BA3803"/>
    <w:rsid w:val="00BA7142"/>
    <w:rsid w:val="00BA75EB"/>
    <w:rsid w:val="00BB03F8"/>
    <w:rsid w:val="00BB1235"/>
    <w:rsid w:val="00BB237C"/>
    <w:rsid w:val="00BB410D"/>
    <w:rsid w:val="00BB41A3"/>
    <w:rsid w:val="00BC32DC"/>
    <w:rsid w:val="00BC35B6"/>
    <w:rsid w:val="00BC36A0"/>
    <w:rsid w:val="00BD01A8"/>
    <w:rsid w:val="00BD1509"/>
    <w:rsid w:val="00BD1B51"/>
    <w:rsid w:val="00BD4596"/>
    <w:rsid w:val="00BE1405"/>
    <w:rsid w:val="00BE312D"/>
    <w:rsid w:val="00BF1C20"/>
    <w:rsid w:val="00C00523"/>
    <w:rsid w:val="00C01DE2"/>
    <w:rsid w:val="00C05991"/>
    <w:rsid w:val="00C10578"/>
    <w:rsid w:val="00C135BC"/>
    <w:rsid w:val="00C1389B"/>
    <w:rsid w:val="00C14B91"/>
    <w:rsid w:val="00C15C95"/>
    <w:rsid w:val="00C2280E"/>
    <w:rsid w:val="00C2596A"/>
    <w:rsid w:val="00C27537"/>
    <w:rsid w:val="00C30769"/>
    <w:rsid w:val="00C30909"/>
    <w:rsid w:val="00C328FE"/>
    <w:rsid w:val="00C33507"/>
    <w:rsid w:val="00C33848"/>
    <w:rsid w:val="00C4409D"/>
    <w:rsid w:val="00C44772"/>
    <w:rsid w:val="00C44E72"/>
    <w:rsid w:val="00C45A06"/>
    <w:rsid w:val="00C47E5B"/>
    <w:rsid w:val="00C54322"/>
    <w:rsid w:val="00C55CCD"/>
    <w:rsid w:val="00C61E4B"/>
    <w:rsid w:val="00C64BFF"/>
    <w:rsid w:val="00C704E9"/>
    <w:rsid w:val="00C70F3D"/>
    <w:rsid w:val="00C74224"/>
    <w:rsid w:val="00C763C9"/>
    <w:rsid w:val="00C80057"/>
    <w:rsid w:val="00C81BA9"/>
    <w:rsid w:val="00C82232"/>
    <w:rsid w:val="00C82913"/>
    <w:rsid w:val="00C84433"/>
    <w:rsid w:val="00C8508D"/>
    <w:rsid w:val="00C972B1"/>
    <w:rsid w:val="00CA2CCE"/>
    <w:rsid w:val="00CA43FD"/>
    <w:rsid w:val="00CA7EF8"/>
    <w:rsid w:val="00CC489B"/>
    <w:rsid w:val="00CD2BCD"/>
    <w:rsid w:val="00CD3A4C"/>
    <w:rsid w:val="00CE10E9"/>
    <w:rsid w:val="00CE2910"/>
    <w:rsid w:val="00CE5393"/>
    <w:rsid w:val="00CF36BE"/>
    <w:rsid w:val="00CF4366"/>
    <w:rsid w:val="00CF5851"/>
    <w:rsid w:val="00CF6000"/>
    <w:rsid w:val="00D003F3"/>
    <w:rsid w:val="00D0098D"/>
    <w:rsid w:val="00D0364F"/>
    <w:rsid w:val="00D05028"/>
    <w:rsid w:val="00D066EC"/>
    <w:rsid w:val="00D06834"/>
    <w:rsid w:val="00D20B4D"/>
    <w:rsid w:val="00D30638"/>
    <w:rsid w:val="00D308ED"/>
    <w:rsid w:val="00D3269E"/>
    <w:rsid w:val="00D36D86"/>
    <w:rsid w:val="00D428AA"/>
    <w:rsid w:val="00D42A10"/>
    <w:rsid w:val="00D50A34"/>
    <w:rsid w:val="00D53EFA"/>
    <w:rsid w:val="00D70488"/>
    <w:rsid w:val="00D70859"/>
    <w:rsid w:val="00D903A3"/>
    <w:rsid w:val="00D94A7C"/>
    <w:rsid w:val="00D95896"/>
    <w:rsid w:val="00D97E1B"/>
    <w:rsid w:val="00DA748B"/>
    <w:rsid w:val="00DB1FC6"/>
    <w:rsid w:val="00DB2983"/>
    <w:rsid w:val="00DC1257"/>
    <w:rsid w:val="00DC3DC0"/>
    <w:rsid w:val="00DC4EEA"/>
    <w:rsid w:val="00DC5B2B"/>
    <w:rsid w:val="00DC5D1B"/>
    <w:rsid w:val="00DD318D"/>
    <w:rsid w:val="00DD7088"/>
    <w:rsid w:val="00DE0994"/>
    <w:rsid w:val="00DE2E2E"/>
    <w:rsid w:val="00DE6B3E"/>
    <w:rsid w:val="00DF2E12"/>
    <w:rsid w:val="00DF4CEA"/>
    <w:rsid w:val="00DF514A"/>
    <w:rsid w:val="00DF6690"/>
    <w:rsid w:val="00DF6804"/>
    <w:rsid w:val="00E0358D"/>
    <w:rsid w:val="00E04323"/>
    <w:rsid w:val="00E06091"/>
    <w:rsid w:val="00E070A2"/>
    <w:rsid w:val="00E224A1"/>
    <w:rsid w:val="00E24731"/>
    <w:rsid w:val="00E2656A"/>
    <w:rsid w:val="00E309CD"/>
    <w:rsid w:val="00E412D0"/>
    <w:rsid w:val="00E51CC6"/>
    <w:rsid w:val="00E56322"/>
    <w:rsid w:val="00E573DB"/>
    <w:rsid w:val="00E60982"/>
    <w:rsid w:val="00E62C62"/>
    <w:rsid w:val="00E65438"/>
    <w:rsid w:val="00E654C1"/>
    <w:rsid w:val="00E65D97"/>
    <w:rsid w:val="00E66EB2"/>
    <w:rsid w:val="00E72A5A"/>
    <w:rsid w:val="00E73354"/>
    <w:rsid w:val="00E77A49"/>
    <w:rsid w:val="00E84814"/>
    <w:rsid w:val="00E9242D"/>
    <w:rsid w:val="00E9352D"/>
    <w:rsid w:val="00E9520D"/>
    <w:rsid w:val="00E95B25"/>
    <w:rsid w:val="00EA0C18"/>
    <w:rsid w:val="00EA233A"/>
    <w:rsid w:val="00EA4427"/>
    <w:rsid w:val="00EA52E9"/>
    <w:rsid w:val="00EB1C0E"/>
    <w:rsid w:val="00EB5255"/>
    <w:rsid w:val="00EB5C47"/>
    <w:rsid w:val="00ED0639"/>
    <w:rsid w:val="00ED1585"/>
    <w:rsid w:val="00ED5986"/>
    <w:rsid w:val="00ED6E62"/>
    <w:rsid w:val="00EE2431"/>
    <w:rsid w:val="00EE4B04"/>
    <w:rsid w:val="00EE7CAD"/>
    <w:rsid w:val="00EF4755"/>
    <w:rsid w:val="00EF7135"/>
    <w:rsid w:val="00F027DB"/>
    <w:rsid w:val="00F0383C"/>
    <w:rsid w:val="00F14A7A"/>
    <w:rsid w:val="00F16B71"/>
    <w:rsid w:val="00F22985"/>
    <w:rsid w:val="00F318B3"/>
    <w:rsid w:val="00F3383E"/>
    <w:rsid w:val="00F339C3"/>
    <w:rsid w:val="00F36025"/>
    <w:rsid w:val="00F465A7"/>
    <w:rsid w:val="00F46AC7"/>
    <w:rsid w:val="00F50B7C"/>
    <w:rsid w:val="00F50FC2"/>
    <w:rsid w:val="00F522AE"/>
    <w:rsid w:val="00F550E6"/>
    <w:rsid w:val="00F720D2"/>
    <w:rsid w:val="00F74345"/>
    <w:rsid w:val="00F80083"/>
    <w:rsid w:val="00F80A0A"/>
    <w:rsid w:val="00F82B19"/>
    <w:rsid w:val="00F87278"/>
    <w:rsid w:val="00F87AAB"/>
    <w:rsid w:val="00F91C42"/>
    <w:rsid w:val="00F9212D"/>
    <w:rsid w:val="00F965DA"/>
    <w:rsid w:val="00FA406A"/>
    <w:rsid w:val="00FB503A"/>
    <w:rsid w:val="00FB516C"/>
    <w:rsid w:val="00FC0051"/>
    <w:rsid w:val="00FC013C"/>
    <w:rsid w:val="00FC206D"/>
    <w:rsid w:val="00FC5CFB"/>
    <w:rsid w:val="00FC6DE5"/>
    <w:rsid w:val="00FD0236"/>
    <w:rsid w:val="00FD18F4"/>
    <w:rsid w:val="00FD54DB"/>
    <w:rsid w:val="00FD619F"/>
    <w:rsid w:val="0100241C"/>
    <w:rsid w:val="0100428E"/>
    <w:rsid w:val="01004F49"/>
    <w:rsid w:val="01011862"/>
    <w:rsid w:val="010158D6"/>
    <w:rsid w:val="01032CE5"/>
    <w:rsid w:val="010331A3"/>
    <w:rsid w:val="01055C74"/>
    <w:rsid w:val="01065EEB"/>
    <w:rsid w:val="0108018D"/>
    <w:rsid w:val="0109200B"/>
    <w:rsid w:val="0109721A"/>
    <w:rsid w:val="010B027B"/>
    <w:rsid w:val="010B264F"/>
    <w:rsid w:val="010C0502"/>
    <w:rsid w:val="010C389A"/>
    <w:rsid w:val="010D6DB3"/>
    <w:rsid w:val="010E6A9A"/>
    <w:rsid w:val="010E7C5D"/>
    <w:rsid w:val="010F3C77"/>
    <w:rsid w:val="010F7111"/>
    <w:rsid w:val="01101696"/>
    <w:rsid w:val="01104A8C"/>
    <w:rsid w:val="01113333"/>
    <w:rsid w:val="01117677"/>
    <w:rsid w:val="0113077E"/>
    <w:rsid w:val="01140732"/>
    <w:rsid w:val="011414DF"/>
    <w:rsid w:val="01155DA9"/>
    <w:rsid w:val="01164AE6"/>
    <w:rsid w:val="011819EA"/>
    <w:rsid w:val="01183B20"/>
    <w:rsid w:val="011857DF"/>
    <w:rsid w:val="01197A5E"/>
    <w:rsid w:val="011A3A97"/>
    <w:rsid w:val="011B310F"/>
    <w:rsid w:val="011B47C2"/>
    <w:rsid w:val="011E1FE4"/>
    <w:rsid w:val="011E3835"/>
    <w:rsid w:val="011E3D92"/>
    <w:rsid w:val="011F3E64"/>
    <w:rsid w:val="011F5C49"/>
    <w:rsid w:val="012143A7"/>
    <w:rsid w:val="01217B00"/>
    <w:rsid w:val="01230861"/>
    <w:rsid w:val="012368FC"/>
    <w:rsid w:val="0123710B"/>
    <w:rsid w:val="012552BC"/>
    <w:rsid w:val="01264F2A"/>
    <w:rsid w:val="01290F7E"/>
    <w:rsid w:val="01291F96"/>
    <w:rsid w:val="012A195D"/>
    <w:rsid w:val="012B04F7"/>
    <w:rsid w:val="012C1696"/>
    <w:rsid w:val="012D7423"/>
    <w:rsid w:val="012E72DF"/>
    <w:rsid w:val="012F2443"/>
    <w:rsid w:val="01311207"/>
    <w:rsid w:val="01311952"/>
    <w:rsid w:val="01311AEB"/>
    <w:rsid w:val="01314243"/>
    <w:rsid w:val="01323CE1"/>
    <w:rsid w:val="0133042E"/>
    <w:rsid w:val="01332F0E"/>
    <w:rsid w:val="013340D3"/>
    <w:rsid w:val="01334365"/>
    <w:rsid w:val="01347A59"/>
    <w:rsid w:val="01353250"/>
    <w:rsid w:val="01357C1D"/>
    <w:rsid w:val="0136557F"/>
    <w:rsid w:val="01365D27"/>
    <w:rsid w:val="013672A7"/>
    <w:rsid w:val="013707FE"/>
    <w:rsid w:val="01371B36"/>
    <w:rsid w:val="01380FE8"/>
    <w:rsid w:val="01382009"/>
    <w:rsid w:val="01384F8A"/>
    <w:rsid w:val="01384F91"/>
    <w:rsid w:val="01390070"/>
    <w:rsid w:val="01392684"/>
    <w:rsid w:val="013C7638"/>
    <w:rsid w:val="013E6BD6"/>
    <w:rsid w:val="013F2873"/>
    <w:rsid w:val="01404096"/>
    <w:rsid w:val="014053C8"/>
    <w:rsid w:val="01421B3E"/>
    <w:rsid w:val="01425CA9"/>
    <w:rsid w:val="01427CA7"/>
    <w:rsid w:val="014325C0"/>
    <w:rsid w:val="01440861"/>
    <w:rsid w:val="01441083"/>
    <w:rsid w:val="0144510F"/>
    <w:rsid w:val="014467CE"/>
    <w:rsid w:val="01447F7C"/>
    <w:rsid w:val="014546A5"/>
    <w:rsid w:val="014757E4"/>
    <w:rsid w:val="0147778C"/>
    <w:rsid w:val="014B01C7"/>
    <w:rsid w:val="014B54B7"/>
    <w:rsid w:val="014C1056"/>
    <w:rsid w:val="014D0B1B"/>
    <w:rsid w:val="014F797C"/>
    <w:rsid w:val="01527204"/>
    <w:rsid w:val="01540C7C"/>
    <w:rsid w:val="01547C22"/>
    <w:rsid w:val="01554165"/>
    <w:rsid w:val="01555C08"/>
    <w:rsid w:val="0156207A"/>
    <w:rsid w:val="0156624E"/>
    <w:rsid w:val="01590B41"/>
    <w:rsid w:val="0159301C"/>
    <w:rsid w:val="01596A64"/>
    <w:rsid w:val="015A74DB"/>
    <w:rsid w:val="015B48ED"/>
    <w:rsid w:val="015C3709"/>
    <w:rsid w:val="015D1E09"/>
    <w:rsid w:val="015D4AF8"/>
    <w:rsid w:val="015D64D1"/>
    <w:rsid w:val="015E38B7"/>
    <w:rsid w:val="015E3EC8"/>
    <w:rsid w:val="015E6884"/>
    <w:rsid w:val="015E784E"/>
    <w:rsid w:val="015F29D1"/>
    <w:rsid w:val="0160084E"/>
    <w:rsid w:val="01610122"/>
    <w:rsid w:val="01612950"/>
    <w:rsid w:val="01614E39"/>
    <w:rsid w:val="01625C5C"/>
    <w:rsid w:val="01640485"/>
    <w:rsid w:val="01641F27"/>
    <w:rsid w:val="016630DA"/>
    <w:rsid w:val="0167398B"/>
    <w:rsid w:val="0168325F"/>
    <w:rsid w:val="016A199B"/>
    <w:rsid w:val="016A347B"/>
    <w:rsid w:val="016B2607"/>
    <w:rsid w:val="016B4F29"/>
    <w:rsid w:val="016B7012"/>
    <w:rsid w:val="016C0FA1"/>
    <w:rsid w:val="016C71F3"/>
    <w:rsid w:val="016D007D"/>
    <w:rsid w:val="016D2931"/>
    <w:rsid w:val="016D2A9F"/>
    <w:rsid w:val="016D4D19"/>
    <w:rsid w:val="016E3ECA"/>
    <w:rsid w:val="016F3DD0"/>
    <w:rsid w:val="017240DE"/>
    <w:rsid w:val="01737F74"/>
    <w:rsid w:val="01761C32"/>
    <w:rsid w:val="01762255"/>
    <w:rsid w:val="01771210"/>
    <w:rsid w:val="0177743A"/>
    <w:rsid w:val="017954B7"/>
    <w:rsid w:val="017A08F7"/>
    <w:rsid w:val="017A5BF5"/>
    <w:rsid w:val="017C18D7"/>
    <w:rsid w:val="017C692E"/>
    <w:rsid w:val="017C6D0A"/>
    <w:rsid w:val="017E0CD4"/>
    <w:rsid w:val="017E7A72"/>
    <w:rsid w:val="017F5F1F"/>
    <w:rsid w:val="018003C3"/>
    <w:rsid w:val="018079C1"/>
    <w:rsid w:val="018207C5"/>
    <w:rsid w:val="01821366"/>
    <w:rsid w:val="01822573"/>
    <w:rsid w:val="018362EB"/>
    <w:rsid w:val="01847B6F"/>
    <w:rsid w:val="01847ED1"/>
    <w:rsid w:val="01851579"/>
    <w:rsid w:val="01853E11"/>
    <w:rsid w:val="01854EB5"/>
    <w:rsid w:val="01855D09"/>
    <w:rsid w:val="01872796"/>
    <w:rsid w:val="01875DDB"/>
    <w:rsid w:val="01876068"/>
    <w:rsid w:val="0188228E"/>
    <w:rsid w:val="01895A8A"/>
    <w:rsid w:val="01897A0D"/>
    <w:rsid w:val="018A3635"/>
    <w:rsid w:val="018A486A"/>
    <w:rsid w:val="018B2776"/>
    <w:rsid w:val="018C1714"/>
    <w:rsid w:val="018E3AC5"/>
    <w:rsid w:val="018E40A8"/>
    <w:rsid w:val="018F02E6"/>
    <w:rsid w:val="018F3FE8"/>
    <w:rsid w:val="018F4A42"/>
    <w:rsid w:val="019127B6"/>
    <w:rsid w:val="01915BF0"/>
    <w:rsid w:val="01916403"/>
    <w:rsid w:val="01916C5A"/>
    <w:rsid w:val="01916F40"/>
    <w:rsid w:val="0192652E"/>
    <w:rsid w:val="019266AE"/>
    <w:rsid w:val="019319F0"/>
    <w:rsid w:val="019422A6"/>
    <w:rsid w:val="019A551E"/>
    <w:rsid w:val="019A5FC8"/>
    <w:rsid w:val="019B0917"/>
    <w:rsid w:val="019B1886"/>
    <w:rsid w:val="019B3725"/>
    <w:rsid w:val="019D14EF"/>
    <w:rsid w:val="019D4F91"/>
    <w:rsid w:val="019D55FE"/>
    <w:rsid w:val="019E3997"/>
    <w:rsid w:val="019F044A"/>
    <w:rsid w:val="019F4ED7"/>
    <w:rsid w:val="01A22A15"/>
    <w:rsid w:val="01A27485"/>
    <w:rsid w:val="01A42261"/>
    <w:rsid w:val="01A46487"/>
    <w:rsid w:val="01A525C2"/>
    <w:rsid w:val="01A52705"/>
    <w:rsid w:val="01A549B3"/>
    <w:rsid w:val="01A551E1"/>
    <w:rsid w:val="01A55480"/>
    <w:rsid w:val="01A56D65"/>
    <w:rsid w:val="01A63515"/>
    <w:rsid w:val="01A71545"/>
    <w:rsid w:val="01A8432A"/>
    <w:rsid w:val="01A91532"/>
    <w:rsid w:val="01A91775"/>
    <w:rsid w:val="01AA09C8"/>
    <w:rsid w:val="01AB2A02"/>
    <w:rsid w:val="01AB6326"/>
    <w:rsid w:val="01AD1372"/>
    <w:rsid w:val="01AD5116"/>
    <w:rsid w:val="01AE72B0"/>
    <w:rsid w:val="01AF3E48"/>
    <w:rsid w:val="01B129F6"/>
    <w:rsid w:val="01B1662B"/>
    <w:rsid w:val="01B22814"/>
    <w:rsid w:val="01B309E7"/>
    <w:rsid w:val="01B54699"/>
    <w:rsid w:val="01B776CC"/>
    <w:rsid w:val="01B81A58"/>
    <w:rsid w:val="01B846CC"/>
    <w:rsid w:val="01B85A2C"/>
    <w:rsid w:val="01B90155"/>
    <w:rsid w:val="01BA1892"/>
    <w:rsid w:val="01BB3B57"/>
    <w:rsid w:val="01BB4E4D"/>
    <w:rsid w:val="01BB7833"/>
    <w:rsid w:val="01BE3FEB"/>
    <w:rsid w:val="01BE66B1"/>
    <w:rsid w:val="01BE70EB"/>
    <w:rsid w:val="01BF7152"/>
    <w:rsid w:val="01C02654"/>
    <w:rsid w:val="01C0309B"/>
    <w:rsid w:val="01C07A2D"/>
    <w:rsid w:val="01C20BC1"/>
    <w:rsid w:val="01C2189F"/>
    <w:rsid w:val="01C2249A"/>
    <w:rsid w:val="01C42B8B"/>
    <w:rsid w:val="01C503E5"/>
    <w:rsid w:val="01C527E4"/>
    <w:rsid w:val="01C546B9"/>
    <w:rsid w:val="01C558D4"/>
    <w:rsid w:val="01C56903"/>
    <w:rsid w:val="01C57408"/>
    <w:rsid w:val="01C57CFF"/>
    <w:rsid w:val="01C60555"/>
    <w:rsid w:val="01C6467B"/>
    <w:rsid w:val="01C7267B"/>
    <w:rsid w:val="01C73287"/>
    <w:rsid w:val="01CA5025"/>
    <w:rsid w:val="01CB0444"/>
    <w:rsid w:val="01CB79DA"/>
    <w:rsid w:val="01CC2797"/>
    <w:rsid w:val="01CC30EE"/>
    <w:rsid w:val="01CC6F34"/>
    <w:rsid w:val="01CD73A3"/>
    <w:rsid w:val="01CD75C9"/>
    <w:rsid w:val="01CE0EDC"/>
    <w:rsid w:val="01CE3453"/>
    <w:rsid w:val="01CE7A68"/>
    <w:rsid w:val="01D02BD5"/>
    <w:rsid w:val="01D05351"/>
    <w:rsid w:val="01D1061A"/>
    <w:rsid w:val="01D124C5"/>
    <w:rsid w:val="01D13CB3"/>
    <w:rsid w:val="01D17056"/>
    <w:rsid w:val="01D332BE"/>
    <w:rsid w:val="01D46A5C"/>
    <w:rsid w:val="01D478EF"/>
    <w:rsid w:val="01D47CBB"/>
    <w:rsid w:val="01D54D98"/>
    <w:rsid w:val="01D5538B"/>
    <w:rsid w:val="01D83438"/>
    <w:rsid w:val="01D91393"/>
    <w:rsid w:val="01D94843"/>
    <w:rsid w:val="01D95F0B"/>
    <w:rsid w:val="01D97003"/>
    <w:rsid w:val="01DB6345"/>
    <w:rsid w:val="01DC1706"/>
    <w:rsid w:val="01DC2F49"/>
    <w:rsid w:val="01DC4615"/>
    <w:rsid w:val="01DD7621"/>
    <w:rsid w:val="01DE1773"/>
    <w:rsid w:val="01DE46A1"/>
    <w:rsid w:val="01DE6D60"/>
    <w:rsid w:val="01DF2790"/>
    <w:rsid w:val="01DF4480"/>
    <w:rsid w:val="01DF494D"/>
    <w:rsid w:val="01E00554"/>
    <w:rsid w:val="01E06BB5"/>
    <w:rsid w:val="01E32515"/>
    <w:rsid w:val="01E415D4"/>
    <w:rsid w:val="01E4249F"/>
    <w:rsid w:val="01E4322D"/>
    <w:rsid w:val="01E466C2"/>
    <w:rsid w:val="01E53B78"/>
    <w:rsid w:val="01E574C4"/>
    <w:rsid w:val="01E66B99"/>
    <w:rsid w:val="01E67753"/>
    <w:rsid w:val="01E70628"/>
    <w:rsid w:val="01E71C64"/>
    <w:rsid w:val="01E83014"/>
    <w:rsid w:val="01E90844"/>
    <w:rsid w:val="01E925F2"/>
    <w:rsid w:val="01E92D92"/>
    <w:rsid w:val="01E97822"/>
    <w:rsid w:val="01EA2457"/>
    <w:rsid w:val="01EA4597"/>
    <w:rsid w:val="01EB0014"/>
    <w:rsid w:val="01EB0632"/>
    <w:rsid w:val="01EC09D4"/>
    <w:rsid w:val="01EC33A0"/>
    <w:rsid w:val="01ED51FF"/>
    <w:rsid w:val="01EE19B6"/>
    <w:rsid w:val="01F03DBF"/>
    <w:rsid w:val="01F1117B"/>
    <w:rsid w:val="01F176F8"/>
    <w:rsid w:val="01F255B3"/>
    <w:rsid w:val="01F30E07"/>
    <w:rsid w:val="01F366FC"/>
    <w:rsid w:val="01F42D45"/>
    <w:rsid w:val="01F5597A"/>
    <w:rsid w:val="01F65A3E"/>
    <w:rsid w:val="01F65EA9"/>
    <w:rsid w:val="01F66ABD"/>
    <w:rsid w:val="01F768F9"/>
    <w:rsid w:val="01F8578C"/>
    <w:rsid w:val="01F86CD9"/>
    <w:rsid w:val="01F86D12"/>
    <w:rsid w:val="01F909E5"/>
    <w:rsid w:val="01FA454F"/>
    <w:rsid w:val="01FD0830"/>
    <w:rsid w:val="01FD3FB9"/>
    <w:rsid w:val="01FE5971"/>
    <w:rsid w:val="01FF3CC7"/>
    <w:rsid w:val="01FF5855"/>
    <w:rsid w:val="020007B9"/>
    <w:rsid w:val="0200793B"/>
    <w:rsid w:val="020154B4"/>
    <w:rsid w:val="020236B3"/>
    <w:rsid w:val="02024774"/>
    <w:rsid w:val="02030DC7"/>
    <w:rsid w:val="02030E07"/>
    <w:rsid w:val="0203720D"/>
    <w:rsid w:val="0203725F"/>
    <w:rsid w:val="02050DFD"/>
    <w:rsid w:val="02057C43"/>
    <w:rsid w:val="02074EA2"/>
    <w:rsid w:val="02077A6F"/>
    <w:rsid w:val="02081815"/>
    <w:rsid w:val="02095E0A"/>
    <w:rsid w:val="020A4606"/>
    <w:rsid w:val="020C008E"/>
    <w:rsid w:val="020D347B"/>
    <w:rsid w:val="020D4C10"/>
    <w:rsid w:val="020D5375"/>
    <w:rsid w:val="020F419B"/>
    <w:rsid w:val="02103C86"/>
    <w:rsid w:val="021213BB"/>
    <w:rsid w:val="02133EB1"/>
    <w:rsid w:val="021460C8"/>
    <w:rsid w:val="02167E82"/>
    <w:rsid w:val="0217640E"/>
    <w:rsid w:val="02184331"/>
    <w:rsid w:val="02185DB9"/>
    <w:rsid w:val="02191A39"/>
    <w:rsid w:val="02193C79"/>
    <w:rsid w:val="021A09FD"/>
    <w:rsid w:val="021A3B70"/>
    <w:rsid w:val="021A65F1"/>
    <w:rsid w:val="021B277E"/>
    <w:rsid w:val="021E51C5"/>
    <w:rsid w:val="021F386D"/>
    <w:rsid w:val="021F6063"/>
    <w:rsid w:val="022064BC"/>
    <w:rsid w:val="02206D48"/>
    <w:rsid w:val="02213E04"/>
    <w:rsid w:val="02214DDB"/>
    <w:rsid w:val="02220164"/>
    <w:rsid w:val="02224F61"/>
    <w:rsid w:val="02231BA1"/>
    <w:rsid w:val="02235B58"/>
    <w:rsid w:val="022369B8"/>
    <w:rsid w:val="02245692"/>
    <w:rsid w:val="02250057"/>
    <w:rsid w:val="02252EE4"/>
    <w:rsid w:val="022533D7"/>
    <w:rsid w:val="02257FDB"/>
    <w:rsid w:val="0227091F"/>
    <w:rsid w:val="02277B67"/>
    <w:rsid w:val="02281A4B"/>
    <w:rsid w:val="02281DFD"/>
    <w:rsid w:val="0228510F"/>
    <w:rsid w:val="02287939"/>
    <w:rsid w:val="02293D43"/>
    <w:rsid w:val="022B6823"/>
    <w:rsid w:val="022C1327"/>
    <w:rsid w:val="022C24DE"/>
    <w:rsid w:val="022C7CF7"/>
    <w:rsid w:val="022D1EF6"/>
    <w:rsid w:val="022F029F"/>
    <w:rsid w:val="022F3155"/>
    <w:rsid w:val="022F72A4"/>
    <w:rsid w:val="02302728"/>
    <w:rsid w:val="02303F46"/>
    <w:rsid w:val="0231298F"/>
    <w:rsid w:val="02320FA0"/>
    <w:rsid w:val="02327A3C"/>
    <w:rsid w:val="02333195"/>
    <w:rsid w:val="02337CE0"/>
    <w:rsid w:val="02344BB0"/>
    <w:rsid w:val="02346E59"/>
    <w:rsid w:val="02355837"/>
    <w:rsid w:val="023615AF"/>
    <w:rsid w:val="02363264"/>
    <w:rsid w:val="02390A8D"/>
    <w:rsid w:val="023A09D0"/>
    <w:rsid w:val="023A12FE"/>
    <w:rsid w:val="023A4968"/>
    <w:rsid w:val="023A50A2"/>
    <w:rsid w:val="023C42F2"/>
    <w:rsid w:val="023E3DE8"/>
    <w:rsid w:val="023E3FC3"/>
    <w:rsid w:val="023E462C"/>
    <w:rsid w:val="023F5B7C"/>
    <w:rsid w:val="02402772"/>
    <w:rsid w:val="02404B2B"/>
    <w:rsid w:val="02412C6C"/>
    <w:rsid w:val="024157AE"/>
    <w:rsid w:val="024217EA"/>
    <w:rsid w:val="024342B5"/>
    <w:rsid w:val="02440DD1"/>
    <w:rsid w:val="02441D23"/>
    <w:rsid w:val="02442D33"/>
    <w:rsid w:val="02466A00"/>
    <w:rsid w:val="02477318"/>
    <w:rsid w:val="024855F6"/>
    <w:rsid w:val="024A0BB7"/>
    <w:rsid w:val="024F7796"/>
    <w:rsid w:val="025029CF"/>
    <w:rsid w:val="0250441F"/>
    <w:rsid w:val="02515CE4"/>
    <w:rsid w:val="0252142D"/>
    <w:rsid w:val="02531A6D"/>
    <w:rsid w:val="02552E4D"/>
    <w:rsid w:val="02554B84"/>
    <w:rsid w:val="02566ACB"/>
    <w:rsid w:val="02570D58"/>
    <w:rsid w:val="025865F9"/>
    <w:rsid w:val="025870B9"/>
    <w:rsid w:val="02594C03"/>
    <w:rsid w:val="025976B3"/>
    <w:rsid w:val="025A39CA"/>
    <w:rsid w:val="025A5316"/>
    <w:rsid w:val="025C03B5"/>
    <w:rsid w:val="025C04B6"/>
    <w:rsid w:val="025C279D"/>
    <w:rsid w:val="025C47A1"/>
    <w:rsid w:val="025C6643"/>
    <w:rsid w:val="025F6159"/>
    <w:rsid w:val="026041A7"/>
    <w:rsid w:val="02604CC4"/>
    <w:rsid w:val="02607E88"/>
    <w:rsid w:val="0262657A"/>
    <w:rsid w:val="02632976"/>
    <w:rsid w:val="026406B8"/>
    <w:rsid w:val="02641C78"/>
    <w:rsid w:val="02643149"/>
    <w:rsid w:val="02643356"/>
    <w:rsid w:val="02664879"/>
    <w:rsid w:val="02666C3B"/>
    <w:rsid w:val="0267150D"/>
    <w:rsid w:val="02682C29"/>
    <w:rsid w:val="0268673B"/>
    <w:rsid w:val="02690314"/>
    <w:rsid w:val="026977E5"/>
    <w:rsid w:val="02697903"/>
    <w:rsid w:val="026B2DD3"/>
    <w:rsid w:val="026B3007"/>
    <w:rsid w:val="026C4FD1"/>
    <w:rsid w:val="026F1C95"/>
    <w:rsid w:val="02704AC1"/>
    <w:rsid w:val="0271122C"/>
    <w:rsid w:val="027122F1"/>
    <w:rsid w:val="027126A6"/>
    <w:rsid w:val="0272765D"/>
    <w:rsid w:val="02731145"/>
    <w:rsid w:val="027313C9"/>
    <w:rsid w:val="02747736"/>
    <w:rsid w:val="027607D9"/>
    <w:rsid w:val="02773ED9"/>
    <w:rsid w:val="02786875"/>
    <w:rsid w:val="02791740"/>
    <w:rsid w:val="027921EC"/>
    <w:rsid w:val="02793CBF"/>
    <w:rsid w:val="02794AFF"/>
    <w:rsid w:val="027A63D5"/>
    <w:rsid w:val="027E2A20"/>
    <w:rsid w:val="0280569F"/>
    <w:rsid w:val="02815339"/>
    <w:rsid w:val="028178EE"/>
    <w:rsid w:val="02817E66"/>
    <w:rsid w:val="02825AE0"/>
    <w:rsid w:val="028427AA"/>
    <w:rsid w:val="028440C8"/>
    <w:rsid w:val="02845C22"/>
    <w:rsid w:val="02850D74"/>
    <w:rsid w:val="0285372F"/>
    <w:rsid w:val="02867FEC"/>
    <w:rsid w:val="028738CD"/>
    <w:rsid w:val="028804C0"/>
    <w:rsid w:val="02884D25"/>
    <w:rsid w:val="028916DF"/>
    <w:rsid w:val="028970C0"/>
    <w:rsid w:val="028C11CF"/>
    <w:rsid w:val="028D1B18"/>
    <w:rsid w:val="028D7421"/>
    <w:rsid w:val="028E584C"/>
    <w:rsid w:val="029010B2"/>
    <w:rsid w:val="029046A2"/>
    <w:rsid w:val="02912C2D"/>
    <w:rsid w:val="02922C89"/>
    <w:rsid w:val="029263FA"/>
    <w:rsid w:val="0294285E"/>
    <w:rsid w:val="02946F76"/>
    <w:rsid w:val="029516E9"/>
    <w:rsid w:val="029539EA"/>
    <w:rsid w:val="029702A0"/>
    <w:rsid w:val="02975A1C"/>
    <w:rsid w:val="029815F3"/>
    <w:rsid w:val="02982D71"/>
    <w:rsid w:val="02985DC6"/>
    <w:rsid w:val="029955B5"/>
    <w:rsid w:val="02996752"/>
    <w:rsid w:val="029A0728"/>
    <w:rsid w:val="029A1B3E"/>
    <w:rsid w:val="029A2EF6"/>
    <w:rsid w:val="029A77E7"/>
    <w:rsid w:val="029A7F0D"/>
    <w:rsid w:val="029C147D"/>
    <w:rsid w:val="029C2E90"/>
    <w:rsid w:val="029C64DC"/>
    <w:rsid w:val="029C7664"/>
    <w:rsid w:val="029D2A40"/>
    <w:rsid w:val="029D2C34"/>
    <w:rsid w:val="029D33DC"/>
    <w:rsid w:val="029E2E94"/>
    <w:rsid w:val="029F142A"/>
    <w:rsid w:val="029F40A6"/>
    <w:rsid w:val="02A02583"/>
    <w:rsid w:val="02A1289B"/>
    <w:rsid w:val="02A20FF6"/>
    <w:rsid w:val="02A30287"/>
    <w:rsid w:val="02A31FBC"/>
    <w:rsid w:val="02A33BF4"/>
    <w:rsid w:val="02A3532F"/>
    <w:rsid w:val="02A429BD"/>
    <w:rsid w:val="02A47576"/>
    <w:rsid w:val="02A535D8"/>
    <w:rsid w:val="02A53952"/>
    <w:rsid w:val="02A57792"/>
    <w:rsid w:val="02A6029C"/>
    <w:rsid w:val="02A62291"/>
    <w:rsid w:val="02A6513F"/>
    <w:rsid w:val="02A91108"/>
    <w:rsid w:val="02A95F67"/>
    <w:rsid w:val="02AA2C73"/>
    <w:rsid w:val="02AA5314"/>
    <w:rsid w:val="02AB22C6"/>
    <w:rsid w:val="02AB2E8E"/>
    <w:rsid w:val="02AB3612"/>
    <w:rsid w:val="02AB5AF9"/>
    <w:rsid w:val="02AC6352"/>
    <w:rsid w:val="02AE7397"/>
    <w:rsid w:val="02B074D5"/>
    <w:rsid w:val="02B12F0B"/>
    <w:rsid w:val="02B1551F"/>
    <w:rsid w:val="02B1779C"/>
    <w:rsid w:val="02B22A86"/>
    <w:rsid w:val="02B32C00"/>
    <w:rsid w:val="02B40F40"/>
    <w:rsid w:val="02B44579"/>
    <w:rsid w:val="02B709D8"/>
    <w:rsid w:val="02B85917"/>
    <w:rsid w:val="02B86778"/>
    <w:rsid w:val="02B9004B"/>
    <w:rsid w:val="02B96FC1"/>
    <w:rsid w:val="02B976CF"/>
    <w:rsid w:val="02BA7413"/>
    <w:rsid w:val="02BB05ED"/>
    <w:rsid w:val="02BB3935"/>
    <w:rsid w:val="02BB3A8B"/>
    <w:rsid w:val="02BC7D06"/>
    <w:rsid w:val="02BF23EA"/>
    <w:rsid w:val="02BF48E5"/>
    <w:rsid w:val="02BF4C82"/>
    <w:rsid w:val="02C10148"/>
    <w:rsid w:val="02C170CB"/>
    <w:rsid w:val="02C3371F"/>
    <w:rsid w:val="02C40969"/>
    <w:rsid w:val="02C415C7"/>
    <w:rsid w:val="02C438DE"/>
    <w:rsid w:val="02C45F4D"/>
    <w:rsid w:val="02C53BD8"/>
    <w:rsid w:val="02C57515"/>
    <w:rsid w:val="02C60B85"/>
    <w:rsid w:val="02C622B0"/>
    <w:rsid w:val="02C74777"/>
    <w:rsid w:val="02C76C7A"/>
    <w:rsid w:val="02C77E91"/>
    <w:rsid w:val="02C804A8"/>
    <w:rsid w:val="02C81FFD"/>
    <w:rsid w:val="02C8274F"/>
    <w:rsid w:val="02CD4AFF"/>
    <w:rsid w:val="02CD7101"/>
    <w:rsid w:val="02CE3A9F"/>
    <w:rsid w:val="02CE5250"/>
    <w:rsid w:val="02CE75C7"/>
    <w:rsid w:val="02CF2011"/>
    <w:rsid w:val="02CF2DDB"/>
    <w:rsid w:val="02CF2FD6"/>
    <w:rsid w:val="02CF6827"/>
    <w:rsid w:val="02D01D04"/>
    <w:rsid w:val="02D107B8"/>
    <w:rsid w:val="02D12FE2"/>
    <w:rsid w:val="02D41E83"/>
    <w:rsid w:val="02D534D5"/>
    <w:rsid w:val="02D542C1"/>
    <w:rsid w:val="02D66CA8"/>
    <w:rsid w:val="02D708F3"/>
    <w:rsid w:val="02D71701"/>
    <w:rsid w:val="02D73B4C"/>
    <w:rsid w:val="02D74528"/>
    <w:rsid w:val="02D74EC6"/>
    <w:rsid w:val="02D768EE"/>
    <w:rsid w:val="02D772AC"/>
    <w:rsid w:val="02D8171E"/>
    <w:rsid w:val="02D867CE"/>
    <w:rsid w:val="02D91F7E"/>
    <w:rsid w:val="02D96803"/>
    <w:rsid w:val="02DA2C98"/>
    <w:rsid w:val="02DC3F04"/>
    <w:rsid w:val="02DC686C"/>
    <w:rsid w:val="02DC6980"/>
    <w:rsid w:val="02E03CD2"/>
    <w:rsid w:val="02E12B71"/>
    <w:rsid w:val="02E2075A"/>
    <w:rsid w:val="02E2613C"/>
    <w:rsid w:val="02E2635B"/>
    <w:rsid w:val="02E35293"/>
    <w:rsid w:val="02E3621E"/>
    <w:rsid w:val="02E55A0D"/>
    <w:rsid w:val="02E61B9F"/>
    <w:rsid w:val="02E6565C"/>
    <w:rsid w:val="02E65ED1"/>
    <w:rsid w:val="02E75CF1"/>
    <w:rsid w:val="02E80AFB"/>
    <w:rsid w:val="02E847B7"/>
    <w:rsid w:val="02E93216"/>
    <w:rsid w:val="02EA479D"/>
    <w:rsid w:val="02EA7622"/>
    <w:rsid w:val="02EB0CA0"/>
    <w:rsid w:val="02EB2463"/>
    <w:rsid w:val="02EB47D1"/>
    <w:rsid w:val="02EC1352"/>
    <w:rsid w:val="02EC1C41"/>
    <w:rsid w:val="02EC66FE"/>
    <w:rsid w:val="02ED50AA"/>
    <w:rsid w:val="02EE5818"/>
    <w:rsid w:val="02F03FF7"/>
    <w:rsid w:val="02F1113B"/>
    <w:rsid w:val="02F15352"/>
    <w:rsid w:val="02F214C0"/>
    <w:rsid w:val="02F21E1C"/>
    <w:rsid w:val="02F44A29"/>
    <w:rsid w:val="02F531C6"/>
    <w:rsid w:val="02F57F8E"/>
    <w:rsid w:val="02F70D3E"/>
    <w:rsid w:val="02F80AD2"/>
    <w:rsid w:val="02F85C06"/>
    <w:rsid w:val="02F909D0"/>
    <w:rsid w:val="02F9247C"/>
    <w:rsid w:val="02F9540F"/>
    <w:rsid w:val="02F96569"/>
    <w:rsid w:val="02FA6378"/>
    <w:rsid w:val="02FA74A3"/>
    <w:rsid w:val="02FB2A88"/>
    <w:rsid w:val="02FC06CB"/>
    <w:rsid w:val="02FC5DC6"/>
    <w:rsid w:val="02FC6EF9"/>
    <w:rsid w:val="02FE031F"/>
    <w:rsid w:val="02FE4CCA"/>
    <w:rsid w:val="02FF0DA1"/>
    <w:rsid w:val="02FF10FC"/>
    <w:rsid w:val="02FF68F3"/>
    <w:rsid w:val="030010FE"/>
    <w:rsid w:val="03005B97"/>
    <w:rsid w:val="030175A3"/>
    <w:rsid w:val="03024234"/>
    <w:rsid w:val="03033541"/>
    <w:rsid w:val="03044D4A"/>
    <w:rsid w:val="03047C7A"/>
    <w:rsid w:val="030562C5"/>
    <w:rsid w:val="03057BA5"/>
    <w:rsid w:val="03062D2F"/>
    <w:rsid w:val="03066CDD"/>
    <w:rsid w:val="03070644"/>
    <w:rsid w:val="03075604"/>
    <w:rsid w:val="03077F98"/>
    <w:rsid w:val="030933C3"/>
    <w:rsid w:val="03096270"/>
    <w:rsid w:val="030A46B9"/>
    <w:rsid w:val="030B47EA"/>
    <w:rsid w:val="030C1843"/>
    <w:rsid w:val="030C3BC7"/>
    <w:rsid w:val="030E03CE"/>
    <w:rsid w:val="030E6D4F"/>
    <w:rsid w:val="030F42DA"/>
    <w:rsid w:val="030F6937"/>
    <w:rsid w:val="03106DE8"/>
    <w:rsid w:val="03120210"/>
    <w:rsid w:val="03120724"/>
    <w:rsid w:val="03125103"/>
    <w:rsid w:val="03134185"/>
    <w:rsid w:val="031418F0"/>
    <w:rsid w:val="03145144"/>
    <w:rsid w:val="03154C4E"/>
    <w:rsid w:val="031573B1"/>
    <w:rsid w:val="03191189"/>
    <w:rsid w:val="03191276"/>
    <w:rsid w:val="031A3501"/>
    <w:rsid w:val="031C41E9"/>
    <w:rsid w:val="031F00A6"/>
    <w:rsid w:val="032011BB"/>
    <w:rsid w:val="032066D4"/>
    <w:rsid w:val="03221180"/>
    <w:rsid w:val="03222C91"/>
    <w:rsid w:val="03227E5E"/>
    <w:rsid w:val="03241293"/>
    <w:rsid w:val="03247659"/>
    <w:rsid w:val="03256ABC"/>
    <w:rsid w:val="03257104"/>
    <w:rsid w:val="0326092D"/>
    <w:rsid w:val="032612BA"/>
    <w:rsid w:val="0326588B"/>
    <w:rsid w:val="03275A62"/>
    <w:rsid w:val="03284559"/>
    <w:rsid w:val="0329128F"/>
    <w:rsid w:val="03295B2D"/>
    <w:rsid w:val="03296B3B"/>
    <w:rsid w:val="032B100B"/>
    <w:rsid w:val="032C4A4F"/>
    <w:rsid w:val="032D5EC3"/>
    <w:rsid w:val="032D650E"/>
    <w:rsid w:val="032F2286"/>
    <w:rsid w:val="032F654A"/>
    <w:rsid w:val="03301303"/>
    <w:rsid w:val="03303343"/>
    <w:rsid w:val="03307B90"/>
    <w:rsid w:val="0334103C"/>
    <w:rsid w:val="03342DD1"/>
    <w:rsid w:val="03351867"/>
    <w:rsid w:val="0335776B"/>
    <w:rsid w:val="0336367E"/>
    <w:rsid w:val="0337496E"/>
    <w:rsid w:val="03377919"/>
    <w:rsid w:val="0339679F"/>
    <w:rsid w:val="03396A24"/>
    <w:rsid w:val="033A110F"/>
    <w:rsid w:val="033A1E33"/>
    <w:rsid w:val="033A2C9E"/>
    <w:rsid w:val="033B433A"/>
    <w:rsid w:val="033B67E2"/>
    <w:rsid w:val="033B68B4"/>
    <w:rsid w:val="033C4C00"/>
    <w:rsid w:val="033E5AC4"/>
    <w:rsid w:val="033F32C3"/>
    <w:rsid w:val="034002B5"/>
    <w:rsid w:val="03414C8F"/>
    <w:rsid w:val="03414D01"/>
    <w:rsid w:val="03416905"/>
    <w:rsid w:val="03424F94"/>
    <w:rsid w:val="034312C3"/>
    <w:rsid w:val="03431BCB"/>
    <w:rsid w:val="03452FC4"/>
    <w:rsid w:val="034675D0"/>
    <w:rsid w:val="0347577D"/>
    <w:rsid w:val="0347730F"/>
    <w:rsid w:val="034778B7"/>
    <w:rsid w:val="0348159A"/>
    <w:rsid w:val="034900E2"/>
    <w:rsid w:val="03494317"/>
    <w:rsid w:val="034C3817"/>
    <w:rsid w:val="034D1BBC"/>
    <w:rsid w:val="034D3E5D"/>
    <w:rsid w:val="034D6BB0"/>
    <w:rsid w:val="034F0B7A"/>
    <w:rsid w:val="03504024"/>
    <w:rsid w:val="035045CE"/>
    <w:rsid w:val="0350481B"/>
    <w:rsid w:val="03507156"/>
    <w:rsid w:val="03517430"/>
    <w:rsid w:val="03520F1F"/>
    <w:rsid w:val="0352429D"/>
    <w:rsid w:val="03530BAA"/>
    <w:rsid w:val="035439F7"/>
    <w:rsid w:val="03552909"/>
    <w:rsid w:val="03553102"/>
    <w:rsid w:val="03561F09"/>
    <w:rsid w:val="035654B0"/>
    <w:rsid w:val="035662B5"/>
    <w:rsid w:val="0356706E"/>
    <w:rsid w:val="03575C81"/>
    <w:rsid w:val="03575F15"/>
    <w:rsid w:val="035839B4"/>
    <w:rsid w:val="035A13E3"/>
    <w:rsid w:val="035A243A"/>
    <w:rsid w:val="035A25B5"/>
    <w:rsid w:val="035A307B"/>
    <w:rsid w:val="035B5C16"/>
    <w:rsid w:val="035C3A22"/>
    <w:rsid w:val="035D10A2"/>
    <w:rsid w:val="035D3CD4"/>
    <w:rsid w:val="035D4954"/>
    <w:rsid w:val="035E01B3"/>
    <w:rsid w:val="03606962"/>
    <w:rsid w:val="03620D00"/>
    <w:rsid w:val="03621A93"/>
    <w:rsid w:val="0363076D"/>
    <w:rsid w:val="0363175D"/>
    <w:rsid w:val="03632DC9"/>
    <w:rsid w:val="036363D4"/>
    <w:rsid w:val="03643306"/>
    <w:rsid w:val="03643B29"/>
    <w:rsid w:val="03665AD3"/>
    <w:rsid w:val="036743EC"/>
    <w:rsid w:val="03681C3C"/>
    <w:rsid w:val="03685E9F"/>
    <w:rsid w:val="0369010A"/>
    <w:rsid w:val="036926C6"/>
    <w:rsid w:val="036A030F"/>
    <w:rsid w:val="036A7762"/>
    <w:rsid w:val="036B462D"/>
    <w:rsid w:val="036B52E6"/>
    <w:rsid w:val="036D1000"/>
    <w:rsid w:val="036D6FDA"/>
    <w:rsid w:val="036E009C"/>
    <w:rsid w:val="036E3246"/>
    <w:rsid w:val="036F510D"/>
    <w:rsid w:val="0371289F"/>
    <w:rsid w:val="03716D43"/>
    <w:rsid w:val="0372306B"/>
    <w:rsid w:val="03732DE6"/>
    <w:rsid w:val="03733C5F"/>
    <w:rsid w:val="037408D7"/>
    <w:rsid w:val="03771213"/>
    <w:rsid w:val="03786553"/>
    <w:rsid w:val="03792EE3"/>
    <w:rsid w:val="03794DD4"/>
    <w:rsid w:val="037B04F6"/>
    <w:rsid w:val="037B44B5"/>
    <w:rsid w:val="037D0E27"/>
    <w:rsid w:val="037D124D"/>
    <w:rsid w:val="037D3E00"/>
    <w:rsid w:val="038110CF"/>
    <w:rsid w:val="038203D4"/>
    <w:rsid w:val="03821861"/>
    <w:rsid w:val="03830824"/>
    <w:rsid w:val="038338A5"/>
    <w:rsid w:val="03842A81"/>
    <w:rsid w:val="03845AE4"/>
    <w:rsid w:val="03846D97"/>
    <w:rsid w:val="03854510"/>
    <w:rsid w:val="03856847"/>
    <w:rsid w:val="03866968"/>
    <w:rsid w:val="038722EC"/>
    <w:rsid w:val="03875D09"/>
    <w:rsid w:val="038768FD"/>
    <w:rsid w:val="0388060B"/>
    <w:rsid w:val="03883C99"/>
    <w:rsid w:val="038B4B0D"/>
    <w:rsid w:val="038D3B93"/>
    <w:rsid w:val="038E0289"/>
    <w:rsid w:val="038E4347"/>
    <w:rsid w:val="038F3D7E"/>
    <w:rsid w:val="039051B2"/>
    <w:rsid w:val="03910A21"/>
    <w:rsid w:val="0391510F"/>
    <w:rsid w:val="039203FC"/>
    <w:rsid w:val="03920C44"/>
    <w:rsid w:val="03931C0F"/>
    <w:rsid w:val="03934883"/>
    <w:rsid w:val="03934C51"/>
    <w:rsid w:val="039361B3"/>
    <w:rsid w:val="03951B0E"/>
    <w:rsid w:val="03953DFB"/>
    <w:rsid w:val="03954037"/>
    <w:rsid w:val="03963238"/>
    <w:rsid w:val="03966ACE"/>
    <w:rsid w:val="039703BB"/>
    <w:rsid w:val="039703E0"/>
    <w:rsid w:val="03982B9A"/>
    <w:rsid w:val="039859AF"/>
    <w:rsid w:val="0398630E"/>
    <w:rsid w:val="03987992"/>
    <w:rsid w:val="039A058F"/>
    <w:rsid w:val="039A2138"/>
    <w:rsid w:val="039A563F"/>
    <w:rsid w:val="039B255D"/>
    <w:rsid w:val="039B28B0"/>
    <w:rsid w:val="039B51AA"/>
    <w:rsid w:val="039C7BA3"/>
    <w:rsid w:val="039D10D8"/>
    <w:rsid w:val="039D5B35"/>
    <w:rsid w:val="039D6D15"/>
    <w:rsid w:val="039E565E"/>
    <w:rsid w:val="039F0C9A"/>
    <w:rsid w:val="039F24A3"/>
    <w:rsid w:val="039F28A4"/>
    <w:rsid w:val="039F34D6"/>
    <w:rsid w:val="03A17E8B"/>
    <w:rsid w:val="03A40E71"/>
    <w:rsid w:val="03A4632C"/>
    <w:rsid w:val="03A55280"/>
    <w:rsid w:val="03A557D7"/>
    <w:rsid w:val="03A62D53"/>
    <w:rsid w:val="03A72998"/>
    <w:rsid w:val="03AA1971"/>
    <w:rsid w:val="03AA2CC4"/>
    <w:rsid w:val="03AA2FAF"/>
    <w:rsid w:val="03AA78F8"/>
    <w:rsid w:val="03AB0719"/>
    <w:rsid w:val="03AB1DDD"/>
    <w:rsid w:val="03AB68EA"/>
    <w:rsid w:val="03AC0A84"/>
    <w:rsid w:val="03AC2D81"/>
    <w:rsid w:val="03AD4D2E"/>
    <w:rsid w:val="03AD6D27"/>
    <w:rsid w:val="03AE1CD2"/>
    <w:rsid w:val="03AE23F1"/>
    <w:rsid w:val="03AE4595"/>
    <w:rsid w:val="03AF616D"/>
    <w:rsid w:val="03AF74EB"/>
    <w:rsid w:val="03B00290"/>
    <w:rsid w:val="03B03C04"/>
    <w:rsid w:val="03B04F6B"/>
    <w:rsid w:val="03B12B27"/>
    <w:rsid w:val="03B210F7"/>
    <w:rsid w:val="03B24C65"/>
    <w:rsid w:val="03B336B0"/>
    <w:rsid w:val="03B35170"/>
    <w:rsid w:val="03B40390"/>
    <w:rsid w:val="03B50E48"/>
    <w:rsid w:val="03B61135"/>
    <w:rsid w:val="03B63C7C"/>
    <w:rsid w:val="03B646D5"/>
    <w:rsid w:val="03B70C87"/>
    <w:rsid w:val="03B76E9E"/>
    <w:rsid w:val="03B77E93"/>
    <w:rsid w:val="03BA5FA7"/>
    <w:rsid w:val="03BB0F7A"/>
    <w:rsid w:val="03BB232C"/>
    <w:rsid w:val="03BB25AE"/>
    <w:rsid w:val="03BB4952"/>
    <w:rsid w:val="03BB7FBE"/>
    <w:rsid w:val="03BE160D"/>
    <w:rsid w:val="03BE3301"/>
    <w:rsid w:val="03BF3924"/>
    <w:rsid w:val="03BF4E0E"/>
    <w:rsid w:val="03BF72D6"/>
    <w:rsid w:val="03C07382"/>
    <w:rsid w:val="03C20C85"/>
    <w:rsid w:val="03C26973"/>
    <w:rsid w:val="03C3333F"/>
    <w:rsid w:val="03C43FFD"/>
    <w:rsid w:val="03C463D0"/>
    <w:rsid w:val="03C46BB5"/>
    <w:rsid w:val="03C5171F"/>
    <w:rsid w:val="03C53967"/>
    <w:rsid w:val="03C64541"/>
    <w:rsid w:val="03C6588F"/>
    <w:rsid w:val="03C704D6"/>
    <w:rsid w:val="03C70711"/>
    <w:rsid w:val="03C72CA0"/>
    <w:rsid w:val="03C821FC"/>
    <w:rsid w:val="03C926DB"/>
    <w:rsid w:val="03CA4762"/>
    <w:rsid w:val="03CB15BF"/>
    <w:rsid w:val="03CB1BE4"/>
    <w:rsid w:val="03CC38D4"/>
    <w:rsid w:val="03CD19B7"/>
    <w:rsid w:val="03CD2C61"/>
    <w:rsid w:val="03CF419D"/>
    <w:rsid w:val="03D025A8"/>
    <w:rsid w:val="03D04A5A"/>
    <w:rsid w:val="03D16E47"/>
    <w:rsid w:val="03D22BD2"/>
    <w:rsid w:val="03D33F23"/>
    <w:rsid w:val="03D35B49"/>
    <w:rsid w:val="03D60A54"/>
    <w:rsid w:val="03D62CD5"/>
    <w:rsid w:val="03D75FE1"/>
    <w:rsid w:val="03D84273"/>
    <w:rsid w:val="03DA27DF"/>
    <w:rsid w:val="03DA4541"/>
    <w:rsid w:val="03DA4C9E"/>
    <w:rsid w:val="03DB121C"/>
    <w:rsid w:val="03DB352F"/>
    <w:rsid w:val="03DB4C65"/>
    <w:rsid w:val="03DD769E"/>
    <w:rsid w:val="03DD7B07"/>
    <w:rsid w:val="03DE3727"/>
    <w:rsid w:val="03DF25F3"/>
    <w:rsid w:val="03E04C84"/>
    <w:rsid w:val="03E07199"/>
    <w:rsid w:val="03E16CBF"/>
    <w:rsid w:val="03E21E8B"/>
    <w:rsid w:val="03E337EF"/>
    <w:rsid w:val="03E55A27"/>
    <w:rsid w:val="03E609EE"/>
    <w:rsid w:val="03E6714D"/>
    <w:rsid w:val="03E903D5"/>
    <w:rsid w:val="03E912DA"/>
    <w:rsid w:val="03E93A8E"/>
    <w:rsid w:val="03E94B2B"/>
    <w:rsid w:val="03EA76C0"/>
    <w:rsid w:val="03EA7B21"/>
    <w:rsid w:val="03EC264C"/>
    <w:rsid w:val="03ED68D9"/>
    <w:rsid w:val="03EE3EEF"/>
    <w:rsid w:val="03EF0C5F"/>
    <w:rsid w:val="03F028D7"/>
    <w:rsid w:val="03F35454"/>
    <w:rsid w:val="03F35B74"/>
    <w:rsid w:val="03F43BAA"/>
    <w:rsid w:val="03F44B88"/>
    <w:rsid w:val="03F54334"/>
    <w:rsid w:val="03F620CD"/>
    <w:rsid w:val="03F668A6"/>
    <w:rsid w:val="03F67A9F"/>
    <w:rsid w:val="03F70CE9"/>
    <w:rsid w:val="03F70EE7"/>
    <w:rsid w:val="03F7499C"/>
    <w:rsid w:val="03F74F30"/>
    <w:rsid w:val="03F77A43"/>
    <w:rsid w:val="03F97E85"/>
    <w:rsid w:val="03FA1EE1"/>
    <w:rsid w:val="03FA7C7C"/>
    <w:rsid w:val="03FC6ED0"/>
    <w:rsid w:val="03FD0AA2"/>
    <w:rsid w:val="03FE41EE"/>
    <w:rsid w:val="0400399D"/>
    <w:rsid w:val="040154C3"/>
    <w:rsid w:val="04020CD6"/>
    <w:rsid w:val="04021373"/>
    <w:rsid w:val="04025ABC"/>
    <w:rsid w:val="0402799B"/>
    <w:rsid w:val="04035A45"/>
    <w:rsid w:val="0404079F"/>
    <w:rsid w:val="04041965"/>
    <w:rsid w:val="04041FA7"/>
    <w:rsid w:val="04046137"/>
    <w:rsid w:val="04047CCB"/>
    <w:rsid w:val="04050CD2"/>
    <w:rsid w:val="0406756F"/>
    <w:rsid w:val="04080DCC"/>
    <w:rsid w:val="04084306"/>
    <w:rsid w:val="04085CDA"/>
    <w:rsid w:val="040A299C"/>
    <w:rsid w:val="040A32A7"/>
    <w:rsid w:val="040B57A7"/>
    <w:rsid w:val="040C1215"/>
    <w:rsid w:val="040C49C7"/>
    <w:rsid w:val="040D0423"/>
    <w:rsid w:val="040D0D81"/>
    <w:rsid w:val="040D1022"/>
    <w:rsid w:val="040E230F"/>
    <w:rsid w:val="040F4776"/>
    <w:rsid w:val="041001C4"/>
    <w:rsid w:val="041203DE"/>
    <w:rsid w:val="041227F8"/>
    <w:rsid w:val="04126254"/>
    <w:rsid w:val="0412795D"/>
    <w:rsid w:val="04130A6B"/>
    <w:rsid w:val="04153DCC"/>
    <w:rsid w:val="04155920"/>
    <w:rsid w:val="041651F5"/>
    <w:rsid w:val="041721AA"/>
    <w:rsid w:val="041805F4"/>
    <w:rsid w:val="0418069F"/>
    <w:rsid w:val="04185410"/>
    <w:rsid w:val="041901BA"/>
    <w:rsid w:val="04191CEA"/>
    <w:rsid w:val="041B68E0"/>
    <w:rsid w:val="041C59D8"/>
    <w:rsid w:val="041E2F50"/>
    <w:rsid w:val="041E58FF"/>
    <w:rsid w:val="041E6EF4"/>
    <w:rsid w:val="041F37E6"/>
    <w:rsid w:val="04202E24"/>
    <w:rsid w:val="04206F46"/>
    <w:rsid w:val="04210871"/>
    <w:rsid w:val="0421758F"/>
    <w:rsid w:val="04226483"/>
    <w:rsid w:val="04230FBC"/>
    <w:rsid w:val="0425149B"/>
    <w:rsid w:val="042602AD"/>
    <w:rsid w:val="04260999"/>
    <w:rsid w:val="042712A7"/>
    <w:rsid w:val="0427212D"/>
    <w:rsid w:val="04281083"/>
    <w:rsid w:val="04286EF4"/>
    <w:rsid w:val="04297319"/>
    <w:rsid w:val="042A1458"/>
    <w:rsid w:val="042A1C73"/>
    <w:rsid w:val="042B0F39"/>
    <w:rsid w:val="042B384A"/>
    <w:rsid w:val="042C338C"/>
    <w:rsid w:val="042D7A22"/>
    <w:rsid w:val="043204A6"/>
    <w:rsid w:val="04322765"/>
    <w:rsid w:val="04323002"/>
    <w:rsid w:val="0432434A"/>
    <w:rsid w:val="04333FF8"/>
    <w:rsid w:val="043379CC"/>
    <w:rsid w:val="04337D12"/>
    <w:rsid w:val="04344679"/>
    <w:rsid w:val="04350CB1"/>
    <w:rsid w:val="04357C6B"/>
    <w:rsid w:val="04367F86"/>
    <w:rsid w:val="043846D3"/>
    <w:rsid w:val="043A35D9"/>
    <w:rsid w:val="043A50E5"/>
    <w:rsid w:val="043A6282"/>
    <w:rsid w:val="043C068F"/>
    <w:rsid w:val="043C0CA8"/>
    <w:rsid w:val="043C3DF1"/>
    <w:rsid w:val="043D2098"/>
    <w:rsid w:val="043D5C0F"/>
    <w:rsid w:val="043E2111"/>
    <w:rsid w:val="044004C3"/>
    <w:rsid w:val="04402271"/>
    <w:rsid w:val="0441273D"/>
    <w:rsid w:val="0441416E"/>
    <w:rsid w:val="0442248D"/>
    <w:rsid w:val="044306A2"/>
    <w:rsid w:val="0443394E"/>
    <w:rsid w:val="0443678D"/>
    <w:rsid w:val="04441D61"/>
    <w:rsid w:val="04444353"/>
    <w:rsid w:val="0444583C"/>
    <w:rsid w:val="044464F2"/>
    <w:rsid w:val="0445017B"/>
    <w:rsid w:val="04466DCD"/>
    <w:rsid w:val="044735EE"/>
    <w:rsid w:val="04483F82"/>
    <w:rsid w:val="04486BDD"/>
    <w:rsid w:val="044A1926"/>
    <w:rsid w:val="044A2F86"/>
    <w:rsid w:val="044A3B5D"/>
    <w:rsid w:val="044C1D78"/>
    <w:rsid w:val="044C50BA"/>
    <w:rsid w:val="044E576B"/>
    <w:rsid w:val="044E72F2"/>
    <w:rsid w:val="044F7FD7"/>
    <w:rsid w:val="04504BAA"/>
    <w:rsid w:val="04534325"/>
    <w:rsid w:val="04550468"/>
    <w:rsid w:val="0455059B"/>
    <w:rsid w:val="04553F6E"/>
    <w:rsid w:val="04565650"/>
    <w:rsid w:val="045661F7"/>
    <w:rsid w:val="045759F1"/>
    <w:rsid w:val="0458580D"/>
    <w:rsid w:val="0459018C"/>
    <w:rsid w:val="045A0621"/>
    <w:rsid w:val="045A2E50"/>
    <w:rsid w:val="045A4943"/>
    <w:rsid w:val="045B35CF"/>
    <w:rsid w:val="045B3A87"/>
    <w:rsid w:val="045B52FD"/>
    <w:rsid w:val="045C08CC"/>
    <w:rsid w:val="045C290B"/>
    <w:rsid w:val="045D15A0"/>
    <w:rsid w:val="045D24FC"/>
    <w:rsid w:val="045F021B"/>
    <w:rsid w:val="045F1951"/>
    <w:rsid w:val="045F2A59"/>
    <w:rsid w:val="04600E02"/>
    <w:rsid w:val="046013AF"/>
    <w:rsid w:val="04603313"/>
    <w:rsid w:val="0461327E"/>
    <w:rsid w:val="04613A44"/>
    <w:rsid w:val="046269ED"/>
    <w:rsid w:val="046430C5"/>
    <w:rsid w:val="046431A8"/>
    <w:rsid w:val="04647109"/>
    <w:rsid w:val="0466374D"/>
    <w:rsid w:val="04674951"/>
    <w:rsid w:val="04690342"/>
    <w:rsid w:val="046919D2"/>
    <w:rsid w:val="046A48F9"/>
    <w:rsid w:val="046B5540"/>
    <w:rsid w:val="046B5551"/>
    <w:rsid w:val="046C2752"/>
    <w:rsid w:val="046C3066"/>
    <w:rsid w:val="046C3902"/>
    <w:rsid w:val="046D332D"/>
    <w:rsid w:val="046D3662"/>
    <w:rsid w:val="046D404A"/>
    <w:rsid w:val="046E2C14"/>
    <w:rsid w:val="046E3F8C"/>
    <w:rsid w:val="04701E5C"/>
    <w:rsid w:val="04706FFA"/>
    <w:rsid w:val="04734C87"/>
    <w:rsid w:val="04747874"/>
    <w:rsid w:val="047667CE"/>
    <w:rsid w:val="04766AF7"/>
    <w:rsid w:val="04771F18"/>
    <w:rsid w:val="047859CB"/>
    <w:rsid w:val="04787569"/>
    <w:rsid w:val="047902D8"/>
    <w:rsid w:val="047A2348"/>
    <w:rsid w:val="047A3BAC"/>
    <w:rsid w:val="047A55FC"/>
    <w:rsid w:val="047A572F"/>
    <w:rsid w:val="047B14FB"/>
    <w:rsid w:val="047B480A"/>
    <w:rsid w:val="047B5E58"/>
    <w:rsid w:val="047C2DCE"/>
    <w:rsid w:val="047C4CBA"/>
    <w:rsid w:val="047C599F"/>
    <w:rsid w:val="047D240C"/>
    <w:rsid w:val="047F1AF0"/>
    <w:rsid w:val="048021F5"/>
    <w:rsid w:val="04806B11"/>
    <w:rsid w:val="04812A0B"/>
    <w:rsid w:val="04815AE1"/>
    <w:rsid w:val="04822D62"/>
    <w:rsid w:val="04824892"/>
    <w:rsid w:val="04825077"/>
    <w:rsid w:val="04830C86"/>
    <w:rsid w:val="048316D9"/>
    <w:rsid w:val="04840626"/>
    <w:rsid w:val="04851AD1"/>
    <w:rsid w:val="04860EAC"/>
    <w:rsid w:val="04874381"/>
    <w:rsid w:val="048760F2"/>
    <w:rsid w:val="048927BD"/>
    <w:rsid w:val="04893B2C"/>
    <w:rsid w:val="04897401"/>
    <w:rsid w:val="048B0A6D"/>
    <w:rsid w:val="048B457B"/>
    <w:rsid w:val="048C0EF4"/>
    <w:rsid w:val="048C3481"/>
    <w:rsid w:val="048C6E19"/>
    <w:rsid w:val="048D0CF6"/>
    <w:rsid w:val="048E122E"/>
    <w:rsid w:val="048F2FC2"/>
    <w:rsid w:val="04912ACD"/>
    <w:rsid w:val="0491595A"/>
    <w:rsid w:val="04923C3E"/>
    <w:rsid w:val="04924BB0"/>
    <w:rsid w:val="049413BF"/>
    <w:rsid w:val="04950097"/>
    <w:rsid w:val="04956A61"/>
    <w:rsid w:val="0496002A"/>
    <w:rsid w:val="04967885"/>
    <w:rsid w:val="049802FF"/>
    <w:rsid w:val="049820AD"/>
    <w:rsid w:val="04995A55"/>
    <w:rsid w:val="049A5E25"/>
    <w:rsid w:val="049B0460"/>
    <w:rsid w:val="049B4795"/>
    <w:rsid w:val="049C57DC"/>
    <w:rsid w:val="049D4D0B"/>
    <w:rsid w:val="049E6D7D"/>
    <w:rsid w:val="049E75BA"/>
    <w:rsid w:val="049F2A54"/>
    <w:rsid w:val="049F6CE4"/>
    <w:rsid w:val="04A027E5"/>
    <w:rsid w:val="04A037F0"/>
    <w:rsid w:val="04A060B3"/>
    <w:rsid w:val="04A21185"/>
    <w:rsid w:val="04A27635"/>
    <w:rsid w:val="04A30256"/>
    <w:rsid w:val="04A32995"/>
    <w:rsid w:val="04A33772"/>
    <w:rsid w:val="04A376B0"/>
    <w:rsid w:val="04A46B3E"/>
    <w:rsid w:val="04A52C0C"/>
    <w:rsid w:val="04A579CD"/>
    <w:rsid w:val="04A67EF6"/>
    <w:rsid w:val="04A9147D"/>
    <w:rsid w:val="04AB539E"/>
    <w:rsid w:val="04AB66EB"/>
    <w:rsid w:val="04AC355E"/>
    <w:rsid w:val="04AC3BDE"/>
    <w:rsid w:val="04AC61EE"/>
    <w:rsid w:val="04AE2DB1"/>
    <w:rsid w:val="04AE3B99"/>
    <w:rsid w:val="04AE4E20"/>
    <w:rsid w:val="04B00329"/>
    <w:rsid w:val="04B03A65"/>
    <w:rsid w:val="04B24908"/>
    <w:rsid w:val="04B622FE"/>
    <w:rsid w:val="04B72604"/>
    <w:rsid w:val="04B81A43"/>
    <w:rsid w:val="04B86A4B"/>
    <w:rsid w:val="04B91C36"/>
    <w:rsid w:val="04BA4A67"/>
    <w:rsid w:val="04BB31C3"/>
    <w:rsid w:val="04BC2106"/>
    <w:rsid w:val="04BC223F"/>
    <w:rsid w:val="04BD3A0F"/>
    <w:rsid w:val="04BE6DDF"/>
    <w:rsid w:val="04BE7436"/>
    <w:rsid w:val="04BF29D1"/>
    <w:rsid w:val="04BF3477"/>
    <w:rsid w:val="04BF588C"/>
    <w:rsid w:val="04BF6A88"/>
    <w:rsid w:val="04C07F12"/>
    <w:rsid w:val="04C15B78"/>
    <w:rsid w:val="04C22541"/>
    <w:rsid w:val="04C3363B"/>
    <w:rsid w:val="04C41F27"/>
    <w:rsid w:val="04C43977"/>
    <w:rsid w:val="04C473AF"/>
    <w:rsid w:val="04C47410"/>
    <w:rsid w:val="04C7303D"/>
    <w:rsid w:val="04C76BDE"/>
    <w:rsid w:val="04C8135B"/>
    <w:rsid w:val="04C83D5D"/>
    <w:rsid w:val="04C84722"/>
    <w:rsid w:val="04C86060"/>
    <w:rsid w:val="04C87BAE"/>
    <w:rsid w:val="04CB3551"/>
    <w:rsid w:val="04CB7316"/>
    <w:rsid w:val="04CD11DA"/>
    <w:rsid w:val="04CD1CF2"/>
    <w:rsid w:val="04CD4E7B"/>
    <w:rsid w:val="04CD4F45"/>
    <w:rsid w:val="04CE0052"/>
    <w:rsid w:val="04CE1F73"/>
    <w:rsid w:val="04D15DEC"/>
    <w:rsid w:val="04D255BF"/>
    <w:rsid w:val="04D27B3C"/>
    <w:rsid w:val="04D31C0F"/>
    <w:rsid w:val="04D53B73"/>
    <w:rsid w:val="04D64DB2"/>
    <w:rsid w:val="04D665FA"/>
    <w:rsid w:val="04D7068C"/>
    <w:rsid w:val="04D73B10"/>
    <w:rsid w:val="04D81792"/>
    <w:rsid w:val="04D85422"/>
    <w:rsid w:val="04D8591E"/>
    <w:rsid w:val="04D86878"/>
    <w:rsid w:val="04D8694E"/>
    <w:rsid w:val="04D92A8B"/>
    <w:rsid w:val="04D94B9F"/>
    <w:rsid w:val="04D95468"/>
    <w:rsid w:val="04DC0359"/>
    <w:rsid w:val="04DC569D"/>
    <w:rsid w:val="04DC643E"/>
    <w:rsid w:val="04DE530B"/>
    <w:rsid w:val="04DE5D9D"/>
    <w:rsid w:val="04DF140B"/>
    <w:rsid w:val="04DF2DF2"/>
    <w:rsid w:val="04E13A54"/>
    <w:rsid w:val="04E15802"/>
    <w:rsid w:val="04E230BB"/>
    <w:rsid w:val="04E24E53"/>
    <w:rsid w:val="04E34A92"/>
    <w:rsid w:val="04E3586E"/>
    <w:rsid w:val="04E36E48"/>
    <w:rsid w:val="04E43544"/>
    <w:rsid w:val="04E539C1"/>
    <w:rsid w:val="04E53EBD"/>
    <w:rsid w:val="04E623B8"/>
    <w:rsid w:val="04E6389C"/>
    <w:rsid w:val="04E66ECC"/>
    <w:rsid w:val="04E82717"/>
    <w:rsid w:val="04E92909"/>
    <w:rsid w:val="04EB042F"/>
    <w:rsid w:val="04EB4F2B"/>
    <w:rsid w:val="04EB738D"/>
    <w:rsid w:val="04EC0965"/>
    <w:rsid w:val="04EC4BCC"/>
    <w:rsid w:val="04ED4FAB"/>
    <w:rsid w:val="04ED7953"/>
    <w:rsid w:val="04EF0A23"/>
    <w:rsid w:val="04EF236B"/>
    <w:rsid w:val="04F0320F"/>
    <w:rsid w:val="04F07461"/>
    <w:rsid w:val="04F2368C"/>
    <w:rsid w:val="04F32D53"/>
    <w:rsid w:val="04F4690A"/>
    <w:rsid w:val="04F50D0F"/>
    <w:rsid w:val="04F57370"/>
    <w:rsid w:val="04F72791"/>
    <w:rsid w:val="04F95306"/>
    <w:rsid w:val="04FA295F"/>
    <w:rsid w:val="04FA429D"/>
    <w:rsid w:val="04FB66AE"/>
    <w:rsid w:val="04FC43EA"/>
    <w:rsid w:val="04FC6D27"/>
    <w:rsid w:val="04FD7312"/>
    <w:rsid w:val="04FF5ED6"/>
    <w:rsid w:val="04FF748F"/>
    <w:rsid w:val="050462E2"/>
    <w:rsid w:val="05052E6B"/>
    <w:rsid w:val="050556EB"/>
    <w:rsid w:val="05076CA5"/>
    <w:rsid w:val="05081F51"/>
    <w:rsid w:val="050A396A"/>
    <w:rsid w:val="050A3CD3"/>
    <w:rsid w:val="050A4B77"/>
    <w:rsid w:val="050B6188"/>
    <w:rsid w:val="050C2A4E"/>
    <w:rsid w:val="050C44A2"/>
    <w:rsid w:val="050D2D69"/>
    <w:rsid w:val="050D4849"/>
    <w:rsid w:val="050E114B"/>
    <w:rsid w:val="050F0E65"/>
    <w:rsid w:val="05100C1A"/>
    <w:rsid w:val="05122636"/>
    <w:rsid w:val="05125D68"/>
    <w:rsid w:val="05144390"/>
    <w:rsid w:val="05145219"/>
    <w:rsid w:val="051554AC"/>
    <w:rsid w:val="05155EC6"/>
    <w:rsid w:val="051566CB"/>
    <w:rsid w:val="05156D2E"/>
    <w:rsid w:val="0516051B"/>
    <w:rsid w:val="0517445A"/>
    <w:rsid w:val="051756C8"/>
    <w:rsid w:val="05190F7D"/>
    <w:rsid w:val="05191440"/>
    <w:rsid w:val="051931EE"/>
    <w:rsid w:val="0519438F"/>
    <w:rsid w:val="051B2B8F"/>
    <w:rsid w:val="051E3CC3"/>
    <w:rsid w:val="051E6510"/>
    <w:rsid w:val="051F23AB"/>
    <w:rsid w:val="051F3568"/>
    <w:rsid w:val="05207F0D"/>
    <w:rsid w:val="05210FB5"/>
    <w:rsid w:val="0523403D"/>
    <w:rsid w:val="05234F7D"/>
    <w:rsid w:val="05237A5D"/>
    <w:rsid w:val="05237BC9"/>
    <w:rsid w:val="052439F1"/>
    <w:rsid w:val="05244A16"/>
    <w:rsid w:val="05245038"/>
    <w:rsid w:val="05250C22"/>
    <w:rsid w:val="05252B7E"/>
    <w:rsid w:val="0527623C"/>
    <w:rsid w:val="052775C1"/>
    <w:rsid w:val="0528094A"/>
    <w:rsid w:val="05292229"/>
    <w:rsid w:val="05293D12"/>
    <w:rsid w:val="05297E1E"/>
    <w:rsid w:val="052B2F21"/>
    <w:rsid w:val="052C0037"/>
    <w:rsid w:val="052D18B4"/>
    <w:rsid w:val="052D6A5E"/>
    <w:rsid w:val="052E2CDE"/>
    <w:rsid w:val="052E38FE"/>
    <w:rsid w:val="05300538"/>
    <w:rsid w:val="0530678A"/>
    <w:rsid w:val="05307ED9"/>
    <w:rsid w:val="0532326D"/>
    <w:rsid w:val="0532712F"/>
    <w:rsid w:val="053368DE"/>
    <w:rsid w:val="05341DD6"/>
    <w:rsid w:val="053461F1"/>
    <w:rsid w:val="053631C5"/>
    <w:rsid w:val="053932F3"/>
    <w:rsid w:val="0539561E"/>
    <w:rsid w:val="053C05BE"/>
    <w:rsid w:val="053D40C1"/>
    <w:rsid w:val="053E0EA6"/>
    <w:rsid w:val="053E4419"/>
    <w:rsid w:val="053F2561"/>
    <w:rsid w:val="053F548F"/>
    <w:rsid w:val="05402A92"/>
    <w:rsid w:val="054171FC"/>
    <w:rsid w:val="05421616"/>
    <w:rsid w:val="054347CF"/>
    <w:rsid w:val="0544028F"/>
    <w:rsid w:val="054413D2"/>
    <w:rsid w:val="05450C63"/>
    <w:rsid w:val="05455E5A"/>
    <w:rsid w:val="054605BE"/>
    <w:rsid w:val="05473EBA"/>
    <w:rsid w:val="05482126"/>
    <w:rsid w:val="05482880"/>
    <w:rsid w:val="0549373D"/>
    <w:rsid w:val="05497A50"/>
    <w:rsid w:val="054B2723"/>
    <w:rsid w:val="054C1C16"/>
    <w:rsid w:val="054C2CE0"/>
    <w:rsid w:val="054C3D87"/>
    <w:rsid w:val="054F06BB"/>
    <w:rsid w:val="0550782E"/>
    <w:rsid w:val="05532379"/>
    <w:rsid w:val="05536919"/>
    <w:rsid w:val="0556252D"/>
    <w:rsid w:val="05563434"/>
    <w:rsid w:val="055656D6"/>
    <w:rsid w:val="05593077"/>
    <w:rsid w:val="05597A8E"/>
    <w:rsid w:val="055A1A12"/>
    <w:rsid w:val="055B169D"/>
    <w:rsid w:val="055C1DA1"/>
    <w:rsid w:val="055C2510"/>
    <w:rsid w:val="055D7437"/>
    <w:rsid w:val="055F2BCB"/>
    <w:rsid w:val="055F57D6"/>
    <w:rsid w:val="05604EDC"/>
    <w:rsid w:val="05613555"/>
    <w:rsid w:val="056326BB"/>
    <w:rsid w:val="05645536"/>
    <w:rsid w:val="056559AA"/>
    <w:rsid w:val="056621AB"/>
    <w:rsid w:val="05663875"/>
    <w:rsid w:val="056703FD"/>
    <w:rsid w:val="056930F4"/>
    <w:rsid w:val="056A1853"/>
    <w:rsid w:val="056A6F2B"/>
    <w:rsid w:val="056B2174"/>
    <w:rsid w:val="056D0AEF"/>
    <w:rsid w:val="056D271E"/>
    <w:rsid w:val="056D2DDB"/>
    <w:rsid w:val="056D4862"/>
    <w:rsid w:val="056D7A41"/>
    <w:rsid w:val="056E4346"/>
    <w:rsid w:val="056E50AE"/>
    <w:rsid w:val="056F2442"/>
    <w:rsid w:val="056F4E3B"/>
    <w:rsid w:val="05722ADB"/>
    <w:rsid w:val="05725C3B"/>
    <w:rsid w:val="057272C8"/>
    <w:rsid w:val="05731475"/>
    <w:rsid w:val="05742CD1"/>
    <w:rsid w:val="05750978"/>
    <w:rsid w:val="05751155"/>
    <w:rsid w:val="057531C4"/>
    <w:rsid w:val="0578110E"/>
    <w:rsid w:val="05781D8C"/>
    <w:rsid w:val="05791616"/>
    <w:rsid w:val="05792272"/>
    <w:rsid w:val="05792CC3"/>
    <w:rsid w:val="057937C0"/>
    <w:rsid w:val="057A5AA8"/>
    <w:rsid w:val="057A7F1A"/>
    <w:rsid w:val="057C100F"/>
    <w:rsid w:val="057E6C28"/>
    <w:rsid w:val="057F35E8"/>
    <w:rsid w:val="057F6B5C"/>
    <w:rsid w:val="0580660F"/>
    <w:rsid w:val="05810D93"/>
    <w:rsid w:val="05815798"/>
    <w:rsid w:val="05827620"/>
    <w:rsid w:val="05827EE9"/>
    <w:rsid w:val="05836081"/>
    <w:rsid w:val="05842463"/>
    <w:rsid w:val="05843288"/>
    <w:rsid w:val="0584760A"/>
    <w:rsid w:val="05853121"/>
    <w:rsid w:val="05856AD5"/>
    <w:rsid w:val="05862B69"/>
    <w:rsid w:val="05871627"/>
    <w:rsid w:val="05874A70"/>
    <w:rsid w:val="05875357"/>
    <w:rsid w:val="05882122"/>
    <w:rsid w:val="058A76B2"/>
    <w:rsid w:val="058C7435"/>
    <w:rsid w:val="058D2F07"/>
    <w:rsid w:val="058D3EFF"/>
    <w:rsid w:val="058E75D5"/>
    <w:rsid w:val="058F5185"/>
    <w:rsid w:val="058F525E"/>
    <w:rsid w:val="05900FD6"/>
    <w:rsid w:val="059025D5"/>
    <w:rsid w:val="05910C43"/>
    <w:rsid w:val="05920444"/>
    <w:rsid w:val="05924A13"/>
    <w:rsid w:val="059310F0"/>
    <w:rsid w:val="05931C65"/>
    <w:rsid w:val="059353EB"/>
    <w:rsid w:val="059429E1"/>
    <w:rsid w:val="05943794"/>
    <w:rsid w:val="05954729"/>
    <w:rsid w:val="05962A91"/>
    <w:rsid w:val="05986B21"/>
    <w:rsid w:val="0599223B"/>
    <w:rsid w:val="05993A63"/>
    <w:rsid w:val="05997E8B"/>
    <w:rsid w:val="059A2314"/>
    <w:rsid w:val="059A2B29"/>
    <w:rsid w:val="059A6D39"/>
    <w:rsid w:val="059C0229"/>
    <w:rsid w:val="059C1287"/>
    <w:rsid w:val="059D3E1F"/>
    <w:rsid w:val="059D6892"/>
    <w:rsid w:val="059E0DDF"/>
    <w:rsid w:val="059F1B4A"/>
    <w:rsid w:val="059F4A0E"/>
    <w:rsid w:val="059F6ADB"/>
    <w:rsid w:val="05A0067C"/>
    <w:rsid w:val="05A03931"/>
    <w:rsid w:val="05A05081"/>
    <w:rsid w:val="05A11842"/>
    <w:rsid w:val="05A131E3"/>
    <w:rsid w:val="05A1592D"/>
    <w:rsid w:val="05A17791"/>
    <w:rsid w:val="05A22814"/>
    <w:rsid w:val="05A269DC"/>
    <w:rsid w:val="05A30D0A"/>
    <w:rsid w:val="05A3105A"/>
    <w:rsid w:val="05A32591"/>
    <w:rsid w:val="05A34B38"/>
    <w:rsid w:val="05A43D0F"/>
    <w:rsid w:val="05A51B14"/>
    <w:rsid w:val="05A53E09"/>
    <w:rsid w:val="05A6110A"/>
    <w:rsid w:val="05A72E60"/>
    <w:rsid w:val="05A812CA"/>
    <w:rsid w:val="05A827C4"/>
    <w:rsid w:val="05A843F1"/>
    <w:rsid w:val="05AA2098"/>
    <w:rsid w:val="05AA4D7A"/>
    <w:rsid w:val="05AA4F93"/>
    <w:rsid w:val="05AE1F15"/>
    <w:rsid w:val="05B13426"/>
    <w:rsid w:val="05B248E3"/>
    <w:rsid w:val="05B32111"/>
    <w:rsid w:val="05B35630"/>
    <w:rsid w:val="05B67603"/>
    <w:rsid w:val="05B75A16"/>
    <w:rsid w:val="05B808D0"/>
    <w:rsid w:val="05B81CC8"/>
    <w:rsid w:val="05B9128C"/>
    <w:rsid w:val="05BA55F4"/>
    <w:rsid w:val="05BC1B11"/>
    <w:rsid w:val="05BC516E"/>
    <w:rsid w:val="05BD2B25"/>
    <w:rsid w:val="05BD2B85"/>
    <w:rsid w:val="05BD39F1"/>
    <w:rsid w:val="05BD626F"/>
    <w:rsid w:val="05BE3D95"/>
    <w:rsid w:val="05BE78F1"/>
    <w:rsid w:val="05BF2307"/>
    <w:rsid w:val="05C109A5"/>
    <w:rsid w:val="05C11DBC"/>
    <w:rsid w:val="05C13FCE"/>
    <w:rsid w:val="05C14802"/>
    <w:rsid w:val="05C23393"/>
    <w:rsid w:val="05C324F2"/>
    <w:rsid w:val="05C338C0"/>
    <w:rsid w:val="05C35732"/>
    <w:rsid w:val="05C6662C"/>
    <w:rsid w:val="05C74DD6"/>
    <w:rsid w:val="05C77594"/>
    <w:rsid w:val="05C80091"/>
    <w:rsid w:val="05C8093E"/>
    <w:rsid w:val="05C82715"/>
    <w:rsid w:val="05C82DF3"/>
    <w:rsid w:val="05C94625"/>
    <w:rsid w:val="05CB0484"/>
    <w:rsid w:val="05CB25B4"/>
    <w:rsid w:val="05CB2CCC"/>
    <w:rsid w:val="05CB4CF8"/>
    <w:rsid w:val="05CC4F4D"/>
    <w:rsid w:val="05CE4296"/>
    <w:rsid w:val="05CE6CEB"/>
    <w:rsid w:val="05CF57FA"/>
    <w:rsid w:val="05CF68C0"/>
    <w:rsid w:val="05CF7A54"/>
    <w:rsid w:val="05D07D8E"/>
    <w:rsid w:val="05D120BC"/>
    <w:rsid w:val="05D14044"/>
    <w:rsid w:val="05D25FC5"/>
    <w:rsid w:val="05D60826"/>
    <w:rsid w:val="05D60879"/>
    <w:rsid w:val="05D64343"/>
    <w:rsid w:val="05D85303"/>
    <w:rsid w:val="05D86F55"/>
    <w:rsid w:val="05D92ABB"/>
    <w:rsid w:val="05D971CF"/>
    <w:rsid w:val="05DA0248"/>
    <w:rsid w:val="05DA1317"/>
    <w:rsid w:val="05DB439D"/>
    <w:rsid w:val="05DC5B87"/>
    <w:rsid w:val="05DD06BF"/>
    <w:rsid w:val="05DE4419"/>
    <w:rsid w:val="05DE5B4D"/>
    <w:rsid w:val="05DE6A2F"/>
    <w:rsid w:val="05DF4E50"/>
    <w:rsid w:val="05E03529"/>
    <w:rsid w:val="05E061E4"/>
    <w:rsid w:val="05E22153"/>
    <w:rsid w:val="05E41D18"/>
    <w:rsid w:val="05E42C60"/>
    <w:rsid w:val="05E5400A"/>
    <w:rsid w:val="05E57574"/>
    <w:rsid w:val="05E60A0F"/>
    <w:rsid w:val="05E60DFD"/>
    <w:rsid w:val="05E76962"/>
    <w:rsid w:val="05E76C01"/>
    <w:rsid w:val="05E86F30"/>
    <w:rsid w:val="05E90577"/>
    <w:rsid w:val="05E92D1E"/>
    <w:rsid w:val="05E97064"/>
    <w:rsid w:val="05EA350D"/>
    <w:rsid w:val="05EB5B73"/>
    <w:rsid w:val="05EC21DD"/>
    <w:rsid w:val="05ED33D3"/>
    <w:rsid w:val="05ED615E"/>
    <w:rsid w:val="05EE071F"/>
    <w:rsid w:val="05EF2519"/>
    <w:rsid w:val="05EF646B"/>
    <w:rsid w:val="05EF66F9"/>
    <w:rsid w:val="05F041E6"/>
    <w:rsid w:val="05F17746"/>
    <w:rsid w:val="05F20CF5"/>
    <w:rsid w:val="05F24A7B"/>
    <w:rsid w:val="05F33201"/>
    <w:rsid w:val="05F408CB"/>
    <w:rsid w:val="05F67BC2"/>
    <w:rsid w:val="05F71EB6"/>
    <w:rsid w:val="05F73D0F"/>
    <w:rsid w:val="05F83EAE"/>
    <w:rsid w:val="05F94CBD"/>
    <w:rsid w:val="05FA2293"/>
    <w:rsid w:val="05FB0720"/>
    <w:rsid w:val="05FB65E0"/>
    <w:rsid w:val="05FB7E27"/>
    <w:rsid w:val="05FD27C4"/>
    <w:rsid w:val="05FD47B4"/>
    <w:rsid w:val="05FD666C"/>
    <w:rsid w:val="05FE6D27"/>
    <w:rsid w:val="05FE6E47"/>
    <w:rsid w:val="05FE7941"/>
    <w:rsid w:val="05FF6D64"/>
    <w:rsid w:val="05FF7B22"/>
    <w:rsid w:val="0601296A"/>
    <w:rsid w:val="06013A94"/>
    <w:rsid w:val="06022A44"/>
    <w:rsid w:val="0602533E"/>
    <w:rsid w:val="060410C6"/>
    <w:rsid w:val="06042ADA"/>
    <w:rsid w:val="0604760A"/>
    <w:rsid w:val="06060C2E"/>
    <w:rsid w:val="06063926"/>
    <w:rsid w:val="060814AC"/>
    <w:rsid w:val="0609045C"/>
    <w:rsid w:val="06090DD5"/>
    <w:rsid w:val="06093262"/>
    <w:rsid w:val="06096A54"/>
    <w:rsid w:val="060B4186"/>
    <w:rsid w:val="060B5E8D"/>
    <w:rsid w:val="060C02D0"/>
    <w:rsid w:val="060C4EE0"/>
    <w:rsid w:val="060E0B16"/>
    <w:rsid w:val="060F3412"/>
    <w:rsid w:val="06102D4A"/>
    <w:rsid w:val="06105A8B"/>
    <w:rsid w:val="06132BBE"/>
    <w:rsid w:val="06163647"/>
    <w:rsid w:val="06167E6C"/>
    <w:rsid w:val="0618241C"/>
    <w:rsid w:val="061B498C"/>
    <w:rsid w:val="061C2F0C"/>
    <w:rsid w:val="061C499D"/>
    <w:rsid w:val="061D71F7"/>
    <w:rsid w:val="061F45EE"/>
    <w:rsid w:val="06200301"/>
    <w:rsid w:val="062005AC"/>
    <w:rsid w:val="0621326D"/>
    <w:rsid w:val="06213732"/>
    <w:rsid w:val="06243DD3"/>
    <w:rsid w:val="0624728D"/>
    <w:rsid w:val="06261775"/>
    <w:rsid w:val="06261CC1"/>
    <w:rsid w:val="06263F80"/>
    <w:rsid w:val="062646F3"/>
    <w:rsid w:val="062841F5"/>
    <w:rsid w:val="062A6EE5"/>
    <w:rsid w:val="062C64C3"/>
    <w:rsid w:val="062C6F51"/>
    <w:rsid w:val="062E4A77"/>
    <w:rsid w:val="062F6A41"/>
    <w:rsid w:val="06312D21"/>
    <w:rsid w:val="0632741F"/>
    <w:rsid w:val="0634474F"/>
    <w:rsid w:val="06350AA0"/>
    <w:rsid w:val="063630D5"/>
    <w:rsid w:val="063755CB"/>
    <w:rsid w:val="063814E6"/>
    <w:rsid w:val="06384131"/>
    <w:rsid w:val="063852A3"/>
    <w:rsid w:val="06390977"/>
    <w:rsid w:val="063954B7"/>
    <w:rsid w:val="063B7BD8"/>
    <w:rsid w:val="063D4A54"/>
    <w:rsid w:val="063D6935"/>
    <w:rsid w:val="063E0583"/>
    <w:rsid w:val="063E24EA"/>
    <w:rsid w:val="063E2D45"/>
    <w:rsid w:val="063E6A19"/>
    <w:rsid w:val="063E7D85"/>
    <w:rsid w:val="06400AEE"/>
    <w:rsid w:val="06405C08"/>
    <w:rsid w:val="064065CD"/>
    <w:rsid w:val="06410C3A"/>
    <w:rsid w:val="0641371E"/>
    <w:rsid w:val="06413D56"/>
    <w:rsid w:val="064416CF"/>
    <w:rsid w:val="064442B3"/>
    <w:rsid w:val="06450013"/>
    <w:rsid w:val="06452B69"/>
    <w:rsid w:val="06460A54"/>
    <w:rsid w:val="06471313"/>
    <w:rsid w:val="06476C40"/>
    <w:rsid w:val="0648365F"/>
    <w:rsid w:val="06497B03"/>
    <w:rsid w:val="064A1BCE"/>
    <w:rsid w:val="064A255D"/>
    <w:rsid w:val="064A387B"/>
    <w:rsid w:val="064A5629"/>
    <w:rsid w:val="064B220B"/>
    <w:rsid w:val="064B3D03"/>
    <w:rsid w:val="064C4294"/>
    <w:rsid w:val="064E04AF"/>
    <w:rsid w:val="064E336B"/>
    <w:rsid w:val="064E7D9C"/>
    <w:rsid w:val="064F2C3F"/>
    <w:rsid w:val="064F7B33"/>
    <w:rsid w:val="064F7C3C"/>
    <w:rsid w:val="065007DB"/>
    <w:rsid w:val="06500E91"/>
    <w:rsid w:val="0650549A"/>
    <w:rsid w:val="06532D67"/>
    <w:rsid w:val="06534A33"/>
    <w:rsid w:val="06551B4F"/>
    <w:rsid w:val="06562220"/>
    <w:rsid w:val="06571B7A"/>
    <w:rsid w:val="0657245C"/>
    <w:rsid w:val="065765FD"/>
    <w:rsid w:val="06591344"/>
    <w:rsid w:val="065A19DE"/>
    <w:rsid w:val="065A2E52"/>
    <w:rsid w:val="065B2E40"/>
    <w:rsid w:val="065B600F"/>
    <w:rsid w:val="065B7A74"/>
    <w:rsid w:val="065C0E31"/>
    <w:rsid w:val="065C608B"/>
    <w:rsid w:val="065D0DE4"/>
    <w:rsid w:val="065D6671"/>
    <w:rsid w:val="065E7CB1"/>
    <w:rsid w:val="06604E4C"/>
    <w:rsid w:val="06606B9D"/>
    <w:rsid w:val="06610242"/>
    <w:rsid w:val="0661309E"/>
    <w:rsid w:val="06614085"/>
    <w:rsid w:val="0662384F"/>
    <w:rsid w:val="06631051"/>
    <w:rsid w:val="06632E56"/>
    <w:rsid w:val="06633557"/>
    <w:rsid w:val="06654B79"/>
    <w:rsid w:val="06655607"/>
    <w:rsid w:val="06667AFD"/>
    <w:rsid w:val="06671291"/>
    <w:rsid w:val="06671E38"/>
    <w:rsid w:val="06672BDD"/>
    <w:rsid w:val="06683BBB"/>
    <w:rsid w:val="06690320"/>
    <w:rsid w:val="06693D01"/>
    <w:rsid w:val="066A68BE"/>
    <w:rsid w:val="066A7A79"/>
    <w:rsid w:val="066B08AD"/>
    <w:rsid w:val="066B13D5"/>
    <w:rsid w:val="066C5BE2"/>
    <w:rsid w:val="066D504E"/>
    <w:rsid w:val="066E0C2C"/>
    <w:rsid w:val="066E4146"/>
    <w:rsid w:val="066E652C"/>
    <w:rsid w:val="066E7569"/>
    <w:rsid w:val="066E7C93"/>
    <w:rsid w:val="066F06D8"/>
    <w:rsid w:val="066F4C41"/>
    <w:rsid w:val="066F5072"/>
    <w:rsid w:val="067002E6"/>
    <w:rsid w:val="0670207C"/>
    <w:rsid w:val="067157DF"/>
    <w:rsid w:val="06736C46"/>
    <w:rsid w:val="06737E2C"/>
    <w:rsid w:val="067417CC"/>
    <w:rsid w:val="0676259B"/>
    <w:rsid w:val="0676330F"/>
    <w:rsid w:val="0676641E"/>
    <w:rsid w:val="06771EC3"/>
    <w:rsid w:val="067803E8"/>
    <w:rsid w:val="06781FFA"/>
    <w:rsid w:val="067B3A34"/>
    <w:rsid w:val="067B4A1B"/>
    <w:rsid w:val="067C312C"/>
    <w:rsid w:val="067C3EF2"/>
    <w:rsid w:val="067E330C"/>
    <w:rsid w:val="067F45C8"/>
    <w:rsid w:val="0680104B"/>
    <w:rsid w:val="068154F4"/>
    <w:rsid w:val="06821EDC"/>
    <w:rsid w:val="06824A26"/>
    <w:rsid w:val="06826852"/>
    <w:rsid w:val="06842DA3"/>
    <w:rsid w:val="06843743"/>
    <w:rsid w:val="0684411E"/>
    <w:rsid w:val="0686480B"/>
    <w:rsid w:val="06877A27"/>
    <w:rsid w:val="06886785"/>
    <w:rsid w:val="06890CE6"/>
    <w:rsid w:val="06895876"/>
    <w:rsid w:val="068A5BE2"/>
    <w:rsid w:val="068B1EC9"/>
    <w:rsid w:val="068B6706"/>
    <w:rsid w:val="068C3E93"/>
    <w:rsid w:val="068C6041"/>
    <w:rsid w:val="068E0977"/>
    <w:rsid w:val="068F0F2E"/>
    <w:rsid w:val="068F6AE9"/>
    <w:rsid w:val="069074E0"/>
    <w:rsid w:val="06912380"/>
    <w:rsid w:val="06913F01"/>
    <w:rsid w:val="0692442B"/>
    <w:rsid w:val="0693631F"/>
    <w:rsid w:val="06940968"/>
    <w:rsid w:val="06967A43"/>
    <w:rsid w:val="06970292"/>
    <w:rsid w:val="06970482"/>
    <w:rsid w:val="0697597B"/>
    <w:rsid w:val="069760AC"/>
    <w:rsid w:val="06981B74"/>
    <w:rsid w:val="06991B69"/>
    <w:rsid w:val="06993E6F"/>
    <w:rsid w:val="069A3357"/>
    <w:rsid w:val="069A7937"/>
    <w:rsid w:val="069B0ED8"/>
    <w:rsid w:val="069B5E2E"/>
    <w:rsid w:val="069B6CA4"/>
    <w:rsid w:val="069D7E4F"/>
    <w:rsid w:val="069E2F92"/>
    <w:rsid w:val="069E6641"/>
    <w:rsid w:val="069F1B57"/>
    <w:rsid w:val="069F2791"/>
    <w:rsid w:val="06A11101"/>
    <w:rsid w:val="06A2709F"/>
    <w:rsid w:val="06A27213"/>
    <w:rsid w:val="06A30FB8"/>
    <w:rsid w:val="06A32D36"/>
    <w:rsid w:val="06A3791F"/>
    <w:rsid w:val="06A426C5"/>
    <w:rsid w:val="06A54A54"/>
    <w:rsid w:val="06A64386"/>
    <w:rsid w:val="06A7521F"/>
    <w:rsid w:val="06A75E42"/>
    <w:rsid w:val="06AB680A"/>
    <w:rsid w:val="06AC1E40"/>
    <w:rsid w:val="06AC415B"/>
    <w:rsid w:val="06AF142D"/>
    <w:rsid w:val="06B239F1"/>
    <w:rsid w:val="06B40E73"/>
    <w:rsid w:val="06B56F46"/>
    <w:rsid w:val="06B6030A"/>
    <w:rsid w:val="06B62CBE"/>
    <w:rsid w:val="06B645FC"/>
    <w:rsid w:val="06B653C2"/>
    <w:rsid w:val="06B75C01"/>
    <w:rsid w:val="06B80692"/>
    <w:rsid w:val="06BA4F61"/>
    <w:rsid w:val="06BB5125"/>
    <w:rsid w:val="06BC1757"/>
    <w:rsid w:val="06BF5419"/>
    <w:rsid w:val="06BF6EF5"/>
    <w:rsid w:val="06C06D62"/>
    <w:rsid w:val="06C0780B"/>
    <w:rsid w:val="06C108A5"/>
    <w:rsid w:val="06C158EB"/>
    <w:rsid w:val="06C24A1F"/>
    <w:rsid w:val="06C406AA"/>
    <w:rsid w:val="06C4362D"/>
    <w:rsid w:val="06C531CD"/>
    <w:rsid w:val="06C54CB0"/>
    <w:rsid w:val="06C57F9D"/>
    <w:rsid w:val="06C61FC2"/>
    <w:rsid w:val="06C66FB7"/>
    <w:rsid w:val="06C70C57"/>
    <w:rsid w:val="06C71E34"/>
    <w:rsid w:val="06C76C7A"/>
    <w:rsid w:val="06C76E57"/>
    <w:rsid w:val="06C83091"/>
    <w:rsid w:val="06C86805"/>
    <w:rsid w:val="06C90946"/>
    <w:rsid w:val="06C91BB6"/>
    <w:rsid w:val="06C941CE"/>
    <w:rsid w:val="06C94747"/>
    <w:rsid w:val="06C95C57"/>
    <w:rsid w:val="06CA6DA8"/>
    <w:rsid w:val="06CA7DE6"/>
    <w:rsid w:val="06CB5052"/>
    <w:rsid w:val="06CC0B87"/>
    <w:rsid w:val="06CC603E"/>
    <w:rsid w:val="06CD66A3"/>
    <w:rsid w:val="06CE75FA"/>
    <w:rsid w:val="06CF2AB3"/>
    <w:rsid w:val="06CF3098"/>
    <w:rsid w:val="06CF593A"/>
    <w:rsid w:val="06D04F2F"/>
    <w:rsid w:val="06D13FBB"/>
    <w:rsid w:val="06D3069D"/>
    <w:rsid w:val="06D33834"/>
    <w:rsid w:val="06D35459"/>
    <w:rsid w:val="06D46EE2"/>
    <w:rsid w:val="06D5614F"/>
    <w:rsid w:val="06D66872"/>
    <w:rsid w:val="06D7286F"/>
    <w:rsid w:val="06D75B72"/>
    <w:rsid w:val="06D80B3A"/>
    <w:rsid w:val="06D90283"/>
    <w:rsid w:val="06D93697"/>
    <w:rsid w:val="06D97AFC"/>
    <w:rsid w:val="06DA22DD"/>
    <w:rsid w:val="06DA3F2C"/>
    <w:rsid w:val="06DA41B1"/>
    <w:rsid w:val="06DA78A1"/>
    <w:rsid w:val="06DC50A5"/>
    <w:rsid w:val="06DC737A"/>
    <w:rsid w:val="06DD198E"/>
    <w:rsid w:val="06E0409F"/>
    <w:rsid w:val="06E05362"/>
    <w:rsid w:val="06E073EE"/>
    <w:rsid w:val="06E1233C"/>
    <w:rsid w:val="06E13CB9"/>
    <w:rsid w:val="06E255E9"/>
    <w:rsid w:val="06E2572B"/>
    <w:rsid w:val="06E267A9"/>
    <w:rsid w:val="06E27E8D"/>
    <w:rsid w:val="06E36148"/>
    <w:rsid w:val="06E415DA"/>
    <w:rsid w:val="06E45A7E"/>
    <w:rsid w:val="06E57054"/>
    <w:rsid w:val="06E64DB5"/>
    <w:rsid w:val="06E70DC9"/>
    <w:rsid w:val="06E94E9D"/>
    <w:rsid w:val="06EA3771"/>
    <w:rsid w:val="06EB1077"/>
    <w:rsid w:val="06EB2968"/>
    <w:rsid w:val="06EB53F9"/>
    <w:rsid w:val="06EB6E0C"/>
    <w:rsid w:val="06EC0A60"/>
    <w:rsid w:val="06ED0B58"/>
    <w:rsid w:val="06ED4A4C"/>
    <w:rsid w:val="06ED730B"/>
    <w:rsid w:val="06EE2325"/>
    <w:rsid w:val="06EF0F01"/>
    <w:rsid w:val="06EF1E93"/>
    <w:rsid w:val="06EF4D82"/>
    <w:rsid w:val="06EF6C8D"/>
    <w:rsid w:val="06EF6DF5"/>
    <w:rsid w:val="06F177CA"/>
    <w:rsid w:val="06F252E1"/>
    <w:rsid w:val="06F41D00"/>
    <w:rsid w:val="06F466CA"/>
    <w:rsid w:val="06F546DC"/>
    <w:rsid w:val="06F64E80"/>
    <w:rsid w:val="06F7130D"/>
    <w:rsid w:val="06F7755F"/>
    <w:rsid w:val="06F7784B"/>
    <w:rsid w:val="06F80EF1"/>
    <w:rsid w:val="06F8563A"/>
    <w:rsid w:val="06F85661"/>
    <w:rsid w:val="06F85934"/>
    <w:rsid w:val="06F9650A"/>
    <w:rsid w:val="06F966B9"/>
    <w:rsid w:val="06FA0DFD"/>
    <w:rsid w:val="06FB6E0A"/>
    <w:rsid w:val="06FD08ED"/>
    <w:rsid w:val="06FD3164"/>
    <w:rsid w:val="06FD5997"/>
    <w:rsid w:val="06FD7EC7"/>
    <w:rsid w:val="06FE6242"/>
    <w:rsid w:val="06FF01C2"/>
    <w:rsid w:val="06FF4334"/>
    <w:rsid w:val="0701167C"/>
    <w:rsid w:val="070117E7"/>
    <w:rsid w:val="07031BC6"/>
    <w:rsid w:val="07032347"/>
    <w:rsid w:val="07037311"/>
    <w:rsid w:val="07043C44"/>
    <w:rsid w:val="0705453D"/>
    <w:rsid w:val="070662C7"/>
    <w:rsid w:val="070B1943"/>
    <w:rsid w:val="070B21D0"/>
    <w:rsid w:val="070B6490"/>
    <w:rsid w:val="070C1EDC"/>
    <w:rsid w:val="070D2E94"/>
    <w:rsid w:val="070F2E52"/>
    <w:rsid w:val="071023A8"/>
    <w:rsid w:val="0710363F"/>
    <w:rsid w:val="07111B45"/>
    <w:rsid w:val="071125B2"/>
    <w:rsid w:val="07131EBF"/>
    <w:rsid w:val="071325F9"/>
    <w:rsid w:val="07133C6D"/>
    <w:rsid w:val="0714454C"/>
    <w:rsid w:val="07146971"/>
    <w:rsid w:val="071732DD"/>
    <w:rsid w:val="071764F8"/>
    <w:rsid w:val="07191007"/>
    <w:rsid w:val="07194B34"/>
    <w:rsid w:val="07196062"/>
    <w:rsid w:val="071A6D81"/>
    <w:rsid w:val="071B328F"/>
    <w:rsid w:val="071C2557"/>
    <w:rsid w:val="071C489D"/>
    <w:rsid w:val="071F61AF"/>
    <w:rsid w:val="07201CA4"/>
    <w:rsid w:val="07204CA9"/>
    <w:rsid w:val="07223466"/>
    <w:rsid w:val="07226783"/>
    <w:rsid w:val="07261BF2"/>
    <w:rsid w:val="07265D23"/>
    <w:rsid w:val="072743F2"/>
    <w:rsid w:val="07275A44"/>
    <w:rsid w:val="07277549"/>
    <w:rsid w:val="07277652"/>
    <w:rsid w:val="07280809"/>
    <w:rsid w:val="07293586"/>
    <w:rsid w:val="07295285"/>
    <w:rsid w:val="072A2BA2"/>
    <w:rsid w:val="072B0FB7"/>
    <w:rsid w:val="072C77FA"/>
    <w:rsid w:val="072D2F81"/>
    <w:rsid w:val="072D4912"/>
    <w:rsid w:val="072D4B5F"/>
    <w:rsid w:val="072D59B6"/>
    <w:rsid w:val="072D607D"/>
    <w:rsid w:val="072E057F"/>
    <w:rsid w:val="072E7FFA"/>
    <w:rsid w:val="073065CD"/>
    <w:rsid w:val="07320597"/>
    <w:rsid w:val="07325799"/>
    <w:rsid w:val="07326074"/>
    <w:rsid w:val="0733430F"/>
    <w:rsid w:val="07340CA6"/>
    <w:rsid w:val="0735779A"/>
    <w:rsid w:val="07357A69"/>
    <w:rsid w:val="07370B7B"/>
    <w:rsid w:val="07375BAD"/>
    <w:rsid w:val="0737795B"/>
    <w:rsid w:val="07383C6E"/>
    <w:rsid w:val="073920BE"/>
    <w:rsid w:val="073A0468"/>
    <w:rsid w:val="073B15F8"/>
    <w:rsid w:val="073B40C1"/>
    <w:rsid w:val="073B532F"/>
    <w:rsid w:val="073C31C4"/>
    <w:rsid w:val="073C5B6F"/>
    <w:rsid w:val="073E3768"/>
    <w:rsid w:val="073E5D94"/>
    <w:rsid w:val="073F2CB4"/>
    <w:rsid w:val="074107DA"/>
    <w:rsid w:val="07417A65"/>
    <w:rsid w:val="07426576"/>
    <w:rsid w:val="07430A91"/>
    <w:rsid w:val="074323B7"/>
    <w:rsid w:val="0744328A"/>
    <w:rsid w:val="07494EF3"/>
    <w:rsid w:val="074956B5"/>
    <w:rsid w:val="07496094"/>
    <w:rsid w:val="074B2D45"/>
    <w:rsid w:val="074B3407"/>
    <w:rsid w:val="074C289A"/>
    <w:rsid w:val="074E41E6"/>
    <w:rsid w:val="074E7DFF"/>
    <w:rsid w:val="075007B5"/>
    <w:rsid w:val="0752046C"/>
    <w:rsid w:val="0753050D"/>
    <w:rsid w:val="075425B7"/>
    <w:rsid w:val="075449B1"/>
    <w:rsid w:val="07545095"/>
    <w:rsid w:val="075706A0"/>
    <w:rsid w:val="0758523A"/>
    <w:rsid w:val="075B1032"/>
    <w:rsid w:val="075B307A"/>
    <w:rsid w:val="075B456A"/>
    <w:rsid w:val="075C0C83"/>
    <w:rsid w:val="075C0DDB"/>
    <w:rsid w:val="075C0DE3"/>
    <w:rsid w:val="075D0200"/>
    <w:rsid w:val="075D1CA6"/>
    <w:rsid w:val="075D222B"/>
    <w:rsid w:val="075E0084"/>
    <w:rsid w:val="075E5A9A"/>
    <w:rsid w:val="075F3613"/>
    <w:rsid w:val="075F3DDA"/>
    <w:rsid w:val="07603DBB"/>
    <w:rsid w:val="07610E7C"/>
    <w:rsid w:val="07623EA7"/>
    <w:rsid w:val="0762662C"/>
    <w:rsid w:val="07627E7C"/>
    <w:rsid w:val="07632E46"/>
    <w:rsid w:val="07634BF4"/>
    <w:rsid w:val="076358C3"/>
    <w:rsid w:val="07636392"/>
    <w:rsid w:val="07636A21"/>
    <w:rsid w:val="07642D5E"/>
    <w:rsid w:val="076520DA"/>
    <w:rsid w:val="07657A12"/>
    <w:rsid w:val="07665718"/>
    <w:rsid w:val="07666F37"/>
    <w:rsid w:val="076737FD"/>
    <w:rsid w:val="07676071"/>
    <w:rsid w:val="07677374"/>
    <w:rsid w:val="07686031"/>
    <w:rsid w:val="0769280C"/>
    <w:rsid w:val="07697D31"/>
    <w:rsid w:val="076A4FCC"/>
    <w:rsid w:val="076B1FC6"/>
    <w:rsid w:val="076B2A89"/>
    <w:rsid w:val="076B7C09"/>
    <w:rsid w:val="076C049B"/>
    <w:rsid w:val="076C6568"/>
    <w:rsid w:val="076D20C9"/>
    <w:rsid w:val="076D54D0"/>
    <w:rsid w:val="076D5CF7"/>
    <w:rsid w:val="076E265F"/>
    <w:rsid w:val="076E4592"/>
    <w:rsid w:val="07704129"/>
    <w:rsid w:val="077169AB"/>
    <w:rsid w:val="07724621"/>
    <w:rsid w:val="07726788"/>
    <w:rsid w:val="07726BE5"/>
    <w:rsid w:val="077364BA"/>
    <w:rsid w:val="077503F3"/>
    <w:rsid w:val="07752A7B"/>
    <w:rsid w:val="077534ED"/>
    <w:rsid w:val="07770C56"/>
    <w:rsid w:val="07787200"/>
    <w:rsid w:val="07796572"/>
    <w:rsid w:val="077A394B"/>
    <w:rsid w:val="077A5DA8"/>
    <w:rsid w:val="077B46E3"/>
    <w:rsid w:val="077B748B"/>
    <w:rsid w:val="077C3502"/>
    <w:rsid w:val="077D01BD"/>
    <w:rsid w:val="077D1332"/>
    <w:rsid w:val="077D5CFA"/>
    <w:rsid w:val="077F2163"/>
    <w:rsid w:val="07806315"/>
    <w:rsid w:val="078101E4"/>
    <w:rsid w:val="07810FA9"/>
    <w:rsid w:val="07812662"/>
    <w:rsid w:val="07813AC2"/>
    <w:rsid w:val="0781669C"/>
    <w:rsid w:val="07816DB8"/>
    <w:rsid w:val="078232BE"/>
    <w:rsid w:val="07830DF3"/>
    <w:rsid w:val="07832BA1"/>
    <w:rsid w:val="07837045"/>
    <w:rsid w:val="07841ED9"/>
    <w:rsid w:val="07844397"/>
    <w:rsid w:val="07846BE4"/>
    <w:rsid w:val="0785026D"/>
    <w:rsid w:val="07850C9F"/>
    <w:rsid w:val="078567FF"/>
    <w:rsid w:val="078605D0"/>
    <w:rsid w:val="07861D19"/>
    <w:rsid w:val="07864A8B"/>
    <w:rsid w:val="07886409"/>
    <w:rsid w:val="07887BEA"/>
    <w:rsid w:val="07897A10"/>
    <w:rsid w:val="078A1643"/>
    <w:rsid w:val="078B2881"/>
    <w:rsid w:val="078B41CD"/>
    <w:rsid w:val="078B615A"/>
    <w:rsid w:val="078D50A6"/>
    <w:rsid w:val="078E1545"/>
    <w:rsid w:val="078F379E"/>
    <w:rsid w:val="078F7797"/>
    <w:rsid w:val="07906595"/>
    <w:rsid w:val="07907BE9"/>
    <w:rsid w:val="079135C1"/>
    <w:rsid w:val="0792466D"/>
    <w:rsid w:val="07924E72"/>
    <w:rsid w:val="07925A97"/>
    <w:rsid w:val="079317B9"/>
    <w:rsid w:val="07931EFA"/>
    <w:rsid w:val="0793331F"/>
    <w:rsid w:val="07933B81"/>
    <w:rsid w:val="07934683"/>
    <w:rsid w:val="07943119"/>
    <w:rsid w:val="07961E93"/>
    <w:rsid w:val="07970990"/>
    <w:rsid w:val="0797489E"/>
    <w:rsid w:val="0798130C"/>
    <w:rsid w:val="079A6C61"/>
    <w:rsid w:val="079B25F2"/>
    <w:rsid w:val="079C5D55"/>
    <w:rsid w:val="079D13FE"/>
    <w:rsid w:val="079E195F"/>
    <w:rsid w:val="079E2868"/>
    <w:rsid w:val="079F3753"/>
    <w:rsid w:val="079F4A52"/>
    <w:rsid w:val="07A07E97"/>
    <w:rsid w:val="07A10ED9"/>
    <w:rsid w:val="07A47695"/>
    <w:rsid w:val="07A528AC"/>
    <w:rsid w:val="07A5410D"/>
    <w:rsid w:val="07A5520D"/>
    <w:rsid w:val="07A73C0F"/>
    <w:rsid w:val="07A80859"/>
    <w:rsid w:val="07A82966"/>
    <w:rsid w:val="07A86AAB"/>
    <w:rsid w:val="07A8744A"/>
    <w:rsid w:val="07AA259B"/>
    <w:rsid w:val="07AA756C"/>
    <w:rsid w:val="07AB34D5"/>
    <w:rsid w:val="07AB5D76"/>
    <w:rsid w:val="07AC135C"/>
    <w:rsid w:val="07AD2313"/>
    <w:rsid w:val="07AD2A8E"/>
    <w:rsid w:val="07AD2C96"/>
    <w:rsid w:val="07AD458C"/>
    <w:rsid w:val="07AF1559"/>
    <w:rsid w:val="07B340F6"/>
    <w:rsid w:val="07B42B96"/>
    <w:rsid w:val="07B43539"/>
    <w:rsid w:val="07B471FE"/>
    <w:rsid w:val="07B5327A"/>
    <w:rsid w:val="07B53CB5"/>
    <w:rsid w:val="07B56107"/>
    <w:rsid w:val="07B57BAE"/>
    <w:rsid w:val="07B603AA"/>
    <w:rsid w:val="07B66248"/>
    <w:rsid w:val="07B75BFD"/>
    <w:rsid w:val="07B76EDE"/>
    <w:rsid w:val="07B83947"/>
    <w:rsid w:val="07B84AF0"/>
    <w:rsid w:val="07B94DE0"/>
    <w:rsid w:val="07B94EED"/>
    <w:rsid w:val="07B97B34"/>
    <w:rsid w:val="07B97FB7"/>
    <w:rsid w:val="07BB72EA"/>
    <w:rsid w:val="07BC004D"/>
    <w:rsid w:val="07BC4FEB"/>
    <w:rsid w:val="07BC5553"/>
    <w:rsid w:val="07BE3B57"/>
    <w:rsid w:val="07BE48E9"/>
    <w:rsid w:val="07BE541B"/>
    <w:rsid w:val="07BF1B6C"/>
    <w:rsid w:val="07BF7BC7"/>
    <w:rsid w:val="07C021AC"/>
    <w:rsid w:val="07C03DF5"/>
    <w:rsid w:val="07C1191B"/>
    <w:rsid w:val="07C15530"/>
    <w:rsid w:val="07C17654"/>
    <w:rsid w:val="07C2245E"/>
    <w:rsid w:val="07C2402B"/>
    <w:rsid w:val="07C305CC"/>
    <w:rsid w:val="07C45F24"/>
    <w:rsid w:val="07C51943"/>
    <w:rsid w:val="07C5295B"/>
    <w:rsid w:val="07C64D36"/>
    <w:rsid w:val="07C65243"/>
    <w:rsid w:val="07C75183"/>
    <w:rsid w:val="07C80EFB"/>
    <w:rsid w:val="07C84D5B"/>
    <w:rsid w:val="07C92ACF"/>
    <w:rsid w:val="07C94226"/>
    <w:rsid w:val="07C947F8"/>
    <w:rsid w:val="07CA07CF"/>
    <w:rsid w:val="07CC3EDA"/>
    <w:rsid w:val="07CD33E1"/>
    <w:rsid w:val="07CD4868"/>
    <w:rsid w:val="07CE0FD8"/>
    <w:rsid w:val="07CE7BF0"/>
    <w:rsid w:val="07CF6BCA"/>
    <w:rsid w:val="07D13FD6"/>
    <w:rsid w:val="07D201BD"/>
    <w:rsid w:val="07D21D7A"/>
    <w:rsid w:val="07D342F8"/>
    <w:rsid w:val="07D433FC"/>
    <w:rsid w:val="07D47992"/>
    <w:rsid w:val="07D51468"/>
    <w:rsid w:val="07D5646F"/>
    <w:rsid w:val="07D65032"/>
    <w:rsid w:val="07D66297"/>
    <w:rsid w:val="07D72C47"/>
    <w:rsid w:val="07D759B8"/>
    <w:rsid w:val="07D86328"/>
    <w:rsid w:val="07DA35DD"/>
    <w:rsid w:val="07DC2572"/>
    <w:rsid w:val="07DC7C3B"/>
    <w:rsid w:val="07DD10C4"/>
    <w:rsid w:val="07DD4C6C"/>
    <w:rsid w:val="07DD4EB4"/>
    <w:rsid w:val="07DE4FEA"/>
    <w:rsid w:val="07DE5683"/>
    <w:rsid w:val="07DF3D55"/>
    <w:rsid w:val="07E04497"/>
    <w:rsid w:val="07E061E5"/>
    <w:rsid w:val="07E10A3D"/>
    <w:rsid w:val="07E114BD"/>
    <w:rsid w:val="07E1180F"/>
    <w:rsid w:val="07E20628"/>
    <w:rsid w:val="07E23B69"/>
    <w:rsid w:val="07E326C7"/>
    <w:rsid w:val="07E5393C"/>
    <w:rsid w:val="07E5511D"/>
    <w:rsid w:val="07E62F67"/>
    <w:rsid w:val="07E7329D"/>
    <w:rsid w:val="07E804E9"/>
    <w:rsid w:val="07E971D4"/>
    <w:rsid w:val="07EA20E2"/>
    <w:rsid w:val="07EA70C4"/>
    <w:rsid w:val="07EB0445"/>
    <w:rsid w:val="07EC2E3C"/>
    <w:rsid w:val="07EC31CD"/>
    <w:rsid w:val="07EC65C2"/>
    <w:rsid w:val="07ED2504"/>
    <w:rsid w:val="07ED433C"/>
    <w:rsid w:val="07EE1B5D"/>
    <w:rsid w:val="07EF7A92"/>
    <w:rsid w:val="07F013AD"/>
    <w:rsid w:val="07F04445"/>
    <w:rsid w:val="07F146AA"/>
    <w:rsid w:val="07F403A3"/>
    <w:rsid w:val="07F406C4"/>
    <w:rsid w:val="07F54BF5"/>
    <w:rsid w:val="07F6237F"/>
    <w:rsid w:val="07F633C4"/>
    <w:rsid w:val="07F773D4"/>
    <w:rsid w:val="07F83653"/>
    <w:rsid w:val="07F86788"/>
    <w:rsid w:val="07F9162E"/>
    <w:rsid w:val="07F92E21"/>
    <w:rsid w:val="07FA04AA"/>
    <w:rsid w:val="07FA4DD4"/>
    <w:rsid w:val="07FC3008"/>
    <w:rsid w:val="07FC357B"/>
    <w:rsid w:val="07FC7F20"/>
    <w:rsid w:val="07FD1E7E"/>
    <w:rsid w:val="07FF69DF"/>
    <w:rsid w:val="07FF6FB2"/>
    <w:rsid w:val="08010174"/>
    <w:rsid w:val="08012AFF"/>
    <w:rsid w:val="08014087"/>
    <w:rsid w:val="08016248"/>
    <w:rsid w:val="0805162E"/>
    <w:rsid w:val="08056F60"/>
    <w:rsid w:val="08077664"/>
    <w:rsid w:val="080A5070"/>
    <w:rsid w:val="080B309C"/>
    <w:rsid w:val="080B7A55"/>
    <w:rsid w:val="080B7F71"/>
    <w:rsid w:val="080C0DE8"/>
    <w:rsid w:val="080C5340"/>
    <w:rsid w:val="080D4B60"/>
    <w:rsid w:val="080F08D8"/>
    <w:rsid w:val="080F7797"/>
    <w:rsid w:val="08101C07"/>
    <w:rsid w:val="08116AC6"/>
    <w:rsid w:val="08124EDD"/>
    <w:rsid w:val="08126BA7"/>
    <w:rsid w:val="08147C9D"/>
    <w:rsid w:val="08153CC8"/>
    <w:rsid w:val="08155CBF"/>
    <w:rsid w:val="081566A1"/>
    <w:rsid w:val="08157E36"/>
    <w:rsid w:val="081631DD"/>
    <w:rsid w:val="08163A15"/>
    <w:rsid w:val="081736D9"/>
    <w:rsid w:val="08176116"/>
    <w:rsid w:val="081763DD"/>
    <w:rsid w:val="08181EDC"/>
    <w:rsid w:val="081822AF"/>
    <w:rsid w:val="08183875"/>
    <w:rsid w:val="08186A3D"/>
    <w:rsid w:val="081960FE"/>
    <w:rsid w:val="081A2BCF"/>
    <w:rsid w:val="081A34C5"/>
    <w:rsid w:val="081A4407"/>
    <w:rsid w:val="081C1907"/>
    <w:rsid w:val="081C2723"/>
    <w:rsid w:val="081C3AE2"/>
    <w:rsid w:val="081C5DBC"/>
    <w:rsid w:val="081C7C37"/>
    <w:rsid w:val="081D1A2F"/>
    <w:rsid w:val="081D26BF"/>
    <w:rsid w:val="081E4FBF"/>
    <w:rsid w:val="081F6369"/>
    <w:rsid w:val="082201E1"/>
    <w:rsid w:val="08243889"/>
    <w:rsid w:val="0824502F"/>
    <w:rsid w:val="08247144"/>
    <w:rsid w:val="082473AA"/>
    <w:rsid w:val="08257851"/>
    <w:rsid w:val="08262FFB"/>
    <w:rsid w:val="08267A99"/>
    <w:rsid w:val="08284E94"/>
    <w:rsid w:val="08292423"/>
    <w:rsid w:val="08292CF9"/>
    <w:rsid w:val="08296F31"/>
    <w:rsid w:val="082A2DAB"/>
    <w:rsid w:val="082A3964"/>
    <w:rsid w:val="082B644F"/>
    <w:rsid w:val="082C3238"/>
    <w:rsid w:val="082E7C35"/>
    <w:rsid w:val="082F24F1"/>
    <w:rsid w:val="08302EC2"/>
    <w:rsid w:val="08342387"/>
    <w:rsid w:val="08345A27"/>
    <w:rsid w:val="08352454"/>
    <w:rsid w:val="083558B2"/>
    <w:rsid w:val="08361E4D"/>
    <w:rsid w:val="08365E65"/>
    <w:rsid w:val="083759BC"/>
    <w:rsid w:val="08380AE9"/>
    <w:rsid w:val="08381BDD"/>
    <w:rsid w:val="08382AFE"/>
    <w:rsid w:val="08397B3A"/>
    <w:rsid w:val="083B5AD2"/>
    <w:rsid w:val="083C3FA6"/>
    <w:rsid w:val="083C4D55"/>
    <w:rsid w:val="083D3697"/>
    <w:rsid w:val="083D55DC"/>
    <w:rsid w:val="083E0E60"/>
    <w:rsid w:val="083E4D1A"/>
    <w:rsid w:val="083F4EEE"/>
    <w:rsid w:val="083F73D3"/>
    <w:rsid w:val="084021EB"/>
    <w:rsid w:val="08424C55"/>
    <w:rsid w:val="08426984"/>
    <w:rsid w:val="08430582"/>
    <w:rsid w:val="08433F9D"/>
    <w:rsid w:val="08444A26"/>
    <w:rsid w:val="084452C6"/>
    <w:rsid w:val="08451B54"/>
    <w:rsid w:val="084524D0"/>
    <w:rsid w:val="084560BE"/>
    <w:rsid w:val="08466D09"/>
    <w:rsid w:val="08470816"/>
    <w:rsid w:val="08470987"/>
    <w:rsid w:val="08470B97"/>
    <w:rsid w:val="08485B98"/>
    <w:rsid w:val="08496FD6"/>
    <w:rsid w:val="084A5DB4"/>
    <w:rsid w:val="084C2DF6"/>
    <w:rsid w:val="084C4FFE"/>
    <w:rsid w:val="084E4126"/>
    <w:rsid w:val="084F5179"/>
    <w:rsid w:val="08500560"/>
    <w:rsid w:val="08514123"/>
    <w:rsid w:val="08514A25"/>
    <w:rsid w:val="08523443"/>
    <w:rsid w:val="085326D3"/>
    <w:rsid w:val="085344EB"/>
    <w:rsid w:val="08534FC3"/>
    <w:rsid w:val="08540F64"/>
    <w:rsid w:val="08541FDC"/>
    <w:rsid w:val="085510CA"/>
    <w:rsid w:val="0857043C"/>
    <w:rsid w:val="0857162B"/>
    <w:rsid w:val="0857334F"/>
    <w:rsid w:val="08573DCE"/>
    <w:rsid w:val="08580BB0"/>
    <w:rsid w:val="08590BF3"/>
    <w:rsid w:val="08597447"/>
    <w:rsid w:val="085A2E39"/>
    <w:rsid w:val="085A5111"/>
    <w:rsid w:val="085C154A"/>
    <w:rsid w:val="085C466A"/>
    <w:rsid w:val="085C68E7"/>
    <w:rsid w:val="085D49AF"/>
    <w:rsid w:val="085D7896"/>
    <w:rsid w:val="085D7D59"/>
    <w:rsid w:val="085E0FE7"/>
    <w:rsid w:val="085E366B"/>
    <w:rsid w:val="085E4B90"/>
    <w:rsid w:val="085E73EB"/>
    <w:rsid w:val="08607386"/>
    <w:rsid w:val="08627692"/>
    <w:rsid w:val="08633105"/>
    <w:rsid w:val="08634838"/>
    <w:rsid w:val="08636F26"/>
    <w:rsid w:val="08641605"/>
    <w:rsid w:val="0865272D"/>
    <w:rsid w:val="086555C6"/>
    <w:rsid w:val="08665523"/>
    <w:rsid w:val="08670714"/>
    <w:rsid w:val="08690878"/>
    <w:rsid w:val="0869652D"/>
    <w:rsid w:val="0869724D"/>
    <w:rsid w:val="086A3EDB"/>
    <w:rsid w:val="086B13D9"/>
    <w:rsid w:val="086C60E5"/>
    <w:rsid w:val="086D0798"/>
    <w:rsid w:val="086D3767"/>
    <w:rsid w:val="086E1AA3"/>
    <w:rsid w:val="08703EB1"/>
    <w:rsid w:val="08713C65"/>
    <w:rsid w:val="0873379F"/>
    <w:rsid w:val="087338F1"/>
    <w:rsid w:val="087476E1"/>
    <w:rsid w:val="087553A7"/>
    <w:rsid w:val="08762001"/>
    <w:rsid w:val="0876617D"/>
    <w:rsid w:val="087701F1"/>
    <w:rsid w:val="087710C7"/>
    <w:rsid w:val="08792F04"/>
    <w:rsid w:val="087B1D25"/>
    <w:rsid w:val="087B2571"/>
    <w:rsid w:val="087B7547"/>
    <w:rsid w:val="087D3930"/>
    <w:rsid w:val="087D6525"/>
    <w:rsid w:val="087F16C3"/>
    <w:rsid w:val="088011FC"/>
    <w:rsid w:val="088060A5"/>
    <w:rsid w:val="088133BB"/>
    <w:rsid w:val="08813BD2"/>
    <w:rsid w:val="08824D69"/>
    <w:rsid w:val="088272FC"/>
    <w:rsid w:val="088415E1"/>
    <w:rsid w:val="0884695F"/>
    <w:rsid w:val="08853181"/>
    <w:rsid w:val="08860884"/>
    <w:rsid w:val="08874E83"/>
    <w:rsid w:val="088821E1"/>
    <w:rsid w:val="08883D73"/>
    <w:rsid w:val="0888557C"/>
    <w:rsid w:val="08886B74"/>
    <w:rsid w:val="088912A9"/>
    <w:rsid w:val="088A6822"/>
    <w:rsid w:val="088B2F12"/>
    <w:rsid w:val="088B3BC8"/>
    <w:rsid w:val="088B52FA"/>
    <w:rsid w:val="088C011D"/>
    <w:rsid w:val="088D1B79"/>
    <w:rsid w:val="088D3B45"/>
    <w:rsid w:val="088F246E"/>
    <w:rsid w:val="088F36CD"/>
    <w:rsid w:val="08901A19"/>
    <w:rsid w:val="0892698D"/>
    <w:rsid w:val="089360E9"/>
    <w:rsid w:val="08963EFC"/>
    <w:rsid w:val="08964355"/>
    <w:rsid w:val="089808CE"/>
    <w:rsid w:val="0898372A"/>
    <w:rsid w:val="08993991"/>
    <w:rsid w:val="089A180F"/>
    <w:rsid w:val="089A4646"/>
    <w:rsid w:val="089C0C01"/>
    <w:rsid w:val="089C161B"/>
    <w:rsid w:val="089C1A9E"/>
    <w:rsid w:val="089C3187"/>
    <w:rsid w:val="089D4136"/>
    <w:rsid w:val="089D5EE4"/>
    <w:rsid w:val="089F0CDC"/>
    <w:rsid w:val="089F1C5C"/>
    <w:rsid w:val="08A07179"/>
    <w:rsid w:val="08A2174C"/>
    <w:rsid w:val="08A227D8"/>
    <w:rsid w:val="08A232D3"/>
    <w:rsid w:val="08A41CF1"/>
    <w:rsid w:val="08A41DC0"/>
    <w:rsid w:val="08A52FEB"/>
    <w:rsid w:val="08A6123D"/>
    <w:rsid w:val="08A61F56"/>
    <w:rsid w:val="08A645F9"/>
    <w:rsid w:val="08A8494A"/>
    <w:rsid w:val="08A93F08"/>
    <w:rsid w:val="08AA0601"/>
    <w:rsid w:val="08AA622E"/>
    <w:rsid w:val="08AB6853"/>
    <w:rsid w:val="08AC25CB"/>
    <w:rsid w:val="08AC4EE0"/>
    <w:rsid w:val="08AD10B6"/>
    <w:rsid w:val="08AE173A"/>
    <w:rsid w:val="08AF5037"/>
    <w:rsid w:val="08AF5C17"/>
    <w:rsid w:val="08AF5ED0"/>
    <w:rsid w:val="08B00669"/>
    <w:rsid w:val="08B03AEE"/>
    <w:rsid w:val="08B0715A"/>
    <w:rsid w:val="08B1774D"/>
    <w:rsid w:val="08B17BE1"/>
    <w:rsid w:val="08B34868"/>
    <w:rsid w:val="08B35707"/>
    <w:rsid w:val="08B53F9B"/>
    <w:rsid w:val="08B60875"/>
    <w:rsid w:val="08B65B0E"/>
    <w:rsid w:val="08B76B10"/>
    <w:rsid w:val="08B917A7"/>
    <w:rsid w:val="08B92400"/>
    <w:rsid w:val="08BA0844"/>
    <w:rsid w:val="08BA3D62"/>
    <w:rsid w:val="08BA3F61"/>
    <w:rsid w:val="08BB45BC"/>
    <w:rsid w:val="08BC0A60"/>
    <w:rsid w:val="08BD039C"/>
    <w:rsid w:val="08BF0D0B"/>
    <w:rsid w:val="08BF5B40"/>
    <w:rsid w:val="08C03213"/>
    <w:rsid w:val="08C065C6"/>
    <w:rsid w:val="08C10A08"/>
    <w:rsid w:val="08C27A38"/>
    <w:rsid w:val="08C40967"/>
    <w:rsid w:val="08C42EFA"/>
    <w:rsid w:val="08C5524C"/>
    <w:rsid w:val="08C5581A"/>
    <w:rsid w:val="08C70DFF"/>
    <w:rsid w:val="08C944A5"/>
    <w:rsid w:val="08CA3AB0"/>
    <w:rsid w:val="08CB5D8B"/>
    <w:rsid w:val="08CC2596"/>
    <w:rsid w:val="08CC54AD"/>
    <w:rsid w:val="08CD504F"/>
    <w:rsid w:val="08CE1261"/>
    <w:rsid w:val="08D07B0D"/>
    <w:rsid w:val="08D07D09"/>
    <w:rsid w:val="08D24043"/>
    <w:rsid w:val="08D245C0"/>
    <w:rsid w:val="08D318F1"/>
    <w:rsid w:val="08D44B24"/>
    <w:rsid w:val="08D5567E"/>
    <w:rsid w:val="08D573DF"/>
    <w:rsid w:val="08D62921"/>
    <w:rsid w:val="08D631A4"/>
    <w:rsid w:val="08D7103A"/>
    <w:rsid w:val="08D819CD"/>
    <w:rsid w:val="08DB178F"/>
    <w:rsid w:val="08DC3D41"/>
    <w:rsid w:val="08DC6358"/>
    <w:rsid w:val="08DD61D3"/>
    <w:rsid w:val="08DD6914"/>
    <w:rsid w:val="08DE5FDE"/>
    <w:rsid w:val="08E03084"/>
    <w:rsid w:val="08E05168"/>
    <w:rsid w:val="08E0683A"/>
    <w:rsid w:val="08E11A69"/>
    <w:rsid w:val="08E2554E"/>
    <w:rsid w:val="08E27768"/>
    <w:rsid w:val="08E31EF5"/>
    <w:rsid w:val="08E4451F"/>
    <w:rsid w:val="08E46EED"/>
    <w:rsid w:val="08E5548F"/>
    <w:rsid w:val="08E554B3"/>
    <w:rsid w:val="08E638E8"/>
    <w:rsid w:val="08E73D8A"/>
    <w:rsid w:val="08E753B1"/>
    <w:rsid w:val="08E84690"/>
    <w:rsid w:val="08E931D2"/>
    <w:rsid w:val="08EA361C"/>
    <w:rsid w:val="08EB41D9"/>
    <w:rsid w:val="08EB6E65"/>
    <w:rsid w:val="08EC621F"/>
    <w:rsid w:val="08EE3155"/>
    <w:rsid w:val="08EE36E3"/>
    <w:rsid w:val="08EF0FBE"/>
    <w:rsid w:val="08F10C96"/>
    <w:rsid w:val="08F23D23"/>
    <w:rsid w:val="08F24628"/>
    <w:rsid w:val="08F26165"/>
    <w:rsid w:val="08F530BE"/>
    <w:rsid w:val="08F7013C"/>
    <w:rsid w:val="08FA3790"/>
    <w:rsid w:val="08FB050E"/>
    <w:rsid w:val="08FB4B9D"/>
    <w:rsid w:val="08FB654F"/>
    <w:rsid w:val="08FC2BFD"/>
    <w:rsid w:val="08FD1C5F"/>
    <w:rsid w:val="08FE19D5"/>
    <w:rsid w:val="08FE47F6"/>
    <w:rsid w:val="08FF094D"/>
    <w:rsid w:val="08FF26FB"/>
    <w:rsid w:val="09000221"/>
    <w:rsid w:val="090002CE"/>
    <w:rsid w:val="09013917"/>
    <w:rsid w:val="09013B7F"/>
    <w:rsid w:val="0901708A"/>
    <w:rsid w:val="090177C3"/>
    <w:rsid w:val="09021349"/>
    <w:rsid w:val="0902306C"/>
    <w:rsid w:val="09026023"/>
    <w:rsid w:val="090319F6"/>
    <w:rsid w:val="09033A46"/>
    <w:rsid w:val="09043060"/>
    <w:rsid w:val="09050E3F"/>
    <w:rsid w:val="0905564F"/>
    <w:rsid w:val="09060A4E"/>
    <w:rsid w:val="09062600"/>
    <w:rsid w:val="09063A89"/>
    <w:rsid w:val="09075183"/>
    <w:rsid w:val="090872B9"/>
    <w:rsid w:val="09091C51"/>
    <w:rsid w:val="090A1870"/>
    <w:rsid w:val="090A78B5"/>
    <w:rsid w:val="090B08D0"/>
    <w:rsid w:val="090B5FA0"/>
    <w:rsid w:val="090D605F"/>
    <w:rsid w:val="090F0F14"/>
    <w:rsid w:val="090F7A4C"/>
    <w:rsid w:val="09102B5A"/>
    <w:rsid w:val="09112C44"/>
    <w:rsid w:val="091208F5"/>
    <w:rsid w:val="091343F8"/>
    <w:rsid w:val="09164957"/>
    <w:rsid w:val="091652F6"/>
    <w:rsid w:val="09167A96"/>
    <w:rsid w:val="09177145"/>
    <w:rsid w:val="09185E81"/>
    <w:rsid w:val="09187C50"/>
    <w:rsid w:val="09191606"/>
    <w:rsid w:val="091A7000"/>
    <w:rsid w:val="091B0A19"/>
    <w:rsid w:val="091B505B"/>
    <w:rsid w:val="091C5A2C"/>
    <w:rsid w:val="091E1C32"/>
    <w:rsid w:val="091F3B45"/>
    <w:rsid w:val="091F40D4"/>
    <w:rsid w:val="091F6045"/>
    <w:rsid w:val="091F6D52"/>
    <w:rsid w:val="09200ED6"/>
    <w:rsid w:val="09214D73"/>
    <w:rsid w:val="092210B6"/>
    <w:rsid w:val="092217DD"/>
    <w:rsid w:val="09222840"/>
    <w:rsid w:val="09234D17"/>
    <w:rsid w:val="09245A77"/>
    <w:rsid w:val="092466A4"/>
    <w:rsid w:val="092622B0"/>
    <w:rsid w:val="09283E1A"/>
    <w:rsid w:val="0929334A"/>
    <w:rsid w:val="09295469"/>
    <w:rsid w:val="092A33D9"/>
    <w:rsid w:val="092B7994"/>
    <w:rsid w:val="092D7447"/>
    <w:rsid w:val="092E2FE0"/>
    <w:rsid w:val="092E7BB1"/>
    <w:rsid w:val="092F445E"/>
    <w:rsid w:val="092F4751"/>
    <w:rsid w:val="09303CE2"/>
    <w:rsid w:val="09306E06"/>
    <w:rsid w:val="09315834"/>
    <w:rsid w:val="093201B3"/>
    <w:rsid w:val="0934330C"/>
    <w:rsid w:val="09344975"/>
    <w:rsid w:val="093555F4"/>
    <w:rsid w:val="09362500"/>
    <w:rsid w:val="09363F74"/>
    <w:rsid w:val="093641EA"/>
    <w:rsid w:val="09365012"/>
    <w:rsid w:val="09365F86"/>
    <w:rsid w:val="093703A1"/>
    <w:rsid w:val="09381E30"/>
    <w:rsid w:val="093835F0"/>
    <w:rsid w:val="093852F6"/>
    <w:rsid w:val="093A536B"/>
    <w:rsid w:val="093A7294"/>
    <w:rsid w:val="093B35FB"/>
    <w:rsid w:val="093C5036"/>
    <w:rsid w:val="093E4F8E"/>
    <w:rsid w:val="093F51ED"/>
    <w:rsid w:val="09404D3A"/>
    <w:rsid w:val="09420FBD"/>
    <w:rsid w:val="094249BF"/>
    <w:rsid w:val="0942633D"/>
    <w:rsid w:val="09432F19"/>
    <w:rsid w:val="09432F45"/>
    <w:rsid w:val="0943422E"/>
    <w:rsid w:val="094443AA"/>
    <w:rsid w:val="094445B2"/>
    <w:rsid w:val="0946032A"/>
    <w:rsid w:val="094620D8"/>
    <w:rsid w:val="094716AC"/>
    <w:rsid w:val="09471843"/>
    <w:rsid w:val="0948037F"/>
    <w:rsid w:val="09491961"/>
    <w:rsid w:val="09493286"/>
    <w:rsid w:val="094B1041"/>
    <w:rsid w:val="094D5EAF"/>
    <w:rsid w:val="094D6156"/>
    <w:rsid w:val="094F09A9"/>
    <w:rsid w:val="09501527"/>
    <w:rsid w:val="095122B7"/>
    <w:rsid w:val="09513364"/>
    <w:rsid w:val="095251AA"/>
    <w:rsid w:val="095255B5"/>
    <w:rsid w:val="09526B34"/>
    <w:rsid w:val="09526CCE"/>
    <w:rsid w:val="095321AB"/>
    <w:rsid w:val="09532E6E"/>
    <w:rsid w:val="09534B0A"/>
    <w:rsid w:val="09534BA5"/>
    <w:rsid w:val="09540EA6"/>
    <w:rsid w:val="095448CF"/>
    <w:rsid w:val="0955056D"/>
    <w:rsid w:val="095567BF"/>
    <w:rsid w:val="095646B3"/>
    <w:rsid w:val="09570789"/>
    <w:rsid w:val="0957556A"/>
    <w:rsid w:val="09575A9A"/>
    <w:rsid w:val="09577C91"/>
    <w:rsid w:val="095848C9"/>
    <w:rsid w:val="0959748A"/>
    <w:rsid w:val="095A0B34"/>
    <w:rsid w:val="095A43D5"/>
    <w:rsid w:val="095B15E6"/>
    <w:rsid w:val="095B63DD"/>
    <w:rsid w:val="095C2625"/>
    <w:rsid w:val="095C6E87"/>
    <w:rsid w:val="095D2ED8"/>
    <w:rsid w:val="095D6A18"/>
    <w:rsid w:val="095E51A8"/>
    <w:rsid w:val="095E7634"/>
    <w:rsid w:val="095F0139"/>
    <w:rsid w:val="095F531B"/>
    <w:rsid w:val="09601BFE"/>
    <w:rsid w:val="096468DF"/>
    <w:rsid w:val="0965276E"/>
    <w:rsid w:val="09660DE0"/>
    <w:rsid w:val="09661850"/>
    <w:rsid w:val="0966499A"/>
    <w:rsid w:val="09664A7B"/>
    <w:rsid w:val="09675CC9"/>
    <w:rsid w:val="09683F2B"/>
    <w:rsid w:val="096864F2"/>
    <w:rsid w:val="096A0CC3"/>
    <w:rsid w:val="096A4F84"/>
    <w:rsid w:val="096D08A6"/>
    <w:rsid w:val="096D4262"/>
    <w:rsid w:val="096D6C65"/>
    <w:rsid w:val="096E53A4"/>
    <w:rsid w:val="096E61DB"/>
    <w:rsid w:val="096E7880"/>
    <w:rsid w:val="097105FE"/>
    <w:rsid w:val="09710A1C"/>
    <w:rsid w:val="09710A67"/>
    <w:rsid w:val="09711F86"/>
    <w:rsid w:val="0971738C"/>
    <w:rsid w:val="0972550D"/>
    <w:rsid w:val="09725986"/>
    <w:rsid w:val="09732818"/>
    <w:rsid w:val="09741E44"/>
    <w:rsid w:val="097476E5"/>
    <w:rsid w:val="097554B0"/>
    <w:rsid w:val="09763D6E"/>
    <w:rsid w:val="09764343"/>
    <w:rsid w:val="09772A6B"/>
    <w:rsid w:val="097809C8"/>
    <w:rsid w:val="097A38CF"/>
    <w:rsid w:val="097B0D5A"/>
    <w:rsid w:val="097B6D63"/>
    <w:rsid w:val="097D1872"/>
    <w:rsid w:val="097E3F67"/>
    <w:rsid w:val="097E7AC3"/>
    <w:rsid w:val="09812869"/>
    <w:rsid w:val="09834CB1"/>
    <w:rsid w:val="098409B3"/>
    <w:rsid w:val="09850D4B"/>
    <w:rsid w:val="09854273"/>
    <w:rsid w:val="09875B84"/>
    <w:rsid w:val="098808A7"/>
    <w:rsid w:val="09880B6F"/>
    <w:rsid w:val="098822BF"/>
    <w:rsid w:val="09886D8B"/>
    <w:rsid w:val="098872F8"/>
    <w:rsid w:val="09891246"/>
    <w:rsid w:val="098972D4"/>
    <w:rsid w:val="098A1F93"/>
    <w:rsid w:val="098A71EA"/>
    <w:rsid w:val="098B3A00"/>
    <w:rsid w:val="098B6274"/>
    <w:rsid w:val="098D243E"/>
    <w:rsid w:val="098D26C1"/>
    <w:rsid w:val="098D351F"/>
    <w:rsid w:val="098D5F59"/>
    <w:rsid w:val="098F175E"/>
    <w:rsid w:val="09903C9B"/>
    <w:rsid w:val="09914CCC"/>
    <w:rsid w:val="09920EBC"/>
    <w:rsid w:val="09922CFB"/>
    <w:rsid w:val="0992356F"/>
    <w:rsid w:val="099460D4"/>
    <w:rsid w:val="0994758F"/>
    <w:rsid w:val="09953D74"/>
    <w:rsid w:val="09956880"/>
    <w:rsid w:val="099665BA"/>
    <w:rsid w:val="09966D79"/>
    <w:rsid w:val="0997543A"/>
    <w:rsid w:val="09976DD7"/>
    <w:rsid w:val="09977D21"/>
    <w:rsid w:val="099866AB"/>
    <w:rsid w:val="0999258C"/>
    <w:rsid w:val="099A0675"/>
    <w:rsid w:val="099A2989"/>
    <w:rsid w:val="099A72BE"/>
    <w:rsid w:val="099A7EF5"/>
    <w:rsid w:val="099B126C"/>
    <w:rsid w:val="099C384B"/>
    <w:rsid w:val="099C66D2"/>
    <w:rsid w:val="099D17FD"/>
    <w:rsid w:val="099D5027"/>
    <w:rsid w:val="099F5E4D"/>
    <w:rsid w:val="09A100DA"/>
    <w:rsid w:val="09A43619"/>
    <w:rsid w:val="09A43E33"/>
    <w:rsid w:val="09A46281"/>
    <w:rsid w:val="09A4749C"/>
    <w:rsid w:val="09A56174"/>
    <w:rsid w:val="09A6231A"/>
    <w:rsid w:val="09A63F79"/>
    <w:rsid w:val="09A67460"/>
    <w:rsid w:val="09A67A16"/>
    <w:rsid w:val="09A75314"/>
    <w:rsid w:val="09A82E7F"/>
    <w:rsid w:val="09A84C5B"/>
    <w:rsid w:val="09A86E66"/>
    <w:rsid w:val="09A90553"/>
    <w:rsid w:val="09A93825"/>
    <w:rsid w:val="09AA4CEA"/>
    <w:rsid w:val="09AA5B37"/>
    <w:rsid w:val="09AA6203"/>
    <w:rsid w:val="09AA6E47"/>
    <w:rsid w:val="09AB02E6"/>
    <w:rsid w:val="09AC16FC"/>
    <w:rsid w:val="09AC5363"/>
    <w:rsid w:val="09AD03A9"/>
    <w:rsid w:val="09AF0F46"/>
    <w:rsid w:val="09AF2757"/>
    <w:rsid w:val="09AF5FAE"/>
    <w:rsid w:val="09AF741E"/>
    <w:rsid w:val="09B01806"/>
    <w:rsid w:val="09B0312C"/>
    <w:rsid w:val="09B06E1E"/>
    <w:rsid w:val="09B12B23"/>
    <w:rsid w:val="09B259BF"/>
    <w:rsid w:val="09B33869"/>
    <w:rsid w:val="09B33D40"/>
    <w:rsid w:val="09B42B33"/>
    <w:rsid w:val="09B42D44"/>
    <w:rsid w:val="09B536D6"/>
    <w:rsid w:val="09B55134"/>
    <w:rsid w:val="09B56247"/>
    <w:rsid w:val="09B5725D"/>
    <w:rsid w:val="09B62B73"/>
    <w:rsid w:val="09B64914"/>
    <w:rsid w:val="09B64D88"/>
    <w:rsid w:val="09B81267"/>
    <w:rsid w:val="09B83D29"/>
    <w:rsid w:val="09B87BEB"/>
    <w:rsid w:val="09B905E5"/>
    <w:rsid w:val="09B90AFC"/>
    <w:rsid w:val="09B92CD0"/>
    <w:rsid w:val="09BA1E69"/>
    <w:rsid w:val="09BB2A4F"/>
    <w:rsid w:val="09BB7170"/>
    <w:rsid w:val="09BB7513"/>
    <w:rsid w:val="09BE6112"/>
    <w:rsid w:val="09C000DC"/>
    <w:rsid w:val="09C06F3B"/>
    <w:rsid w:val="09C24429"/>
    <w:rsid w:val="09C35937"/>
    <w:rsid w:val="09C44E36"/>
    <w:rsid w:val="09C46584"/>
    <w:rsid w:val="09C547D2"/>
    <w:rsid w:val="09C7213A"/>
    <w:rsid w:val="09C76411"/>
    <w:rsid w:val="09C96204"/>
    <w:rsid w:val="09C96D10"/>
    <w:rsid w:val="09CA0287"/>
    <w:rsid w:val="09CC174B"/>
    <w:rsid w:val="09CC446A"/>
    <w:rsid w:val="09CC5D6C"/>
    <w:rsid w:val="09CC7334"/>
    <w:rsid w:val="09CE2D8D"/>
    <w:rsid w:val="09CF7D5A"/>
    <w:rsid w:val="09D01C74"/>
    <w:rsid w:val="09D05E45"/>
    <w:rsid w:val="09D22738"/>
    <w:rsid w:val="09D23F5E"/>
    <w:rsid w:val="09D321EF"/>
    <w:rsid w:val="09D40366"/>
    <w:rsid w:val="09D413F9"/>
    <w:rsid w:val="09D437D0"/>
    <w:rsid w:val="09D473CE"/>
    <w:rsid w:val="09D522C9"/>
    <w:rsid w:val="09D711EB"/>
    <w:rsid w:val="09DA6979"/>
    <w:rsid w:val="09DC336D"/>
    <w:rsid w:val="09DC47EA"/>
    <w:rsid w:val="09DD0833"/>
    <w:rsid w:val="09DD393A"/>
    <w:rsid w:val="09DD63D3"/>
    <w:rsid w:val="09DF266F"/>
    <w:rsid w:val="09DF42B8"/>
    <w:rsid w:val="09E00E58"/>
    <w:rsid w:val="09E05130"/>
    <w:rsid w:val="09E05DC0"/>
    <w:rsid w:val="09E0616B"/>
    <w:rsid w:val="09E1549B"/>
    <w:rsid w:val="09E16B6D"/>
    <w:rsid w:val="09E17094"/>
    <w:rsid w:val="09E24BA3"/>
    <w:rsid w:val="09E262C4"/>
    <w:rsid w:val="09E32767"/>
    <w:rsid w:val="09E44188"/>
    <w:rsid w:val="09E47205"/>
    <w:rsid w:val="09E47E8B"/>
    <w:rsid w:val="09E557CF"/>
    <w:rsid w:val="09E558FE"/>
    <w:rsid w:val="09E56F46"/>
    <w:rsid w:val="09E638BB"/>
    <w:rsid w:val="09E65C6B"/>
    <w:rsid w:val="09E678CF"/>
    <w:rsid w:val="09E74A8C"/>
    <w:rsid w:val="09E76DDE"/>
    <w:rsid w:val="09E802EC"/>
    <w:rsid w:val="09E83E1C"/>
    <w:rsid w:val="09E8435B"/>
    <w:rsid w:val="09E84475"/>
    <w:rsid w:val="09E97C3F"/>
    <w:rsid w:val="09EA4A34"/>
    <w:rsid w:val="09EB2A56"/>
    <w:rsid w:val="09EB4AA4"/>
    <w:rsid w:val="09EC04CA"/>
    <w:rsid w:val="09ED116C"/>
    <w:rsid w:val="09ED3A4B"/>
    <w:rsid w:val="09ED6853"/>
    <w:rsid w:val="09ED7C93"/>
    <w:rsid w:val="09EE4980"/>
    <w:rsid w:val="09EF11B4"/>
    <w:rsid w:val="09EF3639"/>
    <w:rsid w:val="09EF6BCC"/>
    <w:rsid w:val="09F016EA"/>
    <w:rsid w:val="09F049E0"/>
    <w:rsid w:val="09F04E76"/>
    <w:rsid w:val="09F10A27"/>
    <w:rsid w:val="09F11C28"/>
    <w:rsid w:val="09F14739"/>
    <w:rsid w:val="09F154BD"/>
    <w:rsid w:val="09F21BAA"/>
    <w:rsid w:val="09F27531"/>
    <w:rsid w:val="09F3257B"/>
    <w:rsid w:val="09F40D2D"/>
    <w:rsid w:val="09F45FD8"/>
    <w:rsid w:val="09F56C94"/>
    <w:rsid w:val="09F61B95"/>
    <w:rsid w:val="09F67B9F"/>
    <w:rsid w:val="09F8619E"/>
    <w:rsid w:val="09FB1BB5"/>
    <w:rsid w:val="09FB4594"/>
    <w:rsid w:val="09FB4E3F"/>
    <w:rsid w:val="09FB55A7"/>
    <w:rsid w:val="09FB5F86"/>
    <w:rsid w:val="09FC25EF"/>
    <w:rsid w:val="09FD3315"/>
    <w:rsid w:val="09FD55CC"/>
    <w:rsid w:val="09FF3EA6"/>
    <w:rsid w:val="09FF51EF"/>
    <w:rsid w:val="0A002BCE"/>
    <w:rsid w:val="0A005785"/>
    <w:rsid w:val="0A02635F"/>
    <w:rsid w:val="0A030839"/>
    <w:rsid w:val="0A031000"/>
    <w:rsid w:val="0A031C9F"/>
    <w:rsid w:val="0A03310D"/>
    <w:rsid w:val="0A042151"/>
    <w:rsid w:val="0A04422C"/>
    <w:rsid w:val="0A0604C0"/>
    <w:rsid w:val="0A084898"/>
    <w:rsid w:val="0A087D91"/>
    <w:rsid w:val="0A0B5997"/>
    <w:rsid w:val="0A0B601F"/>
    <w:rsid w:val="0A0B718A"/>
    <w:rsid w:val="0A0B7477"/>
    <w:rsid w:val="0A0D2FB9"/>
    <w:rsid w:val="0A0D52EB"/>
    <w:rsid w:val="0A0E12C6"/>
    <w:rsid w:val="0A0F0EAA"/>
    <w:rsid w:val="0A0F4E11"/>
    <w:rsid w:val="0A0F6EA1"/>
    <w:rsid w:val="0A0F7FFC"/>
    <w:rsid w:val="0A1125A4"/>
    <w:rsid w:val="0A112666"/>
    <w:rsid w:val="0A122902"/>
    <w:rsid w:val="0A133B29"/>
    <w:rsid w:val="0A141BA4"/>
    <w:rsid w:val="0A14315D"/>
    <w:rsid w:val="0A152175"/>
    <w:rsid w:val="0A156506"/>
    <w:rsid w:val="0A160974"/>
    <w:rsid w:val="0A1621D9"/>
    <w:rsid w:val="0A164DC2"/>
    <w:rsid w:val="0A1708E4"/>
    <w:rsid w:val="0A180337"/>
    <w:rsid w:val="0A1849E7"/>
    <w:rsid w:val="0A1911AD"/>
    <w:rsid w:val="0A1A4FED"/>
    <w:rsid w:val="0A1B1235"/>
    <w:rsid w:val="0A1B17B6"/>
    <w:rsid w:val="0A1B2184"/>
    <w:rsid w:val="0A1D6EA1"/>
    <w:rsid w:val="0A1E0B47"/>
    <w:rsid w:val="0A1E5602"/>
    <w:rsid w:val="0A1F428F"/>
    <w:rsid w:val="0A2104D5"/>
    <w:rsid w:val="0A214A9A"/>
    <w:rsid w:val="0A2177F2"/>
    <w:rsid w:val="0A2230B6"/>
    <w:rsid w:val="0A2373F8"/>
    <w:rsid w:val="0A244C4F"/>
    <w:rsid w:val="0A246151"/>
    <w:rsid w:val="0A256191"/>
    <w:rsid w:val="0A2606C8"/>
    <w:rsid w:val="0A262885"/>
    <w:rsid w:val="0A263993"/>
    <w:rsid w:val="0A264F6F"/>
    <w:rsid w:val="0A26596A"/>
    <w:rsid w:val="0A27015B"/>
    <w:rsid w:val="0A2763AD"/>
    <w:rsid w:val="0A28503A"/>
    <w:rsid w:val="0A2864EF"/>
    <w:rsid w:val="0A2917A5"/>
    <w:rsid w:val="0A295345"/>
    <w:rsid w:val="0A296DC8"/>
    <w:rsid w:val="0A29784A"/>
    <w:rsid w:val="0A2B3DFE"/>
    <w:rsid w:val="0A2B6666"/>
    <w:rsid w:val="0A2B706E"/>
    <w:rsid w:val="0A2C2030"/>
    <w:rsid w:val="0A2C30DD"/>
    <w:rsid w:val="0A2C39FD"/>
    <w:rsid w:val="0A2D3AC2"/>
    <w:rsid w:val="0A2E773B"/>
    <w:rsid w:val="0A2F1F1E"/>
    <w:rsid w:val="0A2F51A7"/>
    <w:rsid w:val="0A3132A2"/>
    <w:rsid w:val="0A321310"/>
    <w:rsid w:val="0A321755"/>
    <w:rsid w:val="0A343F87"/>
    <w:rsid w:val="0A351FDB"/>
    <w:rsid w:val="0A36564F"/>
    <w:rsid w:val="0A373C2B"/>
    <w:rsid w:val="0A3817A7"/>
    <w:rsid w:val="0A381E1D"/>
    <w:rsid w:val="0A382113"/>
    <w:rsid w:val="0A3879D0"/>
    <w:rsid w:val="0A3925A2"/>
    <w:rsid w:val="0A393EDA"/>
    <w:rsid w:val="0A3970F7"/>
    <w:rsid w:val="0A3A4AD2"/>
    <w:rsid w:val="0A3B00A3"/>
    <w:rsid w:val="0A3C2A5C"/>
    <w:rsid w:val="0A3D4525"/>
    <w:rsid w:val="0A3D763A"/>
    <w:rsid w:val="0A3E71CA"/>
    <w:rsid w:val="0A3E765D"/>
    <w:rsid w:val="0A3F1256"/>
    <w:rsid w:val="0A3F3022"/>
    <w:rsid w:val="0A406156"/>
    <w:rsid w:val="0A407D67"/>
    <w:rsid w:val="0A410AF1"/>
    <w:rsid w:val="0A411157"/>
    <w:rsid w:val="0A432ABB"/>
    <w:rsid w:val="0A433171"/>
    <w:rsid w:val="0A434869"/>
    <w:rsid w:val="0A4455DC"/>
    <w:rsid w:val="0A462647"/>
    <w:rsid w:val="0A463426"/>
    <w:rsid w:val="0A4670C0"/>
    <w:rsid w:val="0A4704C0"/>
    <w:rsid w:val="0A4776F9"/>
    <w:rsid w:val="0A4827C3"/>
    <w:rsid w:val="0A486C00"/>
    <w:rsid w:val="0A495A7A"/>
    <w:rsid w:val="0A4A24A5"/>
    <w:rsid w:val="0A4A2A08"/>
    <w:rsid w:val="0A4A77CE"/>
    <w:rsid w:val="0A4B2348"/>
    <w:rsid w:val="0A4E7F3A"/>
    <w:rsid w:val="0A4F0CDD"/>
    <w:rsid w:val="0A4F0EC5"/>
    <w:rsid w:val="0A502F83"/>
    <w:rsid w:val="0A5129EC"/>
    <w:rsid w:val="0A51342A"/>
    <w:rsid w:val="0A51720D"/>
    <w:rsid w:val="0A5216BD"/>
    <w:rsid w:val="0A523115"/>
    <w:rsid w:val="0A532090"/>
    <w:rsid w:val="0A5365AB"/>
    <w:rsid w:val="0A541442"/>
    <w:rsid w:val="0A541F29"/>
    <w:rsid w:val="0A571E87"/>
    <w:rsid w:val="0A582389"/>
    <w:rsid w:val="0A5922DF"/>
    <w:rsid w:val="0A5937FF"/>
    <w:rsid w:val="0A5A0A3C"/>
    <w:rsid w:val="0A5A23DB"/>
    <w:rsid w:val="0A5B0624"/>
    <w:rsid w:val="0A5B068F"/>
    <w:rsid w:val="0A5C5276"/>
    <w:rsid w:val="0A5C5340"/>
    <w:rsid w:val="0A5E3FE2"/>
    <w:rsid w:val="0A5E465B"/>
    <w:rsid w:val="0A5F1739"/>
    <w:rsid w:val="0A5F2CF6"/>
    <w:rsid w:val="0A6007CC"/>
    <w:rsid w:val="0A61779D"/>
    <w:rsid w:val="0A640BE0"/>
    <w:rsid w:val="0A643E02"/>
    <w:rsid w:val="0A654D21"/>
    <w:rsid w:val="0A656EF9"/>
    <w:rsid w:val="0A66091F"/>
    <w:rsid w:val="0A661E34"/>
    <w:rsid w:val="0A680E0A"/>
    <w:rsid w:val="0A6820D9"/>
    <w:rsid w:val="0A682522"/>
    <w:rsid w:val="0A693944"/>
    <w:rsid w:val="0A6973BB"/>
    <w:rsid w:val="0A697533"/>
    <w:rsid w:val="0A6B60C7"/>
    <w:rsid w:val="0A6B789B"/>
    <w:rsid w:val="0A6C4885"/>
    <w:rsid w:val="0A6D1B05"/>
    <w:rsid w:val="0A6D78F2"/>
    <w:rsid w:val="0A6E42ED"/>
    <w:rsid w:val="0A6F3849"/>
    <w:rsid w:val="0A6F4E6E"/>
    <w:rsid w:val="0A714D49"/>
    <w:rsid w:val="0A732C48"/>
    <w:rsid w:val="0A7333A0"/>
    <w:rsid w:val="0A7443A8"/>
    <w:rsid w:val="0A7521C0"/>
    <w:rsid w:val="0A752203"/>
    <w:rsid w:val="0A7606D5"/>
    <w:rsid w:val="0A7763C7"/>
    <w:rsid w:val="0A783920"/>
    <w:rsid w:val="0A783CAE"/>
    <w:rsid w:val="0A7D56F8"/>
    <w:rsid w:val="0A7E5BEA"/>
    <w:rsid w:val="0A7E6B2F"/>
    <w:rsid w:val="0A7E6B88"/>
    <w:rsid w:val="0A7F7D64"/>
    <w:rsid w:val="0A804062"/>
    <w:rsid w:val="0A804AB4"/>
    <w:rsid w:val="0A8057FC"/>
    <w:rsid w:val="0A805D9F"/>
    <w:rsid w:val="0A806065"/>
    <w:rsid w:val="0A806DC0"/>
    <w:rsid w:val="0A814803"/>
    <w:rsid w:val="0A821835"/>
    <w:rsid w:val="0A832F13"/>
    <w:rsid w:val="0A8378CD"/>
    <w:rsid w:val="0A843BFB"/>
    <w:rsid w:val="0A861CE5"/>
    <w:rsid w:val="0A863464"/>
    <w:rsid w:val="0A866519"/>
    <w:rsid w:val="0A87117B"/>
    <w:rsid w:val="0A871661"/>
    <w:rsid w:val="0A8729A8"/>
    <w:rsid w:val="0A8756A0"/>
    <w:rsid w:val="0A87743C"/>
    <w:rsid w:val="0A8861FB"/>
    <w:rsid w:val="0A887D53"/>
    <w:rsid w:val="0A8912C4"/>
    <w:rsid w:val="0A892F45"/>
    <w:rsid w:val="0A8A06EA"/>
    <w:rsid w:val="0A8B6700"/>
    <w:rsid w:val="0A8C251E"/>
    <w:rsid w:val="0A8C6550"/>
    <w:rsid w:val="0A8D0DE5"/>
    <w:rsid w:val="0A8E01DA"/>
    <w:rsid w:val="0A8E4F02"/>
    <w:rsid w:val="0A8F3188"/>
    <w:rsid w:val="0A9002DC"/>
    <w:rsid w:val="0A900AAE"/>
    <w:rsid w:val="0A937CB8"/>
    <w:rsid w:val="0A943317"/>
    <w:rsid w:val="0A944798"/>
    <w:rsid w:val="0A94547F"/>
    <w:rsid w:val="0A9469B8"/>
    <w:rsid w:val="0A95014E"/>
    <w:rsid w:val="0A9757F0"/>
    <w:rsid w:val="0A976EEC"/>
    <w:rsid w:val="0A980873"/>
    <w:rsid w:val="0A981059"/>
    <w:rsid w:val="0A98344B"/>
    <w:rsid w:val="0A9944A6"/>
    <w:rsid w:val="0A9A310D"/>
    <w:rsid w:val="0A9B11D0"/>
    <w:rsid w:val="0A9B4519"/>
    <w:rsid w:val="0A9B63D7"/>
    <w:rsid w:val="0A9C417E"/>
    <w:rsid w:val="0A9C43C0"/>
    <w:rsid w:val="0A9D1B21"/>
    <w:rsid w:val="0A9D35AA"/>
    <w:rsid w:val="0A9F23E7"/>
    <w:rsid w:val="0A9F7FA8"/>
    <w:rsid w:val="0AA07F45"/>
    <w:rsid w:val="0AA34612"/>
    <w:rsid w:val="0AA36030"/>
    <w:rsid w:val="0AA41E47"/>
    <w:rsid w:val="0AA43DE9"/>
    <w:rsid w:val="0AA54CCA"/>
    <w:rsid w:val="0AA54F8B"/>
    <w:rsid w:val="0AA5556F"/>
    <w:rsid w:val="0AA6135A"/>
    <w:rsid w:val="0AA755DF"/>
    <w:rsid w:val="0AAA1193"/>
    <w:rsid w:val="0AAA230C"/>
    <w:rsid w:val="0AAB0ADE"/>
    <w:rsid w:val="0AAB0D8C"/>
    <w:rsid w:val="0AAB24B0"/>
    <w:rsid w:val="0AAD5F33"/>
    <w:rsid w:val="0AAD62EC"/>
    <w:rsid w:val="0AAE0A6F"/>
    <w:rsid w:val="0AAF006A"/>
    <w:rsid w:val="0AAF6C91"/>
    <w:rsid w:val="0AB16078"/>
    <w:rsid w:val="0AB22BE8"/>
    <w:rsid w:val="0AB54ED4"/>
    <w:rsid w:val="0AB6006C"/>
    <w:rsid w:val="0AB8629F"/>
    <w:rsid w:val="0AB87005"/>
    <w:rsid w:val="0AB9125A"/>
    <w:rsid w:val="0AB93494"/>
    <w:rsid w:val="0ABA1650"/>
    <w:rsid w:val="0ABB3050"/>
    <w:rsid w:val="0ABB4D47"/>
    <w:rsid w:val="0ABE38E8"/>
    <w:rsid w:val="0ABF1E26"/>
    <w:rsid w:val="0ABF2D2D"/>
    <w:rsid w:val="0AC075CB"/>
    <w:rsid w:val="0AC116DB"/>
    <w:rsid w:val="0AC11E73"/>
    <w:rsid w:val="0AC15134"/>
    <w:rsid w:val="0AC26120"/>
    <w:rsid w:val="0AC3259C"/>
    <w:rsid w:val="0AC354EC"/>
    <w:rsid w:val="0AC37758"/>
    <w:rsid w:val="0AC43128"/>
    <w:rsid w:val="0AC4712D"/>
    <w:rsid w:val="0AC719CC"/>
    <w:rsid w:val="0AC750BE"/>
    <w:rsid w:val="0AC83EF6"/>
    <w:rsid w:val="0ACA54EB"/>
    <w:rsid w:val="0ACC36F0"/>
    <w:rsid w:val="0ACF5DBC"/>
    <w:rsid w:val="0AD00A70"/>
    <w:rsid w:val="0AD056F1"/>
    <w:rsid w:val="0AD05E05"/>
    <w:rsid w:val="0AD075AC"/>
    <w:rsid w:val="0AD16459"/>
    <w:rsid w:val="0AD26792"/>
    <w:rsid w:val="0AD338C2"/>
    <w:rsid w:val="0AD33E3F"/>
    <w:rsid w:val="0AD35BED"/>
    <w:rsid w:val="0AD57106"/>
    <w:rsid w:val="0AD63721"/>
    <w:rsid w:val="0AD63E0F"/>
    <w:rsid w:val="0AD6666C"/>
    <w:rsid w:val="0AD66FDA"/>
    <w:rsid w:val="0AD677E0"/>
    <w:rsid w:val="0AD738DA"/>
    <w:rsid w:val="0AD87630"/>
    <w:rsid w:val="0AD9736B"/>
    <w:rsid w:val="0ADA5CE5"/>
    <w:rsid w:val="0ADB0F46"/>
    <w:rsid w:val="0ADC15E0"/>
    <w:rsid w:val="0ADC7CC1"/>
    <w:rsid w:val="0ADD3BCE"/>
    <w:rsid w:val="0ADE267D"/>
    <w:rsid w:val="0ADE7F42"/>
    <w:rsid w:val="0ADF2D60"/>
    <w:rsid w:val="0AE0030A"/>
    <w:rsid w:val="0AE04074"/>
    <w:rsid w:val="0AE11131"/>
    <w:rsid w:val="0AE132BD"/>
    <w:rsid w:val="0AE22448"/>
    <w:rsid w:val="0AE22565"/>
    <w:rsid w:val="0AE262D7"/>
    <w:rsid w:val="0AE2666B"/>
    <w:rsid w:val="0AE41E68"/>
    <w:rsid w:val="0AE62CEC"/>
    <w:rsid w:val="0AE63DFD"/>
    <w:rsid w:val="0AE836F0"/>
    <w:rsid w:val="0AE857B7"/>
    <w:rsid w:val="0AEA2BB6"/>
    <w:rsid w:val="0AEB27C0"/>
    <w:rsid w:val="0AEC3153"/>
    <w:rsid w:val="0AEC4F01"/>
    <w:rsid w:val="0AEC5E05"/>
    <w:rsid w:val="0AEC6CAF"/>
    <w:rsid w:val="0AED2C0D"/>
    <w:rsid w:val="0AED32A5"/>
    <w:rsid w:val="0AEE42FF"/>
    <w:rsid w:val="0AEE56A8"/>
    <w:rsid w:val="0AEE6ECB"/>
    <w:rsid w:val="0AEF4C47"/>
    <w:rsid w:val="0AEF704F"/>
    <w:rsid w:val="0AEF79BA"/>
    <w:rsid w:val="0AF470A5"/>
    <w:rsid w:val="0AF53DB5"/>
    <w:rsid w:val="0AF56E26"/>
    <w:rsid w:val="0AF67531"/>
    <w:rsid w:val="0AF72964"/>
    <w:rsid w:val="0AFA0330"/>
    <w:rsid w:val="0AFA1623"/>
    <w:rsid w:val="0AFA761E"/>
    <w:rsid w:val="0AFB1BC7"/>
    <w:rsid w:val="0AFD59B8"/>
    <w:rsid w:val="0AFE107C"/>
    <w:rsid w:val="0AFE3617"/>
    <w:rsid w:val="0AFE4838"/>
    <w:rsid w:val="0AFE74FA"/>
    <w:rsid w:val="0AFF5B2E"/>
    <w:rsid w:val="0B00175E"/>
    <w:rsid w:val="0B0031E4"/>
    <w:rsid w:val="0B0345F4"/>
    <w:rsid w:val="0B0432BC"/>
    <w:rsid w:val="0B051AF1"/>
    <w:rsid w:val="0B0679B3"/>
    <w:rsid w:val="0B0A41ED"/>
    <w:rsid w:val="0B0D03DA"/>
    <w:rsid w:val="0B0D458A"/>
    <w:rsid w:val="0B0D5E93"/>
    <w:rsid w:val="0B0F07E3"/>
    <w:rsid w:val="0B0F40BE"/>
    <w:rsid w:val="0B0F5795"/>
    <w:rsid w:val="0B1004C6"/>
    <w:rsid w:val="0B105855"/>
    <w:rsid w:val="0B1102C2"/>
    <w:rsid w:val="0B11754D"/>
    <w:rsid w:val="0B117E42"/>
    <w:rsid w:val="0B120D44"/>
    <w:rsid w:val="0B124BEF"/>
    <w:rsid w:val="0B1306DF"/>
    <w:rsid w:val="0B13465D"/>
    <w:rsid w:val="0B143F00"/>
    <w:rsid w:val="0B1510EE"/>
    <w:rsid w:val="0B1526A9"/>
    <w:rsid w:val="0B157C23"/>
    <w:rsid w:val="0B162841"/>
    <w:rsid w:val="0B164DF8"/>
    <w:rsid w:val="0B181EC4"/>
    <w:rsid w:val="0B182353"/>
    <w:rsid w:val="0B193834"/>
    <w:rsid w:val="0B1B291A"/>
    <w:rsid w:val="0B1C2D70"/>
    <w:rsid w:val="0B1D0C17"/>
    <w:rsid w:val="0B1E3054"/>
    <w:rsid w:val="0B1E33D5"/>
    <w:rsid w:val="0B1F52D6"/>
    <w:rsid w:val="0B21438C"/>
    <w:rsid w:val="0B2203A1"/>
    <w:rsid w:val="0B22323D"/>
    <w:rsid w:val="0B224A6C"/>
    <w:rsid w:val="0B2265AA"/>
    <w:rsid w:val="0B245204"/>
    <w:rsid w:val="0B260413"/>
    <w:rsid w:val="0B270EE2"/>
    <w:rsid w:val="0B28286B"/>
    <w:rsid w:val="0B297284"/>
    <w:rsid w:val="0B2A4AEB"/>
    <w:rsid w:val="0B2C16D8"/>
    <w:rsid w:val="0B2C354F"/>
    <w:rsid w:val="0B2C62D0"/>
    <w:rsid w:val="0B2D28C6"/>
    <w:rsid w:val="0B2E376B"/>
    <w:rsid w:val="0B2E7A07"/>
    <w:rsid w:val="0B305469"/>
    <w:rsid w:val="0B307E3F"/>
    <w:rsid w:val="0B311452"/>
    <w:rsid w:val="0B315206"/>
    <w:rsid w:val="0B315F59"/>
    <w:rsid w:val="0B316DB7"/>
    <w:rsid w:val="0B322AD2"/>
    <w:rsid w:val="0B333457"/>
    <w:rsid w:val="0B33590C"/>
    <w:rsid w:val="0B346E0F"/>
    <w:rsid w:val="0B35679C"/>
    <w:rsid w:val="0B364F7D"/>
    <w:rsid w:val="0B36526C"/>
    <w:rsid w:val="0B372BCC"/>
    <w:rsid w:val="0B374D91"/>
    <w:rsid w:val="0B3B0722"/>
    <w:rsid w:val="0B3B2F89"/>
    <w:rsid w:val="0B3B38A2"/>
    <w:rsid w:val="0B3B5350"/>
    <w:rsid w:val="0B3C0C7A"/>
    <w:rsid w:val="0B3C4729"/>
    <w:rsid w:val="0B3D4405"/>
    <w:rsid w:val="0B3D7174"/>
    <w:rsid w:val="0B3F22EB"/>
    <w:rsid w:val="0B3F4740"/>
    <w:rsid w:val="0B3F60F6"/>
    <w:rsid w:val="0B413C35"/>
    <w:rsid w:val="0B416931"/>
    <w:rsid w:val="0B420B44"/>
    <w:rsid w:val="0B422536"/>
    <w:rsid w:val="0B451E13"/>
    <w:rsid w:val="0B46124C"/>
    <w:rsid w:val="0B4665F3"/>
    <w:rsid w:val="0B4822BD"/>
    <w:rsid w:val="0B4B7E79"/>
    <w:rsid w:val="0B4C35B6"/>
    <w:rsid w:val="0B4D1BF8"/>
    <w:rsid w:val="0B4E5009"/>
    <w:rsid w:val="0B4E5B54"/>
    <w:rsid w:val="0B4F2FC4"/>
    <w:rsid w:val="0B51469B"/>
    <w:rsid w:val="0B516E5B"/>
    <w:rsid w:val="0B5219BA"/>
    <w:rsid w:val="0B541154"/>
    <w:rsid w:val="0B542754"/>
    <w:rsid w:val="0B544C94"/>
    <w:rsid w:val="0B5473B6"/>
    <w:rsid w:val="0B552AA6"/>
    <w:rsid w:val="0B55304C"/>
    <w:rsid w:val="0B555221"/>
    <w:rsid w:val="0B55611E"/>
    <w:rsid w:val="0B556792"/>
    <w:rsid w:val="0B557634"/>
    <w:rsid w:val="0B583A0C"/>
    <w:rsid w:val="0B5D7153"/>
    <w:rsid w:val="0B5D7DF5"/>
    <w:rsid w:val="0B5E026A"/>
    <w:rsid w:val="0B5E26B2"/>
    <w:rsid w:val="0B5E368C"/>
    <w:rsid w:val="0B5F704C"/>
    <w:rsid w:val="0B6131F9"/>
    <w:rsid w:val="0B615C80"/>
    <w:rsid w:val="0B647CCD"/>
    <w:rsid w:val="0B65081E"/>
    <w:rsid w:val="0B6558D0"/>
    <w:rsid w:val="0B6600D6"/>
    <w:rsid w:val="0B6652C1"/>
    <w:rsid w:val="0B675AF7"/>
    <w:rsid w:val="0B6841E9"/>
    <w:rsid w:val="0B684263"/>
    <w:rsid w:val="0B69244E"/>
    <w:rsid w:val="0B694848"/>
    <w:rsid w:val="0B6B559F"/>
    <w:rsid w:val="0B6C31F5"/>
    <w:rsid w:val="0B6C59A0"/>
    <w:rsid w:val="0B6E48D3"/>
    <w:rsid w:val="0B6F30CD"/>
    <w:rsid w:val="0B70076C"/>
    <w:rsid w:val="0B7068E1"/>
    <w:rsid w:val="0B71481D"/>
    <w:rsid w:val="0B720192"/>
    <w:rsid w:val="0B7218AA"/>
    <w:rsid w:val="0B725860"/>
    <w:rsid w:val="0B727EBB"/>
    <w:rsid w:val="0B732E93"/>
    <w:rsid w:val="0B74273E"/>
    <w:rsid w:val="0B76595A"/>
    <w:rsid w:val="0B786BC4"/>
    <w:rsid w:val="0B791257"/>
    <w:rsid w:val="0B792DE4"/>
    <w:rsid w:val="0B796947"/>
    <w:rsid w:val="0B7A03E6"/>
    <w:rsid w:val="0B7A5A70"/>
    <w:rsid w:val="0B7B4628"/>
    <w:rsid w:val="0B7B5CD3"/>
    <w:rsid w:val="0B7C339E"/>
    <w:rsid w:val="0B7C634C"/>
    <w:rsid w:val="0B7D4479"/>
    <w:rsid w:val="0B7D707B"/>
    <w:rsid w:val="0B7E46FA"/>
    <w:rsid w:val="0B7E6535"/>
    <w:rsid w:val="0B7E671A"/>
    <w:rsid w:val="0B7F5F44"/>
    <w:rsid w:val="0B7F7B23"/>
    <w:rsid w:val="0B7F7E8C"/>
    <w:rsid w:val="0B814603"/>
    <w:rsid w:val="0B824E36"/>
    <w:rsid w:val="0B8341CE"/>
    <w:rsid w:val="0B836769"/>
    <w:rsid w:val="0B85069B"/>
    <w:rsid w:val="0B851A79"/>
    <w:rsid w:val="0B8769D7"/>
    <w:rsid w:val="0B8821F5"/>
    <w:rsid w:val="0B8B4185"/>
    <w:rsid w:val="0B8B4447"/>
    <w:rsid w:val="0B8B6796"/>
    <w:rsid w:val="0B8C4D99"/>
    <w:rsid w:val="0B8D2EAB"/>
    <w:rsid w:val="0B8D43CD"/>
    <w:rsid w:val="0B8E047B"/>
    <w:rsid w:val="0B8F5352"/>
    <w:rsid w:val="0B903F47"/>
    <w:rsid w:val="0B905622"/>
    <w:rsid w:val="0B921852"/>
    <w:rsid w:val="0B930D29"/>
    <w:rsid w:val="0B9335CE"/>
    <w:rsid w:val="0B93780A"/>
    <w:rsid w:val="0B945120"/>
    <w:rsid w:val="0B953B5C"/>
    <w:rsid w:val="0B956B80"/>
    <w:rsid w:val="0B9605EA"/>
    <w:rsid w:val="0B971EFD"/>
    <w:rsid w:val="0B97223D"/>
    <w:rsid w:val="0B9728B7"/>
    <w:rsid w:val="0B97468A"/>
    <w:rsid w:val="0B97478E"/>
    <w:rsid w:val="0B984BA5"/>
    <w:rsid w:val="0B9B157B"/>
    <w:rsid w:val="0B9B324A"/>
    <w:rsid w:val="0B9B784C"/>
    <w:rsid w:val="0B9B7DBC"/>
    <w:rsid w:val="0B9D0239"/>
    <w:rsid w:val="0B9D0BE0"/>
    <w:rsid w:val="0B9D3B00"/>
    <w:rsid w:val="0B9D57DE"/>
    <w:rsid w:val="0B9D5B89"/>
    <w:rsid w:val="0B9E444D"/>
    <w:rsid w:val="0B9E5307"/>
    <w:rsid w:val="0B9F3118"/>
    <w:rsid w:val="0B9F34BE"/>
    <w:rsid w:val="0B9F7652"/>
    <w:rsid w:val="0BA0070D"/>
    <w:rsid w:val="0BA04E1E"/>
    <w:rsid w:val="0BA14A9B"/>
    <w:rsid w:val="0BA15489"/>
    <w:rsid w:val="0BA2391B"/>
    <w:rsid w:val="0BA4082F"/>
    <w:rsid w:val="0BA50AA1"/>
    <w:rsid w:val="0BA63AAA"/>
    <w:rsid w:val="0BA650B0"/>
    <w:rsid w:val="0BA67BA3"/>
    <w:rsid w:val="0BA719E0"/>
    <w:rsid w:val="0BA82946"/>
    <w:rsid w:val="0BA85B26"/>
    <w:rsid w:val="0BA93617"/>
    <w:rsid w:val="0BA94D3D"/>
    <w:rsid w:val="0BA97326"/>
    <w:rsid w:val="0BAA1EC1"/>
    <w:rsid w:val="0BAA3D22"/>
    <w:rsid w:val="0BAB19E1"/>
    <w:rsid w:val="0BAB376E"/>
    <w:rsid w:val="0BAB46E3"/>
    <w:rsid w:val="0BAC6977"/>
    <w:rsid w:val="0BAE41AE"/>
    <w:rsid w:val="0BAF0DCA"/>
    <w:rsid w:val="0BAF0EEA"/>
    <w:rsid w:val="0BAF1F3A"/>
    <w:rsid w:val="0BB02F3A"/>
    <w:rsid w:val="0BB30246"/>
    <w:rsid w:val="0BB35A1E"/>
    <w:rsid w:val="0BB42400"/>
    <w:rsid w:val="0BB450C1"/>
    <w:rsid w:val="0BB51797"/>
    <w:rsid w:val="0BB63399"/>
    <w:rsid w:val="0BB850EE"/>
    <w:rsid w:val="0BB96184"/>
    <w:rsid w:val="0BB96329"/>
    <w:rsid w:val="0BBA4DF6"/>
    <w:rsid w:val="0BBC3179"/>
    <w:rsid w:val="0BBF4F4E"/>
    <w:rsid w:val="0BBF7B13"/>
    <w:rsid w:val="0BC05EFE"/>
    <w:rsid w:val="0BC1013B"/>
    <w:rsid w:val="0BC21A2B"/>
    <w:rsid w:val="0BC46651"/>
    <w:rsid w:val="0BC46C49"/>
    <w:rsid w:val="0BC62891"/>
    <w:rsid w:val="0BC75922"/>
    <w:rsid w:val="0BC814CA"/>
    <w:rsid w:val="0BCA0FE2"/>
    <w:rsid w:val="0BCA33F1"/>
    <w:rsid w:val="0BCA3494"/>
    <w:rsid w:val="0BCB3919"/>
    <w:rsid w:val="0BCC3CC9"/>
    <w:rsid w:val="0BCF654A"/>
    <w:rsid w:val="0BD04822"/>
    <w:rsid w:val="0BD05976"/>
    <w:rsid w:val="0BD1019E"/>
    <w:rsid w:val="0BD11949"/>
    <w:rsid w:val="0BD27BF6"/>
    <w:rsid w:val="0BD41532"/>
    <w:rsid w:val="0BD462A2"/>
    <w:rsid w:val="0BD47E6F"/>
    <w:rsid w:val="0BD7265C"/>
    <w:rsid w:val="0BD728F3"/>
    <w:rsid w:val="0BD75BB1"/>
    <w:rsid w:val="0BD8459A"/>
    <w:rsid w:val="0BD85122"/>
    <w:rsid w:val="0BDA65CB"/>
    <w:rsid w:val="0BDC2DC9"/>
    <w:rsid w:val="0BDE3217"/>
    <w:rsid w:val="0BDE325C"/>
    <w:rsid w:val="0BDE77FF"/>
    <w:rsid w:val="0BDF79CB"/>
    <w:rsid w:val="0BE05039"/>
    <w:rsid w:val="0BE2006A"/>
    <w:rsid w:val="0BE300B2"/>
    <w:rsid w:val="0BE31D66"/>
    <w:rsid w:val="0BE42701"/>
    <w:rsid w:val="0BE42BDB"/>
    <w:rsid w:val="0BE44BE0"/>
    <w:rsid w:val="0BE47408"/>
    <w:rsid w:val="0BE574CD"/>
    <w:rsid w:val="0BE67BA2"/>
    <w:rsid w:val="0BE8133B"/>
    <w:rsid w:val="0BE81DF9"/>
    <w:rsid w:val="0BE83169"/>
    <w:rsid w:val="0BE91F90"/>
    <w:rsid w:val="0BE9536E"/>
    <w:rsid w:val="0BEB02FB"/>
    <w:rsid w:val="0BEB06AF"/>
    <w:rsid w:val="0BEB132D"/>
    <w:rsid w:val="0BEB7078"/>
    <w:rsid w:val="0BEC6A6F"/>
    <w:rsid w:val="0BED3143"/>
    <w:rsid w:val="0BEE1F01"/>
    <w:rsid w:val="0BEE3079"/>
    <w:rsid w:val="0BEE3B04"/>
    <w:rsid w:val="0BEE64B9"/>
    <w:rsid w:val="0BEF7550"/>
    <w:rsid w:val="0BF02888"/>
    <w:rsid w:val="0BF41E85"/>
    <w:rsid w:val="0BF52F04"/>
    <w:rsid w:val="0BF54270"/>
    <w:rsid w:val="0BF54749"/>
    <w:rsid w:val="0BF60220"/>
    <w:rsid w:val="0BF745FC"/>
    <w:rsid w:val="0BF8586F"/>
    <w:rsid w:val="0BF8789A"/>
    <w:rsid w:val="0BFA53FB"/>
    <w:rsid w:val="0BFC0F64"/>
    <w:rsid w:val="0BFC5617"/>
    <w:rsid w:val="0BFD3F69"/>
    <w:rsid w:val="0BFE355C"/>
    <w:rsid w:val="0BFE5A44"/>
    <w:rsid w:val="0C0050C2"/>
    <w:rsid w:val="0C01105A"/>
    <w:rsid w:val="0C01258D"/>
    <w:rsid w:val="0C017CA1"/>
    <w:rsid w:val="0C0229CB"/>
    <w:rsid w:val="0C022D5C"/>
    <w:rsid w:val="0C026B21"/>
    <w:rsid w:val="0C03282A"/>
    <w:rsid w:val="0C036083"/>
    <w:rsid w:val="0C042B21"/>
    <w:rsid w:val="0C042DC4"/>
    <w:rsid w:val="0C04759B"/>
    <w:rsid w:val="0C0619AA"/>
    <w:rsid w:val="0C0625BF"/>
    <w:rsid w:val="0C073EA3"/>
    <w:rsid w:val="0C0770D2"/>
    <w:rsid w:val="0C080818"/>
    <w:rsid w:val="0C09359C"/>
    <w:rsid w:val="0C0A4DFB"/>
    <w:rsid w:val="0C0A7410"/>
    <w:rsid w:val="0C0B4075"/>
    <w:rsid w:val="0C0C2228"/>
    <w:rsid w:val="0C0C7128"/>
    <w:rsid w:val="0C0C7CD3"/>
    <w:rsid w:val="0C0E2275"/>
    <w:rsid w:val="0C0F1ED8"/>
    <w:rsid w:val="0C0F5C35"/>
    <w:rsid w:val="0C104F6D"/>
    <w:rsid w:val="0C114DF3"/>
    <w:rsid w:val="0C120997"/>
    <w:rsid w:val="0C131D6A"/>
    <w:rsid w:val="0C131F16"/>
    <w:rsid w:val="0C136CD5"/>
    <w:rsid w:val="0C151E3E"/>
    <w:rsid w:val="0C155AC3"/>
    <w:rsid w:val="0C163FBD"/>
    <w:rsid w:val="0C186C96"/>
    <w:rsid w:val="0C187E7B"/>
    <w:rsid w:val="0C190677"/>
    <w:rsid w:val="0C190FD9"/>
    <w:rsid w:val="0C1920D5"/>
    <w:rsid w:val="0C1C210B"/>
    <w:rsid w:val="0C1C35C4"/>
    <w:rsid w:val="0C1D425C"/>
    <w:rsid w:val="0C1D52D5"/>
    <w:rsid w:val="0C1E5494"/>
    <w:rsid w:val="0C210BDA"/>
    <w:rsid w:val="0C221327"/>
    <w:rsid w:val="0C225756"/>
    <w:rsid w:val="0C226B52"/>
    <w:rsid w:val="0C2275E1"/>
    <w:rsid w:val="0C232BA4"/>
    <w:rsid w:val="0C241511"/>
    <w:rsid w:val="0C25691C"/>
    <w:rsid w:val="0C280823"/>
    <w:rsid w:val="0C280F08"/>
    <w:rsid w:val="0C281752"/>
    <w:rsid w:val="0C2A134F"/>
    <w:rsid w:val="0C2A1E96"/>
    <w:rsid w:val="0C2A280E"/>
    <w:rsid w:val="0C2A334A"/>
    <w:rsid w:val="0C2A3E9A"/>
    <w:rsid w:val="0C2B3807"/>
    <w:rsid w:val="0C2C04FF"/>
    <w:rsid w:val="0C2C5CA2"/>
    <w:rsid w:val="0C2E3B51"/>
    <w:rsid w:val="0C2E3DBD"/>
    <w:rsid w:val="0C2E4793"/>
    <w:rsid w:val="0C2F779B"/>
    <w:rsid w:val="0C3031B5"/>
    <w:rsid w:val="0C340A64"/>
    <w:rsid w:val="0C3429D5"/>
    <w:rsid w:val="0C34362A"/>
    <w:rsid w:val="0C3445D9"/>
    <w:rsid w:val="0C346D58"/>
    <w:rsid w:val="0C353E37"/>
    <w:rsid w:val="0C35539F"/>
    <w:rsid w:val="0C355D3A"/>
    <w:rsid w:val="0C3562E6"/>
    <w:rsid w:val="0C3605A2"/>
    <w:rsid w:val="0C3645B7"/>
    <w:rsid w:val="0C381012"/>
    <w:rsid w:val="0C3B2560"/>
    <w:rsid w:val="0C3B3C7D"/>
    <w:rsid w:val="0C3C0DB1"/>
    <w:rsid w:val="0C3C2437"/>
    <w:rsid w:val="0C3C24FF"/>
    <w:rsid w:val="0C3C5A14"/>
    <w:rsid w:val="0C3D52DE"/>
    <w:rsid w:val="0C3E1768"/>
    <w:rsid w:val="0C401CE7"/>
    <w:rsid w:val="0C40602C"/>
    <w:rsid w:val="0C411129"/>
    <w:rsid w:val="0C4214E4"/>
    <w:rsid w:val="0C4257A8"/>
    <w:rsid w:val="0C43490E"/>
    <w:rsid w:val="0C440C8A"/>
    <w:rsid w:val="0C440F18"/>
    <w:rsid w:val="0C442C4A"/>
    <w:rsid w:val="0C443CF0"/>
    <w:rsid w:val="0C45290D"/>
    <w:rsid w:val="0C452B1A"/>
    <w:rsid w:val="0C461510"/>
    <w:rsid w:val="0C465CF5"/>
    <w:rsid w:val="0C474B95"/>
    <w:rsid w:val="0C475B98"/>
    <w:rsid w:val="0C4951D3"/>
    <w:rsid w:val="0C4A5943"/>
    <w:rsid w:val="0C4B3335"/>
    <w:rsid w:val="0C4B5C57"/>
    <w:rsid w:val="0C4C4B1C"/>
    <w:rsid w:val="0C4D4F98"/>
    <w:rsid w:val="0C4E26B9"/>
    <w:rsid w:val="0C4E3810"/>
    <w:rsid w:val="0C4F03B9"/>
    <w:rsid w:val="0C4F1E99"/>
    <w:rsid w:val="0C4F203C"/>
    <w:rsid w:val="0C50454A"/>
    <w:rsid w:val="0C50607D"/>
    <w:rsid w:val="0C51526C"/>
    <w:rsid w:val="0C5204F7"/>
    <w:rsid w:val="0C521756"/>
    <w:rsid w:val="0C5311D9"/>
    <w:rsid w:val="0C533913"/>
    <w:rsid w:val="0C5360A3"/>
    <w:rsid w:val="0C542CA2"/>
    <w:rsid w:val="0C54566A"/>
    <w:rsid w:val="0C547201"/>
    <w:rsid w:val="0C584E47"/>
    <w:rsid w:val="0C5B2294"/>
    <w:rsid w:val="0C5B229D"/>
    <w:rsid w:val="0C5B2CE5"/>
    <w:rsid w:val="0C5B62F5"/>
    <w:rsid w:val="0C5C2BCE"/>
    <w:rsid w:val="0C5D0CEE"/>
    <w:rsid w:val="0C5D2D05"/>
    <w:rsid w:val="0C5E2BA8"/>
    <w:rsid w:val="0C5F6AD6"/>
    <w:rsid w:val="0C603C4E"/>
    <w:rsid w:val="0C6057EC"/>
    <w:rsid w:val="0C60667C"/>
    <w:rsid w:val="0C607062"/>
    <w:rsid w:val="0C613D5A"/>
    <w:rsid w:val="0C61547A"/>
    <w:rsid w:val="0C62053E"/>
    <w:rsid w:val="0C62142B"/>
    <w:rsid w:val="0C625168"/>
    <w:rsid w:val="0C632FA1"/>
    <w:rsid w:val="0C6542A8"/>
    <w:rsid w:val="0C6750AD"/>
    <w:rsid w:val="0C681DF5"/>
    <w:rsid w:val="0C6A27A7"/>
    <w:rsid w:val="0C6C04CA"/>
    <w:rsid w:val="0C6C0502"/>
    <w:rsid w:val="0C6C454B"/>
    <w:rsid w:val="0C6C758B"/>
    <w:rsid w:val="0C6D1B6A"/>
    <w:rsid w:val="0C6E6426"/>
    <w:rsid w:val="0C6F2B6C"/>
    <w:rsid w:val="0C702F92"/>
    <w:rsid w:val="0C711B61"/>
    <w:rsid w:val="0C733836"/>
    <w:rsid w:val="0C7358DA"/>
    <w:rsid w:val="0C7468B1"/>
    <w:rsid w:val="0C753E94"/>
    <w:rsid w:val="0C755998"/>
    <w:rsid w:val="0C756F5B"/>
    <w:rsid w:val="0C770BC8"/>
    <w:rsid w:val="0C7739F0"/>
    <w:rsid w:val="0C781DCE"/>
    <w:rsid w:val="0C7926DC"/>
    <w:rsid w:val="0C7927C4"/>
    <w:rsid w:val="0C7961B4"/>
    <w:rsid w:val="0C7A3240"/>
    <w:rsid w:val="0C7A5FDE"/>
    <w:rsid w:val="0C7C7291"/>
    <w:rsid w:val="0C7E10A4"/>
    <w:rsid w:val="0C7E16EC"/>
    <w:rsid w:val="0C7E5E2A"/>
    <w:rsid w:val="0C7E6BD6"/>
    <w:rsid w:val="0C7F4BBA"/>
    <w:rsid w:val="0C7F79A0"/>
    <w:rsid w:val="0C807FF6"/>
    <w:rsid w:val="0C8111E0"/>
    <w:rsid w:val="0C8118F7"/>
    <w:rsid w:val="0C81697F"/>
    <w:rsid w:val="0C833643"/>
    <w:rsid w:val="0C835606"/>
    <w:rsid w:val="0C835D77"/>
    <w:rsid w:val="0C85287A"/>
    <w:rsid w:val="0C854022"/>
    <w:rsid w:val="0C860DC6"/>
    <w:rsid w:val="0C88586B"/>
    <w:rsid w:val="0C8A1D93"/>
    <w:rsid w:val="0C8A519B"/>
    <w:rsid w:val="0C8A677F"/>
    <w:rsid w:val="0C8C0D2E"/>
    <w:rsid w:val="0C8C5F02"/>
    <w:rsid w:val="0C8D0588"/>
    <w:rsid w:val="0C8E4C81"/>
    <w:rsid w:val="0C8E517D"/>
    <w:rsid w:val="0C8E7309"/>
    <w:rsid w:val="0C8E7331"/>
    <w:rsid w:val="0C8F023A"/>
    <w:rsid w:val="0C8F1818"/>
    <w:rsid w:val="0C8F26B3"/>
    <w:rsid w:val="0C902932"/>
    <w:rsid w:val="0C9043A0"/>
    <w:rsid w:val="0C9108DB"/>
    <w:rsid w:val="0C913243"/>
    <w:rsid w:val="0C930CAB"/>
    <w:rsid w:val="0C933BF2"/>
    <w:rsid w:val="0C935AD8"/>
    <w:rsid w:val="0C9456BE"/>
    <w:rsid w:val="0C951777"/>
    <w:rsid w:val="0C9546EB"/>
    <w:rsid w:val="0C962507"/>
    <w:rsid w:val="0C99097B"/>
    <w:rsid w:val="0C992E66"/>
    <w:rsid w:val="0C99711A"/>
    <w:rsid w:val="0C9C412E"/>
    <w:rsid w:val="0C9C4590"/>
    <w:rsid w:val="0C9D67D6"/>
    <w:rsid w:val="0C9E2EFD"/>
    <w:rsid w:val="0CA23AC9"/>
    <w:rsid w:val="0CA4567B"/>
    <w:rsid w:val="0CA46F8E"/>
    <w:rsid w:val="0CA47B99"/>
    <w:rsid w:val="0CA55289"/>
    <w:rsid w:val="0CA57283"/>
    <w:rsid w:val="0CA674A0"/>
    <w:rsid w:val="0CA72AB2"/>
    <w:rsid w:val="0CA80339"/>
    <w:rsid w:val="0CA83C65"/>
    <w:rsid w:val="0CA871B9"/>
    <w:rsid w:val="0CA93102"/>
    <w:rsid w:val="0CA96CF0"/>
    <w:rsid w:val="0CAA23E1"/>
    <w:rsid w:val="0CAB2A25"/>
    <w:rsid w:val="0CAB2EAE"/>
    <w:rsid w:val="0CAB7DDE"/>
    <w:rsid w:val="0CAC5183"/>
    <w:rsid w:val="0CAD4DE5"/>
    <w:rsid w:val="0CAF7BEE"/>
    <w:rsid w:val="0CB05059"/>
    <w:rsid w:val="0CB13202"/>
    <w:rsid w:val="0CB13BEE"/>
    <w:rsid w:val="0CB16402"/>
    <w:rsid w:val="0CB16AEF"/>
    <w:rsid w:val="0CB172D4"/>
    <w:rsid w:val="0CB234D4"/>
    <w:rsid w:val="0CB347CF"/>
    <w:rsid w:val="0CB35CD6"/>
    <w:rsid w:val="0CB425F0"/>
    <w:rsid w:val="0CB4714F"/>
    <w:rsid w:val="0CB504B7"/>
    <w:rsid w:val="0CB54215"/>
    <w:rsid w:val="0CB54382"/>
    <w:rsid w:val="0CB67CA5"/>
    <w:rsid w:val="0CB71594"/>
    <w:rsid w:val="0CB720A5"/>
    <w:rsid w:val="0CB7422D"/>
    <w:rsid w:val="0CB7428A"/>
    <w:rsid w:val="0CB74623"/>
    <w:rsid w:val="0CB832EC"/>
    <w:rsid w:val="0CB87790"/>
    <w:rsid w:val="0CBA3AB9"/>
    <w:rsid w:val="0CBA4D79"/>
    <w:rsid w:val="0CBA77D6"/>
    <w:rsid w:val="0CBB30BD"/>
    <w:rsid w:val="0CBB7507"/>
    <w:rsid w:val="0CBC0125"/>
    <w:rsid w:val="0CBC2E44"/>
    <w:rsid w:val="0CBC3CE3"/>
    <w:rsid w:val="0CBD0A57"/>
    <w:rsid w:val="0CBD4361"/>
    <w:rsid w:val="0CBD77C4"/>
    <w:rsid w:val="0CBD7845"/>
    <w:rsid w:val="0CBE5BED"/>
    <w:rsid w:val="0CBF1A59"/>
    <w:rsid w:val="0CBF28BA"/>
    <w:rsid w:val="0CBF2D9F"/>
    <w:rsid w:val="0CBF3DFC"/>
    <w:rsid w:val="0CC06645"/>
    <w:rsid w:val="0CC15289"/>
    <w:rsid w:val="0CC22F81"/>
    <w:rsid w:val="0CC260AF"/>
    <w:rsid w:val="0CC304D9"/>
    <w:rsid w:val="0CC358E9"/>
    <w:rsid w:val="0CC506A0"/>
    <w:rsid w:val="0CC51DA6"/>
    <w:rsid w:val="0CC52718"/>
    <w:rsid w:val="0CC86339"/>
    <w:rsid w:val="0CC903D5"/>
    <w:rsid w:val="0CC93829"/>
    <w:rsid w:val="0CC93FE1"/>
    <w:rsid w:val="0CCA1337"/>
    <w:rsid w:val="0CCA22FB"/>
    <w:rsid w:val="0CCA58E6"/>
    <w:rsid w:val="0CCB79B7"/>
    <w:rsid w:val="0CCF1734"/>
    <w:rsid w:val="0CD15214"/>
    <w:rsid w:val="0CD3625F"/>
    <w:rsid w:val="0CD55C56"/>
    <w:rsid w:val="0CD708D6"/>
    <w:rsid w:val="0CD71DB7"/>
    <w:rsid w:val="0CD75706"/>
    <w:rsid w:val="0CD75AE9"/>
    <w:rsid w:val="0CD8286D"/>
    <w:rsid w:val="0CD84175"/>
    <w:rsid w:val="0CD8600E"/>
    <w:rsid w:val="0CD90C90"/>
    <w:rsid w:val="0CD93263"/>
    <w:rsid w:val="0CD97E22"/>
    <w:rsid w:val="0CDA047F"/>
    <w:rsid w:val="0CDA1A45"/>
    <w:rsid w:val="0CDA2270"/>
    <w:rsid w:val="0CDB1964"/>
    <w:rsid w:val="0CDC2F61"/>
    <w:rsid w:val="0CDC55B2"/>
    <w:rsid w:val="0CDD2391"/>
    <w:rsid w:val="0CDE2C47"/>
    <w:rsid w:val="0CDE58EC"/>
    <w:rsid w:val="0CDE6FB4"/>
    <w:rsid w:val="0CDF4D1D"/>
    <w:rsid w:val="0CE00A95"/>
    <w:rsid w:val="0CE063B3"/>
    <w:rsid w:val="0CE2480D"/>
    <w:rsid w:val="0CE24BBC"/>
    <w:rsid w:val="0CE27FA3"/>
    <w:rsid w:val="0CE32A05"/>
    <w:rsid w:val="0CE3302D"/>
    <w:rsid w:val="0CE33210"/>
    <w:rsid w:val="0CE40585"/>
    <w:rsid w:val="0CE40AB7"/>
    <w:rsid w:val="0CE42333"/>
    <w:rsid w:val="0CE534B3"/>
    <w:rsid w:val="0CE57B57"/>
    <w:rsid w:val="0CE67CD8"/>
    <w:rsid w:val="0CE70843"/>
    <w:rsid w:val="0CE7101F"/>
    <w:rsid w:val="0CE80143"/>
    <w:rsid w:val="0CE812E3"/>
    <w:rsid w:val="0CE816C7"/>
    <w:rsid w:val="0CEA4CE3"/>
    <w:rsid w:val="0CEA6AE0"/>
    <w:rsid w:val="0CEC3E44"/>
    <w:rsid w:val="0CEC68B1"/>
    <w:rsid w:val="0CEC68EE"/>
    <w:rsid w:val="0CED3ABE"/>
    <w:rsid w:val="0CED3FC7"/>
    <w:rsid w:val="0CED5185"/>
    <w:rsid w:val="0CEE3262"/>
    <w:rsid w:val="0CEE3BDA"/>
    <w:rsid w:val="0CEE4F60"/>
    <w:rsid w:val="0CEF417E"/>
    <w:rsid w:val="0CF013D3"/>
    <w:rsid w:val="0CF03C84"/>
    <w:rsid w:val="0CF0488B"/>
    <w:rsid w:val="0CF06F2A"/>
    <w:rsid w:val="0CF16073"/>
    <w:rsid w:val="0CF32DC7"/>
    <w:rsid w:val="0CF36A1F"/>
    <w:rsid w:val="0CF42D8C"/>
    <w:rsid w:val="0CF4470A"/>
    <w:rsid w:val="0CF5024F"/>
    <w:rsid w:val="0CF60A3D"/>
    <w:rsid w:val="0CF63E15"/>
    <w:rsid w:val="0CF7457D"/>
    <w:rsid w:val="0CF83803"/>
    <w:rsid w:val="0CF87939"/>
    <w:rsid w:val="0CF94180"/>
    <w:rsid w:val="0CFA3905"/>
    <w:rsid w:val="0CFA64A6"/>
    <w:rsid w:val="0CFB1C7B"/>
    <w:rsid w:val="0CFB6559"/>
    <w:rsid w:val="0CFD25B0"/>
    <w:rsid w:val="0CFE0B3A"/>
    <w:rsid w:val="0CFF53BF"/>
    <w:rsid w:val="0CFF5B1F"/>
    <w:rsid w:val="0D000A99"/>
    <w:rsid w:val="0D00449A"/>
    <w:rsid w:val="0D023645"/>
    <w:rsid w:val="0D026FA2"/>
    <w:rsid w:val="0D0277D5"/>
    <w:rsid w:val="0D0340E8"/>
    <w:rsid w:val="0D053799"/>
    <w:rsid w:val="0D057601"/>
    <w:rsid w:val="0D0710E4"/>
    <w:rsid w:val="0D076022"/>
    <w:rsid w:val="0D076F45"/>
    <w:rsid w:val="0D084524"/>
    <w:rsid w:val="0D090D77"/>
    <w:rsid w:val="0D0936CE"/>
    <w:rsid w:val="0D0C1728"/>
    <w:rsid w:val="0D0C3AFE"/>
    <w:rsid w:val="0D0C51DF"/>
    <w:rsid w:val="0D0D63D8"/>
    <w:rsid w:val="0D0E2AC1"/>
    <w:rsid w:val="0D0E5602"/>
    <w:rsid w:val="0D105541"/>
    <w:rsid w:val="0D122584"/>
    <w:rsid w:val="0D125BF3"/>
    <w:rsid w:val="0D127B87"/>
    <w:rsid w:val="0D132133"/>
    <w:rsid w:val="0D13275F"/>
    <w:rsid w:val="0D137AD8"/>
    <w:rsid w:val="0D144508"/>
    <w:rsid w:val="0D145FC8"/>
    <w:rsid w:val="0D175B88"/>
    <w:rsid w:val="0D180114"/>
    <w:rsid w:val="0D194D02"/>
    <w:rsid w:val="0D1A2EB9"/>
    <w:rsid w:val="0D1A5D63"/>
    <w:rsid w:val="0D1C166B"/>
    <w:rsid w:val="0D1C52C4"/>
    <w:rsid w:val="0D1D5845"/>
    <w:rsid w:val="0D1D6117"/>
    <w:rsid w:val="0D1E070A"/>
    <w:rsid w:val="0D1F0FAA"/>
    <w:rsid w:val="0D1F35D6"/>
    <w:rsid w:val="0D2045E3"/>
    <w:rsid w:val="0D2210AE"/>
    <w:rsid w:val="0D231027"/>
    <w:rsid w:val="0D234B29"/>
    <w:rsid w:val="0D237A2F"/>
    <w:rsid w:val="0D240982"/>
    <w:rsid w:val="0D242323"/>
    <w:rsid w:val="0D245EB3"/>
    <w:rsid w:val="0D2575CD"/>
    <w:rsid w:val="0D261A23"/>
    <w:rsid w:val="0D265E5E"/>
    <w:rsid w:val="0D2848B2"/>
    <w:rsid w:val="0D285365"/>
    <w:rsid w:val="0D293878"/>
    <w:rsid w:val="0D2942B1"/>
    <w:rsid w:val="0D2F12C1"/>
    <w:rsid w:val="0D2F65E9"/>
    <w:rsid w:val="0D305FBB"/>
    <w:rsid w:val="0D314E4D"/>
    <w:rsid w:val="0D322E53"/>
    <w:rsid w:val="0D3255EA"/>
    <w:rsid w:val="0D326F06"/>
    <w:rsid w:val="0D337FE6"/>
    <w:rsid w:val="0D343DD7"/>
    <w:rsid w:val="0D350DE1"/>
    <w:rsid w:val="0D3606B5"/>
    <w:rsid w:val="0D371818"/>
    <w:rsid w:val="0D38442D"/>
    <w:rsid w:val="0D384F87"/>
    <w:rsid w:val="0D387202"/>
    <w:rsid w:val="0D391AEE"/>
    <w:rsid w:val="0D3A7E81"/>
    <w:rsid w:val="0D3B3F1D"/>
    <w:rsid w:val="0D3B46E4"/>
    <w:rsid w:val="0D3C6790"/>
    <w:rsid w:val="0D3E1DBF"/>
    <w:rsid w:val="0D3E5CED"/>
    <w:rsid w:val="0D3E70EA"/>
    <w:rsid w:val="0D3F12B5"/>
    <w:rsid w:val="0D411534"/>
    <w:rsid w:val="0D412201"/>
    <w:rsid w:val="0D416978"/>
    <w:rsid w:val="0D4268B6"/>
    <w:rsid w:val="0D427FBC"/>
    <w:rsid w:val="0D436CF5"/>
    <w:rsid w:val="0D450F6F"/>
    <w:rsid w:val="0D4566F6"/>
    <w:rsid w:val="0D466DFE"/>
    <w:rsid w:val="0D474CAC"/>
    <w:rsid w:val="0D47649D"/>
    <w:rsid w:val="0D480C24"/>
    <w:rsid w:val="0D482A49"/>
    <w:rsid w:val="0D4B355C"/>
    <w:rsid w:val="0D4B64BF"/>
    <w:rsid w:val="0D4C0A4B"/>
    <w:rsid w:val="0D4C1C87"/>
    <w:rsid w:val="0D4C30E6"/>
    <w:rsid w:val="0D4C612B"/>
    <w:rsid w:val="0D4C6896"/>
    <w:rsid w:val="0D4F7AC0"/>
    <w:rsid w:val="0D505779"/>
    <w:rsid w:val="0D506A1B"/>
    <w:rsid w:val="0D507E3D"/>
    <w:rsid w:val="0D5146C3"/>
    <w:rsid w:val="0D5154EF"/>
    <w:rsid w:val="0D51729D"/>
    <w:rsid w:val="0D525902"/>
    <w:rsid w:val="0D531267"/>
    <w:rsid w:val="0D535BA1"/>
    <w:rsid w:val="0D5438AA"/>
    <w:rsid w:val="0D547510"/>
    <w:rsid w:val="0D563923"/>
    <w:rsid w:val="0D567F3B"/>
    <w:rsid w:val="0D574E1F"/>
    <w:rsid w:val="0D5850EA"/>
    <w:rsid w:val="0D5A2D36"/>
    <w:rsid w:val="0D5A5789"/>
    <w:rsid w:val="0D5B21DB"/>
    <w:rsid w:val="0D5B48F1"/>
    <w:rsid w:val="0D5C29AD"/>
    <w:rsid w:val="0D5C520C"/>
    <w:rsid w:val="0D5D08D7"/>
    <w:rsid w:val="0D5E609F"/>
    <w:rsid w:val="0D5F3A22"/>
    <w:rsid w:val="0D5F45B2"/>
    <w:rsid w:val="0D600D4E"/>
    <w:rsid w:val="0D6062FB"/>
    <w:rsid w:val="0D620537"/>
    <w:rsid w:val="0D621C7D"/>
    <w:rsid w:val="0D633FA8"/>
    <w:rsid w:val="0D643474"/>
    <w:rsid w:val="0D646FD0"/>
    <w:rsid w:val="0D656EE8"/>
    <w:rsid w:val="0D662B01"/>
    <w:rsid w:val="0D66372F"/>
    <w:rsid w:val="0D6671EC"/>
    <w:rsid w:val="0D674430"/>
    <w:rsid w:val="0D6765E2"/>
    <w:rsid w:val="0D6801BB"/>
    <w:rsid w:val="0D684661"/>
    <w:rsid w:val="0D690E19"/>
    <w:rsid w:val="0D6A203E"/>
    <w:rsid w:val="0D6B2B7C"/>
    <w:rsid w:val="0D6B5BFF"/>
    <w:rsid w:val="0D6B755C"/>
    <w:rsid w:val="0D6C41DE"/>
    <w:rsid w:val="0D6D19B3"/>
    <w:rsid w:val="0D6D3993"/>
    <w:rsid w:val="0D6D52AE"/>
    <w:rsid w:val="0D6D57BA"/>
    <w:rsid w:val="0D6E06AF"/>
    <w:rsid w:val="0D700439"/>
    <w:rsid w:val="0D7062A1"/>
    <w:rsid w:val="0D717922"/>
    <w:rsid w:val="0D7230BA"/>
    <w:rsid w:val="0D7452E2"/>
    <w:rsid w:val="0D7524CC"/>
    <w:rsid w:val="0D7543A1"/>
    <w:rsid w:val="0D756706"/>
    <w:rsid w:val="0D78328F"/>
    <w:rsid w:val="0D791A81"/>
    <w:rsid w:val="0D791E40"/>
    <w:rsid w:val="0D7A0209"/>
    <w:rsid w:val="0D7A2B7C"/>
    <w:rsid w:val="0D7A77FB"/>
    <w:rsid w:val="0D7B6D4B"/>
    <w:rsid w:val="0D7C0E79"/>
    <w:rsid w:val="0D7C6D79"/>
    <w:rsid w:val="0D7D62E4"/>
    <w:rsid w:val="0D7E038A"/>
    <w:rsid w:val="0D7F0B15"/>
    <w:rsid w:val="0D7F1873"/>
    <w:rsid w:val="0D7F75AA"/>
    <w:rsid w:val="0D813379"/>
    <w:rsid w:val="0D817B82"/>
    <w:rsid w:val="0D825106"/>
    <w:rsid w:val="0D82680C"/>
    <w:rsid w:val="0D83761A"/>
    <w:rsid w:val="0D86087B"/>
    <w:rsid w:val="0D87341B"/>
    <w:rsid w:val="0D896FCD"/>
    <w:rsid w:val="0D8A2702"/>
    <w:rsid w:val="0D8A3BCC"/>
    <w:rsid w:val="0D8A54C1"/>
    <w:rsid w:val="0D8C0A20"/>
    <w:rsid w:val="0D8C4C24"/>
    <w:rsid w:val="0D8D2AF4"/>
    <w:rsid w:val="0D8E229F"/>
    <w:rsid w:val="0D8F0506"/>
    <w:rsid w:val="0D903263"/>
    <w:rsid w:val="0D905134"/>
    <w:rsid w:val="0D923519"/>
    <w:rsid w:val="0D92409E"/>
    <w:rsid w:val="0D931491"/>
    <w:rsid w:val="0D940014"/>
    <w:rsid w:val="0D94111A"/>
    <w:rsid w:val="0D944BE8"/>
    <w:rsid w:val="0D944E27"/>
    <w:rsid w:val="0D9479FB"/>
    <w:rsid w:val="0D961154"/>
    <w:rsid w:val="0D9617C3"/>
    <w:rsid w:val="0D9720B1"/>
    <w:rsid w:val="0D972F70"/>
    <w:rsid w:val="0D9A50E8"/>
    <w:rsid w:val="0D9A51BE"/>
    <w:rsid w:val="0D9A749E"/>
    <w:rsid w:val="0D9A74A9"/>
    <w:rsid w:val="0D9B1890"/>
    <w:rsid w:val="0D9C24F9"/>
    <w:rsid w:val="0D9C6FDF"/>
    <w:rsid w:val="0D9D1FB0"/>
    <w:rsid w:val="0D9D4D22"/>
    <w:rsid w:val="0D9D6AED"/>
    <w:rsid w:val="0D9F276F"/>
    <w:rsid w:val="0D9F625A"/>
    <w:rsid w:val="0DA04044"/>
    <w:rsid w:val="0DA2213C"/>
    <w:rsid w:val="0DA564E2"/>
    <w:rsid w:val="0DA60B95"/>
    <w:rsid w:val="0DA63F96"/>
    <w:rsid w:val="0DA877FB"/>
    <w:rsid w:val="0DA9291F"/>
    <w:rsid w:val="0DAA01FB"/>
    <w:rsid w:val="0DAA2834"/>
    <w:rsid w:val="0DAA51C3"/>
    <w:rsid w:val="0DAA6B64"/>
    <w:rsid w:val="0DAA7B50"/>
    <w:rsid w:val="0DAB5E9B"/>
    <w:rsid w:val="0DAB61BB"/>
    <w:rsid w:val="0DAC629F"/>
    <w:rsid w:val="0DAD2242"/>
    <w:rsid w:val="0DAE57F1"/>
    <w:rsid w:val="0DAE649D"/>
    <w:rsid w:val="0DAF10CE"/>
    <w:rsid w:val="0DAF6FEE"/>
    <w:rsid w:val="0DB02583"/>
    <w:rsid w:val="0DB215A9"/>
    <w:rsid w:val="0DB2525A"/>
    <w:rsid w:val="0DB2607C"/>
    <w:rsid w:val="0DB3648E"/>
    <w:rsid w:val="0DB55810"/>
    <w:rsid w:val="0DB64F2E"/>
    <w:rsid w:val="0DB726D6"/>
    <w:rsid w:val="0DB729EC"/>
    <w:rsid w:val="0DB829A4"/>
    <w:rsid w:val="0DB96CBC"/>
    <w:rsid w:val="0DBC0589"/>
    <w:rsid w:val="0DBC46B6"/>
    <w:rsid w:val="0DBC47A6"/>
    <w:rsid w:val="0DBF0A18"/>
    <w:rsid w:val="0DBF554B"/>
    <w:rsid w:val="0DC2108B"/>
    <w:rsid w:val="0DC31E04"/>
    <w:rsid w:val="0DC36FB7"/>
    <w:rsid w:val="0DC4329A"/>
    <w:rsid w:val="0DC50DD0"/>
    <w:rsid w:val="0DC539E8"/>
    <w:rsid w:val="0DC575A6"/>
    <w:rsid w:val="0DC73A22"/>
    <w:rsid w:val="0DC83866"/>
    <w:rsid w:val="0DC83A03"/>
    <w:rsid w:val="0DC8503F"/>
    <w:rsid w:val="0DC93A40"/>
    <w:rsid w:val="0DCA131B"/>
    <w:rsid w:val="0DCA4643"/>
    <w:rsid w:val="0DCB2DB3"/>
    <w:rsid w:val="0DCC46DA"/>
    <w:rsid w:val="0DCD75FE"/>
    <w:rsid w:val="0DCD7BA9"/>
    <w:rsid w:val="0DCF5778"/>
    <w:rsid w:val="0DD000A7"/>
    <w:rsid w:val="0DD028B8"/>
    <w:rsid w:val="0DD0365D"/>
    <w:rsid w:val="0DD054E2"/>
    <w:rsid w:val="0DD223AA"/>
    <w:rsid w:val="0DD24CE1"/>
    <w:rsid w:val="0DD35E91"/>
    <w:rsid w:val="0DD36913"/>
    <w:rsid w:val="0DD441F7"/>
    <w:rsid w:val="0DD47C4D"/>
    <w:rsid w:val="0DD51251"/>
    <w:rsid w:val="0DD619A1"/>
    <w:rsid w:val="0DD67C38"/>
    <w:rsid w:val="0DD81805"/>
    <w:rsid w:val="0DDB03D5"/>
    <w:rsid w:val="0DDB5CB2"/>
    <w:rsid w:val="0DDC00AC"/>
    <w:rsid w:val="0DDC125D"/>
    <w:rsid w:val="0DDD4E75"/>
    <w:rsid w:val="0DDD6D83"/>
    <w:rsid w:val="0DDF04FC"/>
    <w:rsid w:val="0DDF2AFB"/>
    <w:rsid w:val="0DDF5D83"/>
    <w:rsid w:val="0DDF77D8"/>
    <w:rsid w:val="0DE039BA"/>
    <w:rsid w:val="0DE046CB"/>
    <w:rsid w:val="0DE17D12"/>
    <w:rsid w:val="0DE22D69"/>
    <w:rsid w:val="0DE31443"/>
    <w:rsid w:val="0DE352A9"/>
    <w:rsid w:val="0DE40111"/>
    <w:rsid w:val="0DE44A7B"/>
    <w:rsid w:val="0DE5685A"/>
    <w:rsid w:val="0DE80AB1"/>
    <w:rsid w:val="0DE819AF"/>
    <w:rsid w:val="0DE90C22"/>
    <w:rsid w:val="0DE9674A"/>
    <w:rsid w:val="0DEB5ADB"/>
    <w:rsid w:val="0DEB6B44"/>
    <w:rsid w:val="0DED16BC"/>
    <w:rsid w:val="0DEE618C"/>
    <w:rsid w:val="0DEF7BA6"/>
    <w:rsid w:val="0DF07431"/>
    <w:rsid w:val="0DF10215"/>
    <w:rsid w:val="0DF1073E"/>
    <w:rsid w:val="0DF115D4"/>
    <w:rsid w:val="0DF33223"/>
    <w:rsid w:val="0DF447F8"/>
    <w:rsid w:val="0DF452BE"/>
    <w:rsid w:val="0DF465A6"/>
    <w:rsid w:val="0DF50570"/>
    <w:rsid w:val="0DF5681E"/>
    <w:rsid w:val="0DF676AF"/>
    <w:rsid w:val="0DF70665"/>
    <w:rsid w:val="0DF7565D"/>
    <w:rsid w:val="0DF77C29"/>
    <w:rsid w:val="0DF81315"/>
    <w:rsid w:val="0DF82D6B"/>
    <w:rsid w:val="0DF85AE6"/>
    <w:rsid w:val="0DF91809"/>
    <w:rsid w:val="0DF927B5"/>
    <w:rsid w:val="0DF95E8A"/>
    <w:rsid w:val="0DFB0C04"/>
    <w:rsid w:val="0DFB39CA"/>
    <w:rsid w:val="0DFB6F6A"/>
    <w:rsid w:val="0DFC0735"/>
    <w:rsid w:val="0DFD0605"/>
    <w:rsid w:val="0DFE4238"/>
    <w:rsid w:val="0DFF1637"/>
    <w:rsid w:val="0DFF5365"/>
    <w:rsid w:val="0DFF77DB"/>
    <w:rsid w:val="0E013A91"/>
    <w:rsid w:val="0E024F5C"/>
    <w:rsid w:val="0E034A3B"/>
    <w:rsid w:val="0E03526E"/>
    <w:rsid w:val="0E0407B3"/>
    <w:rsid w:val="0E042DF9"/>
    <w:rsid w:val="0E0573A9"/>
    <w:rsid w:val="0E060087"/>
    <w:rsid w:val="0E063987"/>
    <w:rsid w:val="0E070BF2"/>
    <w:rsid w:val="0E074B7C"/>
    <w:rsid w:val="0E0765D2"/>
    <w:rsid w:val="0E0853E3"/>
    <w:rsid w:val="0E090B67"/>
    <w:rsid w:val="0E097B78"/>
    <w:rsid w:val="0E0A401C"/>
    <w:rsid w:val="0E0A513C"/>
    <w:rsid w:val="0E0A6DB3"/>
    <w:rsid w:val="0E0B4699"/>
    <w:rsid w:val="0E0B48EC"/>
    <w:rsid w:val="0E0B6A60"/>
    <w:rsid w:val="0E0B7039"/>
    <w:rsid w:val="0E0C412B"/>
    <w:rsid w:val="0E0D0A57"/>
    <w:rsid w:val="0E0D7075"/>
    <w:rsid w:val="0E0E518E"/>
    <w:rsid w:val="0E0E71A3"/>
    <w:rsid w:val="0E1010C1"/>
    <w:rsid w:val="0E105143"/>
    <w:rsid w:val="0E1069A3"/>
    <w:rsid w:val="0E112D08"/>
    <w:rsid w:val="0E126BFD"/>
    <w:rsid w:val="0E1277E0"/>
    <w:rsid w:val="0E127D38"/>
    <w:rsid w:val="0E133B38"/>
    <w:rsid w:val="0E134CBA"/>
    <w:rsid w:val="0E140F06"/>
    <w:rsid w:val="0E141A97"/>
    <w:rsid w:val="0E142267"/>
    <w:rsid w:val="0E143972"/>
    <w:rsid w:val="0E143EE8"/>
    <w:rsid w:val="0E145C92"/>
    <w:rsid w:val="0E14727F"/>
    <w:rsid w:val="0E164087"/>
    <w:rsid w:val="0E165611"/>
    <w:rsid w:val="0E171DFD"/>
    <w:rsid w:val="0E177E34"/>
    <w:rsid w:val="0E180A73"/>
    <w:rsid w:val="0E19425F"/>
    <w:rsid w:val="0E1B06D6"/>
    <w:rsid w:val="0E1B122C"/>
    <w:rsid w:val="0E1C3DD3"/>
    <w:rsid w:val="0E1C7FD6"/>
    <w:rsid w:val="0E1D549B"/>
    <w:rsid w:val="0E1E2F78"/>
    <w:rsid w:val="0E1E5AE4"/>
    <w:rsid w:val="0E1E6754"/>
    <w:rsid w:val="0E1E7AC7"/>
    <w:rsid w:val="0E1F3C1A"/>
    <w:rsid w:val="0E2065D1"/>
    <w:rsid w:val="0E2125DA"/>
    <w:rsid w:val="0E213113"/>
    <w:rsid w:val="0E21367C"/>
    <w:rsid w:val="0E22497A"/>
    <w:rsid w:val="0E245E83"/>
    <w:rsid w:val="0E250D15"/>
    <w:rsid w:val="0E256CFA"/>
    <w:rsid w:val="0E264F83"/>
    <w:rsid w:val="0E285898"/>
    <w:rsid w:val="0E2913AB"/>
    <w:rsid w:val="0E2954D7"/>
    <w:rsid w:val="0E2B0210"/>
    <w:rsid w:val="0E2B5D40"/>
    <w:rsid w:val="0E2C7647"/>
    <w:rsid w:val="0E2D1AB8"/>
    <w:rsid w:val="0E2F73E6"/>
    <w:rsid w:val="0E302938"/>
    <w:rsid w:val="0E313BD5"/>
    <w:rsid w:val="0E3177FA"/>
    <w:rsid w:val="0E320F77"/>
    <w:rsid w:val="0E326BB8"/>
    <w:rsid w:val="0E332357"/>
    <w:rsid w:val="0E386F39"/>
    <w:rsid w:val="0E390214"/>
    <w:rsid w:val="0E39045D"/>
    <w:rsid w:val="0E395927"/>
    <w:rsid w:val="0E3966AF"/>
    <w:rsid w:val="0E3A1CE6"/>
    <w:rsid w:val="0E3A2C2D"/>
    <w:rsid w:val="0E3A3BE5"/>
    <w:rsid w:val="0E3A5F83"/>
    <w:rsid w:val="0E3A5FC1"/>
    <w:rsid w:val="0E3C0FAC"/>
    <w:rsid w:val="0E3C3483"/>
    <w:rsid w:val="0E3C4511"/>
    <w:rsid w:val="0E3C5613"/>
    <w:rsid w:val="0E3D2907"/>
    <w:rsid w:val="0E3D4A8F"/>
    <w:rsid w:val="0E3F6C06"/>
    <w:rsid w:val="0E405D53"/>
    <w:rsid w:val="0E4105BC"/>
    <w:rsid w:val="0E414C27"/>
    <w:rsid w:val="0E420FD0"/>
    <w:rsid w:val="0E421E2A"/>
    <w:rsid w:val="0E433A29"/>
    <w:rsid w:val="0E444C58"/>
    <w:rsid w:val="0E460FDD"/>
    <w:rsid w:val="0E472CF1"/>
    <w:rsid w:val="0E4759B8"/>
    <w:rsid w:val="0E482233"/>
    <w:rsid w:val="0E482DBF"/>
    <w:rsid w:val="0E485094"/>
    <w:rsid w:val="0E4868F2"/>
    <w:rsid w:val="0E495206"/>
    <w:rsid w:val="0E4A2DAA"/>
    <w:rsid w:val="0E4A7961"/>
    <w:rsid w:val="0E4B1A32"/>
    <w:rsid w:val="0E4B7969"/>
    <w:rsid w:val="0E4C02E7"/>
    <w:rsid w:val="0E4C4992"/>
    <w:rsid w:val="0E4D215A"/>
    <w:rsid w:val="0E4D5BB2"/>
    <w:rsid w:val="0E4E0378"/>
    <w:rsid w:val="0E4E771E"/>
    <w:rsid w:val="0E4F4F1B"/>
    <w:rsid w:val="0E4F5ED2"/>
    <w:rsid w:val="0E50787A"/>
    <w:rsid w:val="0E51419F"/>
    <w:rsid w:val="0E522EB5"/>
    <w:rsid w:val="0E527741"/>
    <w:rsid w:val="0E56100F"/>
    <w:rsid w:val="0E580B04"/>
    <w:rsid w:val="0E581A03"/>
    <w:rsid w:val="0E5A1F61"/>
    <w:rsid w:val="0E5B6625"/>
    <w:rsid w:val="0E5C0819"/>
    <w:rsid w:val="0E5C7627"/>
    <w:rsid w:val="0E5D5A6E"/>
    <w:rsid w:val="0E5E193F"/>
    <w:rsid w:val="0E5E1C72"/>
    <w:rsid w:val="0E5E3B51"/>
    <w:rsid w:val="0E5E3CC7"/>
    <w:rsid w:val="0E5F139E"/>
    <w:rsid w:val="0E5F18FC"/>
    <w:rsid w:val="0E6307F2"/>
    <w:rsid w:val="0E6378C6"/>
    <w:rsid w:val="0E6436BE"/>
    <w:rsid w:val="0E645B08"/>
    <w:rsid w:val="0E664963"/>
    <w:rsid w:val="0E6671F9"/>
    <w:rsid w:val="0E67321C"/>
    <w:rsid w:val="0E683FC3"/>
    <w:rsid w:val="0E685B28"/>
    <w:rsid w:val="0E6964AF"/>
    <w:rsid w:val="0E69749F"/>
    <w:rsid w:val="0E6A2D42"/>
    <w:rsid w:val="0E6A6868"/>
    <w:rsid w:val="0E6A7A0D"/>
    <w:rsid w:val="0E6B2454"/>
    <w:rsid w:val="0E6B3A5B"/>
    <w:rsid w:val="0E6B4004"/>
    <w:rsid w:val="0E6D01BB"/>
    <w:rsid w:val="0E6D0580"/>
    <w:rsid w:val="0E6E1AF2"/>
    <w:rsid w:val="0E6E6DEF"/>
    <w:rsid w:val="0E6F413C"/>
    <w:rsid w:val="0E6F70A1"/>
    <w:rsid w:val="0E701995"/>
    <w:rsid w:val="0E707104"/>
    <w:rsid w:val="0E712805"/>
    <w:rsid w:val="0E715BBE"/>
    <w:rsid w:val="0E722730"/>
    <w:rsid w:val="0E72396F"/>
    <w:rsid w:val="0E73034D"/>
    <w:rsid w:val="0E730485"/>
    <w:rsid w:val="0E7341B1"/>
    <w:rsid w:val="0E741495"/>
    <w:rsid w:val="0E7476E7"/>
    <w:rsid w:val="0E747F12"/>
    <w:rsid w:val="0E760249"/>
    <w:rsid w:val="0E762BCD"/>
    <w:rsid w:val="0E763F95"/>
    <w:rsid w:val="0E767A23"/>
    <w:rsid w:val="0E781B23"/>
    <w:rsid w:val="0E790545"/>
    <w:rsid w:val="0E7950F9"/>
    <w:rsid w:val="0E7A0243"/>
    <w:rsid w:val="0E7A1784"/>
    <w:rsid w:val="0E7A230A"/>
    <w:rsid w:val="0E7B5C7B"/>
    <w:rsid w:val="0E7B647B"/>
    <w:rsid w:val="0E7B7FDD"/>
    <w:rsid w:val="0E7C659C"/>
    <w:rsid w:val="0E7D666E"/>
    <w:rsid w:val="0E7E40C2"/>
    <w:rsid w:val="0E7E5B83"/>
    <w:rsid w:val="0E7F6813"/>
    <w:rsid w:val="0E807E3A"/>
    <w:rsid w:val="0E8118D7"/>
    <w:rsid w:val="0E812E14"/>
    <w:rsid w:val="0E836570"/>
    <w:rsid w:val="0E840D80"/>
    <w:rsid w:val="0E841C78"/>
    <w:rsid w:val="0E85096E"/>
    <w:rsid w:val="0E8740E0"/>
    <w:rsid w:val="0E8849D6"/>
    <w:rsid w:val="0E891B60"/>
    <w:rsid w:val="0E8A0CB9"/>
    <w:rsid w:val="0E8A1EA9"/>
    <w:rsid w:val="0E8A39BE"/>
    <w:rsid w:val="0E8A39DB"/>
    <w:rsid w:val="0E8B1610"/>
    <w:rsid w:val="0E8B67DF"/>
    <w:rsid w:val="0E8C00D6"/>
    <w:rsid w:val="0E8F0BFA"/>
    <w:rsid w:val="0E8F1C3E"/>
    <w:rsid w:val="0E8F49C1"/>
    <w:rsid w:val="0E905DD8"/>
    <w:rsid w:val="0E905E67"/>
    <w:rsid w:val="0E907953"/>
    <w:rsid w:val="0E912385"/>
    <w:rsid w:val="0E93195A"/>
    <w:rsid w:val="0E957E20"/>
    <w:rsid w:val="0E971127"/>
    <w:rsid w:val="0E9815AE"/>
    <w:rsid w:val="0E990E73"/>
    <w:rsid w:val="0E99714E"/>
    <w:rsid w:val="0E9A38CE"/>
    <w:rsid w:val="0E9A649F"/>
    <w:rsid w:val="0E9B7A0E"/>
    <w:rsid w:val="0E9C2774"/>
    <w:rsid w:val="0E9D7EE7"/>
    <w:rsid w:val="0E9E34BC"/>
    <w:rsid w:val="0EA01A9F"/>
    <w:rsid w:val="0EA124AB"/>
    <w:rsid w:val="0EA20B50"/>
    <w:rsid w:val="0EA445DB"/>
    <w:rsid w:val="0EA650A2"/>
    <w:rsid w:val="0EA65F9E"/>
    <w:rsid w:val="0EA716E3"/>
    <w:rsid w:val="0EA8189F"/>
    <w:rsid w:val="0EA87131"/>
    <w:rsid w:val="0EA9714A"/>
    <w:rsid w:val="0EAA25C7"/>
    <w:rsid w:val="0EAA3BE7"/>
    <w:rsid w:val="0EAA6A49"/>
    <w:rsid w:val="0EAB3B26"/>
    <w:rsid w:val="0EAB4FE2"/>
    <w:rsid w:val="0EAC495C"/>
    <w:rsid w:val="0EAD2BF9"/>
    <w:rsid w:val="0EAE09A0"/>
    <w:rsid w:val="0EAE36BE"/>
    <w:rsid w:val="0EAF00A7"/>
    <w:rsid w:val="0EAF24CD"/>
    <w:rsid w:val="0EB021FD"/>
    <w:rsid w:val="0EB17D0D"/>
    <w:rsid w:val="0EB21FBD"/>
    <w:rsid w:val="0EB25540"/>
    <w:rsid w:val="0EB328C7"/>
    <w:rsid w:val="0EB40F68"/>
    <w:rsid w:val="0EB421D9"/>
    <w:rsid w:val="0EB5165B"/>
    <w:rsid w:val="0EB53170"/>
    <w:rsid w:val="0EB556B5"/>
    <w:rsid w:val="0EB62D3C"/>
    <w:rsid w:val="0EB67E1E"/>
    <w:rsid w:val="0EB7031F"/>
    <w:rsid w:val="0EB751D1"/>
    <w:rsid w:val="0EB76912"/>
    <w:rsid w:val="0EB820E1"/>
    <w:rsid w:val="0EB83571"/>
    <w:rsid w:val="0EB91C23"/>
    <w:rsid w:val="0EBB5DB8"/>
    <w:rsid w:val="0EBD5AC2"/>
    <w:rsid w:val="0EBE21E6"/>
    <w:rsid w:val="0EBE7343"/>
    <w:rsid w:val="0EBF11F9"/>
    <w:rsid w:val="0EBF2963"/>
    <w:rsid w:val="0EC012C4"/>
    <w:rsid w:val="0EC16271"/>
    <w:rsid w:val="0EC24D46"/>
    <w:rsid w:val="0EC25374"/>
    <w:rsid w:val="0EC304A7"/>
    <w:rsid w:val="0EC30910"/>
    <w:rsid w:val="0EC34F7A"/>
    <w:rsid w:val="0EC426D6"/>
    <w:rsid w:val="0EC563B0"/>
    <w:rsid w:val="0EC56E0B"/>
    <w:rsid w:val="0EC638A4"/>
    <w:rsid w:val="0EC817E1"/>
    <w:rsid w:val="0EC92767"/>
    <w:rsid w:val="0EC95237"/>
    <w:rsid w:val="0EC96807"/>
    <w:rsid w:val="0ECA2642"/>
    <w:rsid w:val="0ECA736D"/>
    <w:rsid w:val="0ECB316C"/>
    <w:rsid w:val="0ECB55D0"/>
    <w:rsid w:val="0ECC2C2E"/>
    <w:rsid w:val="0ECC338A"/>
    <w:rsid w:val="0ECC4266"/>
    <w:rsid w:val="0ECC7523"/>
    <w:rsid w:val="0ECD04CF"/>
    <w:rsid w:val="0ECE43EC"/>
    <w:rsid w:val="0ECF491D"/>
    <w:rsid w:val="0ED05B7A"/>
    <w:rsid w:val="0ED13819"/>
    <w:rsid w:val="0ED25C12"/>
    <w:rsid w:val="0ED55F44"/>
    <w:rsid w:val="0ED62150"/>
    <w:rsid w:val="0ED64635"/>
    <w:rsid w:val="0ED901D4"/>
    <w:rsid w:val="0ED939EE"/>
    <w:rsid w:val="0ED94B4F"/>
    <w:rsid w:val="0EDA4714"/>
    <w:rsid w:val="0EDB59B8"/>
    <w:rsid w:val="0EDC703A"/>
    <w:rsid w:val="0EDD187C"/>
    <w:rsid w:val="0EDD7870"/>
    <w:rsid w:val="0EE06DBB"/>
    <w:rsid w:val="0EE14EF5"/>
    <w:rsid w:val="0EE31A50"/>
    <w:rsid w:val="0EE31C8A"/>
    <w:rsid w:val="0EE32C1C"/>
    <w:rsid w:val="0EE33E0C"/>
    <w:rsid w:val="0EE35237"/>
    <w:rsid w:val="0EE6685C"/>
    <w:rsid w:val="0EE6743E"/>
    <w:rsid w:val="0EE70223"/>
    <w:rsid w:val="0EE72D5D"/>
    <w:rsid w:val="0EE73D39"/>
    <w:rsid w:val="0EE76FB7"/>
    <w:rsid w:val="0EE80D9E"/>
    <w:rsid w:val="0EE95815"/>
    <w:rsid w:val="0EEA0745"/>
    <w:rsid w:val="0EEA1673"/>
    <w:rsid w:val="0EEA5964"/>
    <w:rsid w:val="0EEB6E6C"/>
    <w:rsid w:val="0EEB7A85"/>
    <w:rsid w:val="0EEB7AE2"/>
    <w:rsid w:val="0EEC6B2B"/>
    <w:rsid w:val="0EEC6E63"/>
    <w:rsid w:val="0EED2944"/>
    <w:rsid w:val="0EED7B63"/>
    <w:rsid w:val="0EEE334F"/>
    <w:rsid w:val="0EEE6A98"/>
    <w:rsid w:val="0EEE6B8D"/>
    <w:rsid w:val="0EEE7BF4"/>
    <w:rsid w:val="0EEF592E"/>
    <w:rsid w:val="0EF26639"/>
    <w:rsid w:val="0EF43A44"/>
    <w:rsid w:val="0EF460CF"/>
    <w:rsid w:val="0EF528E3"/>
    <w:rsid w:val="0EF579FE"/>
    <w:rsid w:val="0EF6423D"/>
    <w:rsid w:val="0EF9312D"/>
    <w:rsid w:val="0EF97BEC"/>
    <w:rsid w:val="0EFA4090"/>
    <w:rsid w:val="0EFB58F5"/>
    <w:rsid w:val="0EFB70EA"/>
    <w:rsid w:val="0EFD052B"/>
    <w:rsid w:val="0EFE21AB"/>
    <w:rsid w:val="0EFE5864"/>
    <w:rsid w:val="0EFF12CB"/>
    <w:rsid w:val="0EFF2C2B"/>
    <w:rsid w:val="0F011457"/>
    <w:rsid w:val="0F0117E6"/>
    <w:rsid w:val="0F021B5D"/>
    <w:rsid w:val="0F021E25"/>
    <w:rsid w:val="0F026500"/>
    <w:rsid w:val="0F040A6B"/>
    <w:rsid w:val="0F042508"/>
    <w:rsid w:val="0F043D93"/>
    <w:rsid w:val="0F06044C"/>
    <w:rsid w:val="0F0703DC"/>
    <w:rsid w:val="0F0715E4"/>
    <w:rsid w:val="0F077233"/>
    <w:rsid w:val="0F085F8B"/>
    <w:rsid w:val="0F086D0D"/>
    <w:rsid w:val="0F090C06"/>
    <w:rsid w:val="0F095B78"/>
    <w:rsid w:val="0F0B1CAF"/>
    <w:rsid w:val="0F0B1F6D"/>
    <w:rsid w:val="0F0C3DC3"/>
    <w:rsid w:val="0F0D5446"/>
    <w:rsid w:val="0F0D723E"/>
    <w:rsid w:val="0F0F3857"/>
    <w:rsid w:val="0F0F5662"/>
    <w:rsid w:val="0F0F7DBB"/>
    <w:rsid w:val="0F1028F3"/>
    <w:rsid w:val="0F104ADC"/>
    <w:rsid w:val="0F104F34"/>
    <w:rsid w:val="0F124A96"/>
    <w:rsid w:val="0F1303A2"/>
    <w:rsid w:val="0F13233A"/>
    <w:rsid w:val="0F13775A"/>
    <w:rsid w:val="0F143065"/>
    <w:rsid w:val="0F144061"/>
    <w:rsid w:val="0F1467D4"/>
    <w:rsid w:val="0F153C4C"/>
    <w:rsid w:val="0F15608D"/>
    <w:rsid w:val="0F16079E"/>
    <w:rsid w:val="0F166B03"/>
    <w:rsid w:val="0F180EAC"/>
    <w:rsid w:val="0F1B31BC"/>
    <w:rsid w:val="0F1C37E1"/>
    <w:rsid w:val="0F1C6D63"/>
    <w:rsid w:val="0F1D1B2D"/>
    <w:rsid w:val="0F1F6215"/>
    <w:rsid w:val="0F1F72AC"/>
    <w:rsid w:val="0F1F7667"/>
    <w:rsid w:val="0F202A1C"/>
    <w:rsid w:val="0F20331F"/>
    <w:rsid w:val="0F2033CB"/>
    <w:rsid w:val="0F206018"/>
    <w:rsid w:val="0F2064DE"/>
    <w:rsid w:val="0F206DEC"/>
    <w:rsid w:val="0F211265"/>
    <w:rsid w:val="0F2321D0"/>
    <w:rsid w:val="0F2418B8"/>
    <w:rsid w:val="0F2437F6"/>
    <w:rsid w:val="0F260BBB"/>
    <w:rsid w:val="0F2704A8"/>
    <w:rsid w:val="0F271885"/>
    <w:rsid w:val="0F277677"/>
    <w:rsid w:val="0F282BEC"/>
    <w:rsid w:val="0F284908"/>
    <w:rsid w:val="0F295582"/>
    <w:rsid w:val="0F2B0068"/>
    <w:rsid w:val="0F2C6E6C"/>
    <w:rsid w:val="0F2D2A0D"/>
    <w:rsid w:val="0F2D77CC"/>
    <w:rsid w:val="0F2E0BC5"/>
    <w:rsid w:val="0F2E1151"/>
    <w:rsid w:val="0F2E73F9"/>
    <w:rsid w:val="0F301E13"/>
    <w:rsid w:val="0F304652"/>
    <w:rsid w:val="0F305FD2"/>
    <w:rsid w:val="0F331DD9"/>
    <w:rsid w:val="0F334E89"/>
    <w:rsid w:val="0F3375A2"/>
    <w:rsid w:val="0F34556E"/>
    <w:rsid w:val="0F375986"/>
    <w:rsid w:val="0F387AAB"/>
    <w:rsid w:val="0F394DC1"/>
    <w:rsid w:val="0F394F9B"/>
    <w:rsid w:val="0F3A01C3"/>
    <w:rsid w:val="0F3A2298"/>
    <w:rsid w:val="0F3B4A2E"/>
    <w:rsid w:val="0F3D2D79"/>
    <w:rsid w:val="0F3E1C3F"/>
    <w:rsid w:val="0F3E4971"/>
    <w:rsid w:val="0F3F31E9"/>
    <w:rsid w:val="0F403A6D"/>
    <w:rsid w:val="0F404C0D"/>
    <w:rsid w:val="0F40505E"/>
    <w:rsid w:val="0F42108F"/>
    <w:rsid w:val="0F422485"/>
    <w:rsid w:val="0F423341"/>
    <w:rsid w:val="0F42570F"/>
    <w:rsid w:val="0F44730E"/>
    <w:rsid w:val="0F4550F8"/>
    <w:rsid w:val="0F456E76"/>
    <w:rsid w:val="0F475669"/>
    <w:rsid w:val="0F476BAA"/>
    <w:rsid w:val="0F4846A7"/>
    <w:rsid w:val="0F48510F"/>
    <w:rsid w:val="0F492922"/>
    <w:rsid w:val="0F4946D0"/>
    <w:rsid w:val="0F4A6930"/>
    <w:rsid w:val="0F4B48EC"/>
    <w:rsid w:val="0F4C2D44"/>
    <w:rsid w:val="0F4C53BD"/>
    <w:rsid w:val="0F4D3437"/>
    <w:rsid w:val="0F4D7D6C"/>
    <w:rsid w:val="0F4E0431"/>
    <w:rsid w:val="0F500D53"/>
    <w:rsid w:val="0F507C87"/>
    <w:rsid w:val="0F513D08"/>
    <w:rsid w:val="0F516FB2"/>
    <w:rsid w:val="0F522C30"/>
    <w:rsid w:val="0F526A93"/>
    <w:rsid w:val="0F52774E"/>
    <w:rsid w:val="0F54543B"/>
    <w:rsid w:val="0F547F82"/>
    <w:rsid w:val="0F556804"/>
    <w:rsid w:val="0F560861"/>
    <w:rsid w:val="0F566158"/>
    <w:rsid w:val="0F566DED"/>
    <w:rsid w:val="0F567752"/>
    <w:rsid w:val="0F5844C9"/>
    <w:rsid w:val="0F593063"/>
    <w:rsid w:val="0F59480E"/>
    <w:rsid w:val="0F5B79D2"/>
    <w:rsid w:val="0F5C5E8B"/>
    <w:rsid w:val="0F5D1EFC"/>
    <w:rsid w:val="0F5D63CD"/>
    <w:rsid w:val="0F5E0EC0"/>
    <w:rsid w:val="0F5E389F"/>
    <w:rsid w:val="0F5E50AA"/>
    <w:rsid w:val="0F5E566B"/>
    <w:rsid w:val="0F5F45FE"/>
    <w:rsid w:val="0F5F5CA1"/>
    <w:rsid w:val="0F601A19"/>
    <w:rsid w:val="0F602A41"/>
    <w:rsid w:val="0F602EB6"/>
    <w:rsid w:val="0F603910"/>
    <w:rsid w:val="0F617F00"/>
    <w:rsid w:val="0F6204E5"/>
    <w:rsid w:val="0F623902"/>
    <w:rsid w:val="0F633F41"/>
    <w:rsid w:val="0F635534"/>
    <w:rsid w:val="0F636010"/>
    <w:rsid w:val="0F636D32"/>
    <w:rsid w:val="0F6408BC"/>
    <w:rsid w:val="0F6459AD"/>
    <w:rsid w:val="0F647E30"/>
    <w:rsid w:val="0F661BEE"/>
    <w:rsid w:val="0F6758B8"/>
    <w:rsid w:val="0F6A08B6"/>
    <w:rsid w:val="0F6A62E8"/>
    <w:rsid w:val="0F6B0AEA"/>
    <w:rsid w:val="0F6B4D80"/>
    <w:rsid w:val="0F6C7F31"/>
    <w:rsid w:val="0F6E6B1E"/>
    <w:rsid w:val="0F705A3B"/>
    <w:rsid w:val="0F721DEF"/>
    <w:rsid w:val="0F72440A"/>
    <w:rsid w:val="0F727F36"/>
    <w:rsid w:val="0F7326D8"/>
    <w:rsid w:val="0F7345F3"/>
    <w:rsid w:val="0F735BF1"/>
    <w:rsid w:val="0F743C24"/>
    <w:rsid w:val="0F753717"/>
    <w:rsid w:val="0F755445"/>
    <w:rsid w:val="0F7606A8"/>
    <w:rsid w:val="0F761782"/>
    <w:rsid w:val="0F7709E1"/>
    <w:rsid w:val="0F773359"/>
    <w:rsid w:val="0F781459"/>
    <w:rsid w:val="0F782EBE"/>
    <w:rsid w:val="0F7B6853"/>
    <w:rsid w:val="0F7C297A"/>
    <w:rsid w:val="0F7D25CB"/>
    <w:rsid w:val="0F7D342F"/>
    <w:rsid w:val="0F7F5982"/>
    <w:rsid w:val="0F800702"/>
    <w:rsid w:val="0F813B3F"/>
    <w:rsid w:val="0F822A02"/>
    <w:rsid w:val="0F836C45"/>
    <w:rsid w:val="0F837741"/>
    <w:rsid w:val="0F860714"/>
    <w:rsid w:val="0F8611BD"/>
    <w:rsid w:val="0F872AE2"/>
    <w:rsid w:val="0F87344A"/>
    <w:rsid w:val="0F875987"/>
    <w:rsid w:val="0F882D23"/>
    <w:rsid w:val="0F88590A"/>
    <w:rsid w:val="0F8971C2"/>
    <w:rsid w:val="0F8A0F2A"/>
    <w:rsid w:val="0F8A1F4D"/>
    <w:rsid w:val="0F8B56A8"/>
    <w:rsid w:val="0F8D7C7A"/>
    <w:rsid w:val="0F8F4094"/>
    <w:rsid w:val="0F8F67C1"/>
    <w:rsid w:val="0F900F5C"/>
    <w:rsid w:val="0F9053CD"/>
    <w:rsid w:val="0F9130CA"/>
    <w:rsid w:val="0F915CD1"/>
    <w:rsid w:val="0F9206EC"/>
    <w:rsid w:val="0F93134B"/>
    <w:rsid w:val="0F931A74"/>
    <w:rsid w:val="0F9369F0"/>
    <w:rsid w:val="0F9435CF"/>
    <w:rsid w:val="0F9473EA"/>
    <w:rsid w:val="0F9542E0"/>
    <w:rsid w:val="0F955833"/>
    <w:rsid w:val="0F955B67"/>
    <w:rsid w:val="0F970662"/>
    <w:rsid w:val="0F9718DF"/>
    <w:rsid w:val="0F97533A"/>
    <w:rsid w:val="0F976436"/>
    <w:rsid w:val="0F976970"/>
    <w:rsid w:val="0F980060"/>
    <w:rsid w:val="0F98082C"/>
    <w:rsid w:val="0F982496"/>
    <w:rsid w:val="0F99041C"/>
    <w:rsid w:val="0F9A112B"/>
    <w:rsid w:val="0F9A4645"/>
    <w:rsid w:val="0F9A66DE"/>
    <w:rsid w:val="0F9A77CE"/>
    <w:rsid w:val="0F9B519E"/>
    <w:rsid w:val="0F9B6614"/>
    <w:rsid w:val="0F9B7DE0"/>
    <w:rsid w:val="0F9C71DC"/>
    <w:rsid w:val="0F9D599E"/>
    <w:rsid w:val="0F9D6DED"/>
    <w:rsid w:val="0F9E3DFF"/>
    <w:rsid w:val="0F9E51B7"/>
    <w:rsid w:val="0F9F0794"/>
    <w:rsid w:val="0F9F69E6"/>
    <w:rsid w:val="0FA04099"/>
    <w:rsid w:val="0FA10347"/>
    <w:rsid w:val="0FA107A1"/>
    <w:rsid w:val="0FA11C75"/>
    <w:rsid w:val="0FA12C2F"/>
    <w:rsid w:val="0FA1450C"/>
    <w:rsid w:val="0FA1522C"/>
    <w:rsid w:val="0FA15BB7"/>
    <w:rsid w:val="0FA20555"/>
    <w:rsid w:val="0FA20F54"/>
    <w:rsid w:val="0FA2614D"/>
    <w:rsid w:val="0FA47817"/>
    <w:rsid w:val="0FA61EBB"/>
    <w:rsid w:val="0FA719D0"/>
    <w:rsid w:val="0FAA7D35"/>
    <w:rsid w:val="0FAC49D6"/>
    <w:rsid w:val="0FAC597E"/>
    <w:rsid w:val="0FAD77E2"/>
    <w:rsid w:val="0FAE6989"/>
    <w:rsid w:val="0FAF0351"/>
    <w:rsid w:val="0FAF253D"/>
    <w:rsid w:val="0FAF276A"/>
    <w:rsid w:val="0FAF3150"/>
    <w:rsid w:val="0FB3423F"/>
    <w:rsid w:val="0FB36417"/>
    <w:rsid w:val="0FB36E72"/>
    <w:rsid w:val="0FB4458A"/>
    <w:rsid w:val="0FB548BB"/>
    <w:rsid w:val="0FB67130"/>
    <w:rsid w:val="0FB708D3"/>
    <w:rsid w:val="0FB71264"/>
    <w:rsid w:val="0FB81855"/>
    <w:rsid w:val="0FB83CDB"/>
    <w:rsid w:val="0FB84255"/>
    <w:rsid w:val="0FBA2391"/>
    <w:rsid w:val="0FBA381F"/>
    <w:rsid w:val="0FBB36C0"/>
    <w:rsid w:val="0FBD4482"/>
    <w:rsid w:val="0FBE7460"/>
    <w:rsid w:val="0FBF11BB"/>
    <w:rsid w:val="0FBF1C60"/>
    <w:rsid w:val="0FBF41C0"/>
    <w:rsid w:val="0FBF4F44"/>
    <w:rsid w:val="0FC02BC0"/>
    <w:rsid w:val="0FC02EA0"/>
    <w:rsid w:val="0FC12515"/>
    <w:rsid w:val="0FC15ECF"/>
    <w:rsid w:val="0FC16101"/>
    <w:rsid w:val="0FC221F0"/>
    <w:rsid w:val="0FC26B0A"/>
    <w:rsid w:val="0FC33449"/>
    <w:rsid w:val="0FC343AC"/>
    <w:rsid w:val="0FC468B7"/>
    <w:rsid w:val="0FC55738"/>
    <w:rsid w:val="0FC642D8"/>
    <w:rsid w:val="0FC71A98"/>
    <w:rsid w:val="0FC76BA3"/>
    <w:rsid w:val="0FC80EC8"/>
    <w:rsid w:val="0FC9138F"/>
    <w:rsid w:val="0FCA0AED"/>
    <w:rsid w:val="0FCB433D"/>
    <w:rsid w:val="0FCB59C7"/>
    <w:rsid w:val="0FCB77DB"/>
    <w:rsid w:val="0FCC0FA1"/>
    <w:rsid w:val="0FCC4C46"/>
    <w:rsid w:val="0FCD026C"/>
    <w:rsid w:val="0FCD5B5D"/>
    <w:rsid w:val="0FCE5CBC"/>
    <w:rsid w:val="0FCF5902"/>
    <w:rsid w:val="0FCF7F93"/>
    <w:rsid w:val="0FD1323B"/>
    <w:rsid w:val="0FD146C5"/>
    <w:rsid w:val="0FD22C29"/>
    <w:rsid w:val="0FD26690"/>
    <w:rsid w:val="0FD32875"/>
    <w:rsid w:val="0FD36B82"/>
    <w:rsid w:val="0FD409E3"/>
    <w:rsid w:val="0FD4315B"/>
    <w:rsid w:val="0FD44A0C"/>
    <w:rsid w:val="0FD459DE"/>
    <w:rsid w:val="0FD52407"/>
    <w:rsid w:val="0FD54DA0"/>
    <w:rsid w:val="0FD56E0C"/>
    <w:rsid w:val="0FD8200B"/>
    <w:rsid w:val="0FD91EF8"/>
    <w:rsid w:val="0FDB3ADD"/>
    <w:rsid w:val="0FDC6A3B"/>
    <w:rsid w:val="0FDE3B2E"/>
    <w:rsid w:val="0FDE5D1F"/>
    <w:rsid w:val="0FDF5E68"/>
    <w:rsid w:val="0FE0274F"/>
    <w:rsid w:val="0FE045DC"/>
    <w:rsid w:val="0FE1435F"/>
    <w:rsid w:val="0FE20680"/>
    <w:rsid w:val="0FE22313"/>
    <w:rsid w:val="0FE2587A"/>
    <w:rsid w:val="0FE32AA8"/>
    <w:rsid w:val="0FE372C7"/>
    <w:rsid w:val="0FE5711A"/>
    <w:rsid w:val="0FE76C93"/>
    <w:rsid w:val="0FE771C2"/>
    <w:rsid w:val="0FE81739"/>
    <w:rsid w:val="0FE901C9"/>
    <w:rsid w:val="0FEA04BA"/>
    <w:rsid w:val="0FED5999"/>
    <w:rsid w:val="0FEE013A"/>
    <w:rsid w:val="0FEE318D"/>
    <w:rsid w:val="0FEF3109"/>
    <w:rsid w:val="0FF02831"/>
    <w:rsid w:val="0FF14845"/>
    <w:rsid w:val="0FF15705"/>
    <w:rsid w:val="0FF24E0C"/>
    <w:rsid w:val="0FF26C9C"/>
    <w:rsid w:val="0FF51F28"/>
    <w:rsid w:val="0FF87CC7"/>
    <w:rsid w:val="0FFA2B8A"/>
    <w:rsid w:val="0FFC0833"/>
    <w:rsid w:val="0FFC2FC3"/>
    <w:rsid w:val="0FFD4DD8"/>
    <w:rsid w:val="0FFD54BA"/>
    <w:rsid w:val="0FFD556D"/>
    <w:rsid w:val="0FFE13DA"/>
    <w:rsid w:val="0FFE705A"/>
    <w:rsid w:val="0FFF535E"/>
    <w:rsid w:val="0FFF7484"/>
    <w:rsid w:val="100005AB"/>
    <w:rsid w:val="10000853"/>
    <w:rsid w:val="100044D6"/>
    <w:rsid w:val="100064CC"/>
    <w:rsid w:val="100078B0"/>
    <w:rsid w:val="1001144E"/>
    <w:rsid w:val="100250C1"/>
    <w:rsid w:val="10033443"/>
    <w:rsid w:val="10033D76"/>
    <w:rsid w:val="100438B6"/>
    <w:rsid w:val="10060813"/>
    <w:rsid w:val="10061A95"/>
    <w:rsid w:val="100646AA"/>
    <w:rsid w:val="10074984"/>
    <w:rsid w:val="100952C7"/>
    <w:rsid w:val="10097195"/>
    <w:rsid w:val="100B7354"/>
    <w:rsid w:val="100C2F23"/>
    <w:rsid w:val="100D68F7"/>
    <w:rsid w:val="100E3CA3"/>
    <w:rsid w:val="100F3B6B"/>
    <w:rsid w:val="101007A6"/>
    <w:rsid w:val="1010081D"/>
    <w:rsid w:val="101040FE"/>
    <w:rsid w:val="101128C5"/>
    <w:rsid w:val="10114CD6"/>
    <w:rsid w:val="101216C8"/>
    <w:rsid w:val="10123055"/>
    <w:rsid w:val="10123B62"/>
    <w:rsid w:val="10125B0B"/>
    <w:rsid w:val="10135BC4"/>
    <w:rsid w:val="10143C99"/>
    <w:rsid w:val="10144229"/>
    <w:rsid w:val="10152804"/>
    <w:rsid w:val="101534DA"/>
    <w:rsid w:val="10161E3A"/>
    <w:rsid w:val="101651E3"/>
    <w:rsid w:val="10171317"/>
    <w:rsid w:val="101771D8"/>
    <w:rsid w:val="101822F4"/>
    <w:rsid w:val="10190879"/>
    <w:rsid w:val="101A2892"/>
    <w:rsid w:val="101C0538"/>
    <w:rsid w:val="101D7C4F"/>
    <w:rsid w:val="101E0D0C"/>
    <w:rsid w:val="101E2F73"/>
    <w:rsid w:val="101E3493"/>
    <w:rsid w:val="101E3DAE"/>
    <w:rsid w:val="101E7671"/>
    <w:rsid w:val="10200217"/>
    <w:rsid w:val="10201743"/>
    <w:rsid w:val="10205772"/>
    <w:rsid w:val="1021578A"/>
    <w:rsid w:val="10215CA7"/>
    <w:rsid w:val="10221329"/>
    <w:rsid w:val="10221FFB"/>
    <w:rsid w:val="1023023B"/>
    <w:rsid w:val="10233E36"/>
    <w:rsid w:val="102560B4"/>
    <w:rsid w:val="1026584F"/>
    <w:rsid w:val="102868EB"/>
    <w:rsid w:val="10297BA7"/>
    <w:rsid w:val="102B4A14"/>
    <w:rsid w:val="102B613C"/>
    <w:rsid w:val="102D2900"/>
    <w:rsid w:val="102D5D9F"/>
    <w:rsid w:val="102E172D"/>
    <w:rsid w:val="102E242A"/>
    <w:rsid w:val="102F0723"/>
    <w:rsid w:val="10303F3B"/>
    <w:rsid w:val="10306641"/>
    <w:rsid w:val="103163E7"/>
    <w:rsid w:val="103233B6"/>
    <w:rsid w:val="10327C7C"/>
    <w:rsid w:val="10336601"/>
    <w:rsid w:val="10352749"/>
    <w:rsid w:val="10353461"/>
    <w:rsid w:val="10377F8B"/>
    <w:rsid w:val="103850A1"/>
    <w:rsid w:val="10390BE8"/>
    <w:rsid w:val="103A0B21"/>
    <w:rsid w:val="103A2FE3"/>
    <w:rsid w:val="103A670E"/>
    <w:rsid w:val="103B594B"/>
    <w:rsid w:val="103B6962"/>
    <w:rsid w:val="103C2486"/>
    <w:rsid w:val="103C4234"/>
    <w:rsid w:val="103D57A2"/>
    <w:rsid w:val="103E1BE6"/>
    <w:rsid w:val="103E21D8"/>
    <w:rsid w:val="103F7C37"/>
    <w:rsid w:val="1045632D"/>
    <w:rsid w:val="1045791B"/>
    <w:rsid w:val="10477B50"/>
    <w:rsid w:val="1048062B"/>
    <w:rsid w:val="10482BD9"/>
    <w:rsid w:val="104909EE"/>
    <w:rsid w:val="104A36F3"/>
    <w:rsid w:val="104A6ACF"/>
    <w:rsid w:val="104B4477"/>
    <w:rsid w:val="104C5355"/>
    <w:rsid w:val="104D3108"/>
    <w:rsid w:val="104E0AF7"/>
    <w:rsid w:val="10501A8E"/>
    <w:rsid w:val="10507B5C"/>
    <w:rsid w:val="10512312"/>
    <w:rsid w:val="10517CB0"/>
    <w:rsid w:val="1052532D"/>
    <w:rsid w:val="10531159"/>
    <w:rsid w:val="105730A2"/>
    <w:rsid w:val="10575DB0"/>
    <w:rsid w:val="10581419"/>
    <w:rsid w:val="10585A23"/>
    <w:rsid w:val="105A065E"/>
    <w:rsid w:val="105A39FD"/>
    <w:rsid w:val="105B2773"/>
    <w:rsid w:val="105C06FC"/>
    <w:rsid w:val="105C7EC0"/>
    <w:rsid w:val="105D2FE8"/>
    <w:rsid w:val="105E176C"/>
    <w:rsid w:val="105E4C72"/>
    <w:rsid w:val="105E5705"/>
    <w:rsid w:val="105E63E6"/>
    <w:rsid w:val="105F2CAD"/>
    <w:rsid w:val="105F7F23"/>
    <w:rsid w:val="10611D55"/>
    <w:rsid w:val="10636FD9"/>
    <w:rsid w:val="10643F30"/>
    <w:rsid w:val="106442B7"/>
    <w:rsid w:val="106506C3"/>
    <w:rsid w:val="1065381B"/>
    <w:rsid w:val="106612B1"/>
    <w:rsid w:val="10675755"/>
    <w:rsid w:val="10686DD7"/>
    <w:rsid w:val="10690475"/>
    <w:rsid w:val="10691CB2"/>
    <w:rsid w:val="10694545"/>
    <w:rsid w:val="106974DB"/>
    <w:rsid w:val="106B68C8"/>
    <w:rsid w:val="106C3FDC"/>
    <w:rsid w:val="106C47C7"/>
    <w:rsid w:val="106C6715"/>
    <w:rsid w:val="106D0261"/>
    <w:rsid w:val="106D0EE8"/>
    <w:rsid w:val="106D2F64"/>
    <w:rsid w:val="106D37AD"/>
    <w:rsid w:val="106D3E50"/>
    <w:rsid w:val="106F27B8"/>
    <w:rsid w:val="106F3425"/>
    <w:rsid w:val="10701672"/>
    <w:rsid w:val="10703DA3"/>
    <w:rsid w:val="10704BE1"/>
    <w:rsid w:val="107149AC"/>
    <w:rsid w:val="107200CE"/>
    <w:rsid w:val="10720D50"/>
    <w:rsid w:val="10735D59"/>
    <w:rsid w:val="10741C20"/>
    <w:rsid w:val="107423E5"/>
    <w:rsid w:val="1074532C"/>
    <w:rsid w:val="10767527"/>
    <w:rsid w:val="10774631"/>
    <w:rsid w:val="10777F0B"/>
    <w:rsid w:val="1079118D"/>
    <w:rsid w:val="10792AF0"/>
    <w:rsid w:val="1079731F"/>
    <w:rsid w:val="107B309A"/>
    <w:rsid w:val="107B4C3F"/>
    <w:rsid w:val="107D336E"/>
    <w:rsid w:val="107D4891"/>
    <w:rsid w:val="107D6CCB"/>
    <w:rsid w:val="107D78CB"/>
    <w:rsid w:val="107F5400"/>
    <w:rsid w:val="10814FB4"/>
    <w:rsid w:val="10817E99"/>
    <w:rsid w:val="10825D91"/>
    <w:rsid w:val="108300B5"/>
    <w:rsid w:val="10841404"/>
    <w:rsid w:val="1085184A"/>
    <w:rsid w:val="10853648"/>
    <w:rsid w:val="108654B0"/>
    <w:rsid w:val="108658D8"/>
    <w:rsid w:val="1087489D"/>
    <w:rsid w:val="108831E9"/>
    <w:rsid w:val="10887C8C"/>
    <w:rsid w:val="1089687E"/>
    <w:rsid w:val="108A214C"/>
    <w:rsid w:val="108A5D20"/>
    <w:rsid w:val="108C6940"/>
    <w:rsid w:val="108C6F6A"/>
    <w:rsid w:val="108D683E"/>
    <w:rsid w:val="108E036B"/>
    <w:rsid w:val="108E5098"/>
    <w:rsid w:val="108F0808"/>
    <w:rsid w:val="108F3B6B"/>
    <w:rsid w:val="108F4D0F"/>
    <w:rsid w:val="10901B56"/>
    <w:rsid w:val="109074FA"/>
    <w:rsid w:val="1092390C"/>
    <w:rsid w:val="10932E8F"/>
    <w:rsid w:val="1093736D"/>
    <w:rsid w:val="10941366"/>
    <w:rsid w:val="109418C6"/>
    <w:rsid w:val="1096334C"/>
    <w:rsid w:val="109635B0"/>
    <w:rsid w:val="10965729"/>
    <w:rsid w:val="1097224E"/>
    <w:rsid w:val="10973B61"/>
    <w:rsid w:val="109A13E3"/>
    <w:rsid w:val="109A4C31"/>
    <w:rsid w:val="109B53FF"/>
    <w:rsid w:val="109C2D65"/>
    <w:rsid w:val="109C31B1"/>
    <w:rsid w:val="109C6380"/>
    <w:rsid w:val="109D50E2"/>
    <w:rsid w:val="109E4CE5"/>
    <w:rsid w:val="109E581C"/>
    <w:rsid w:val="109E5D62"/>
    <w:rsid w:val="109F7AF5"/>
    <w:rsid w:val="10A12F74"/>
    <w:rsid w:val="10A27929"/>
    <w:rsid w:val="10A36F71"/>
    <w:rsid w:val="10A42DEA"/>
    <w:rsid w:val="10A43754"/>
    <w:rsid w:val="10A455BA"/>
    <w:rsid w:val="10A65CB3"/>
    <w:rsid w:val="10A6686F"/>
    <w:rsid w:val="10A85396"/>
    <w:rsid w:val="10AB6381"/>
    <w:rsid w:val="10AC7F34"/>
    <w:rsid w:val="10AD622C"/>
    <w:rsid w:val="10AE37FB"/>
    <w:rsid w:val="10AF0EAA"/>
    <w:rsid w:val="10AF49DF"/>
    <w:rsid w:val="10B04A44"/>
    <w:rsid w:val="10B12394"/>
    <w:rsid w:val="10B13BFF"/>
    <w:rsid w:val="10B223C8"/>
    <w:rsid w:val="10B372F7"/>
    <w:rsid w:val="10B5402A"/>
    <w:rsid w:val="10B63710"/>
    <w:rsid w:val="10B67A55"/>
    <w:rsid w:val="10B87A51"/>
    <w:rsid w:val="10B9448D"/>
    <w:rsid w:val="10B950F1"/>
    <w:rsid w:val="10BA1CA7"/>
    <w:rsid w:val="10BB03EE"/>
    <w:rsid w:val="10BB1AAD"/>
    <w:rsid w:val="10BC5CFC"/>
    <w:rsid w:val="10BC637C"/>
    <w:rsid w:val="10BC69A7"/>
    <w:rsid w:val="10BD25FD"/>
    <w:rsid w:val="10BD35C7"/>
    <w:rsid w:val="10BD3846"/>
    <w:rsid w:val="10BE10ED"/>
    <w:rsid w:val="10BE56D6"/>
    <w:rsid w:val="10BE7D92"/>
    <w:rsid w:val="10C0565B"/>
    <w:rsid w:val="10C13711"/>
    <w:rsid w:val="10C24E9A"/>
    <w:rsid w:val="10C31312"/>
    <w:rsid w:val="10C41D51"/>
    <w:rsid w:val="10C50133"/>
    <w:rsid w:val="10C54E6C"/>
    <w:rsid w:val="10C93BE8"/>
    <w:rsid w:val="10C9708B"/>
    <w:rsid w:val="10CC1DDD"/>
    <w:rsid w:val="10CC5A9A"/>
    <w:rsid w:val="10CC79BF"/>
    <w:rsid w:val="10CD638F"/>
    <w:rsid w:val="10CE15AA"/>
    <w:rsid w:val="10CE2AEF"/>
    <w:rsid w:val="10CE310C"/>
    <w:rsid w:val="10CE46FA"/>
    <w:rsid w:val="10CF226F"/>
    <w:rsid w:val="10CF7863"/>
    <w:rsid w:val="10D00A9D"/>
    <w:rsid w:val="10D048AD"/>
    <w:rsid w:val="10D0497D"/>
    <w:rsid w:val="10D37ED3"/>
    <w:rsid w:val="10D66B74"/>
    <w:rsid w:val="10D6705B"/>
    <w:rsid w:val="10D76F17"/>
    <w:rsid w:val="10DA459D"/>
    <w:rsid w:val="10DB040A"/>
    <w:rsid w:val="10DB66E8"/>
    <w:rsid w:val="10DB7339"/>
    <w:rsid w:val="10DE1E44"/>
    <w:rsid w:val="10DE52EC"/>
    <w:rsid w:val="10DF5416"/>
    <w:rsid w:val="10DF593B"/>
    <w:rsid w:val="10DF6F3C"/>
    <w:rsid w:val="10E12961"/>
    <w:rsid w:val="10E15F07"/>
    <w:rsid w:val="10E24DDC"/>
    <w:rsid w:val="10E365F9"/>
    <w:rsid w:val="10E415A3"/>
    <w:rsid w:val="10E50428"/>
    <w:rsid w:val="10E51BB1"/>
    <w:rsid w:val="10E51F9C"/>
    <w:rsid w:val="10E56319"/>
    <w:rsid w:val="10E57CE4"/>
    <w:rsid w:val="10E64B74"/>
    <w:rsid w:val="10EB27AF"/>
    <w:rsid w:val="10EB2873"/>
    <w:rsid w:val="10EB6C2E"/>
    <w:rsid w:val="10EC4AAE"/>
    <w:rsid w:val="10EC7D9E"/>
    <w:rsid w:val="10ED01DA"/>
    <w:rsid w:val="10ED0B53"/>
    <w:rsid w:val="10ED3781"/>
    <w:rsid w:val="10EE19D3"/>
    <w:rsid w:val="10EE37D0"/>
    <w:rsid w:val="10EE5D63"/>
    <w:rsid w:val="10F05150"/>
    <w:rsid w:val="10F07EAA"/>
    <w:rsid w:val="10F10820"/>
    <w:rsid w:val="10F13271"/>
    <w:rsid w:val="10F21A36"/>
    <w:rsid w:val="10F22B45"/>
    <w:rsid w:val="10F24DC5"/>
    <w:rsid w:val="10F300E6"/>
    <w:rsid w:val="10F35F02"/>
    <w:rsid w:val="10F468BD"/>
    <w:rsid w:val="10F4785F"/>
    <w:rsid w:val="10F569D8"/>
    <w:rsid w:val="10F637A5"/>
    <w:rsid w:val="10F658AC"/>
    <w:rsid w:val="10F77511"/>
    <w:rsid w:val="10F83188"/>
    <w:rsid w:val="10F92B8D"/>
    <w:rsid w:val="10F92E37"/>
    <w:rsid w:val="10FA3D23"/>
    <w:rsid w:val="10FA4B92"/>
    <w:rsid w:val="10FB3FBE"/>
    <w:rsid w:val="10FB5727"/>
    <w:rsid w:val="10FD1FB4"/>
    <w:rsid w:val="10FD63A3"/>
    <w:rsid w:val="10FE14EA"/>
    <w:rsid w:val="10FE1A2B"/>
    <w:rsid w:val="10FE55E4"/>
    <w:rsid w:val="11001706"/>
    <w:rsid w:val="11012F4B"/>
    <w:rsid w:val="11014730"/>
    <w:rsid w:val="11027D30"/>
    <w:rsid w:val="1103662E"/>
    <w:rsid w:val="1103791B"/>
    <w:rsid w:val="11037D1A"/>
    <w:rsid w:val="11046C30"/>
    <w:rsid w:val="11071E76"/>
    <w:rsid w:val="11074890"/>
    <w:rsid w:val="110804ED"/>
    <w:rsid w:val="110819B2"/>
    <w:rsid w:val="11087B59"/>
    <w:rsid w:val="110A45A1"/>
    <w:rsid w:val="110A5208"/>
    <w:rsid w:val="110B36E6"/>
    <w:rsid w:val="110B4B5D"/>
    <w:rsid w:val="110D140B"/>
    <w:rsid w:val="110E0901"/>
    <w:rsid w:val="110F3D63"/>
    <w:rsid w:val="111037C2"/>
    <w:rsid w:val="111156C1"/>
    <w:rsid w:val="111206C4"/>
    <w:rsid w:val="111207FF"/>
    <w:rsid w:val="1112121F"/>
    <w:rsid w:val="11136F1B"/>
    <w:rsid w:val="11144272"/>
    <w:rsid w:val="111470F0"/>
    <w:rsid w:val="1115173F"/>
    <w:rsid w:val="11157F9F"/>
    <w:rsid w:val="11160F29"/>
    <w:rsid w:val="11192A6F"/>
    <w:rsid w:val="11193BF1"/>
    <w:rsid w:val="1119735C"/>
    <w:rsid w:val="111A0052"/>
    <w:rsid w:val="111A14A8"/>
    <w:rsid w:val="111A2E4F"/>
    <w:rsid w:val="111A38EF"/>
    <w:rsid w:val="111B030C"/>
    <w:rsid w:val="111B6FF8"/>
    <w:rsid w:val="111C2F7A"/>
    <w:rsid w:val="111D0662"/>
    <w:rsid w:val="111D155B"/>
    <w:rsid w:val="111D394B"/>
    <w:rsid w:val="111D4066"/>
    <w:rsid w:val="111E393A"/>
    <w:rsid w:val="111E4BF9"/>
    <w:rsid w:val="111F4218"/>
    <w:rsid w:val="11206B71"/>
    <w:rsid w:val="11223F8A"/>
    <w:rsid w:val="112241D9"/>
    <w:rsid w:val="11242E03"/>
    <w:rsid w:val="112509F4"/>
    <w:rsid w:val="11265439"/>
    <w:rsid w:val="11267850"/>
    <w:rsid w:val="11274C21"/>
    <w:rsid w:val="112877EF"/>
    <w:rsid w:val="1129374D"/>
    <w:rsid w:val="112A4DA5"/>
    <w:rsid w:val="112C4EB8"/>
    <w:rsid w:val="112E355B"/>
    <w:rsid w:val="112E375D"/>
    <w:rsid w:val="112E6F88"/>
    <w:rsid w:val="112F0E3C"/>
    <w:rsid w:val="113517AB"/>
    <w:rsid w:val="11365128"/>
    <w:rsid w:val="11366291"/>
    <w:rsid w:val="1136691D"/>
    <w:rsid w:val="11375B67"/>
    <w:rsid w:val="11375F1E"/>
    <w:rsid w:val="11380C86"/>
    <w:rsid w:val="11390ABA"/>
    <w:rsid w:val="113B1963"/>
    <w:rsid w:val="113B20A7"/>
    <w:rsid w:val="113B44EC"/>
    <w:rsid w:val="113C4031"/>
    <w:rsid w:val="113C7B4E"/>
    <w:rsid w:val="113D2BAE"/>
    <w:rsid w:val="113D7983"/>
    <w:rsid w:val="113E582B"/>
    <w:rsid w:val="113F0C92"/>
    <w:rsid w:val="11401152"/>
    <w:rsid w:val="1140300E"/>
    <w:rsid w:val="1140565E"/>
    <w:rsid w:val="11405E94"/>
    <w:rsid w:val="11405FA6"/>
    <w:rsid w:val="11410FEA"/>
    <w:rsid w:val="114137E2"/>
    <w:rsid w:val="1141525C"/>
    <w:rsid w:val="11416C80"/>
    <w:rsid w:val="11431B6E"/>
    <w:rsid w:val="11447FEB"/>
    <w:rsid w:val="11477F94"/>
    <w:rsid w:val="11490337"/>
    <w:rsid w:val="114A3956"/>
    <w:rsid w:val="114B6865"/>
    <w:rsid w:val="114C242D"/>
    <w:rsid w:val="114C66F9"/>
    <w:rsid w:val="114C6755"/>
    <w:rsid w:val="114D0C2C"/>
    <w:rsid w:val="114D19F9"/>
    <w:rsid w:val="114E154D"/>
    <w:rsid w:val="114E2A68"/>
    <w:rsid w:val="114F61E9"/>
    <w:rsid w:val="115240D3"/>
    <w:rsid w:val="11540D63"/>
    <w:rsid w:val="115530A5"/>
    <w:rsid w:val="11556783"/>
    <w:rsid w:val="11561623"/>
    <w:rsid w:val="11563A18"/>
    <w:rsid w:val="115714DA"/>
    <w:rsid w:val="11575FD0"/>
    <w:rsid w:val="1157782B"/>
    <w:rsid w:val="11592BC4"/>
    <w:rsid w:val="115A717E"/>
    <w:rsid w:val="115B008D"/>
    <w:rsid w:val="115B5D3D"/>
    <w:rsid w:val="115C36A2"/>
    <w:rsid w:val="115C6273"/>
    <w:rsid w:val="115D5D52"/>
    <w:rsid w:val="115F09D5"/>
    <w:rsid w:val="115F0C23"/>
    <w:rsid w:val="11605A72"/>
    <w:rsid w:val="116102C2"/>
    <w:rsid w:val="1161107D"/>
    <w:rsid w:val="11621A79"/>
    <w:rsid w:val="116222E8"/>
    <w:rsid w:val="116236E7"/>
    <w:rsid w:val="11625F1D"/>
    <w:rsid w:val="11626289"/>
    <w:rsid w:val="116266B4"/>
    <w:rsid w:val="116419C7"/>
    <w:rsid w:val="116577BB"/>
    <w:rsid w:val="11665CA1"/>
    <w:rsid w:val="116708FA"/>
    <w:rsid w:val="11671785"/>
    <w:rsid w:val="11680912"/>
    <w:rsid w:val="11692AA3"/>
    <w:rsid w:val="116A1DC2"/>
    <w:rsid w:val="116B3023"/>
    <w:rsid w:val="116C6D9B"/>
    <w:rsid w:val="116D6449"/>
    <w:rsid w:val="116D76DE"/>
    <w:rsid w:val="116D7C4E"/>
    <w:rsid w:val="116E041E"/>
    <w:rsid w:val="11702DF7"/>
    <w:rsid w:val="11714855"/>
    <w:rsid w:val="11715AB9"/>
    <w:rsid w:val="11716B99"/>
    <w:rsid w:val="11730328"/>
    <w:rsid w:val="11731ED8"/>
    <w:rsid w:val="1173286D"/>
    <w:rsid w:val="11734C31"/>
    <w:rsid w:val="11741ACD"/>
    <w:rsid w:val="11756408"/>
    <w:rsid w:val="11763776"/>
    <w:rsid w:val="11764C83"/>
    <w:rsid w:val="11766F5F"/>
    <w:rsid w:val="11767C36"/>
    <w:rsid w:val="117765EA"/>
    <w:rsid w:val="1178129C"/>
    <w:rsid w:val="11793EC0"/>
    <w:rsid w:val="1179716D"/>
    <w:rsid w:val="117A3337"/>
    <w:rsid w:val="117C6429"/>
    <w:rsid w:val="117D4DF7"/>
    <w:rsid w:val="117D5C54"/>
    <w:rsid w:val="117D68B3"/>
    <w:rsid w:val="117F1149"/>
    <w:rsid w:val="118006EF"/>
    <w:rsid w:val="11801CFC"/>
    <w:rsid w:val="11803074"/>
    <w:rsid w:val="11823E86"/>
    <w:rsid w:val="118303FD"/>
    <w:rsid w:val="11832AAA"/>
    <w:rsid w:val="11834082"/>
    <w:rsid w:val="11837EB8"/>
    <w:rsid w:val="11850227"/>
    <w:rsid w:val="11853059"/>
    <w:rsid w:val="11854932"/>
    <w:rsid w:val="11861913"/>
    <w:rsid w:val="118857F7"/>
    <w:rsid w:val="1189484A"/>
    <w:rsid w:val="118A300B"/>
    <w:rsid w:val="118A4F32"/>
    <w:rsid w:val="118A50BC"/>
    <w:rsid w:val="118B68A1"/>
    <w:rsid w:val="118C07E6"/>
    <w:rsid w:val="118C37F2"/>
    <w:rsid w:val="118E2DF7"/>
    <w:rsid w:val="11904645"/>
    <w:rsid w:val="119448B7"/>
    <w:rsid w:val="1194643A"/>
    <w:rsid w:val="11963E18"/>
    <w:rsid w:val="11965A12"/>
    <w:rsid w:val="11975A45"/>
    <w:rsid w:val="1197737B"/>
    <w:rsid w:val="11984DFB"/>
    <w:rsid w:val="11985217"/>
    <w:rsid w:val="11994B5D"/>
    <w:rsid w:val="11995894"/>
    <w:rsid w:val="119A32C2"/>
    <w:rsid w:val="119A6CA8"/>
    <w:rsid w:val="119B0BCD"/>
    <w:rsid w:val="119B56ED"/>
    <w:rsid w:val="119B6F59"/>
    <w:rsid w:val="119C7A48"/>
    <w:rsid w:val="119D5508"/>
    <w:rsid w:val="119E14A3"/>
    <w:rsid w:val="119F679F"/>
    <w:rsid w:val="11A00946"/>
    <w:rsid w:val="11A05BFE"/>
    <w:rsid w:val="11A069C3"/>
    <w:rsid w:val="11A14D6B"/>
    <w:rsid w:val="11A226ED"/>
    <w:rsid w:val="11A24C08"/>
    <w:rsid w:val="11A25693"/>
    <w:rsid w:val="11A34242"/>
    <w:rsid w:val="11A3762A"/>
    <w:rsid w:val="11A402E3"/>
    <w:rsid w:val="11A42091"/>
    <w:rsid w:val="11A478D6"/>
    <w:rsid w:val="11A53A2B"/>
    <w:rsid w:val="11A57DC8"/>
    <w:rsid w:val="11A62866"/>
    <w:rsid w:val="11A7793A"/>
    <w:rsid w:val="11A81C51"/>
    <w:rsid w:val="11AA3781"/>
    <w:rsid w:val="11AA6F59"/>
    <w:rsid w:val="11AB4159"/>
    <w:rsid w:val="11AB605E"/>
    <w:rsid w:val="11AE077D"/>
    <w:rsid w:val="11AE5AEF"/>
    <w:rsid w:val="11AF1928"/>
    <w:rsid w:val="11AF532A"/>
    <w:rsid w:val="11B02249"/>
    <w:rsid w:val="11B04EDA"/>
    <w:rsid w:val="11B07930"/>
    <w:rsid w:val="11B1512C"/>
    <w:rsid w:val="11B15E04"/>
    <w:rsid w:val="11B2001F"/>
    <w:rsid w:val="11B259F6"/>
    <w:rsid w:val="11B270E2"/>
    <w:rsid w:val="11B36D33"/>
    <w:rsid w:val="11B41034"/>
    <w:rsid w:val="11B42DEF"/>
    <w:rsid w:val="11B524F0"/>
    <w:rsid w:val="11B55446"/>
    <w:rsid w:val="11B5604C"/>
    <w:rsid w:val="11B610E1"/>
    <w:rsid w:val="11B66CEB"/>
    <w:rsid w:val="11B8725A"/>
    <w:rsid w:val="11BA193F"/>
    <w:rsid w:val="11BA3005"/>
    <w:rsid w:val="11BA405D"/>
    <w:rsid w:val="11BA4507"/>
    <w:rsid w:val="11BB73DB"/>
    <w:rsid w:val="11BE0C91"/>
    <w:rsid w:val="11BE3645"/>
    <w:rsid w:val="11BE7969"/>
    <w:rsid w:val="11BF511D"/>
    <w:rsid w:val="11C00173"/>
    <w:rsid w:val="11C00AE1"/>
    <w:rsid w:val="11C100EB"/>
    <w:rsid w:val="11C21CCC"/>
    <w:rsid w:val="11C251BE"/>
    <w:rsid w:val="11C273C8"/>
    <w:rsid w:val="11C31AC8"/>
    <w:rsid w:val="11C35F0C"/>
    <w:rsid w:val="11C4662E"/>
    <w:rsid w:val="11C52008"/>
    <w:rsid w:val="11C54D5F"/>
    <w:rsid w:val="11C6025A"/>
    <w:rsid w:val="11C646FD"/>
    <w:rsid w:val="11C711BA"/>
    <w:rsid w:val="11C75859"/>
    <w:rsid w:val="11C81EC6"/>
    <w:rsid w:val="11C83B3B"/>
    <w:rsid w:val="11C871DE"/>
    <w:rsid w:val="11C95F9C"/>
    <w:rsid w:val="11CA7426"/>
    <w:rsid w:val="11CB1D14"/>
    <w:rsid w:val="11CB1EC9"/>
    <w:rsid w:val="11CB617B"/>
    <w:rsid w:val="11CB7B6F"/>
    <w:rsid w:val="11CD4ABF"/>
    <w:rsid w:val="11CD5E73"/>
    <w:rsid w:val="11CD5FFC"/>
    <w:rsid w:val="11CE710E"/>
    <w:rsid w:val="11CF02A6"/>
    <w:rsid w:val="11D02E86"/>
    <w:rsid w:val="11D044F6"/>
    <w:rsid w:val="11D10EB5"/>
    <w:rsid w:val="11D13DD9"/>
    <w:rsid w:val="11D149BE"/>
    <w:rsid w:val="11D26439"/>
    <w:rsid w:val="11D301BE"/>
    <w:rsid w:val="11D30D0A"/>
    <w:rsid w:val="11D3453F"/>
    <w:rsid w:val="11D54941"/>
    <w:rsid w:val="11D60A04"/>
    <w:rsid w:val="11D63EC7"/>
    <w:rsid w:val="11D9669F"/>
    <w:rsid w:val="11DA0FC8"/>
    <w:rsid w:val="11DB5907"/>
    <w:rsid w:val="11DB71BA"/>
    <w:rsid w:val="11DC6219"/>
    <w:rsid w:val="11DE019B"/>
    <w:rsid w:val="11DE1633"/>
    <w:rsid w:val="11DF131B"/>
    <w:rsid w:val="11DF3526"/>
    <w:rsid w:val="11E0693E"/>
    <w:rsid w:val="11E116D4"/>
    <w:rsid w:val="11E13FB1"/>
    <w:rsid w:val="11E17C99"/>
    <w:rsid w:val="11E22BBA"/>
    <w:rsid w:val="11E47EE9"/>
    <w:rsid w:val="11E51146"/>
    <w:rsid w:val="11E57464"/>
    <w:rsid w:val="11E67008"/>
    <w:rsid w:val="11E72F2E"/>
    <w:rsid w:val="11E903EC"/>
    <w:rsid w:val="11E93E2D"/>
    <w:rsid w:val="11EB1910"/>
    <w:rsid w:val="11EC351D"/>
    <w:rsid w:val="11ED5E83"/>
    <w:rsid w:val="11ED6A5F"/>
    <w:rsid w:val="11ED6D26"/>
    <w:rsid w:val="11EE3F11"/>
    <w:rsid w:val="11EF0A24"/>
    <w:rsid w:val="11EF6908"/>
    <w:rsid w:val="11F1131D"/>
    <w:rsid w:val="11F272A1"/>
    <w:rsid w:val="11F31084"/>
    <w:rsid w:val="11F34B6C"/>
    <w:rsid w:val="11F528ED"/>
    <w:rsid w:val="11F62163"/>
    <w:rsid w:val="11F63621"/>
    <w:rsid w:val="11F85DC9"/>
    <w:rsid w:val="11F86710"/>
    <w:rsid w:val="11F9111A"/>
    <w:rsid w:val="11FA5347"/>
    <w:rsid w:val="11FA7A2F"/>
    <w:rsid w:val="11FB5ED5"/>
    <w:rsid w:val="11FC3C7B"/>
    <w:rsid w:val="11FC4660"/>
    <w:rsid w:val="11FF376C"/>
    <w:rsid w:val="11FF4DD1"/>
    <w:rsid w:val="11FF5090"/>
    <w:rsid w:val="12004523"/>
    <w:rsid w:val="120078B8"/>
    <w:rsid w:val="120314AE"/>
    <w:rsid w:val="12060ECB"/>
    <w:rsid w:val="12061235"/>
    <w:rsid w:val="12067C41"/>
    <w:rsid w:val="12070E9F"/>
    <w:rsid w:val="1208381B"/>
    <w:rsid w:val="1208669F"/>
    <w:rsid w:val="120950D8"/>
    <w:rsid w:val="120C25A4"/>
    <w:rsid w:val="120D5F36"/>
    <w:rsid w:val="120F13AE"/>
    <w:rsid w:val="120F14ED"/>
    <w:rsid w:val="120F2470"/>
    <w:rsid w:val="120F5E91"/>
    <w:rsid w:val="1210057E"/>
    <w:rsid w:val="12102CFC"/>
    <w:rsid w:val="12124046"/>
    <w:rsid w:val="121277D8"/>
    <w:rsid w:val="12143DBC"/>
    <w:rsid w:val="12144C98"/>
    <w:rsid w:val="121530C2"/>
    <w:rsid w:val="12165DB6"/>
    <w:rsid w:val="1218482D"/>
    <w:rsid w:val="1218513D"/>
    <w:rsid w:val="121875B7"/>
    <w:rsid w:val="1219376D"/>
    <w:rsid w:val="121947A2"/>
    <w:rsid w:val="121970EB"/>
    <w:rsid w:val="121A4EE8"/>
    <w:rsid w:val="121A6B5D"/>
    <w:rsid w:val="121B0746"/>
    <w:rsid w:val="121B0B5B"/>
    <w:rsid w:val="121E62E8"/>
    <w:rsid w:val="12203087"/>
    <w:rsid w:val="1220343A"/>
    <w:rsid w:val="12207C12"/>
    <w:rsid w:val="12230448"/>
    <w:rsid w:val="1223395C"/>
    <w:rsid w:val="12233DA4"/>
    <w:rsid w:val="122356AC"/>
    <w:rsid w:val="12244FC1"/>
    <w:rsid w:val="12265125"/>
    <w:rsid w:val="12286540"/>
    <w:rsid w:val="12290F3C"/>
    <w:rsid w:val="12293956"/>
    <w:rsid w:val="122A494A"/>
    <w:rsid w:val="122C24B3"/>
    <w:rsid w:val="122D04F1"/>
    <w:rsid w:val="122E20B3"/>
    <w:rsid w:val="122E3041"/>
    <w:rsid w:val="1230127F"/>
    <w:rsid w:val="1231308E"/>
    <w:rsid w:val="12321F08"/>
    <w:rsid w:val="12326B54"/>
    <w:rsid w:val="12332A59"/>
    <w:rsid w:val="123548C2"/>
    <w:rsid w:val="123627D1"/>
    <w:rsid w:val="1237079B"/>
    <w:rsid w:val="12371157"/>
    <w:rsid w:val="123715CF"/>
    <w:rsid w:val="12373BDF"/>
    <w:rsid w:val="123954C0"/>
    <w:rsid w:val="12395946"/>
    <w:rsid w:val="123A3338"/>
    <w:rsid w:val="123A462D"/>
    <w:rsid w:val="123A67A6"/>
    <w:rsid w:val="123A765A"/>
    <w:rsid w:val="123B6231"/>
    <w:rsid w:val="123C051C"/>
    <w:rsid w:val="123C504F"/>
    <w:rsid w:val="123C7757"/>
    <w:rsid w:val="123F1DBA"/>
    <w:rsid w:val="123F3922"/>
    <w:rsid w:val="123F4F73"/>
    <w:rsid w:val="123F7110"/>
    <w:rsid w:val="1241001D"/>
    <w:rsid w:val="12415C00"/>
    <w:rsid w:val="124258C9"/>
    <w:rsid w:val="12426690"/>
    <w:rsid w:val="12430920"/>
    <w:rsid w:val="1243301E"/>
    <w:rsid w:val="12435BAF"/>
    <w:rsid w:val="12436F57"/>
    <w:rsid w:val="12437CE8"/>
    <w:rsid w:val="124452CB"/>
    <w:rsid w:val="124473D0"/>
    <w:rsid w:val="1245587F"/>
    <w:rsid w:val="1246201D"/>
    <w:rsid w:val="12463148"/>
    <w:rsid w:val="124675EC"/>
    <w:rsid w:val="1247471F"/>
    <w:rsid w:val="12482D3A"/>
    <w:rsid w:val="1248658A"/>
    <w:rsid w:val="1249687D"/>
    <w:rsid w:val="124A7050"/>
    <w:rsid w:val="124B075F"/>
    <w:rsid w:val="124B07A4"/>
    <w:rsid w:val="124B399C"/>
    <w:rsid w:val="124B43D8"/>
    <w:rsid w:val="124B510A"/>
    <w:rsid w:val="124C4C9E"/>
    <w:rsid w:val="124C4DAF"/>
    <w:rsid w:val="124D5E09"/>
    <w:rsid w:val="124D6A70"/>
    <w:rsid w:val="124F1E56"/>
    <w:rsid w:val="124F2908"/>
    <w:rsid w:val="124F439E"/>
    <w:rsid w:val="124F46F3"/>
    <w:rsid w:val="12502219"/>
    <w:rsid w:val="12506F17"/>
    <w:rsid w:val="12512FC6"/>
    <w:rsid w:val="125202F4"/>
    <w:rsid w:val="12524B91"/>
    <w:rsid w:val="12545229"/>
    <w:rsid w:val="1256481E"/>
    <w:rsid w:val="12577104"/>
    <w:rsid w:val="12577F1C"/>
    <w:rsid w:val="12582425"/>
    <w:rsid w:val="12585427"/>
    <w:rsid w:val="12586996"/>
    <w:rsid w:val="125910CE"/>
    <w:rsid w:val="125B0EB4"/>
    <w:rsid w:val="125B1351"/>
    <w:rsid w:val="125B1F3F"/>
    <w:rsid w:val="125C5801"/>
    <w:rsid w:val="125C6499"/>
    <w:rsid w:val="125D687D"/>
    <w:rsid w:val="125D727D"/>
    <w:rsid w:val="125F04F1"/>
    <w:rsid w:val="12604A48"/>
    <w:rsid w:val="12613F46"/>
    <w:rsid w:val="1261643E"/>
    <w:rsid w:val="12636C39"/>
    <w:rsid w:val="1263749A"/>
    <w:rsid w:val="12647A72"/>
    <w:rsid w:val="12650E2D"/>
    <w:rsid w:val="12653265"/>
    <w:rsid w:val="12665599"/>
    <w:rsid w:val="12692CDC"/>
    <w:rsid w:val="12696E37"/>
    <w:rsid w:val="126A0813"/>
    <w:rsid w:val="126A098A"/>
    <w:rsid w:val="126A42EB"/>
    <w:rsid w:val="126A69AB"/>
    <w:rsid w:val="126A7A8C"/>
    <w:rsid w:val="126B1ECE"/>
    <w:rsid w:val="126D0C03"/>
    <w:rsid w:val="126D35ED"/>
    <w:rsid w:val="126D7A79"/>
    <w:rsid w:val="126E269F"/>
    <w:rsid w:val="126F03B0"/>
    <w:rsid w:val="126F2B23"/>
    <w:rsid w:val="12713B08"/>
    <w:rsid w:val="127203F6"/>
    <w:rsid w:val="12730A61"/>
    <w:rsid w:val="127313E5"/>
    <w:rsid w:val="12731ABA"/>
    <w:rsid w:val="127347F2"/>
    <w:rsid w:val="12742683"/>
    <w:rsid w:val="12746B75"/>
    <w:rsid w:val="12765B34"/>
    <w:rsid w:val="12771554"/>
    <w:rsid w:val="12773934"/>
    <w:rsid w:val="1278671A"/>
    <w:rsid w:val="127917DD"/>
    <w:rsid w:val="127948E3"/>
    <w:rsid w:val="12795DE7"/>
    <w:rsid w:val="12796494"/>
    <w:rsid w:val="127A1044"/>
    <w:rsid w:val="127A5083"/>
    <w:rsid w:val="127A7296"/>
    <w:rsid w:val="127E1902"/>
    <w:rsid w:val="127E48ED"/>
    <w:rsid w:val="127E6754"/>
    <w:rsid w:val="127F16A8"/>
    <w:rsid w:val="127F2CC5"/>
    <w:rsid w:val="127F5DA5"/>
    <w:rsid w:val="12800C00"/>
    <w:rsid w:val="12816DD3"/>
    <w:rsid w:val="12825CC4"/>
    <w:rsid w:val="12843005"/>
    <w:rsid w:val="1284517E"/>
    <w:rsid w:val="12852902"/>
    <w:rsid w:val="12857FB6"/>
    <w:rsid w:val="12861E21"/>
    <w:rsid w:val="12864730"/>
    <w:rsid w:val="12865C3B"/>
    <w:rsid w:val="12874609"/>
    <w:rsid w:val="12883761"/>
    <w:rsid w:val="1289247D"/>
    <w:rsid w:val="128A2A6B"/>
    <w:rsid w:val="128C0964"/>
    <w:rsid w:val="128C387E"/>
    <w:rsid w:val="128F04D5"/>
    <w:rsid w:val="128F069C"/>
    <w:rsid w:val="128F6342"/>
    <w:rsid w:val="1291265A"/>
    <w:rsid w:val="12933059"/>
    <w:rsid w:val="12941CAC"/>
    <w:rsid w:val="129701A2"/>
    <w:rsid w:val="12972692"/>
    <w:rsid w:val="129866B0"/>
    <w:rsid w:val="1299324F"/>
    <w:rsid w:val="12997E43"/>
    <w:rsid w:val="129A6B01"/>
    <w:rsid w:val="129B1F4D"/>
    <w:rsid w:val="129C34BC"/>
    <w:rsid w:val="129D4085"/>
    <w:rsid w:val="129D5742"/>
    <w:rsid w:val="129D5F84"/>
    <w:rsid w:val="129D78DE"/>
    <w:rsid w:val="129E12A4"/>
    <w:rsid w:val="129F2254"/>
    <w:rsid w:val="129F429B"/>
    <w:rsid w:val="12A00EE5"/>
    <w:rsid w:val="12A06CFD"/>
    <w:rsid w:val="12A10CC7"/>
    <w:rsid w:val="12A137B3"/>
    <w:rsid w:val="12A16C4D"/>
    <w:rsid w:val="12A226CF"/>
    <w:rsid w:val="12A32DE9"/>
    <w:rsid w:val="12A35E22"/>
    <w:rsid w:val="12A418DB"/>
    <w:rsid w:val="12A41AE6"/>
    <w:rsid w:val="12A43584"/>
    <w:rsid w:val="12A44411"/>
    <w:rsid w:val="12A73420"/>
    <w:rsid w:val="12A76BCC"/>
    <w:rsid w:val="12A94A2D"/>
    <w:rsid w:val="12AA36D7"/>
    <w:rsid w:val="12AA3CD8"/>
    <w:rsid w:val="12AB0654"/>
    <w:rsid w:val="12AC25E5"/>
    <w:rsid w:val="12AC5CE6"/>
    <w:rsid w:val="12AD2BBD"/>
    <w:rsid w:val="12AD31C8"/>
    <w:rsid w:val="12AD5889"/>
    <w:rsid w:val="12AE2EB4"/>
    <w:rsid w:val="12B16154"/>
    <w:rsid w:val="12B1776A"/>
    <w:rsid w:val="12B211FB"/>
    <w:rsid w:val="12B218BD"/>
    <w:rsid w:val="12B36795"/>
    <w:rsid w:val="12B44770"/>
    <w:rsid w:val="12B47A6C"/>
    <w:rsid w:val="12B66146"/>
    <w:rsid w:val="12B80A70"/>
    <w:rsid w:val="12B87C4A"/>
    <w:rsid w:val="12B94B43"/>
    <w:rsid w:val="12B97D8D"/>
    <w:rsid w:val="12BA7DA1"/>
    <w:rsid w:val="12BB3CD0"/>
    <w:rsid w:val="12BC182A"/>
    <w:rsid w:val="12BC78AF"/>
    <w:rsid w:val="12BD6E6A"/>
    <w:rsid w:val="12C01240"/>
    <w:rsid w:val="12C01301"/>
    <w:rsid w:val="12C21013"/>
    <w:rsid w:val="12C236EA"/>
    <w:rsid w:val="12C24D37"/>
    <w:rsid w:val="12C250B8"/>
    <w:rsid w:val="12C341BB"/>
    <w:rsid w:val="12C40892"/>
    <w:rsid w:val="12C56CED"/>
    <w:rsid w:val="12C60255"/>
    <w:rsid w:val="12C66FB3"/>
    <w:rsid w:val="12C70A4C"/>
    <w:rsid w:val="12C9662F"/>
    <w:rsid w:val="12CA0BDF"/>
    <w:rsid w:val="12CA2425"/>
    <w:rsid w:val="12CA43B4"/>
    <w:rsid w:val="12CA5A3C"/>
    <w:rsid w:val="12CB4F15"/>
    <w:rsid w:val="12CC53E9"/>
    <w:rsid w:val="12CC6693"/>
    <w:rsid w:val="12CC676E"/>
    <w:rsid w:val="12CD1F71"/>
    <w:rsid w:val="12D025B2"/>
    <w:rsid w:val="12D03BE7"/>
    <w:rsid w:val="12D06EB6"/>
    <w:rsid w:val="12D1388E"/>
    <w:rsid w:val="12D16F48"/>
    <w:rsid w:val="12D469A6"/>
    <w:rsid w:val="12D544CC"/>
    <w:rsid w:val="12DA27D7"/>
    <w:rsid w:val="12DB2590"/>
    <w:rsid w:val="12DB30F2"/>
    <w:rsid w:val="12DC1005"/>
    <w:rsid w:val="12DF0DFB"/>
    <w:rsid w:val="12DF2DED"/>
    <w:rsid w:val="12DF64AC"/>
    <w:rsid w:val="12E04D91"/>
    <w:rsid w:val="12E070F9"/>
    <w:rsid w:val="12E167FC"/>
    <w:rsid w:val="12E26418"/>
    <w:rsid w:val="12E35130"/>
    <w:rsid w:val="12E41FAB"/>
    <w:rsid w:val="12E42558"/>
    <w:rsid w:val="12E42676"/>
    <w:rsid w:val="12E431C9"/>
    <w:rsid w:val="12E50BB3"/>
    <w:rsid w:val="12E514DE"/>
    <w:rsid w:val="12E5311E"/>
    <w:rsid w:val="12E56CA6"/>
    <w:rsid w:val="12E71948"/>
    <w:rsid w:val="12E73581"/>
    <w:rsid w:val="12E7492B"/>
    <w:rsid w:val="12E80AB0"/>
    <w:rsid w:val="12E936BC"/>
    <w:rsid w:val="12E94832"/>
    <w:rsid w:val="12EA11ED"/>
    <w:rsid w:val="12EA13BD"/>
    <w:rsid w:val="12EA3259"/>
    <w:rsid w:val="12EC23AB"/>
    <w:rsid w:val="12ED1179"/>
    <w:rsid w:val="12ED50A3"/>
    <w:rsid w:val="12ED5CBA"/>
    <w:rsid w:val="12ED6F35"/>
    <w:rsid w:val="12EF37E0"/>
    <w:rsid w:val="12EF68D0"/>
    <w:rsid w:val="12F051CD"/>
    <w:rsid w:val="12F26E2C"/>
    <w:rsid w:val="12F33B67"/>
    <w:rsid w:val="12F36460"/>
    <w:rsid w:val="12F42CF5"/>
    <w:rsid w:val="12F43019"/>
    <w:rsid w:val="12F43B42"/>
    <w:rsid w:val="12F45F23"/>
    <w:rsid w:val="12F56B01"/>
    <w:rsid w:val="12F76C1F"/>
    <w:rsid w:val="12F801BD"/>
    <w:rsid w:val="12F84115"/>
    <w:rsid w:val="12F843ED"/>
    <w:rsid w:val="12F969A7"/>
    <w:rsid w:val="12F97F16"/>
    <w:rsid w:val="12FA21F8"/>
    <w:rsid w:val="12FD1D06"/>
    <w:rsid w:val="12FD5363"/>
    <w:rsid w:val="12FD69C6"/>
    <w:rsid w:val="12FD78C2"/>
    <w:rsid w:val="12FF2F6F"/>
    <w:rsid w:val="12FF3A5D"/>
    <w:rsid w:val="12FF62D7"/>
    <w:rsid w:val="1300056D"/>
    <w:rsid w:val="130005D1"/>
    <w:rsid w:val="13006E2E"/>
    <w:rsid w:val="13016352"/>
    <w:rsid w:val="13022EF3"/>
    <w:rsid w:val="13022F49"/>
    <w:rsid w:val="1302499A"/>
    <w:rsid w:val="130407A3"/>
    <w:rsid w:val="13054DB2"/>
    <w:rsid w:val="13060E96"/>
    <w:rsid w:val="130630AD"/>
    <w:rsid w:val="13070899"/>
    <w:rsid w:val="13095D8F"/>
    <w:rsid w:val="13096D6A"/>
    <w:rsid w:val="130A07A3"/>
    <w:rsid w:val="130A4FFE"/>
    <w:rsid w:val="130C2748"/>
    <w:rsid w:val="130C7ED8"/>
    <w:rsid w:val="130D0E75"/>
    <w:rsid w:val="130D67BC"/>
    <w:rsid w:val="130F3E82"/>
    <w:rsid w:val="130F5C30"/>
    <w:rsid w:val="13106B72"/>
    <w:rsid w:val="131119A8"/>
    <w:rsid w:val="13113C1D"/>
    <w:rsid w:val="13115667"/>
    <w:rsid w:val="13140AA3"/>
    <w:rsid w:val="13182E8E"/>
    <w:rsid w:val="13183288"/>
    <w:rsid w:val="1319644A"/>
    <w:rsid w:val="1319710D"/>
    <w:rsid w:val="131B131B"/>
    <w:rsid w:val="131C03E5"/>
    <w:rsid w:val="131C14D3"/>
    <w:rsid w:val="131C1653"/>
    <w:rsid w:val="131D03D4"/>
    <w:rsid w:val="131D16FD"/>
    <w:rsid w:val="131D2971"/>
    <w:rsid w:val="131E25FC"/>
    <w:rsid w:val="131E30A9"/>
    <w:rsid w:val="131E40C5"/>
    <w:rsid w:val="131F0C31"/>
    <w:rsid w:val="131F3B43"/>
    <w:rsid w:val="131F78CA"/>
    <w:rsid w:val="131F7EDE"/>
    <w:rsid w:val="13215ECA"/>
    <w:rsid w:val="13217AAF"/>
    <w:rsid w:val="1323595E"/>
    <w:rsid w:val="13245A29"/>
    <w:rsid w:val="13247ACA"/>
    <w:rsid w:val="13262398"/>
    <w:rsid w:val="13262F33"/>
    <w:rsid w:val="13271066"/>
    <w:rsid w:val="132803CF"/>
    <w:rsid w:val="13280D6A"/>
    <w:rsid w:val="13283492"/>
    <w:rsid w:val="132845CF"/>
    <w:rsid w:val="13287FD1"/>
    <w:rsid w:val="13292778"/>
    <w:rsid w:val="132A4818"/>
    <w:rsid w:val="132A7323"/>
    <w:rsid w:val="132B5BD5"/>
    <w:rsid w:val="132C3004"/>
    <w:rsid w:val="132C3D33"/>
    <w:rsid w:val="132D01C2"/>
    <w:rsid w:val="132D06E9"/>
    <w:rsid w:val="132D1F23"/>
    <w:rsid w:val="132D60B6"/>
    <w:rsid w:val="132E00A6"/>
    <w:rsid w:val="132E62C7"/>
    <w:rsid w:val="13303C8A"/>
    <w:rsid w:val="133074A0"/>
    <w:rsid w:val="13313DF9"/>
    <w:rsid w:val="1332431E"/>
    <w:rsid w:val="133267BC"/>
    <w:rsid w:val="13353326"/>
    <w:rsid w:val="13353B1B"/>
    <w:rsid w:val="13355E97"/>
    <w:rsid w:val="13362521"/>
    <w:rsid w:val="13367661"/>
    <w:rsid w:val="1337491C"/>
    <w:rsid w:val="133A407E"/>
    <w:rsid w:val="133A6689"/>
    <w:rsid w:val="133B2528"/>
    <w:rsid w:val="133B4C77"/>
    <w:rsid w:val="133D533A"/>
    <w:rsid w:val="133E2072"/>
    <w:rsid w:val="133E3124"/>
    <w:rsid w:val="133E4E1D"/>
    <w:rsid w:val="133E773D"/>
    <w:rsid w:val="133E7B9C"/>
    <w:rsid w:val="133E7C41"/>
    <w:rsid w:val="133F302C"/>
    <w:rsid w:val="133F7388"/>
    <w:rsid w:val="13404ACF"/>
    <w:rsid w:val="13407C4D"/>
    <w:rsid w:val="13417E62"/>
    <w:rsid w:val="134272D3"/>
    <w:rsid w:val="134321CD"/>
    <w:rsid w:val="1344197C"/>
    <w:rsid w:val="13450BFA"/>
    <w:rsid w:val="134515AF"/>
    <w:rsid w:val="13454EE2"/>
    <w:rsid w:val="13456431"/>
    <w:rsid w:val="134618D8"/>
    <w:rsid w:val="13463279"/>
    <w:rsid w:val="13465EEB"/>
    <w:rsid w:val="134769A9"/>
    <w:rsid w:val="13476BD5"/>
    <w:rsid w:val="13480553"/>
    <w:rsid w:val="134873D5"/>
    <w:rsid w:val="1349092A"/>
    <w:rsid w:val="134A251E"/>
    <w:rsid w:val="134B05C2"/>
    <w:rsid w:val="134D446E"/>
    <w:rsid w:val="134D71BB"/>
    <w:rsid w:val="134D757D"/>
    <w:rsid w:val="134E17F9"/>
    <w:rsid w:val="134F1839"/>
    <w:rsid w:val="13501728"/>
    <w:rsid w:val="13511304"/>
    <w:rsid w:val="13512658"/>
    <w:rsid w:val="13513586"/>
    <w:rsid w:val="135218A6"/>
    <w:rsid w:val="13521DA1"/>
    <w:rsid w:val="135238AC"/>
    <w:rsid w:val="13523EDF"/>
    <w:rsid w:val="135532EC"/>
    <w:rsid w:val="1355376B"/>
    <w:rsid w:val="13553BD1"/>
    <w:rsid w:val="13554641"/>
    <w:rsid w:val="13573133"/>
    <w:rsid w:val="13584AE6"/>
    <w:rsid w:val="13596C9E"/>
    <w:rsid w:val="135A3C50"/>
    <w:rsid w:val="135A638B"/>
    <w:rsid w:val="135A7434"/>
    <w:rsid w:val="135B6ECE"/>
    <w:rsid w:val="135C36DE"/>
    <w:rsid w:val="135C7F55"/>
    <w:rsid w:val="135E10E2"/>
    <w:rsid w:val="135E3EA3"/>
    <w:rsid w:val="135F6DF6"/>
    <w:rsid w:val="13602DD3"/>
    <w:rsid w:val="136041E5"/>
    <w:rsid w:val="1360648C"/>
    <w:rsid w:val="13611764"/>
    <w:rsid w:val="1363286A"/>
    <w:rsid w:val="13634743"/>
    <w:rsid w:val="13651D95"/>
    <w:rsid w:val="136703AB"/>
    <w:rsid w:val="1367095E"/>
    <w:rsid w:val="13673837"/>
    <w:rsid w:val="13682790"/>
    <w:rsid w:val="136C4E31"/>
    <w:rsid w:val="136C5B79"/>
    <w:rsid w:val="136D6B64"/>
    <w:rsid w:val="136F4C00"/>
    <w:rsid w:val="136F5E6A"/>
    <w:rsid w:val="136F69A3"/>
    <w:rsid w:val="137141F5"/>
    <w:rsid w:val="137159AC"/>
    <w:rsid w:val="13725900"/>
    <w:rsid w:val="137372A4"/>
    <w:rsid w:val="137419FD"/>
    <w:rsid w:val="13746AFE"/>
    <w:rsid w:val="13773B63"/>
    <w:rsid w:val="13792950"/>
    <w:rsid w:val="137C2297"/>
    <w:rsid w:val="137C2A62"/>
    <w:rsid w:val="137D1A6C"/>
    <w:rsid w:val="137D70FE"/>
    <w:rsid w:val="137E1C38"/>
    <w:rsid w:val="137E67C2"/>
    <w:rsid w:val="137E6912"/>
    <w:rsid w:val="137F5F6B"/>
    <w:rsid w:val="13805EA2"/>
    <w:rsid w:val="138336FD"/>
    <w:rsid w:val="13845810"/>
    <w:rsid w:val="138470C4"/>
    <w:rsid w:val="13854F5E"/>
    <w:rsid w:val="13855000"/>
    <w:rsid w:val="13863B32"/>
    <w:rsid w:val="138670A0"/>
    <w:rsid w:val="13870C3B"/>
    <w:rsid w:val="138744AC"/>
    <w:rsid w:val="13876C5F"/>
    <w:rsid w:val="138776A1"/>
    <w:rsid w:val="138804BE"/>
    <w:rsid w:val="138862CF"/>
    <w:rsid w:val="13892310"/>
    <w:rsid w:val="138959E3"/>
    <w:rsid w:val="138A1F63"/>
    <w:rsid w:val="138A3509"/>
    <w:rsid w:val="138B1E16"/>
    <w:rsid w:val="138B4678"/>
    <w:rsid w:val="138D522F"/>
    <w:rsid w:val="138E23B0"/>
    <w:rsid w:val="138E3B97"/>
    <w:rsid w:val="138E5DAE"/>
    <w:rsid w:val="138F28CD"/>
    <w:rsid w:val="13906D71"/>
    <w:rsid w:val="13941600"/>
    <w:rsid w:val="13947F27"/>
    <w:rsid w:val="1395128E"/>
    <w:rsid w:val="13951726"/>
    <w:rsid w:val="139620D0"/>
    <w:rsid w:val="139A69EF"/>
    <w:rsid w:val="139B3968"/>
    <w:rsid w:val="139B70F8"/>
    <w:rsid w:val="139D390C"/>
    <w:rsid w:val="139D7DA3"/>
    <w:rsid w:val="139F3B6A"/>
    <w:rsid w:val="13A06036"/>
    <w:rsid w:val="13A23AEB"/>
    <w:rsid w:val="13A31AB3"/>
    <w:rsid w:val="13A4624C"/>
    <w:rsid w:val="13A46379"/>
    <w:rsid w:val="13A57BF5"/>
    <w:rsid w:val="13A61772"/>
    <w:rsid w:val="13A627E2"/>
    <w:rsid w:val="13A62E2B"/>
    <w:rsid w:val="13A8316E"/>
    <w:rsid w:val="13A837D0"/>
    <w:rsid w:val="13A86A0A"/>
    <w:rsid w:val="13A91302"/>
    <w:rsid w:val="13A919DF"/>
    <w:rsid w:val="13AA0B6D"/>
    <w:rsid w:val="13AA367F"/>
    <w:rsid w:val="13AA7A6C"/>
    <w:rsid w:val="13AB3BAB"/>
    <w:rsid w:val="13AB44CA"/>
    <w:rsid w:val="13AC16D1"/>
    <w:rsid w:val="13AC198C"/>
    <w:rsid w:val="13AC7CF5"/>
    <w:rsid w:val="13AD0DD4"/>
    <w:rsid w:val="13AE3A83"/>
    <w:rsid w:val="13AE5449"/>
    <w:rsid w:val="13AE71F7"/>
    <w:rsid w:val="13AF3D2C"/>
    <w:rsid w:val="13B02B30"/>
    <w:rsid w:val="13B1668C"/>
    <w:rsid w:val="13B22254"/>
    <w:rsid w:val="13B27D10"/>
    <w:rsid w:val="13B3138E"/>
    <w:rsid w:val="13B31B3C"/>
    <w:rsid w:val="13B34F3F"/>
    <w:rsid w:val="13B418E5"/>
    <w:rsid w:val="13B41E07"/>
    <w:rsid w:val="13B450C2"/>
    <w:rsid w:val="13B50586"/>
    <w:rsid w:val="13B55673"/>
    <w:rsid w:val="13B614C4"/>
    <w:rsid w:val="13B65221"/>
    <w:rsid w:val="13B67A5B"/>
    <w:rsid w:val="13B742B2"/>
    <w:rsid w:val="13B8143D"/>
    <w:rsid w:val="13B8551D"/>
    <w:rsid w:val="13B911D2"/>
    <w:rsid w:val="13B964E0"/>
    <w:rsid w:val="13BA3D5A"/>
    <w:rsid w:val="13BC6909"/>
    <w:rsid w:val="13BC732C"/>
    <w:rsid w:val="13BD13B2"/>
    <w:rsid w:val="13BD2868"/>
    <w:rsid w:val="13BD2CF6"/>
    <w:rsid w:val="13BD7245"/>
    <w:rsid w:val="13BF1ABA"/>
    <w:rsid w:val="13C0085F"/>
    <w:rsid w:val="13C02576"/>
    <w:rsid w:val="13C219EA"/>
    <w:rsid w:val="13C3540D"/>
    <w:rsid w:val="13C7597A"/>
    <w:rsid w:val="13C76CFC"/>
    <w:rsid w:val="13C90009"/>
    <w:rsid w:val="13C94B5C"/>
    <w:rsid w:val="13C9639B"/>
    <w:rsid w:val="13CA5218"/>
    <w:rsid w:val="13CB5445"/>
    <w:rsid w:val="13CC3B21"/>
    <w:rsid w:val="13CC4A66"/>
    <w:rsid w:val="13CC77E7"/>
    <w:rsid w:val="13CF28B2"/>
    <w:rsid w:val="13D13C8B"/>
    <w:rsid w:val="13D14677"/>
    <w:rsid w:val="13D16EFE"/>
    <w:rsid w:val="13D172F2"/>
    <w:rsid w:val="13D17DCB"/>
    <w:rsid w:val="13D46892"/>
    <w:rsid w:val="13D47C11"/>
    <w:rsid w:val="13D52401"/>
    <w:rsid w:val="13D53D9C"/>
    <w:rsid w:val="13D5599D"/>
    <w:rsid w:val="13D6674E"/>
    <w:rsid w:val="13D70146"/>
    <w:rsid w:val="13D8616E"/>
    <w:rsid w:val="13DA5F8A"/>
    <w:rsid w:val="13DA623E"/>
    <w:rsid w:val="13DA7FEC"/>
    <w:rsid w:val="13DC2058"/>
    <w:rsid w:val="13DC26A2"/>
    <w:rsid w:val="13DD5D2E"/>
    <w:rsid w:val="13DD7ADC"/>
    <w:rsid w:val="13DF516A"/>
    <w:rsid w:val="13E0534B"/>
    <w:rsid w:val="13E11E0B"/>
    <w:rsid w:val="13E23345"/>
    <w:rsid w:val="13E239A9"/>
    <w:rsid w:val="13E35E18"/>
    <w:rsid w:val="13E3686D"/>
    <w:rsid w:val="13E45C91"/>
    <w:rsid w:val="13E51902"/>
    <w:rsid w:val="13E6056F"/>
    <w:rsid w:val="13E62580"/>
    <w:rsid w:val="13E65B82"/>
    <w:rsid w:val="13E7153A"/>
    <w:rsid w:val="13E86336"/>
    <w:rsid w:val="13EA1C45"/>
    <w:rsid w:val="13EA20F7"/>
    <w:rsid w:val="13EB092F"/>
    <w:rsid w:val="13EB33F1"/>
    <w:rsid w:val="13EC0700"/>
    <w:rsid w:val="13ED41C3"/>
    <w:rsid w:val="13F00F84"/>
    <w:rsid w:val="13F06E13"/>
    <w:rsid w:val="13F07810"/>
    <w:rsid w:val="13F113B8"/>
    <w:rsid w:val="13F11979"/>
    <w:rsid w:val="13F131DC"/>
    <w:rsid w:val="13F136A0"/>
    <w:rsid w:val="13F16830"/>
    <w:rsid w:val="13F217DA"/>
    <w:rsid w:val="13F2232B"/>
    <w:rsid w:val="13F3518A"/>
    <w:rsid w:val="13F53078"/>
    <w:rsid w:val="13F54158"/>
    <w:rsid w:val="13F55C00"/>
    <w:rsid w:val="13F725F5"/>
    <w:rsid w:val="13F8285F"/>
    <w:rsid w:val="13F94213"/>
    <w:rsid w:val="13FA065E"/>
    <w:rsid w:val="13FB28F5"/>
    <w:rsid w:val="13FC1DE2"/>
    <w:rsid w:val="13FD1F2D"/>
    <w:rsid w:val="13FD3F4C"/>
    <w:rsid w:val="13FE2ADA"/>
    <w:rsid w:val="140007CA"/>
    <w:rsid w:val="140101E5"/>
    <w:rsid w:val="140142DC"/>
    <w:rsid w:val="1404150D"/>
    <w:rsid w:val="14045165"/>
    <w:rsid w:val="14050A90"/>
    <w:rsid w:val="14060DE1"/>
    <w:rsid w:val="14064F0C"/>
    <w:rsid w:val="14085946"/>
    <w:rsid w:val="14086385"/>
    <w:rsid w:val="140908D1"/>
    <w:rsid w:val="140A4949"/>
    <w:rsid w:val="140C3903"/>
    <w:rsid w:val="140C5F5F"/>
    <w:rsid w:val="140E03B2"/>
    <w:rsid w:val="140E269B"/>
    <w:rsid w:val="140E460E"/>
    <w:rsid w:val="14101C60"/>
    <w:rsid w:val="14107EB2"/>
    <w:rsid w:val="14116045"/>
    <w:rsid w:val="14123C2A"/>
    <w:rsid w:val="14125495"/>
    <w:rsid w:val="14131C05"/>
    <w:rsid w:val="14136C94"/>
    <w:rsid w:val="14140C27"/>
    <w:rsid w:val="141523B3"/>
    <w:rsid w:val="14167974"/>
    <w:rsid w:val="14181D9D"/>
    <w:rsid w:val="14197876"/>
    <w:rsid w:val="141A78FC"/>
    <w:rsid w:val="141D3A6C"/>
    <w:rsid w:val="141E1EF0"/>
    <w:rsid w:val="141E5A17"/>
    <w:rsid w:val="141F46D8"/>
    <w:rsid w:val="14201F81"/>
    <w:rsid w:val="1420576D"/>
    <w:rsid w:val="1421783D"/>
    <w:rsid w:val="14221AD5"/>
    <w:rsid w:val="14223741"/>
    <w:rsid w:val="142247D6"/>
    <w:rsid w:val="14231C9D"/>
    <w:rsid w:val="14240A78"/>
    <w:rsid w:val="14244923"/>
    <w:rsid w:val="142474B9"/>
    <w:rsid w:val="14252936"/>
    <w:rsid w:val="142536B4"/>
    <w:rsid w:val="1426088F"/>
    <w:rsid w:val="14263231"/>
    <w:rsid w:val="142633DF"/>
    <w:rsid w:val="14270100"/>
    <w:rsid w:val="14277B85"/>
    <w:rsid w:val="14291F60"/>
    <w:rsid w:val="142A0E69"/>
    <w:rsid w:val="142A175F"/>
    <w:rsid w:val="142B4CEC"/>
    <w:rsid w:val="142D3F8C"/>
    <w:rsid w:val="142D4C8E"/>
    <w:rsid w:val="142E353F"/>
    <w:rsid w:val="142F2FE9"/>
    <w:rsid w:val="142F70A5"/>
    <w:rsid w:val="143017A1"/>
    <w:rsid w:val="14302E1C"/>
    <w:rsid w:val="14305686"/>
    <w:rsid w:val="1431787E"/>
    <w:rsid w:val="14327E28"/>
    <w:rsid w:val="1433338D"/>
    <w:rsid w:val="14334BC8"/>
    <w:rsid w:val="143405E1"/>
    <w:rsid w:val="14340993"/>
    <w:rsid w:val="1434515B"/>
    <w:rsid w:val="14356FCB"/>
    <w:rsid w:val="14357171"/>
    <w:rsid w:val="143607D6"/>
    <w:rsid w:val="14364E4A"/>
    <w:rsid w:val="14364E4F"/>
    <w:rsid w:val="143724BF"/>
    <w:rsid w:val="1437353C"/>
    <w:rsid w:val="14396509"/>
    <w:rsid w:val="14396FFB"/>
    <w:rsid w:val="143A4C97"/>
    <w:rsid w:val="143A606B"/>
    <w:rsid w:val="143C7C84"/>
    <w:rsid w:val="143D4E91"/>
    <w:rsid w:val="143F1FA6"/>
    <w:rsid w:val="143F6109"/>
    <w:rsid w:val="143F7359"/>
    <w:rsid w:val="14404CC0"/>
    <w:rsid w:val="14411AB2"/>
    <w:rsid w:val="14415842"/>
    <w:rsid w:val="14417C2B"/>
    <w:rsid w:val="14417F5A"/>
    <w:rsid w:val="14423DE3"/>
    <w:rsid w:val="14425611"/>
    <w:rsid w:val="14431548"/>
    <w:rsid w:val="14437B33"/>
    <w:rsid w:val="14440597"/>
    <w:rsid w:val="14442847"/>
    <w:rsid w:val="14443AE8"/>
    <w:rsid w:val="14443FFA"/>
    <w:rsid w:val="14451546"/>
    <w:rsid w:val="144622CA"/>
    <w:rsid w:val="14466C11"/>
    <w:rsid w:val="144825C9"/>
    <w:rsid w:val="1448289C"/>
    <w:rsid w:val="14484F99"/>
    <w:rsid w:val="14487A29"/>
    <w:rsid w:val="14490C3B"/>
    <w:rsid w:val="144A7242"/>
    <w:rsid w:val="144B2D35"/>
    <w:rsid w:val="144B5C33"/>
    <w:rsid w:val="144D31B9"/>
    <w:rsid w:val="144D6A10"/>
    <w:rsid w:val="144F664E"/>
    <w:rsid w:val="14517E09"/>
    <w:rsid w:val="14530723"/>
    <w:rsid w:val="14531B4D"/>
    <w:rsid w:val="1453207E"/>
    <w:rsid w:val="14537D9F"/>
    <w:rsid w:val="14540665"/>
    <w:rsid w:val="14542E4B"/>
    <w:rsid w:val="14542EB1"/>
    <w:rsid w:val="1454350F"/>
    <w:rsid w:val="14547DF4"/>
    <w:rsid w:val="14551D51"/>
    <w:rsid w:val="14553B17"/>
    <w:rsid w:val="14570C09"/>
    <w:rsid w:val="14571089"/>
    <w:rsid w:val="145727CF"/>
    <w:rsid w:val="14575AE1"/>
    <w:rsid w:val="14583DFD"/>
    <w:rsid w:val="14584758"/>
    <w:rsid w:val="14585FB4"/>
    <w:rsid w:val="14587163"/>
    <w:rsid w:val="14594849"/>
    <w:rsid w:val="145B6770"/>
    <w:rsid w:val="145C11AF"/>
    <w:rsid w:val="145C1379"/>
    <w:rsid w:val="145D05CD"/>
    <w:rsid w:val="145D2C72"/>
    <w:rsid w:val="145D4F68"/>
    <w:rsid w:val="145D7B7F"/>
    <w:rsid w:val="145E1926"/>
    <w:rsid w:val="14612004"/>
    <w:rsid w:val="14624D7D"/>
    <w:rsid w:val="14626F2F"/>
    <w:rsid w:val="14633D69"/>
    <w:rsid w:val="14635D18"/>
    <w:rsid w:val="14636444"/>
    <w:rsid w:val="14641FAC"/>
    <w:rsid w:val="14642702"/>
    <w:rsid w:val="14650B18"/>
    <w:rsid w:val="146616B7"/>
    <w:rsid w:val="14665826"/>
    <w:rsid w:val="146672AF"/>
    <w:rsid w:val="14693246"/>
    <w:rsid w:val="146A0DCD"/>
    <w:rsid w:val="146A1067"/>
    <w:rsid w:val="146A3D40"/>
    <w:rsid w:val="146B469A"/>
    <w:rsid w:val="146B55CD"/>
    <w:rsid w:val="146B56AA"/>
    <w:rsid w:val="146B6E96"/>
    <w:rsid w:val="146B788D"/>
    <w:rsid w:val="146C43F8"/>
    <w:rsid w:val="146C725C"/>
    <w:rsid w:val="146D00E6"/>
    <w:rsid w:val="146D4AE0"/>
    <w:rsid w:val="146E387D"/>
    <w:rsid w:val="146E6986"/>
    <w:rsid w:val="146F1265"/>
    <w:rsid w:val="146F75AD"/>
    <w:rsid w:val="14713B1A"/>
    <w:rsid w:val="1472287A"/>
    <w:rsid w:val="147233B6"/>
    <w:rsid w:val="1473340B"/>
    <w:rsid w:val="1475773C"/>
    <w:rsid w:val="1476406D"/>
    <w:rsid w:val="14776E6D"/>
    <w:rsid w:val="1478017C"/>
    <w:rsid w:val="147815B3"/>
    <w:rsid w:val="1479369A"/>
    <w:rsid w:val="14794FB3"/>
    <w:rsid w:val="14797193"/>
    <w:rsid w:val="147A02EE"/>
    <w:rsid w:val="147B3996"/>
    <w:rsid w:val="147C67B9"/>
    <w:rsid w:val="147E18EF"/>
    <w:rsid w:val="147F0184"/>
    <w:rsid w:val="147F0772"/>
    <w:rsid w:val="147F1737"/>
    <w:rsid w:val="1480500E"/>
    <w:rsid w:val="148127CB"/>
    <w:rsid w:val="148237C4"/>
    <w:rsid w:val="14823879"/>
    <w:rsid w:val="1482465C"/>
    <w:rsid w:val="148263DD"/>
    <w:rsid w:val="148420E0"/>
    <w:rsid w:val="148423D6"/>
    <w:rsid w:val="14852E5C"/>
    <w:rsid w:val="14864B21"/>
    <w:rsid w:val="14870489"/>
    <w:rsid w:val="14872963"/>
    <w:rsid w:val="14876B7F"/>
    <w:rsid w:val="1487745C"/>
    <w:rsid w:val="14881F69"/>
    <w:rsid w:val="14882D7C"/>
    <w:rsid w:val="14887D75"/>
    <w:rsid w:val="14891CB0"/>
    <w:rsid w:val="148D2A0E"/>
    <w:rsid w:val="148D5005"/>
    <w:rsid w:val="148E21BE"/>
    <w:rsid w:val="14904B4F"/>
    <w:rsid w:val="14916C00"/>
    <w:rsid w:val="149208C7"/>
    <w:rsid w:val="14921A7A"/>
    <w:rsid w:val="14924491"/>
    <w:rsid w:val="14942891"/>
    <w:rsid w:val="1494358B"/>
    <w:rsid w:val="14946D7D"/>
    <w:rsid w:val="14947E5E"/>
    <w:rsid w:val="14955C15"/>
    <w:rsid w:val="14956A87"/>
    <w:rsid w:val="14961286"/>
    <w:rsid w:val="14963F1C"/>
    <w:rsid w:val="14974BAD"/>
    <w:rsid w:val="1498392C"/>
    <w:rsid w:val="1499098C"/>
    <w:rsid w:val="149A528C"/>
    <w:rsid w:val="149B2FE6"/>
    <w:rsid w:val="149C1DA0"/>
    <w:rsid w:val="149C7998"/>
    <w:rsid w:val="149D101A"/>
    <w:rsid w:val="149D1D5B"/>
    <w:rsid w:val="149E0D73"/>
    <w:rsid w:val="149E27D4"/>
    <w:rsid w:val="149E692A"/>
    <w:rsid w:val="149F4725"/>
    <w:rsid w:val="149F56C4"/>
    <w:rsid w:val="14A1142A"/>
    <w:rsid w:val="14A128C9"/>
    <w:rsid w:val="14A52C6D"/>
    <w:rsid w:val="14A538BB"/>
    <w:rsid w:val="14A55F35"/>
    <w:rsid w:val="14A6273C"/>
    <w:rsid w:val="14A72472"/>
    <w:rsid w:val="14A77EDA"/>
    <w:rsid w:val="14A847A8"/>
    <w:rsid w:val="14AC667F"/>
    <w:rsid w:val="14AD3953"/>
    <w:rsid w:val="14AD45A8"/>
    <w:rsid w:val="14AD74AF"/>
    <w:rsid w:val="14AE03D2"/>
    <w:rsid w:val="14AE0E8D"/>
    <w:rsid w:val="14AE1E69"/>
    <w:rsid w:val="14AE371B"/>
    <w:rsid w:val="14B06F9F"/>
    <w:rsid w:val="14B14907"/>
    <w:rsid w:val="14B228B3"/>
    <w:rsid w:val="14B2460F"/>
    <w:rsid w:val="14B2509F"/>
    <w:rsid w:val="14B252E6"/>
    <w:rsid w:val="14B26ECB"/>
    <w:rsid w:val="14B31B7C"/>
    <w:rsid w:val="14B435FB"/>
    <w:rsid w:val="14B46A8F"/>
    <w:rsid w:val="14B47DDB"/>
    <w:rsid w:val="14B52807"/>
    <w:rsid w:val="14B545B5"/>
    <w:rsid w:val="14B54D05"/>
    <w:rsid w:val="14B54D9B"/>
    <w:rsid w:val="14B606A6"/>
    <w:rsid w:val="14B6220A"/>
    <w:rsid w:val="14B71FF4"/>
    <w:rsid w:val="14B76E70"/>
    <w:rsid w:val="14B865A8"/>
    <w:rsid w:val="14B87F64"/>
    <w:rsid w:val="14B92843"/>
    <w:rsid w:val="14BA146A"/>
    <w:rsid w:val="14BA1BCC"/>
    <w:rsid w:val="14BA676F"/>
    <w:rsid w:val="14BA6D41"/>
    <w:rsid w:val="14BE12CE"/>
    <w:rsid w:val="14BE23A9"/>
    <w:rsid w:val="14BE35AD"/>
    <w:rsid w:val="14BF5A4D"/>
    <w:rsid w:val="14C019BC"/>
    <w:rsid w:val="14C07545"/>
    <w:rsid w:val="14C20792"/>
    <w:rsid w:val="14C2291B"/>
    <w:rsid w:val="14C45E15"/>
    <w:rsid w:val="14C538C2"/>
    <w:rsid w:val="14C61455"/>
    <w:rsid w:val="14C636D7"/>
    <w:rsid w:val="14C70AE5"/>
    <w:rsid w:val="14C77C88"/>
    <w:rsid w:val="14C94DA1"/>
    <w:rsid w:val="14CC45CF"/>
    <w:rsid w:val="14CD5DA3"/>
    <w:rsid w:val="14CE4BA7"/>
    <w:rsid w:val="14CF176B"/>
    <w:rsid w:val="14D110EA"/>
    <w:rsid w:val="14D12C03"/>
    <w:rsid w:val="14D154C3"/>
    <w:rsid w:val="14D233B9"/>
    <w:rsid w:val="14D32A28"/>
    <w:rsid w:val="14D32B00"/>
    <w:rsid w:val="14D408A1"/>
    <w:rsid w:val="14D432C5"/>
    <w:rsid w:val="14D4354D"/>
    <w:rsid w:val="14D43C4E"/>
    <w:rsid w:val="14D50998"/>
    <w:rsid w:val="14D56A06"/>
    <w:rsid w:val="14D57537"/>
    <w:rsid w:val="14D57906"/>
    <w:rsid w:val="14D655F8"/>
    <w:rsid w:val="14D700F7"/>
    <w:rsid w:val="14D95718"/>
    <w:rsid w:val="14D964F6"/>
    <w:rsid w:val="14DA04D1"/>
    <w:rsid w:val="14DB04C0"/>
    <w:rsid w:val="14DD0D3E"/>
    <w:rsid w:val="14DD2C3C"/>
    <w:rsid w:val="14DD70EC"/>
    <w:rsid w:val="14DD7390"/>
    <w:rsid w:val="14DF34C0"/>
    <w:rsid w:val="14DF54B4"/>
    <w:rsid w:val="14E05931"/>
    <w:rsid w:val="14E05A45"/>
    <w:rsid w:val="14E23E67"/>
    <w:rsid w:val="14E41B6B"/>
    <w:rsid w:val="14E433E0"/>
    <w:rsid w:val="14E55C73"/>
    <w:rsid w:val="14E776AA"/>
    <w:rsid w:val="14E8052F"/>
    <w:rsid w:val="14E94939"/>
    <w:rsid w:val="14EA0E2A"/>
    <w:rsid w:val="14EA4812"/>
    <w:rsid w:val="14EA4920"/>
    <w:rsid w:val="14EB541D"/>
    <w:rsid w:val="14EB703C"/>
    <w:rsid w:val="14EC331F"/>
    <w:rsid w:val="14EC4D94"/>
    <w:rsid w:val="14ED1A12"/>
    <w:rsid w:val="14ED3B01"/>
    <w:rsid w:val="14ED5CFE"/>
    <w:rsid w:val="14ED7DDB"/>
    <w:rsid w:val="14EE3E80"/>
    <w:rsid w:val="14EE5724"/>
    <w:rsid w:val="14F0383F"/>
    <w:rsid w:val="14F25EDF"/>
    <w:rsid w:val="14F322BB"/>
    <w:rsid w:val="14F426C3"/>
    <w:rsid w:val="14F50CC4"/>
    <w:rsid w:val="14F50E56"/>
    <w:rsid w:val="14F555C3"/>
    <w:rsid w:val="14F74D43"/>
    <w:rsid w:val="14F95DD5"/>
    <w:rsid w:val="14FB6BED"/>
    <w:rsid w:val="14FB796C"/>
    <w:rsid w:val="14FD70A0"/>
    <w:rsid w:val="14FE07EA"/>
    <w:rsid w:val="14FE2897"/>
    <w:rsid w:val="14FE7294"/>
    <w:rsid w:val="14FF2934"/>
    <w:rsid w:val="15006E0A"/>
    <w:rsid w:val="150115A9"/>
    <w:rsid w:val="1501708E"/>
    <w:rsid w:val="1502777C"/>
    <w:rsid w:val="15045D14"/>
    <w:rsid w:val="15051C9D"/>
    <w:rsid w:val="15053E8F"/>
    <w:rsid w:val="15054A5F"/>
    <w:rsid w:val="150557E2"/>
    <w:rsid w:val="15064558"/>
    <w:rsid w:val="150667B0"/>
    <w:rsid w:val="150712B5"/>
    <w:rsid w:val="15071480"/>
    <w:rsid w:val="15074CE8"/>
    <w:rsid w:val="1507713B"/>
    <w:rsid w:val="15081348"/>
    <w:rsid w:val="15081769"/>
    <w:rsid w:val="15082386"/>
    <w:rsid w:val="1509266C"/>
    <w:rsid w:val="150972DE"/>
    <w:rsid w:val="15097D38"/>
    <w:rsid w:val="150A1227"/>
    <w:rsid w:val="150E226A"/>
    <w:rsid w:val="1510629B"/>
    <w:rsid w:val="151212E8"/>
    <w:rsid w:val="15121A08"/>
    <w:rsid w:val="15121A66"/>
    <w:rsid w:val="1512338B"/>
    <w:rsid w:val="15142399"/>
    <w:rsid w:val="15145780"/>
    <w:rsid w:val="151535F4"/>
    <w:rsid w:val="151729C8"/>
    <w:rsid w:val="15174DEE"/>
    <w:rsid w:val="151872A2"/>
    <w:rsid w:val="15194B44"/>
    <w:rsid w:val="151A1BA8"/>
    <w:rsid w:val="151A401E"/>
    <w:rsid w:val="151A4300"/>
    <w:rsid w:val="151A5B9C"/>
    <w:rsid w:val="151E4C1A"/>
    <w:rsid w:val="15223661"/>
    <w:rsid w:val="152471FF"/>
    <w:rsid w:val="1526096D"/>
    <w:rsid w:val="15260C77"/>
    <w:rsid w:val="152814C3"/>
    <w:rsid w:val="152858C6"/>
    <w:rsid w:val="15287D4A"/>
    <w:rsid w:val="152A0AFF"/>
    <w:rsid w:val="152D31DB"/>
    <w:rsid w:val="152D4A9D"/>
    <w:rsid w:val="152E5B55"/>
    <w:rsid w:val="152F04B3"/>
    <w:rsid w:val="152F318A"/>
    <w:rsid w:val="152F399C"/>
    <w:rsid w:val="153054E8"/>
    <w:rsid w:val="15307976"/>
    <w:rsid w:val="153105A1"/>
    <w:rsid w:val="15311F9D"/>
    <w:rsid w:val="15316332"/>
    <w:rsid w:val="15320570"/>
    <w:rsid w:val="15322E67"/>
    <w:rsid w:val="15324815"/>
    <w:rsid w:val="15325E62"/>
    <w:rsid w:val="15332941"/>
    <w:rsid w:val="15345D07"/>
    <w:rsid w:val="15354A2F"/>
    <w:rsid w:val="15364885"/>
    <w:rsid w:val="15371D36"/>
    <w:rsid w:val="153810B2"/>
    <w:rsid w:val="15384792"/>
    <w:rsid w:val="1539003A"/>
    <w:rsid w:val="153C04D4"/>
    <w:rsid w:val="153C4EC9"/>
    <w:rsid w:val="153F1F3C"/>
    <w:rsid w:val="15400043"/>
    <w:rsid w:val="1540083C"/>
    <w:rsid w:val="154020D1"/>
    <w:rsid w:val="15431D0D"/>
    <w:rsid w:val="154565C7"/>
    <w:rsid w:val="1547311C"/>
    <w:rsid w:val="15476A47"/>
    <w:rsid w:val="15480FC4"/>
    <w:rsid w:val="1548367B"/>
    <w:rsid w:val="15483EE4"/>
    <w:rsid w:val="15495FC7"/>
    <w:rsid w:val="15496650"/>
    <w:rsid w:val="154A22DE"/>
    <w:rsid w:val="154A3440"/>
    <w:rsid w:val="154A7039"/>
    <w:rsid w:val="154B3FD2"/>
    <w:rsid w:val="154B5AC0"/>
    <w:rsid w:val="154C1A4F"/>
    <w:rsid w:val="154C4BC1"/>
    <w:rsid w:val="154D6B91"/>
    <w:rsid w:val="154D79B0"/>
    <w:rsid w:val="154E527A"/>
    <w:rsid w:val="154E7182"/>
    <w:rsid w:val="154F31F2"/>
    <w:rsid w:val="1550175D"/>
    <w:rsid w:val="15515133"/>
    <w:rsid w:val="15515829"/>
    <w:rsid w:val="15520056"/>
    <w:rsid w:val="15542A14"/>
    <w:rsid w:val="15544682"/>
    <w:rsid w:val="155449C0"/>
    <w:rsid w:val="15547382"/>
    <w:rsid w:val="15566F73"/>
    <w:rsid w:val="15584567"/>
    <w:rsid w:val="15586557"/>
    <w:rsid w:val="155906D5"/>
    <w:rsid w:val="15593ECA"/>
    <w:rsid w:val="155A32F7"/>
    <w:rsid w:val="155A6846"/>
    <w:rsid w:val="155B1894"/>
    <w:rsid w:val="155B60F5"/>
    <w:rsid w:val="155F3DBC"/>
    <w:rsid w:val="155F3FC3"/>
    <w:rsid w:val="1560700C"/>
    <w:rsid w:val="156155D8"/>
    <w:rsid w:val="1562473D"/>
    <w:rsid w:val="156264EB"/>
    <w:rsid w:val="15642450"/>
    <w:rsid w:val="1566362C"/>
    <w:rsid w:val="15664501"/>
    <w:rsid w:val="156673C2"/>
    <w:rsid w:val="15670D38"/>
    <w:rsid w:val="15685A05"/>
    <w:rsid w:val="1569307B"/>
    <w:rsid w:val="15695ACC"/>
    <w:rsid w:val="156A32D0"/>
    <w:rsid w:val="156A35F2"/>
    <w:rsid w:val="156A44DF"/>
    <w:rsid w:val="156C04DD"/>
    <w:rsid w:val="156C1534"/>
    <w:rsid w:val="156C5FB9"/>
    <w:rsid w:val="156D7E93"/>
    <w:rsid w:val="156E03C8"/>
    <w:rsid w:val="156E1527"/>
    <w:rsid w:val="15710B88"/>
    <w:rsid w:val="1571672E"/>
    <w:rsid w:val="157219B4"/>
    <w:rsid w:val="15740153"/>
    <w:rsid w:val="15751305"/>
    <w:rsid w:val="15754D23"/>
    <w:rsid w:val="157601E9"/>
    <w:rsid w:val="157604AF"/>
    <w:rsid w:val="15771E22"/>
    <w:rsid w:val="15787ABD"/>
    <w:rsid w:val="157B135B"/>
    <w:rsid w:val="157B55CB"/>
    <w:rsid w:val="157B59B3"/>
    <w:rsid w:val="157C6AD7"/>
    <w:rsid w:val="157C7AC6"/>
    <w:rsid w:val="157D16A8"/>
    <w:rsid w:val="157E0E4B"/>
    <w:rsid w:val="157E2794"/>
    <w:rsid w:val="157F07B7"/>
    <w:rsid w:val="157F198C"/>
    <w:rsid w:val="157F2EB9"/>
    <w:rsid w:val="1580001E"/>
    <w:rsid w:val="1580680F"/>
    <w:rsid w:val="158242FE"/>
    <w:rsid w:val="1582506F"/>
    <w:rsid w:val="158275DE"/>
    <w:rsid w:val="158305E2"/>
    <w:rsid w:val="15831029"/>
    <w:rsid w:val="15831F34"/>
    <w:rsid w:val="15832F7D"/>
    <w:rsid w:val="15843BA7"/>
    <w:rsid w:val="15851EFE"/>
    <w:rsid w:val="158521DA"/>
    <w:rsid w:val="15856620"/>
    <w:rsid w:val="158653ED"/>
    <w:rsid w:val="15875F52"/>
    <w:rsid w:val="158765DA"/>
    <w:rsid w:val="15893ADE"/>
    <w:rsid w:val="158A21C3"/>
    <w:rsid w:val="158A56F8"/>
    <w:rsid w:val="158A5A42"/>
    <w:rsid w:val="158A6DA9"/>
    <w:rsid w:val="158A72E3"/>
    <w:rsid w:val="158B7E6A"/>
    <w:rsid w:val="158C2944"/>
    <w:rsid w:val="158C4026"/>
    <w:rsid w:val="158C7224"/>
    <w:rsid w:val="158D4072"/>
    <w:rsid w:val="158D7B02"/>
    <w:rsid w:val="15910511"/>
    <w:rsid w:val="15912056"/>
    <w:rsid w:val="15912809"/>
    <w:rsid w:val="15915EF9"/>
    <w:rsid w:val="15923966"/>
    <w:rsid w:val="159309F1"/>
    <w:rsid w:val="15934291"/>
    <w:rsid w:val="159349A5"/>
    <w:rsid w:val="15935BAD"/>
    <w:rsid w:val="15956FA7"/>
    <w:rsid w:val="15973CBB"/>
    <w:rsid w:val="15983066"/>
    <w:rsid w:val="159867DD"/>
    <w:rsid w:val="15987057"/>
    <w:rsid w:val="159A7426"/>
    <w:rsid w:val="159B07F0"/>
    <w:rsid w:val="159B3840"/>
    <w:rsid w:val="159B7C4F"/>
    <w:rsid w:val="159D01CD"/>
    <w:rsid w:val="159D650D"/>
    <w:rsid w:val="159F0F23"/>
    <w:rsid w:val="159F3CD9"/>
    <w:rsid w:val="15A003A5"/>
    <w:rsid w:val="15A0752D"/>
    <w:rsid w:val="15A10F61"/>
    <w:rsid w:val="15A12432"/>
    <w:rsid w:val="15A26C83"/>
    <w:rsid w:val="15A32594"/>
    <w:rsid w:val="15A524FF"/>
    <w:rsid w:val="15A76263"/>
    <w:rsid w:val="15A86B72"/>
    <w:rsid w:val="15A90057"/>
    <w:rsid w:val="15AA1C40"/>
    <w:rsid w:val="15AC300C"/>
    <w:rsid w:val="15AD59C7"/>
    <w:rsid w:val="15AD759B"/>
    <w:rsid w:val="15AE40EF"/>
    <w:rsid w:val="15AF134C"/>
    <w:rsid w:val="15AF2E02"/>
    <w:rsid w:val="15B11221"/>
    <w:rsid w:val="15B23FA1"/>
    <w:rsid w:val="15B33C27"/>
    <w:rsid w:val="15B34F99"/>
    <w:rsid w:val="15B35346"/>
    <w:rsid w:val="15B4130B"/>
    <w:rsid w:val="15B442A4"/>
    <w:rsid w:val="15B50D11"/>
    <w:rsid w:val="15B569C1"/>
    <w:rsid w:val="15B67531"/>
    <w:rsid w:val="15B76850"/>
    <w:rsid w:val="15B77155"/>
    <w:rsid w:val="15B8321D"/>
    <w:rsid w:val="15BA32A5"/>
    <w:rsid w:val="15BA3FE9"/>
    <w:rsid w:val="15BB209F"/>
    <w:rsid w:val="15BB3E4D"/>
    <w:rsid w:val="15BC304B"/>
    <w:rsid w:val="15BD209B"/>
    <w:rsid w:val="15BD2407"/>
    <w:rsid w:val="15BE1058"/>
    <w:rsid w:val="15C02950"/>
    <w:rsid w:val="15C34330"/>
    <w:rsid w:val="15C41DE9"/>
    <w:rsid w:val="15C42933"/>
    <w:rsid w:val="15C43148"/>
    <w:rsid w:val="15C44D18"/>
    <w:rsid w:val="15C51D27"/>
    <w:rsid w:val="15C52CC8"/>
    <w:rsid w:val="15C54B42"/>
    <w:rsid w:val="15C56A7A"/>
    <w:rsid w:val="15C62AAD"/>
    <w:rsid w:val="15C71C00"/>
    <w:rsid w:val="15C76E5F"/>
    <w:rsid w:val="15C81D76"/>
    <w:rsid w:val="15C90FCA"/>
    <w:rsid w:val="15C97ED9"/>
    <w:rsid w:val="15CA3C8D"/>
    <w:rsid w:val="15CA558E"/>
    <w:rsid w:val="15CA5E3E"/>
    <w:rsid w:val="15CB15BD"/>
    <w:rsid w:val="15CB1982"/>
    <w:rsid w:val="15CB3473"/>
    <w:rsid w:val="15CB5748"/>
    <w:rsid w:val="15CC5F69"/>
    <w:rsid w:val="15CD42B1"/>
    <w:rsid w:val="15CD6B5C"/>
    <w:rsid w:val="15CE45A4"/>
    <w:rsid w:val="15CF2C6D"/>
    <w:rsid w:val="15CF3D61"/>
    <w:rsid w:val="15CF4171"/>
    <w:rsid w:val="15CF70FB"/>
    <w:rsid w:val="15D078F9"/>
    <w:rsid w:val="15D106EE"/>
    <w:rsid w:val="15D51DB2"/>
    <w:rsid w:val="15D614F0"/>
    <w:rsid w:val="15D62974"/>
    <w:rsid w:val="15D73C01"/>
    <w:rsid w:val="15D73C41"/>
    <w:rsid w:val="15D83FFD"/>
    <w:rsid w:val="15D849FF"/>
    <w:rsid w:val="15D92F1E"/>
    <w:rsid w:val="15DA0308"/>
    <w:rsid w:val="15DA4B24"/>
    <w:rsid w:val="15DB6EBA"/>
    <w:rsid w:val="15DC6341"/>
    <w:rsid w:val="15DD5089"/>
    <w:rsid w:val="15DD6FF3"/>
    <w:rsid w:val="15DE0D30"/>
    <w:rsid w:val="15DF3C42"/>
    <w:rsid w:val="15DF6A98"/>
    <w:rsid w:val="15DF7233"/>
    <w:rsid w:val="15E00058"/>
    <w:rsid w:val="15E40B7D"/>
    <w:rsid w:val="15E41CD9"/>
    <w:rsid w:val="15E43504"/>
    <w:rsid w:val="15E44416"/>
    <w:rsid w:val="15E46581"/>
    <w:rsid w:val="15E46F00"/>
    <w:rsid w:val="15E5291F"/>
    <w:rsid w:val="15E54B87"/>
    <w:rsid w:val="15E6077D"/>
    <w:rsid w:val="15E617D2"/>
    <w:rsid w:val="15E62C91"/>
    <w:rsid w:val="15E66222"/>
    <w:rsid w:val="15E71C8C"/>
    <w:rsid w:val="15E77C5F"/>
    <w:rsid w:val="15E90F06"/>
    <w:rsid w:val="15E94B74"/>
    <w:rsid w:val="15EA37D5"/>
    <w:rsid w:val="15ED78FA"/>
    <w:rsid w:val="15EE1CF8"/>
    <w:rsid w:val="15EF1FC7"/>
    <w:rsid w:val="15F02636"/>
    <w:rsid w:val="15F028DD"/>
    <w:rsid w:val="15F13975"/>
    <w:rsid w:val="15F20809"/>
    <w:rsid w:val="15F27925"/>
    <w:rsid w:val="15F27A8B"/>
    <w:rsid w:val="15F31839"/>
    <w:rsid w:val="15F40EBD"/>
    <w:rsid w:val="15F42B67"/>
    <w:rsid w:val="15F47D78"/>
    <w:rsid w:val="15F64E85"/>
    <w:rsid w:val="15F66C34"/>
    <w:rsid w:val="15F8268C"/>
    <w:rsid w:val="15FA1F29"/>
    <w:rsid w:val="15FA4976"/>
    <w:rsid w:val="15FB34E6"/>
    <w:rsid w:val="15FB648E"/>
    <w:rsid w:val="15FB6F59"/>
    <w:rsid w:val="15FD0F81"/>
    <w:rsid w:val="15FD12F7"/>
    <w:rsid w:val="15FE6594"/>
    <w:rsid w:val="15FF6A49"/>
    <w:rsid w:val="16006CAA"/>
    <w:rsid w:val="16010489"/>
    <w:rsid w:val="16021642"/>
    <w:rsid w:val="1602382A"/>
    <w:rsid w:val="16023A9F"/>
    <w:rsid w:val="16035A40"/>
    <w:rsid w:val="16044E29"/>
    <w:rsid w:val="16047A19"/>
    <w:rsid w:val="160519BD"/>
    <w:rsid w:val="16073300"/>
    <w:rsid w:val="160752E5"/>
    <w:rsid w:val="16085AC8"/>
    <w:rsid w:val="16085F34"/>
    <w:rsid w:val="16087E1D"/>
    <w:rsid w:val="16093C4C"/>
    <w:rsid w:val="16093EBA"/>
    <w:rsid w:val="160B0D07"/>
    <w:rsid w:val="160C01E7"/>
    <w:rsid w:val="160E0421"/>
    <w:rsid w:val="160E074A"/>
    <w:rsid w:val="160E1497"/>
    <w:rsid w:val="160E186A"/>
    <w:rsid w:val="1610386C"/>
    <w:rsid w:val="161070B4"/>
    <w:rsid w:val="16131DA3"/>
    <w:rsid w:val="16132E73"/>
    <w:rsid w:val="16134493"/>
    <w:rsid w:val="161378F5"/>
    <w:rsid w:val="16140C0B"/>
    <w:rsid w:val="16145BEC"/>
    <w:rsid w:val="16151699"/>
    <w:rsid w:val="161517B0"/>
    <w:rsid w:val="1615266D"/>
    <w:rsid w:val="16157D73"/>
    <w:rsid w:val="16163EE7"/>
    <w:rsid w:val="16166EBD"/>
    <w:rsid w:val="161673E2"/>
    <w:rsid w:val="16175528"/>
    <w:rsid w:val="161759C1"/>
    <w:rsid w:val="161812A0"/>
    <w:rsid w:val="16191A21"/>
    <w:rsid w:val="16195129"/>
    <w:rsid w:val="161971DC"/>
    <w:rsid w:val="161A0B74"/>
    <w:rsid w:val="161A0E55"/>
    <w:rsid w:val="161A4DF9"/>
    <w:rsid w:val="161A61B6"/>
    <w:rsid w:val="161B4ED9"/>
    <w:rsid w:val="161B6918"/>
    <w:rsid w:val="161C7E98"/>
    <w:rsid w:val="161D1A97"/>
    <w:rsid w:val="161D68B6"/>
    <w:rsid w:val="161E7F96"/>
    <w:rsid w:val="161F2BA0"/>
    <w:rsid w:val="16201C0D"/>
    <w:rsid w:val="16202DD5"/>
    <w:rsid w:val="16215FE2"/>
    <w:rsid w:val="16216B4F"/>
    <w:rsid w:val="162271C2"/>
    <w:rsid w:val="16231D89"/>
    <w:rsid w:val="16232545"/>
    <w:rsid w:val="16233B1D"/>
    <w:rsid w:val="16233B7E"/>
    <w:rsid w:val="16236789"/>
    <w:rsid w:val="16237A85"/>
    <w:rsid w:val="16237CEE"/>
    <w:rsid w:val="162438D6"/>
    <w:rsid w:val="16247C45"/>
    <w:rsid w:val="16250A31"/>
    <w:rsid w:val="162513A1"/>
    <w:rsid w:val="16251C81"/>
    <w:rsid w:val="162639BD"/>
    <w:rsid w:val="1626576B"/>
    <w:rsid w:val="162753BB"/>
    <w:rsid w:val="16277EAC"/>
    <w:rsid w:val="16282A55"/>
    <w:rsid w:val="162A0743"/>
    <w:rsid w:val="162A3258"/>
    <w:rsid w:val="162C103A"/>
    <w:rsid w:val="162C481B"/>
    <w:rsid w:val="162D54BD"/>
    <w:rsid w:val="162E0D26"/>
    <w:rsid w:val="162E6623"/>
    <w:rsid w:val="162F73A6"/>
    <w:rsid w:val="162F77EC"/>
    <w:rsid w:val="1630114D"/>
    <w:rsid w:val="1630624C"/>
    <w:rsid w:val="16313542"/>
    <w:rsid w:val="16325C9C"/>
    <w:rsid w:val="163634D4"/>
    <w:rsid w:val="163754EA"/>
    <w:rsid w:val="16394F8A"/>
    <w:rsid w:val="163A197D"/>
    <w:rsid w:val="163B3A1D"/>
    <w:rsid w:val="163B40E9"/>
    <w:rsid w:val="163C2449"/>
    <w:rsid w:val="163C256E"/>
    <w:rsid w:val="163C6BE1"/>
    <w:rsid w:val="163D0D06"/>
    <w:rsid w:val="163D5160"/>
    <w:rsid w:val="163D6B2B"/>
    <w:rsid w:val="163E0D83"/>
    <w:rsid w:val="163E7EDD"/>
    <w:rsid w:val="164017CB"/>
    <w:rsid w:val="1641719C"/>
    <w:rsid w:val="16423C7C"/>
    <w:rsid w:val="1642631D"/>
    <w:rsid w:val="16426EAD"/>
    <w:rsid w:val="16431188"/>
    <w:rsid w:val="16445BF1"/>
    <w:rsid w:val="16453B74"/>
    <w:rsid w:val="164547A8"/>
    <w:rsid w:val="164641E5"/>
    <w:rsid w:val="16473933"/>
    <w:rsid w:val="16474076"/>
    <w:rsid w:val="164751B2"/>
    <w:rsid w:val="164A32EA"/>
    <w:rsid w:val="164A3D82"/>
    <w:rsid w:val="164B2D72"/>
    <w:rsid w:val="164C4586"/>
    <w:rsid w:val="164D5593"/>
    <w:rsid w:val="164D67B5"/>
    <w:rsid w:val="164E081E"/>
    <w:rsid w:val="164E5A5F"/>
    <w:rsid w:val="165016BE"/>
    <w:rsid w:val="16504E7A"/>
    <w:rsid w:val="16507496"/>
    <w:rsid w:val="16514288"/>
    <w:rsid w:val="165174FC"/>
    <w:rsid w:val="165179EB"/>
    <w:rsid w:val="16517CC2"/>
    <w:rsid w:val="165322D8"/>
    <w:rsid w:val="16536E9D"/>
    <w:rsid w:val="165538C4"/>
    <w:rsid w:val="16553E5F"/>
    <w:rsid w:val="16556050"/>
    <w:rsid w:val="16562358"/>
    <w:rsid w:val="16594EC1"/>
    <w:rsid w:val="165B2F3A"/>
    <w:rsid w:val="165D17A9"/>
    <w:rsid w:val="165D1C2C"/>
    <w:rsid w:val="165D3148"/>
    <w:rsid w:val="165E1842"/>
    <w:rsid w:val="165E5AB4"/>
    <w:rsid w:val="165F0AD3"/>
    <w:rsid w:val="165F0B46"/>
    <w:rsid w:val="165F6DEB"/>
    <w:rsid w:val="16605E4A"/>
    <w:rsid w:val="16610551"/>
    <w:rsid w:val="16614DBC"/>
    <w:rsid w:val="16617C92"/>
    <w:rsid w:val="166444E5"/>
    <w:rsid w:val="16645174"/>
    <w:rsid w:val="166554EE"/>
    <w:rsid w:val="1666200B"/>
    <w:rsid w:val="166821ED"/>
    <w:rsid w:val="16682F08"/>
    <w:rsid w:val="1668352E"/>
    <w:rsid w:val="16687527"/>
    <w:rsid w:val="16691C3F"/>
    <w:rsid w:val="16691EF3"/>
    <w:rsid w:val="166A320D"/>
    <w:rsid w:val="166A57D5"/>
    <w:rsid w:val="166C5148"/>
    <w:rsid w:val="166D2E53"/>
    <w:rsid w:val="166D4BC5"/>
    <w:rsid w:val="167052BE"/>
    <w:rsid w:val="16713A50"/>
    <w:rsid w:val="167163B7"/>
    <w:rsid w:val="1673141F"/>
    <w:rsid w:val="16735EC0"/>
    <w:rsid w:val="167401E9"/>
    <w:rsid w:val="167571FB"/>
    <w:rsid w:val="16762E98"/>
    <w:rsid w:val="16766D85"/>
    <w:rsid w:val="16772E31"/>
    <w:rsid w:val="16784DFF"/>
    <w:rsid w:val="16795BEF"/>
    <w:rsid w:val="167967B9"/>
    <w:rsid w:val="167B2B46"/>
    <w:rsid w:val="167C5411"/>
    <w:rsid w:val="167D50DB"/>
    <w:rsid w:val="167E19E8"/>
    <w:rsid w:val="167E2662"/>
    <w:rsid w:val="167E6551"/>
    <w:rsid w:val="167E748B"/>
    <w:rsid w:val="167F30CD"/>
    <w:rsid w:val="167F4179"/>
    <w:rsid w:val="167F6B76"/>
    <w:rsid w:val="16806469"/>
    <w:rsid w:val="16807582"/>
    <w:rsid w:val="168119AD"/>
    <w:rsid w:val="16826629"/>
    <w:rsid w:val="16826719"/>
    <w:rsid w:val="16843163"/>
    <w:rsid w:val="168443A1"/>
    <w:rsid w:val="16847CBA"/>
    <w:rsid w:val="1685478E"/>
    <w:rsid w:val="16856425"/>
    <w:rsid w:val="16895CFA"/>
    <w:rsid w:val="168B3452"/>
    <w:rsid w:val="168B4E1F"/>
    <w:rsid w:val="168B4F54"/>
    <w:rsid w:val="168B52D9"/>
    <w:rsid w:val="168D511C"/>
    <w:rsid w:val="168E3310"/>
    <w:rsid w:val="168F2A73"/>
    <w:rsid w:val="169023DA"/>
    <w:rsid w:val="16907FD6"/>
    <w:rsid w:val="16911661"/>
    <w:rsid w:val="16921AD5"/>
    <w:rsid w:val="169262E6"/>
    <w:rsid w:val="16926DB9"/>
    <w:rsid w:val="16931E45"/>
    <w:rsid w:val="16947165"/>
    <w:rsid w:val="1695713F"/>
    <w:rsid w:val="16962F96"/>
    <w:rsid w:val="169674BB"/>
    <w:rsid w:val="1697668E"/>
    <w:rsid w:val="16985E4F"/>
    <w:rsid w:val="169A7F44"/>
    <w:rsid w:val="169B7A59"/>
    <w:rsid w:val="169C251E"/>
    <w:rsid w:val="169C26E7"/>
    <w:rsid w:val="169C514E"/>
    <w:rsid w:val="169C5A2D"/>
    <w:rsid w:val="169C7FC3"/>
    <w:rsid w:val="169E08C8"/>
    <w:rsid w:val="169F2BA0"/>
    <w:rsid w:val="169F5898"/>
    <w:rsid w:val="16A0088D"/>
    <w:rsid w:val="16A036C0"/>
    <w:rsid w:val="16A051AF"/>
    <w:rsid w:val="16A10F12"/>
    <w:rsid w:val="16A15F88"/>
    <w:rsid w:val="16A16E0D"/>
    <w:rsid w:val="16A275ED"/>
    <w:rsid w:val="16A30197"/>
    <w:rsid w:val="16A3624D"/>
    <w:rsid w:val="16A3728B"/>
    <w:rsid w:val="16A43A1B"/>
    <w:rsid w:val="16A54404"/>
    <w:rsid w:val="16A54633"/>
    <w:rsid w:val="16A62408"/>
    <w:rsid w:val="16A765DC"/>
    <w:rsid w:val="16A7711B"/>
    <w:rsid w:val="16A77CB0"/>
    <w:rsid w:val="16A82624"/>
    <w:rsid w:val="16A8300B"/>
    <w:rsid w:val="16A83314"/>
    <w:rsid w:val="16A868D8"/>
    <w:rsid w:val="16A92C64"/>
    <w:rsid w:val="16A95DCF"/>
    <w:rsid w:val="16A9697F"/>
    <w:rsid w:val="16A97F1A"/>
    <w:rsid w:val="16AA0748"/>
    <w:rsid w:val="16AA4EB8"/>
    <w:rsid w:val="16AA5707"/>
    <w:rsid w:val="16AB0E21"/>
    <w:rsid w:val="16AB3EC2"/>
    <w:rsid w:val="16AB7652"/>
    <w:rsid w:val="16AC5485"/>
    <w:rsid w:val="16AE257F"/>
    <w:rsid w:val="16B0772A"/>
    <w:rsid w:val="16B12218"/>
    <w:rsid w:val="16B12BA0"/>
    <w:rsid w:val="16B2163F"/>
    <w:rsid w:val="16B23EE8"/>
    <w:rsid w:val="16B33784"/>
    <w:rsid w:val="16B34D13"/>
    <w:rsid w:val="16B4452E"/>
    <w:rsid w:val="16B51E90"/>
    <w:rsid w:val="16B52116"/>
    <w:rsid w:val="16B737EA"/>
    <w:rsid w:val="16B81864"/>
    <w:rsid w:val="16B83B8B"/>
    <w:rsid w:val="16B9510C"/>
    <w:rsid w:val="16B959CD"/>
    <w:rsid w:val="16BA4F4F"/>
    <w:rsid w:val="16BA5EB3"/>
    <w:rsid w:val="16BB5671"/>
    <w:rsid w:val="16BC365D"/>
    <w:rsid w:val="16BC6035"/>
    <w:rsid w:val="16BC60CF"/>
    <w:rsid w:val="16BC6CA7"/>
    <w:rsid w:val="16BD49D7"/>
    <w:rsid w:val="16BF48B5"/>
    <w:rsid w:val="16C10514"/>
    <w:rsid w:val="16C15493"/>
    <w:rsid w:val="16C24BF5"/>
    <w:rsid w:val="16C276D6"/>
    <w:rsid w:val="16C62640"/>
    <w:rsid w:val="16C6430F"/>
    <w:rsid w:val="16C64523"/>
    <w:rsid w:val="16C65A83"/>
    <w:rsid w:val="16C7156D"/>
    <w:rsid w:val="16C73497"/>
    <w:rsid w:val="16C76EDA"/>
    <w:rsid w:val="16C9404B"/>
    <w:rsid w:val="16C947EA"/>
    <w:rsid w:val="16CA5949"/>
    <w:rsid w:val="16CB45DD"/>
    <w:rsid w:val="16CC0BA3"/>
    <w:rsid w:val="16CC28AA"/>
    <w:rsid w:val="16CC585D"/>
    <w:rsid w:val="16CE0D48"/>
    <w:rsid w:val="16CF5F7B"/>
    <w:rsid w:val="16CF6227"/>
    <w:rsid w:val="16D07F50"/>
    <w:rsid w:val="16D1014C"/>
    <w:rsid w:val="16D12A09"/>
    <w:rsid w:val="16D231FD"/>
    <w:rsid w:val="16D27EEF"/>
    <w:rsid w:val="16D30431"/>
    <w:rsid w:val="16D32875"/>
    <w:rsid w:val="16D472FE"/>
    <w:rsid w:val="16D517D7"/>
    <w:rsid w:val="16D54D55"/>
    <w:rsid w:val="16D6361F"/>
    <w:rsid w:val="16D63AE8"/>
    <w:rsid w:val="16D81BDC"/>
    <w:rsid w:val="16D82A55"/>
    <w:rsid w:val="16D83079"/>
    <w:rsid w:val="16D83F7A"/>
    <w:rsid w:val="16D904AD"/>
    <w:rsid w:val="16D95DFB"/>
    <w:rsid w:val="16DA44F4"/>
    <w:rsid w:val="16DA4EE2"/>
    <w:rsid w:val="16DB3747"/>
    <w:rsid w:val="16DB7B82"/>
    <w:rsid w:val="16DD2C80"/>
    <w:rsid w:val="16DD6A2B"/>
    <w:rsid w:val="16DE1179"/>
    <w:rsid w:val="16DF0C12"/>
    <w:rsid w:val="16DF3883"/>
    <w:rsid w:val="16E1319C"/>
    <w:rsid w:val="16E14913"/>
    <w:rsid w:val="16E1638B"/>
    <w:rsid w:val="16E178E4"/>
    <w:rsid w:val="16E305F3"/>
    <w:rsid w:val="16E31F33"/>
    <w:rsid w:val="16E3273B"/>
    <w:rsid w:val="16E44AE6"/>
    <w:rsid w:val="16E44C4A"/>
    <w:rsid w:val="16E511B1"/>
    <w:rsid w:val="16E51390"/>
    <w:rsid w:val="16E57F6D"/>
    <w:rsid w:val="16E82ACE"/>
    <w:rsid w:val="16EA2314"/>
    <w:rsid w:val="16EA3E0B"/>
    <w:rsid w:val="16EA49EA"/>
    <w:rsid w:val="16EB0E31"/>
    <w:rsid w:val="16EC1269"/>
    <w:rsid w:val="16EC37B8"/>
    <w:rsid w:val="16EC6900"/>
    <w:rsid w:val="16ED74A8"/>
    <w:rsid w:val="16EE08B7"/>
    <w:rsid w:val="16EE25B0"/>
    <w:rsid w:val="16EE5F57"/>
    <w:rsid w:val="16EE6D27"/>
    <w:rsid w:val="16F25ECA"/>
    <w:rsid w:val="16F41155"/>
    <w:rsid w:val="16F471EA"/>
    <w:rsid w:val="16F56020"/>
    <w:rsid w:val="16F57E68"/>
    <w:rsid w:val="16F605F8"/>
    <w:rsid w:val="16F6423D"/>
    <w:rsid w:val="16F66D7B"/>
    <w:rsid w:val="16F71843"/>
    <w:rsid w:val="16F75574"/>
    <w:rsid w:val="16F841BE"/>
    <w:rsid w:val="16F94C2D"/>
    <w:rsid w:val="16F94D19"/>
    <w:rsid w:val="16F969DB"/>
    <w:rsid w:val="16F9783A"/>
    <w:rsid w:val="16FA09A5"/>
    <w:rsid w:val="16FA0DAA"/>
    <w:rsid w:val="16FA75F3"/>
    <w:rsid w:val="16FC1965"/>
    <w:rsid w:val="16FD6039"/>
    <w:rsid w:val="16FD6C24"/>
    <w:rsid w:val="16FE1105"/>
    <w:rsid w:val="16FE2E79"/>
    <w:rsid w:val="170065A6"/>
    <w:rsid w:val="17007A40"/>
    <w:rsid w:val="1702247C"/>
    <w:rsid w:val="1702272B"/>
    <w:rsid w:val="170228F8"/>
    <w:rsid w:val="1702478C"/>
    <w:rsid w:val="170253F0"/>
    <w:rsid w:val="17036EB0"/>
    <w:rsid w:val="17045380"/>
    <w:rsid w:val="170511A4"/>
    <w:rsid w:val="17052001"/>
    <w:rsid w:val="1706308B"/>
    <w:rsid w:val="17067826"/>
    <w:rsid w:val="17072E15"/>
    <w:rsid w:val="17075AC8"/>
    <w:rsid w:val="17076710"/>
    <w:rsid w:val="170A28A0"/>
    <w:rsid w:val="170A7566"/>
    <w:rsid w:val="170B670F"/>
    <w:rsid w:val="170C1FCB"/>
    <w:rsid w:val="170C3EE6"/>
    <w:rsid w:val="170C6666"/>
    <w:rsid w:val="170D36D3"/>
    <w:rsid w:val="170D5337"/>
    <w:rsid w:val="170D7784"/>
    <w:rsid w:val="170E0516"/>
    <w:rsid w:val="170E2CC7"/>
    <w:rsid w:val="170E2E8E"/>
    <w:rsid w:val="170F3598"/>
    <w:rsid w:val="170F4451"/>
    <w:rsid w:val="17103D25"/>
    <w:rsid w:val="171171F2"/>
    <w:rsid w:val="17143815"/>
    <w:rsid w:val="17147CB9"/>
    <w:rsid w:val="17155133"/>
    <w:rsid w:val="17162855"/>
    <w:rsid w:val="171661B7"/>
    <w:rsid w:val="1716696A"/>
    <w:rsid w:val="17167DB6"/>
    <w:rsid w:val="1717080E"/>
    <w:rsid w:val="171730D7"/>
    <w:rsid w:val="17173305"/>
    <w:rsid w:val="171760A6"/>
    <w:rsid w:val="171903EA"/>
    <w:rsid w:val="171971D9"/>
    <w:rsid w:val="171A2AB6"/>
    <w:rsid w:val="171B2CD5"/>
    <w:rsid w:val="171B63AE"/>
    <w:rsid w:val="171D090F"/>
    <w:rsid w:val="171D5AFD"/>
    <w:rsid w:val="1720040C"/>
    <w:rsid w:val="172008B9"/>
    <w:rsid w:val="172032D1"/>
    <w:rsid w:val="17204051"/>
    <w:rsid w:val="17205453"/>
    <w:rsid w:val="17214CC9"/>
    <w:rsid w:val="17214EDB"/>
    <w:rsid w:val="172271DD"/>
    <w:rsid w:val="17227CBD"/>
    <w:rsid w:val="172364D9"/>
    <w:rsid w:val="17237EFC"/>
    <w:rsid w:val="1724264B"/>
    <w:rsid w:val="17250842"/>
    <w:rsid w:val="17264599"/>
    <w:rsid w:val="172662DB"/>
    <w:rsid w:val="17271411"/>
    <w:rsid w:val="17273821"/>
    <w:rsid w:val="17283774"/>
    <w:rsid w:val="17284467"/>
    <w:rsid w:val="17287EA8"/>
    <w:rsid w:val="17297B96"/>
    <w:rsid w:val="172B157D"/>
    <w:rsid w:val="172B745A"/>
    <w:rsid w:val="172D2B29"/>
    <w:rsid w:val="172D54A8"/>
    <w:rsid w:val="172D7E5C"/>
    <w:rsid w:val="172E029F"/>
    <w:rsid w:val="17306175"/>
    <w:rsid w:val="17316FFB"/>
    <w:rsid w:val="1733209D"/>
    <w:rsid w:val="17343219"/>
    <w:rsid w:val="17353482"/>
    <w:rsid w:val="173619DD"/>
    <w:rsid w:val="173726FA"/>
    <w:rsid w:val="17377504"/>
    <w:rsid w:val="173777F4"/>
    <w:rsid w:val="17384FC3"/>
    <w:rsid w:val="17386125"/>
    <w:rsid w:val="173914CE"/>
    <w:rsid w:val="173A3527"/>
    <w:rsid w:val="173B2312"/>
    <w:rsid w:val="173C0838"/>
    <w:rsid w:val="173D2349"/>
    <w:rsid w:val="173D6011"/>
    <w:rsid w:val="173D60A6"/>
    <w:rsid w:val="173E116F"/>
    <w:rsid w:val="173E4D36"/>
    <w:rsid w:val="173E6AE4"/>
    <w:rsid w:val="173F2A93"/>
    <w:rsid w:val="173F2EF8"/>
    <w:rsid w:val="174030BA"/>
    <w:rsid w:val="174055F8"/>
    <w:rsid w:val="17412CAA"/>
    <w:rsid w:val="174260F1"/>
    <w:rsid w:val="17441CCB"/>
    <w:rsid w:val="174451A9"/>
    <w:rsid w:val="17445BDB"/>
    <w:rsid w:val="17451ECC"/>
    <w:rsid w:val="174576E9"/>
    <w:rsid w:val="17464B06"/>
    <w:rsid w:val="17473065"/>
    <w:rsid w:val="1747497F"/>
    <w:rsid w:val="174973F8"/>
    <w:rsid w:val="174A5FA3"/>
    <w:rsid w:val="174A65BC"/>
    <w:rsid w:val="174A754F"/>
    <w:rsid w:val="174B0689"/>
    <w:rsid w:val="174E00A5"/>
    <w:rsid w:val="174F508E"/>
    <w:rsid w:val="175119BF"/>
    <w:rsid w:val="175145D2"/>
    <w:rsid w:val="17516817"/>
    <w:rsid w:val="17542682"/>
    <w:rsid w:val="17544351"/>
    <w:rsid w:val="17552BB9"/>
    <w:rsid w:val="175633F2"/>
    <w:rsid w:val="17563628"/>
    <w:rsid w:val="17563E2E"/>
    <w:rsid w:val="175668D5"/>
    <w:rsid w:val="17570F7A"/>
    <w:rsid w:val="17571D62"/>
    <w:rsid w:val="17573012"/>
    <w:rsid w:val="17577A43"/>
    <w:rsid w:val="17592699"/>
    <w:rsid w:val="175B0C2B"/>
    <w:rsid w:val="175B1444"/>
    <w:rsid w:val="175B58E8"/>
    <w:rsid w:val="175C04E3"/>
    <w:rsid w:val="175C0E06"/>
    <w:rsid w:val="175C273E"/>
    <w:rsid w:val="175C2B21"/>
    <w:rsid w:val="175C3EA0"/>
    <w:rsid w:val="175C5B53"/>
    <w:rsid w:val="175D4391"/>
    <w:rsid w:val="175D7C2B"/>
    <w:rsid w:val="175E0F34"/>
    <w:rsid w:val="175F5AE9"/>
    <w:rsid w:val="17616FCF"/>
    <w:rsid w:val="17631EA2"/>
    <w:rsid w:val="176335E0"/>
    <w:rsid w:val="1763562D"/>
    <w:rsid w:val="17647D58"/>
    <w:rsid w:val="176500D0"/>
    <w:rsid w:val="176522C3"/>
    <w:rsid w:val="17680EFE"/>
    <w:rsid w:val="176952B1"/>
    <w:rsid w:val="17695FB7"/>
    <w:rsid w:val="176A1687"/>
    <w:rsid w:val="176B57FE"/>
    <w:rsid w:val="176C7710"/>
    <w:rsid w:val="176D6419"/>
    <w:rsid w:val="177017A1"/>
    <w:rsid w:val="17701D14"/>
    <w:rsid w:val="17702576"/>
    <w:rsid w:val="17704CBF"/>
    <w:rsid w:val="17705AC2"/>
    <w:rsid w:val="17710FCB"/>
    <w:rsid w:val="1771774B"/>
    <w:rsid w:val="17732DF7"/>
    <w:rsid w:val="17732F8D"/>
    <w:rsid w:val="17735226"/>
    <w:rsid w:val="1774130F"/>
    <w:rsid w:val="17741943"/>
    <w:rsid w:val="17750C2C"/>
    <w:rsid w:val="17754337"/>
    <w:rsid w:val="17763A34"/>
    <w:rsid w:val="17765BE8"/>
    <w:rsid w:val="17766159"/>
    <w:rsid w:val="1778273A"/>
    <w:rsid w:val="177834A0"/>
    <w:rsid w:val="17795D6E"/>
    <w:rsid w:val="17796EB8"/>
    <w:rsid w:val="177B7D38"/>
    <w:rsid w:val="177C760C"/>
    <w:rsid w:val="177D1261"/>
    <w:rsid w:val="177E3384"/>
    <w:rsid w:val="17812A7A"/>
    <w:rsid w:val="17840ED9"/>
    <w:rsid w:val="17850E01"/>
    <w:rsid w:val="178523D7"/>
    <w:rsid w:val="178716A9"/>
    <w:rsid w:val="17873DE0"/>
    <w:rsid w:val="17873DE5"/>
    <w:rsid w:val="17884203"/>
    <w:rsid w:val="17887D5F"/>
    <w:rsid w:val="17890919"/>
    <w:rsid w:val="178939FF"/>
    <w:rsid w:val="17894A12"/>
    <w:rsid w:val="178A48C6"/>
    <w:rsid w:val="178C14E5"/>
    <w:rsid w:val="178C7E66"/>
    <w:rsid w:val="178D5001"/>
    <w:rsid w:val="17905FBE"/>
    <w:rsid w:val="17930754"/>
    <w:rsid w:val="17930F2A"/>
    <w:rsid w:val="179336CD"/>
    <w:rsid w:val="17936D72"/>
    <w:rsid w:val="179720A3"/>
    <w:rsid w:val="17996410"/>
    <w:rsid w:val="179A367E"/>
    <w:rsid w:val="179B0D27"/>
    <w:rsid w:val="179B1408"/>
    <w:rsid w:val="179B337D"/>
    <w:rsid w:val="179B3A20"/>
    <w:rsid w:val="179B3B6B"/>
    <w:rsid w:val="179B5E06"/>
    <w:rsid w:val="179C18C4"/>
    <w:rsid w:val="179C1A62"/>
    <w:rsid w:val="179C471A"/>
    <w:rsid w:val="179D054D"/>
    <w:rsid w:val="179E1A05"/>
    <w:rsid w:val="179E40F1"/>
    <w:rsid w:val="179F2B60"/>
    <w:rsid w:val="179F59F7"/>
    <w:rsid w:val="17A032FB"/>
    <w:rsid w:val="17A0746F"/>
    <w:rsid w:val="17A10196"/>
    <w:rsid w:val="17A17C1F"/>
    <w:rsid w:val="17A32BF3"/>
    <w:rsid w:val="17A45B86"/>
    <w:rsid w:val="17A503C1"/>
    <w:rsid w:val="17A555DA"/>
    <w:rsid w:val="17A74476"/>
    <w:rsid w:val="17A8226F"/>
    <w:rsid w:val="17AA211F"/>
    <w:rsid w:val="17AA4B17"/>
    <w:rsid w:val="17AC6BE0"/>
    <w:rsid w:val="17AD0655"/>
    <w:rsid w:val="17AD49E8"/>
    <w:rsid w:val="17AE27A6"/>
    <w:rsid w:val="17AF0B55"/>
    <w:rsid w:val="17AF4B65"/>
    <w:rsid w:val="17B02286"/>
    <w:rsid w:val="17B23538"/>
    <w:rsid w:val="17B24D9C"/>
    <w:rsid w:val="17B257DE"/>
    <w:rsid w:val="17B3096F"/>
    <w:rsid w:val="17B33BE2"/>
    <w:rsid w:val="17B374D2"/>
    <w:rsid w:val="17B4366F"/>
    <w:rsid w:val="17B61082"/>
    <w:rsid w:val="17B640FC"/>
    <w:rsid w:val="17B67245"/>
    <w:rsid w:val="17B829D8"/>
    <w:rsid w:val="17BA15CD"/>
    <w:rsid w:val="17BA19BD"/>
    <w:rsid w:val="17BA5999"/>
    <w:rsid w:val="17BB2EC8"/>
    <w:rsid w:val="17BB6D25"/>
    <w:rsid w:val="17BC5193"/>
    <w:rsid w:val="17BC7F8F"/>
    <w:rsid w:val="17BD7C2F"/>
    <w:rsid w:val="17BE3FBA"/>
    <w:rsid w:val="17BE79E5"/>
    <w:rsid w:val="17BF4EB7"/>
    <w:rsid w:val="17BF5581"/>
    <w:rsid w:val="17C0085B"/>
    <w:rsid w:val="17C01B82"/>
    <w:rsid w:val="17C13539"/>
    <w:rsid w:val="17C21324"/>
    <w:rsid w:val="17C24EBC"/>
    <w:rsid w:val="17C27106"/>
    <w:rsid w:val="17C374A7"/>
    <w:rsid w:val="17C444C1"/>
    <w:rsid w:val="17C454A4"/>
    <w:rsid w:val="17C474EA"/>
    <w:rsid w:val="17C53F8C"/>
    <w:rsid w:val="17C57205"/>
    <w:rsid w:val="17C62C67"/>
    <w:rsid w:val="17C77CFD"/>
    <w:rsid w:val="17C85410"/>
    <w:rsid w:val="17C918B5"/>
    <w:rsid w:val="17CA481C"/>
    <w:rsid w:val="17CB6BE3"/>
    <w:rsid w:val="17CF293E"/>
    <w:rsid w:val="17D14752"/>
    <w:rsid w:val="17D1503E"/>
    <w:rsid w:val="17D16B75"/>
    <w:rsid w:val="17D248BB"/>
    <w:rsid w:val="17D265B8"/>
    <w:rsid w:val="17D55132"/>
    <w:rsid w:val="17D613B4"/>
    <w:rsid w:val="17D61A3D"/>
    <w:rsid w:val="17D65C63"/>
    <w:rsid w:val="17D6716D"/>
    <w:rsid w:val="17D72300"/>
    <w:rsid w:val="17D754AF"/>
    <w:rsid w:val="17D759BC"/>
    <w:rsid w:val="17D86F39"/>
    <w:rsid w:val="17D9783E"/>
    <w:rsid w:val="17DA4A73"/>
    <w:rsid w:val="17DA6F0B"/>
    <w:rsid w:val="17DA74F0"/>
    <w:rsid w:val="17DB33B5"/>
    <w:rsid w:val="17DC7D23"/>
    <w:rsid w:val="17DD1E75"/>
    <w:rsid w:val="17DF689D"/>
    <w:rsid w:val="17DF69FB"/>
    <w:rsid w:val="17E01BA6"/>
    <w:rsid w:val="17E03EAC"/>
    <w:rsid w:val="17E04C00"/>
    <w:rsid w:val="17E14679"/>
    <w:rsid w:val="17E26EB7"/>
    <w:rsid w:val="17E30878"/>
    <w:rsid w:val="17E34892"/>
    <w:rsid w:val="17E400D2"/>
    <w:rsid w:val="17E52D7B"/>
    <w:rsid w:val="17E551B2"/>
    <w:rsid w:val="17E5581B"/>
    <w:rsid w:val="17E57B3C"/>
    <w:rsid w:val="17E614DA"/>
    <w:rsid w:val="17E775B0"/>
    <w:rsid w:val="17E92EF4"/>
    <w:rsid w:val="17E94CA2"/>
    <w:rsid w:val="17E96131"/>
    <w:rsid w:val="17EA0D30"/>
    <w:rsid w:val="17EB030A"/>
    <w:rsid w:val="17EB12D7"/>
    <w:rsid w:val="17EB5FA5"/>
    <w:rsid w:val="17EC4792"/>
    <w:rsid w:val="17ED0C0C"/>
    <w:rsid w:val="17ED473A"/>
    <w:rsid w:val="17EE37CB"/>
    <w:rsid w:val="17EF1998"/>
    <w:rsid w:val="17F06B5A"/>
    <w:rsid w:val="17F17594"/>
    <w:rsid w:val="17F22727"/>
    <w:rsid w:val="17F23070"/>
    <w:rsid w:val="17F26500"/>
    <w:rsid w:val="17F30F66"/>
    <w:rsid w:val="17F31328"/>
    <w:rsid w:val="17F36D55"/>
    <w:rsid w:val="17F5162F"/>
    <w:rsid w:val="17F628BC"/>
    <w:rsid w:val="17F76BC6"/>
    <w:rsid w:val="17F875CE"/>
    <w:rsid w:val="17FA4F19"/>
    <w:rsid w:val="17FA5F7E"/>
    <w:rsid w:val="17FA6B9B"/>
    <w:rsid w:val="17FC425C"/>
    <w:rsid w:val="17FD5F3A"/>
    <w:rsid w:val="17FF5CE4"/>
    <w:rsid w:val="17FF70E2"/>
    <w:rsid w:val="18001F45"/>
    <w:rsid w:val="18004B6B"/>
    <w:rsid w:val="18017B76"/>
    <w:rsid w:val="18022BD4"/>
    <w:rsid w:val="18025D64"/>
    <w:rsid w:val="18027DD3"/>
    <w:rsid w:val="180359CC"/>
    <w:rsid w:val="18041ADC"/>
    <w:rsid w:val="18045F94"/>
    <w:rsid w:val="18051D3C"/>
    <w:rsid w:val="18056910"/>
    <w:rsid w:val="18056C31"/>
    <w:rsid w:val="180607D9"/>
    <w:rsid w:val="18061B86"/>
    <w:rsid w:val="18064908"/>
    <w:rsid w:val="180728B7"/>
    <w:rsid w:val="180903C7"/>
    <w:rsid w:val="18091BD0"/>
    <w:rsid w:val="180B10BC"/>
    <w:rsid w:val="180B1CEE"/>
    <w:rsid w:val="180B3AAE"/>
    <w:rsid w:val="180F5184"/>
    <w:rsid w:val="18113A03"/>
    <w:rsid w:val="18115FA7"/>
    <w:rsid w:val="18117D55"/>
    <w:rsid w:val="1812314D"/>
    <w:rsid w:val="18162DE7"/>
    <w:rsid w:val="18166A0A"/>
    <w:rsid w:val="18180161"/>
    <w:rsid w:val="18184D2A"/>
    <w:rsid w:val="181874C4"/>
    <w:rsid w:val="181906D1"/>
    <w:rsid w:val="181916B9"/>
    <w:rsid w:val="18193E43"/>
    <w:rsid w:val="18194090"/>
    <w:rsid w:val="181A26E5"/>
    <w:rsid w:val="181A30AD"/>
    <w:rsid w:val="181A7D48"/>
    <w:rsid w:val="181B0739"/>
    <w:rsid w:val="181B0BD3"/>
    <w:rsid w:val="181C6B43"/>
    <w:rsid w:val="181D2723"/>
    <w:rsid w:val="181E57E2"/>
    <w:rsid w:val="181F09F4"/>
    <w:rsid w:val="181F31B6"/>
    <w:rsid w:val="18215CD3"/>
    <w:rsid w:val="182208D1"/>
    <w:rsid w:val="18226971"/>
    <w:rsid w:val="1824217E"/>
    <w:rsid w:val="182452DC"/>
    <w:rsid w:val="18247658"/>
    <w:rsid w:val="18252FB3"/>
    <w:rsid w:val="1825759A"/>
    <w:rsid w:val="18277578"/>
    <w:rsid w:val="182874A2"/>
    <w:rsid w:val="18291542"/>
    <w:rsid w:val="182932F0"/>
    <w:rsid w:val="18295214"/>
    <w:rsid w:val="182B7976"/>
    <w:rsid w:val="182D53CA"/>
    <w:rsid w:val="182E15D8"/>
    <w:rsid w:val="182E41DB"/>
    <w:rsid w:val="182E7C58"/>
    <w:rsid w:val="182F1355"/>
    <w:rsid w:val="182F13A1"/>
    <w:rsid w:val="18301222"/>
    <w:rsid w:val="18311EA3"/>
    <w:rsid w:val="18322520"/>
    <w:rsid w:val="18323544"/>
    <w:rsid w:val="18330D36"/>
    <w:rsid w:val="18333A1E"/>
    <w:rsid w:val="1833416F"/>
    <w:rsid w:val="18341C27"/>
    <w:rsid w:val="183577C0"/>
    <w:rsid w:val="183716CD"/>
    <w:rsid w:val="18372B89"/>
    <w:rsid w:val="1838681C"/>
    <w:rsid w:val="18397E20"/>
    <w:rsid w:val="183A54FD"/>
    <w:rsid w:val="183D1830"/>
    <w:rsid w:val="183D75D9"/>
    <w:rsid w:val="183D7AE9"/>
    <w:rsid w:val="183E1537"/>
    <w:rsid w:val="183E3DD2"/>
    <w:rsid w:val="183E5BC7"/>
    <w:rsid w:val="183F4732"/>
    <w:rsid w:val="183F5BC2"/>
    <w:rsid w:val="184100B4"/>
    <w:rsid w:val="18411293"/>
    <w:rsid w:val="184113B2"/>
    <w:rsid w:val="18413DC1"/>
    <w:rsid w:val="1844304E"/>
    <w:rsid w:val="184455BA"/>
    <w:rsid w:val="18463EA2"/>
    <w:rsid w:val="18472255"/>
    <w:rsid w:val="18472E5D"/>
    <w:rsid w:val="18484DE1"/>
    <w:rsid w:val="18487794"/>
    <w:rsid w:val="184951C2"/>
    <w:rsid w:val="184A2CBD"/>
    <w:rsid w:val="184B3D94"/>
    <w:rsid w:val="184C4E1D"/>
    <w:rsid w:val="184D72C9"/>
    <w:rsid w:val="184E196A"/>
    <w:rsid w:val="184E6F70"/>
    <w:rsid w:val="184F5808"/>
    <w:rsid w:val="18504760"/>
    <w:rsid w:val="185127E1"/>
    <w:rsid w:val="185220A2"/>
    <w:rsid w:val="1853117B"/>
    <w:rsid w:val="18534811"/>
    <w:rsid w:val="185409A2"/>
    <w:rsid w:val="185426A5"/>
    <w:rsid w:val="185605B5"/>
    <w:rsid w:val="18560743"/>
    <w:rsid w:val="18561C0B"/>
    <w:rsid w:val="185A50EC"/>
    <w:rsid w:val="185C1CEE"/>
    <w:rsid w:val="185C39A9"/>
    <w:rsid w:val="185C63F4"/>
    <w:rsid w:val="185C6545"/>
    <w:rsid w:val="185E032D"/>
    <w:rsid w:val="185F30CB"/>
    <w:rsid w:val="18627299"/>
    <w:rsid w:val="18630328"/>
    <w:rsid w:val="186373DD"/>
    <w:rsid w:val="18662FC4"/>
    <w:rsid w:val="1866533A"/>
    <w:rsid w:val="18673B8C"/>
    <w:rsid w:val="1867479D"/>
    <w:rsid w:val="186926D0"/>
    <w:rsid w:val="186B1B5B"/>
    <w:rsid w:val="186C1C57"/>
    <w:rsid w:val="186D087B"/>
    <w:rsid w:val="186D6D64"/>
    <w:rsid w:val="186E158B"/>
    <w:rsid w:val="186E6F98"/>
    <w:rsid w:val="186F07CA"/>
    <w:rsid w:val="186F0EA3"/>
    <w:rsid w:val="186F61D1"/>
    <w:rsid w:val="18706DAC"/>
    <w:rsid w:val="1871061F"/>
    <w:rsid w:val="187318E0"/>
    <w:rsid w:val="187529D9"/>
    <w:rsid w:val="18753216"/>
    <w:rsid w:val="187622AE"/>
    <w:rsid w:val="18764293"/>
    <w:rsid w:val="1876610B"/>
    <w:rsid w:val="18771873"/>
    <w:rsid w:val="187720F7"/>
    <w:rsid w:val="18775797"/>
    <w:rsid w:val="187870D9"/>
    <w:rsid w:val="18794569"/>
    <w:rsid w:val="187A732E"/>
    <w:rsid w:val="187B2371"/>
    <w:rsid w:val="187C6165"/>
    <w:rsid w:val="187C6677"/>
    <w:rsid w:val="187D53EA"/>
    <w:rsid w:val="187E0A4E"/>
    <w:rsid w:val="187E1568"/>
    <w:rsid w:val="187E2D48"/>
    <w:rsid w:val="188120AA"/>
    <w:rsid w:val="18816B6E"/>
    <w:rsid w:val="18826EA4"/>
    <w:rsid w:val="1883299C"/>
    <w:rsid w:val="18835F56"/>
    <w:rsid w:val="188438A5"/>
    <w:rsid w:val="18853937"/>
    <w:rsid w:val="18862819"/>
    <w:rsid w:val="188632B3"/>
    <w:rsid w:val="188745DB"/>
    <w:rsid w:val="18877806"/>
    <w:rsid w:val="18893D8F"/>
    <w:rsid w:val="188A6578"/>
    <w:rsid w:val="188B1E10"/>
    <w:rsid w:val="188B5D59"/>
    <w:rsid w:val="188B6107"/>
    <w:rsid w:val="188B6ED2"/>
    <w:rsid w:val="188C387F"/>
    <w:rsid w:val="188D0D10"/>
    <w:rsid w:val="188D75FC"/>
    <w:rsid w:val="188F43BF"/>
    <w:rsid w:val="188F4753"/>
    <w:rsid w:val="188F4EA9"/>
    <w:rsid w:val="18902C8D"/>
    <w:rsid w:val="18911306"/>
    <w:rsid w:val="18915F7D"/>
    <w:rsid w:val="18920416"/>
    <w:rsid w:val="18922FF6"/>
    <w:rsid w:val="189239B0"/>
    <w:rsid w:val="18926908"/>
    <w:rsid w:val="18934153"/>
    <w:rsid w:val="18934C96"/>
    <w:rsid w:val="18936755"/>
    <w:rsid w:val="189637E0"/>
    <w:rsid w:val="18965180"/>
    <w:rsid w:val="18967E22"/>
    <w:rsid w:val="18973E04"/>
    <w:rsid w:val="18980476"/>
    <w:rsid w:val="1898193F"/>
    <w:rsid w:val="18996497"/>
    <w:rsid w:val="189967D5"/>
    <w:rsid w:val="189A2440"/>
    <w:rsid w:val="189A6D45"/>
    <w:rsid w:val="189B21BD"/>
    <w:rsid w:val="189B74D4"/>
    <w:rsid w:val="189C1D14"/>
    <w:rsid w:val="189C6E39"/>
    <w:rsid w:val="189D5A8C"/>
    <w:rsid w:val="189E3CDE"/>
    <w:rsid w:val="189E6867"/>
    <w:rsid w:val="189F0346"/>
    <w:rsid w:val="189F624C"/>
    <w:rsid w:val="18A04F4F"/>
    <w:rsid w:val="18A11A07"/>
    <w:rsid w:val="18A215FB"/>
    <w:rsid w:val="18A230A3"/>
    <w:rsid w:val="18A24C0F"/>
    <w:rsid w:val="18A45A76"/>
    <w:rsid w:val="18A46EA0"/>
    <w:rsid w:val="18A52747"/>
    <w:rsid w:val="18A5444C"/>
    <w:rsid w:val="18A54EAF"/>
    <w:rsid w:val="18A569F6"/>
    <w:rsid w:val="18A623BB"/>
    <w:rsid w:val="18A92F62"/>
    <w:rsid w:val="18AC14B5"/>
    <w:rsid w:val="18AC5B89"/>
    <w:rsid w:val="18AD6841"/>
    <w:rsid w:val="18AE1092"/>
    <w:rsid w:val="18AE4370"/>
    <w:rsid w:val="18AE5D72"/>
    <w:rsid w:val="18AE6D77"/>
    <w:rsid w:val="18AE7FF4"/>
    <w:rsid w:val="18B0786E"/>
    <w:rsid w:val="18B1543D"/>
    <w:rsid w:val="18B1793B"/>
    <w:rsid w:val="18B25370"/>
    <w:rsid w:val="18B2778A"/>
    <w:rsid w:val="18B33A9F"/>
    <w:rsid w:val="18B46E37"/>
    <w:rsid w:val="18B505CE"/>
    <w:rsid w:val="18B57567"/>
    <w:rsid w:val="18B61461"/>
    <w:rsid w:val="18B62FB1"/>
    <w:rsid w:val="18B63AD9"/>
    <w:rsid w:val="18B66474"/>
    <w:rsid w:val="18B70546"/>
    <w:rsid w:val="18B73242"/>
    <w:rsid w:val="18B857A3"/>
    <w:rsid w:val="18B8791A"/>
    <w:rsid w:val="18B9226D"/>
    <w:rsid w:val="18B95C95"/>
    <w:rsid w:val="18BC66A7"/>
    <w:rsid w:val="18BD27C6"/>
    <w:rsid w:val="18BD4AD1"/>
    <w:rsid w:val="18BE635D"/>
    <w:rsid w:val="18BF4679"/>
    <w:rsid w:val="18C00FA3"/>
    <w:rsid w:val="18C0586E"/>
    <w:rsid w:val="18C06AD9"/>
    <w:rsid w:val="18C0722F"/>
    <w:rsid w:val="18C11CD8"/>
    <w:rsid w:val="18C27C08"/>
    <w:rsid w:val="18C53092"/>
    <w:rsid w:val="18C568B2"/>
    <w:rsid w:val="18C66E3C"/>
    <w:rsid w:val="18C7128B"/>
    <w:rsid w:val="18C71707"/>
    <w:rsid w:val="18C77BE2"/>
    <w:rsid w:val="18C846D0"/>
    <w:rsid w:val="18C871E5"/>
    <w:rsid w:val="18CA193F"/>
    <w:rsid w:val="18CA3317"/>
    <w:rsid w:val="18CA4118"/>
    <w:rsid w:val="18CD66CB"/>
    <w:rsid w:val="18CE0FC1"/>
    <w:rsid w:val="18CE5689"/>
    <w:rsid w:val="18CF2AD2"/>
    <w:rsid w:val="18CF4021"/>
    <w:rsid w:val="18CF7498"/>
    <w:rsid w:val="18D04BF7"/>
    <w:rsid w:val="18D128E3"/>
    <w:rsid w:val="18D22DD2"/>
    <w:rsid w:val="18D27CC9"/>
    <w:rsid w:val="18D315B4"/>
    <w:rsid w:val="18D47C79"/>
    <w:rsid w:val="18D51F31"/>
    <w:rsid w:val="18D60035"/>
    <w:rsid w:val="18D70F9E"/>
    <w:rsid w:val="18D73EF4"/>
    <w:rsid w:val="18D85FF0"/>
    <w:rsid w:val="18DA0472"/>
    <w:rsid w:val="18DA586E"/>
    <w:rsid w:val="18DA7D2D"/>
    <w:rsid w:val="18DC2865"/>
    <w:rsid w:val="18DC53F4"/>
    <w:rsid w:val="18DE53D5"/>
    <w:rsid w:val="18DF0B3E"/>
    <w:rsid w:val="18DF419B"/>
    <w:rsid w:val="18E05436"/>
    <w:rsid w:val="18E13BCB"/>
    <w:rsid w:val="18E15979"/>
    <w:rsid w:val="18E2612F"/>
    <w:rsid w:val="18E32930"/>
    <w:rsid w:val="18E62627"/>
    <w:rsid w:val="18E64975"/>
    <w:rsid w:val="18E855D7"/>
    <w:rsid w:val="18E95AF3"/>
    <w:rsid w:val="18EA3ECD"/>
    <w:rsid w:val="18EB50DF"/>
    <w:rsid w:val="18EC4086"/>
    <w:rsid w:val="18ED3876"/>
    <w:rsid w:val="18ED5B3E"/>
    <w:rsid w:val="18EE316B"/>
    <w:rsid w:val="18EF453A"/>
    <w:rsid w:val="18F0453E"/>
    <w:rsid w:val="18F32A38"/>
    <w:rsid w:val="18F356AC"/>
    <w:rsid w:val="18F41011"/>
    <w:rsid w:val="18F52481"/>
    <w:rsid w:val="18F539BB"/>
    <w:rsid w:val="18F6109B"/>
    <w:rsid w:val="18F809C5"/>
    <w:rsid w:val="18F81745"/>
    <w:rsid w:val="18F83D2E"/>
    <w:rsid w:val="18F942CE"/>
    <w:rsid w:val="18FC1E99"/>
    <w:rsid w:val="18FD14B0"/>
    <w:rsid w:val="18FE2B77"/>
    <w:rsid w:val="18FE652B"/>
    <w:rsid w:val="18FF1CAF"/>
    <w:rsid w:val="18FF456A"/>
    <w:rsid w:val="190037EE"/>
    <w:rsid w:val="19003B7E"/>
    <w:rsid w:val="1901426D"/>
    <w:rsid w:val="1902611F"/>
    <w:rsid w:val="19037A4A"/>
    <w:rsid w:val="19043BA7"/>
    <w:rsid w:val="190478B9"/>
    <w:rsid w:val="1905076C"/>
    <w:rsid w:val="19050838"/>
    <w:rsid w:val="19052300"/>
    <w:rsid w:val="190537BB"/>
    <w:rsid w:val="19072AFA"/>
    <w:rsid w:val="190A5796"/>
    <w:rsid w:val="190B4403"/>
    <w:rsid w:val="190B6E9A"/>
    <w:rsid w:val="190D581C"/>
    <w:rsid w:val="190E1495"/>
    <w:rsid w:val="190E4A3F"/>
    <w:rsid w:val="190F0738"/>
    <w:rsid w:val="19100498"/>
    <w:rsid w:val="19113F8C"/>
    <w:rsid w:val="19116265"/>
    <w:rsid w:val="1912195F"/>
    <w:rsid w:val="191252F7"/>
    <w:rsid w:val="19140A77"/>
    <w:rsid w:val="191600EC"/>
    <w:rsid w:val="19170336"/>
    <w:rsid w:val="1917711C"/>
    <w:rsid w:val="191A0BE6"/>
    <w:rsid w:val="191A1FCA"/>
    <w:rsid w:val="191A5CD6"/>
    <w:rsid w:val="191A7680"/>
    <w:rsid w:val="191B0FB9"/>
    <w:rsid w:val="191B3625"/>
    <w:rsid w:val="191D0AA3"/>
    <w:rsid w:val="191D1D6A"/>
    <w:rsid w:val="191E6248"/>
    <w:rsid w:val="19213FBB"/>
    <w:rsid w:val="19215B13"/>
    <w:rsid w:val="192235B3"/>
    <w:rsid w:val="192548D2"/>
    <w:rsid w:val="192566F4"/>
    <w:rsid w:val="192576BB"/>
    <w:rsid w:val="192636EB"/>
    <w:rsid w:val="19274689"/>
    <w:rsid w:val="19282605"/>
    <w:rsid w:val="192A3D9C"/>
    <w:rsid w:val="192A5572"/>
    <w:rsid w:val="192A7204"/>
    <w:rsid w:val="192C06DE"/>
    <w:rsid w:val="192C2F95"/>
    <w:rsid w:val="192C3F9E"/>
    <w:rsid w:val="192C753C"/>
    <w:rsid w:val="192D1FBE"/>
    <w:rsid w:val="192D492D"/>
    <w:rsid w:val="192D647D"/>
    <w:rsid w:val="192F7D76"/>
    <w:rsid w:val="193122C9"/>
    <w:rsid w:val="193308A4"/>
    <w:rsid w:val="193442F8"/>
    <w:rsid w:val="19376894"/>
    <w:rsid w:val="193A5701"/>
    <w:rsid w:val="193A6246"/>
    <w:rsid w:val="193D247E"/>
    <w:rsid w:val="193D2C8B"/>
    <w:rsid w:val="193D662C"/>
    <w:rsid w:val="194113A8"/>
    <w:rsid w:val="19424BBB"/>
    <w:rsid w:val="194303E2"/>
    <w:rsid w:val="1945415A"/>
    <w:rsid w:val="1946357A"/>
    <w:rsid w:val="19466124"/>
    <w:rsid w:val="19466D10"/>
    <w:rsid w:val="194739EB"/>
    <w:rsid w:val="19485580"/>
    <w:rsid w:val="1949654C"/>
    <w:rsid w:val="19497888"/>
    <w:rsid w:val="194A117D"/>
    <w:rsid w:val="194A76E4"/>
    <w:rsid w:val="194A782E"/>
    <w:rsid w:val="194B1AC6"/>
    <w:rsid w:val="194C66FC"/>
    <w:rsid w:val="194D0CA7"/>
    <w:rsid w:val="194D1260"/>
    <w:rsid w:val="194D1D56"/>
    <w:rsid w:val="194D2160"/>
    <w:rsid w:val="194D21DF"/>
    <w:rsid w:val="194D259F"/>
    <w:rsid w:val="194D6A6D"/>
    <w:rsid w:val="194E1D0A"/>
    <w:rsid w:val="194E371B"/>
    <w:rsid w:val="1951370D"/>
    <w:rsid w:val="19515C6B"/>
    <w:rsid w:val="195425EF"/>
    <w:rsid w:val="19547594"/>
    <w:rsid w:val="19552687"/>
    <w:rsid w:val="19560256"/>
    <w:rsid w:val="1956311E"/>
    <w:rsid w:val="19564CC5"/>
    <w:rsid w:val="19567394"/>
    <w:rsid w:val="19572BCC"/>
    <w:rsid w:val="19586B57"/>
    <w:rsid w:val="1959041F"/>
    <w:rsid w:val="195A1DB5"/>
    <w:rsid w:val="195B45A7"/>
    <w:rsid w:val="195C5CE6"/>
    <w:rsid w:val="195D3698"/>
    <w:rsid w:val="195D58FE"/>
    <w:rsid w:val="195D63DC"/>
    <w:rsid w:val="195F095D"/>
    <w:rsid w:val="195F6DCC"/>
    <w:rsid w:val="19615DE5"/>
    <w:rsid w:val="19616590"/>
    <w:rsid w:val="1962479C"/>
    <w:rsid w:val="19625ED7"/>
    <w:rsid w:val="19630AA2"/>
    <w:rsid w:val="1963712C"/>
    <w:rsid w:val="19642310"/>
    <w:rsid w:val="19644B1B"/>
    <w:rsid w:val="196565AA"/>
    <w:rsid w:val="196600CC"/>
    <w:rsid w:val="19666C1D"/>
    <w:rsid w:val="19680638"/>
    <w:rsid w:val="19687E48"/>
    <w:rsid w:val="1969228A"/>
    <w:rsid w:val="1969306C"/>
    <w:rsid w:val="196A55E9"/>
    <w:rsid w:val="196A7CCD"/>
    <w:rsid w:val="196B44CE"/>
    <w:rsid w:val="196C353E"/>
    <w:rsid w:val="196C5B8A"/>
    <w:rsid w:val="196C6C98"/>
    <w:rsid w:val="196D1903"/>
    <w:rsid w:val="196D34BC"/>
    <w:rsid w:val="196F16CC"/>
    <w:rsid w:val="19700883"/>
    <w:rsid w:val="197017F8"/>
    <w:rsid w:val="19704A1E"/>
    <w:rsid w:val="19704FBA"/>
    <w:rsid w:val="19710D6D"/>
    <w:rsid w:val="19721AA5"/>
    <w:rsid w:val="19722A69"/>
    <w:rsid w:val="19735B53"/>
    <w:rsid w:val="19737498"/>
    <w:rsid w:val="19742C91"/>
    <w:rsid w:val="19744A12"/>
    <w:rsid w:val="1975273A"/>
    <w:rsid w:val="19752D31"/>
    <w:rsid w:val="197561B3"/>
    <w:rsid w:val="197607B7"/>
    <w:rsid w:val="19765307"/>
    <w:rsid w:val="19774C2F"/>
    <w:rsid w:val="197773B8"/>
    <w:rsid w:val="19782558"/>
    <w:rsid w:val="19782D4B"/>
    <w:rsid w:val="19787B3F"/>
    <w:rsid w:val="197B1276"/>
    <w:rsid w:val="197B7E54"/>
    <w:rsid w:val="197D44B3"/>
    <w:rsid w:val="197D73FC"/>
    <w:rsid w:val="197E010A"/>
    <w:rsid w:val="197F24DA"/>
    <w:rsid w:val="197F2A15"/>
    <w:rsid w:val="19801D7F"/>
    <w:rsid w:val="198033E4"/>
    <w:rsid w:val="19826F89"/>
    <w:rsid w:val="19834C82"/>
    <w:rsid w:val="19872BA6"/>
    <w:rsid w:val="1988007E"/>
    <w:rsid w:val="198805C0"/>
    <w:rsid w:val="19884C9C"/>
    <w:rsid w:val="198A0E38"/>
    <w:rsid w:val="198A4263"/>
    <w:rsid w:val="198A64FD"/>
    <w:rsid w:val="198B3B37"/>
    <w:rsid w:val="198C31BC"/>
    <w:rsid w:val="198D5B01"/>
    <w:rsid w:val="198E3900"/>
    <w:rsid w:val="198F1090"/>
    <w:rsid w:val="19906B90"/>
    <w:rsid w:val="1990749F"/>
    <w:rsid w:val="19912A2F"/>
    <w:rsid w:val="19922838"/>
    <w:rsid w:val="19923DBD"/>
    <w:rsid w:val="19924F17"/>
    <w:rsid w:val="19933157"/>
    <w:rsid w:val="19935BF6"/>
    <w:rsid w:val="19937797"/>
    <w:rsid w:val="199471BC"/>
    <w:rsid w:val="199639A9"/>
    <w:rsid w:val="19966E04"/>
    <w:rsid w:val="1997072D"/>
    <w:rsid w:val="19972F54"/>
    <w:rsid w:val="199810E1"/>
    <w:rsid w:val="199846DF"/>
    <w:rsid w:val="199871CC"/>
    <w:rsid w:val="199926F8"/>
    <w:rsid w:val="199A0116"/>
    <w:rsid w:val="199A0578"/>
    <w:rsid w:val="199A58F5"/>
    <w:rsid w:val="199B06F7"/>
    <w:rsid w:val="199B26B3"/>
    <w:rsid w:val="199C77FC"/>
    <w:rsid w:val="199D5B88"/>
    <w:rsid w:val="199E7A0E"/>
    <w:rsid w:val="199F0208"/>
    <w:rsid w:val="199F1B1E"/>
    <w:rsid w:val="19A0261D"/>
    <w:rsid w:val="19A13010"/>
    <w:rsid w:val="19A1471B"/>
    <w:rsid w:val="19A15038"/>
    <w:rsid w:val="19A370D2"/>
    <w:rsid w:val="19A3765E"/>
    <w:rsid w:val="19A53FC1"/>
    <w:rsid w:val="19A5499B"/>
    <w:rsid w:val="19A63631"/>
    <w:rsid w:val="19A63BAC"/>
    <w:rsid w:val="19A6781B"/>
    <w:rsid w:val="19A71C72"/>
    <w:rsid w:val="19A74D13"/>
    <w:rsid w:val="19AA220F"/>
    <w:rsid w:val="19AA6881"/>
    <w:rsid w:val="19AB373B"/>
    <w:rsid w:val="19AC48DE"/>
    <w:rsid w:val="19AC4964"/>
    <w:rsid w:val="19AC5F87"/>
    <w:rsid w:val="19AC6483"/>
    <w:rsid w:val="19AD12FB"/>
    <w:rsid w:val="19AD7F51"/>
    <w:rsid w:val="19AE18B8"/>
    <w:rsid w:val="19AE687B"/>
    <w:rsid w:val="19AF3EE3"/>
    <w:rsid w:val="19B02B50"/>
    <w:rsid w:val="19B2755B"/>
    <w:rsid w:val="19B3654F"/>
    <w:rsid w:val="19B36873"/>
    <w:rsid w:val="19B402F5"/>
    <w:rsid w:val="19B412DF"/>
    <w:rsid w:val="19B65058"/>
    <w:rsid w:val="19B71F4B"/>
    <w:rsid w:val="19B74524"/>
    <w:rsid w:val="19B75189"/>
    <w:rsid w:val="19B76A79"/>
    <w:rsid w:val="19B85081"/>
    <w:rsid w:val="19B90068"/>
    <w:rsid w:val="19BA24FC"/>
    <w:rsid w:val="19BA5A77"/>
    <w:rsid w:val="19BA6EB0"/>
    <w:rsid w:val="19BB1149"/>
    <w:rsid w:val="19BC2583"/>
    <w:rsid w:val="19BD0252"/>
    <w:rsid w:val="19BD040B"/>
    <w:rsid w:val="19BD1406"/>
    <w:rsid w:val="19BD177A"/>
    <w:rsid w:val="19BD63AB"/>
    <w:rsid w:val="19BD63E6"/>
    <w:rsid w:val="19BD742A"/>
    <w:rsid w:val="19BE4718"/>
    <w:rsid w:val="19BE56E4"/>
    <w:rsid w:val="19BE5969"/>
    <w:rsid w:val="19C02112"/>
    <w:rsid w:val="19C03A03"/>
    <w:rsid w:val="19C12F42"/>
    <w:rsid w:val="19C13A48"/>
    <w:rsid w:val="19C2790A"/>
    <w:rsid w:val="19C31DC3"/>
    <w:rsid w:val="19C36A9E"/>
    <w:rsid w:val="19C4040F"/>
    <w:rsid w:val="19C444F8"/>
    <w:rsid w:val="19C5698C"/>
    <w:rsid w:val="19C57518"/>
    <w:rsid w:val="19C61A23"/>
    <w:rsid w:val="19C707F4"/>
    <w:rsid w:val="19C708B2"/>
    <w:rsid w:val="19C74CC1"/>
    <w:rsid w:val="19C7789E"/>
    <w:rsid w:val="19C77DED"/>
    <w:rsid w:val="19C8263F"/>
    <w:rsid w:val="19C91587"/>
    <w:rsid w:val="19C968DF"/>
    <w:rsid w:val="19CA0B03"/>
    <w:rsid w:val="19CB52FF"/>
    <w:rsid w:val="19CD38CF"/>
    <w:rsid w:val="19CD6136"/>
    <w:rsid w:val="19CF5505"/>
    <w:rsid w:val="19D007C9"/>
    <w:rsid w:val="19D1155D"/>
    <w:rsid w:val="19D13E2D"/>
    <w:rsid w:val="19D21766"/>
    <w:rsid w:val="19D252BE"/>
    <w:rsid w:val="19D302DD"/>
    <w:rsid w:val="19D37F20"/>
    <w:rsid w:val="19D40EC1"/>
    <w:rsid w:val="19D4363A"/>
    <w:rsid w:val="19D43C03"/>
    <w:rsid w:val="19D43D14"/>
    <w:rsid w:val="19D53AC2"/>
    <w:rsid w:val="19D5428A"/>
    <w:rsid w:val="19D56C0A"/>
    <w:rsid w:val="19D6357C"/>
    <w:rsid w:val="19D920C7"/>
    <w:rsid w:val="19D93B69"/>
    <w:rsid w:val="19DB686C"/>
    <w:rsid w:val="19DC2507"/>
    <w:rsid w:val="19DC4392"/>
    <w:rsid w:val="19DC503E"/>
    <w:rsid w:val="19DE010A"/>
    <w:rsid w:val="19DE5C32"/>
    <w:rsid w:val="19E074FE"/>
    <w:rsid w:val="19E23912"/>
    <w:rsid w:val="19E25607"/>
    <w:rsid w:val="19E406AB"/>
    <w:rsid w:val="19E4219C"/>
    <w:rsid w:val="19E46183"/>
    <w:rsid w:val="19E52F4F"/>
    <w:rsid w:val="19E7102E"/>
    <w:rsid w:val="19E71922"/>
    <w:rsid w:val="19E74944"/>
    <w:rsid w:val="19E801A2"/>
    <w:rsid w:val="19E81DB9"/>
    <w:rsid w:val="19E83E62"/>
    <w:rsid w:val="19E90B64"/>
    <w:rsid w:val="19EA6AAF"/>
    <w:rsid w:val="19EA6B9E"/>
    <w:rsid w:val="19EB57EB"/>
    <w:rsid w:val="19EB7914"/>
    <w:rsid w:val="19EB7CFB"/>
    <w:rsid w:val="19EC0223"/>
    <w:rsid w:val="19EC4E33"/>
    <w:rsid w:val="19EC524C"/>
    <w:rsid w:val="19EE2F83"/>
    <w:rsid w:val="19EF056A"/>
    <w:rsid w:val="19EF63F5"/>
    <w:rsid w:val="19F03191"/>
    <w:rsid w:val="19F032AD"/>
    <w:rsid w:val="19F133E1"/>
    <w:rsid w:val="19F16090"/>
    <w:rsid w:val="19F23A54"/>
    <w:rsid w:val="19F27296"/>
    <w:rsid w:val="19F33FAB"/>
    <w:rsid w:val="19F46294"/>
    <w:rsid w:val="19F6034A"/>
    <w:rsid w:val="19F636A6"/>
    <w:rsid w:val="19F6753E"/>
    <w:rsid w:val="19F679A0"/>
    <w:rsid w:val="19F70334"/>
    <w:rsid w:val="19F718A8"/>
    <w:rsid w:val="19F95136"/>
    <w:rsid w:val="19F952DC"/>
    <w:rsid w:val="19F95FB9"/>
    <w:rsid w:val="19F97FE0"/>
    <w:rsid w:val="19FA6325"/>
    <w:rsid w:val="19FA71CE"/>
    <w:rsid w:val="19FB1FA5"/>
    <w:rsid w:val="19FB5E42"/>
    <w:rsid w:val="19FC10BC"/>
    <w:rsid w:val="19FD4362"/>
    <w:rsid w:val="19FE1815"/>
    <w:rsid w:val="19FE340E"/>
    <w:rsid w:val="19FF2820"/>
    <w:rsid w:val="19FF5095"/>
    <w:rsid w:val="19FF7A86"/>
    <w:rsid w:val="1A02050B"/>
    <w:rsid w:val="1A0248F8"/>
    <w:rsid w:val="1A025026"/>
    <w:rsid w:val="1A037DE9"/>
    <w:rsid w:val="1A0418B7"/>
    <w:rsid w:val="1A041EE5"/>
    <w:rsid w:val="1A042CCB"/>
    <w:rsid w:val="1A051B3B"/>
    <w:rsid w:val="1A065BBA"/>
    <w:rsid w:val="1A0758B3"/>
    <w:rsid w:val="1A084EB9"/>
    <w:rsid w:val="1A085D62"/>
    <w:rsid w:val="1A095C36"/>
    <w:rsid w:val="1A09753A"/>
    <w:rsid w:val="1A0A10F0"/>
    <w:rsid w:val="1A0A196E"/>
    <w:rsid w:val="1A0B58C4"/>
    <w:rsid w:val="1A0B6CD8"/>
    <w:rsid w:val="1A0C2E9D"/>
    <w:rsid w:val="1A0D279E"/>
    <w:rsid w:val="1A0E211B"/>
    <w:rsid w:val="1A101A3F"/>
    <w:rsid w:val="1A116B7E"/>
    <w:rsid w:val="1A116EBC"/>
    <w:rsid w:val="1A147FD0"/>
    <w:rsid w:val="1A152C42"/>
    <w:rsid w:val="1A160337"/>
    <w:rsid w:val="1A1739FB"/>
    <w:rsid w:val="1A173F76"/>
    <w:rsid w:val="1A176F07"/>
    <w:rsid w:val="1A18483E"/>
    <w:rsid w:val="1A187FBB"/>
    <w:rsid w:val="1A1B4A74"/>
    <w:rsid w:val="1A1B77BE"/>
    <w:rsid w:val="1A1C5BD7"/>
    <w:rsid w:val="1A1C66C0"/>
    <w:rsid w:val="1A1C7BFC"/>
    <w:rsid w:val="1A1E7372"/>
    <w:rsid w:val="1A206975"/>
    <w:rsid w:val="1A22165B"/>
    <w:rsid w:val="1A223AD6"/>
    <w:rsid w:val="1A22749D"/>
    <w:rsid w:val="1A236C5D"/>
    <w:rsid w:val="1A237635"/>
    <w:rsid w:val="1A24147C"/>
    <w:rsid w:val="1A2457AB"/>
    <w:rsid w:val="1A251630"/>
    <w:rsid w:val="1A253454"/>
    <w:rsid w:val="1A253E58"/>
    <w:rsid w:val="1A256E93"/>
    <w:rsid w:val="1A273FAA"/>
    <w:rsid w:val="1A274AE2"/>
    <w:rsid w:val="1A2801B7"/>
    <w:rsid w:val="1A290EDC"/>
    <w:rsid w:val="1A29304B"/>
    <w:rsid w:val="1A296CF8"/>
    <w:rsid w:val="1A2A15A2"/>
    <w:rsid w:val="1A2A3B33"/>
    <w:rsid w:val="1A2A6F75"/>
    <w:rsid w:val="1A2B2090"/>
    <w:rsid w:val="1A2B706F"/>
    <w:rsid w:val="1A2C531A"/>
    <w:rsid w:val="1A2D11DE"/>
    <w:rsid w:val="1A2F4DD2"/>
    <w:rsid w:val="1A2F57A0"/>
    <w:rsid w:val="1A3027EC"/>
    <w:rsid w:val="1A31606B"/>
    <w:rsid w:val="1A326F78"/>
    <w:rsid w:val="1A3327FD"/>
    <w:rsid w:val="1A341B51"/>
    <w:rsid w:val="1A352A06"/>
    <w:rsid w:val="1A37176E"/>
    <w:rsid w:val="1A382FAC"/>
    <w:rsid w:val="1A386DBC"/>
    <w:rsid w:val="1A3930EE"/>
    <w:rsid w:val="1A395B47"/>
    <w:rsid w:val="1A3C140F"/>
    <w:rsid w:val="1A3D4B32"/>
    <w:rsid w:val="1A3F577B"/>
    <w:rsid w:val="1A40267A"/>
    <w:rsid w:val="1A4118FC"/>
    <w:rsid w:val="1A41348C"/>
    <w:rsid w:val="1A415956"/>
    <w:rsid w:val="1A42393B"/>
    <w:rsid w:val="1A4404B8"/>
    <w:rsid w:val="1A476A74"/>
    <w:rsid w:val="1A4B589F"/>
    <w:rsid w:val="1A4B7978"/>
    <w:rsid w:val="1A4C1518"/>
    <w:rsid w:val="1A4F0D02"/>
    <w:rsid w:val="1A4F3B53"/>
    <w:rsid w:val="1A5012F9"/>
    <w:rsid w:val="1A512B3C"/>
    <w:rsid w:val="1A530E12"/>
    <w:rsid w:val="1A5328A6"/>
    <w:rsid w:val="1A53362E"/>
    <w:rsid w:val="1A5403CD"/>
    <w:rsid w:val="1A55089C"/>
    <w:rsid w:val="1A551B7D"/>
    <w:rsid w:val="1A5627F0"/>
    <w:rsid w:val="1A581025"/>
    <w:rsid w:val="1A584361"/>
    <w:rsid w:val="1A59000E"/>
    <w:rsid w:val="1A59108D"/>
    <w:rsid w:val="1A597561"/>
    <w:rsid w:val="1A5B4C15"/>
    <w:rsid w:val="1A5C0E74"/>
    <w:rsid w:val="1A5C382D"/>
    <w:rsid w:val="1A5D0F8B"/>
    <w:rsid w:val="1A5D1977"/>
    <w:rsid w:val="1A5D3430"/>
    <w:rsid w:val="1A604FC3"/>
    <w:rsid w:val="1A6138D3"/>
    <w:rsid w:val="1A61648E"/>
    <w:rsid w:val="1A62088D"/>
    <w:rsid w:val="1A626FD4"/>
    <w:rsid w:val="1A633C09"/>
    <w:rsid w:val="1A644B2C"/>
    <w:rsid w:val="1A646862"/>
    <w:rsid w:val="1A650A3E"/>
    <w:rsid w:val="1A655D2E"/>
    <w:rsid w:val="1A65739F"/>
    <w:rsid w:val="1A667DED"/>
    <w:rsid w:val="1A670176"/>
    <w:rsid w:val="1A673855"/>
    <w:rsid w:val="1A6745A4"/>
    <w:rsid w:val="1A676352"/>
    <w:rsid w:val="1A686E3E"/>
    <w:rsid w:val="1A693BC4"/>
    <w:rsid w:val="1A694137"/>
    <w:rsid w:val="1A6A0A07"/>
    <w:rsid w:val="1A6A34A6"/>
    <w:rsid w:val="1A6B2BD5"/>
    <w:rsid w:val="1A6C46BD"/>
    <w:rsid w:val="1A6C47C5"/>
    <w:rsid w:val="1A6D5380"/>
    <w:rsid w:val="1A6D777D"/>
    <w:rsid w:val="1A6E1333"/>
    <w:rsid w:val="1A7035BC"/>
    <w:rsid w:val="1A720819"/>
    <w:rsid w:val="1A7379BC"/>
    <w:rsid w:val="1A755E4C"/>
    <w:rsid w:val="1A766950"/>
    <w:rsid w:val="1A780447"/>
    <w:rsid w:val="1A787243"/>
    <w:rsid w:val="1A7874C0"/>
    <w:rsid w:val="1A7B19AE"/>
    <w:rsid w:val="1A7C0DA2"/>
    <w:rsid w:val="1A7D3DC7"/>
    <w:rsid w:val="1A7D4911"/>
    <w:rsid w:val="1A7E0512"/>
    <w:rsid w:val="1A7E36B1"/>
    <w:rsid w:val="1A7F369B"/>
    <w:rsid w:val="1A7F5553"/>
    <w:rsid w:val="1A8020BF"/>
    <w:rsid w:val="1A825EC0"/>
    <w:rsid w:val="1A831C80"/>
    <w:rsid w:val="1A844FA1"/>
    <w:rsid w:val="1A85772F"/>
    <w:rsid w:val="1A86006F"/>
    <w:rsid w:val="1A861B61"/>
    <w:rsid w:val="1A864A2A"/>
    <w:rsid w:val="1A87580C"/>
    <w:rsid w:val="1A8852EE"/>
    <w:rsid w:val="1A892BA4"/>
    <w:rsid w:val="1A8B01B1"/>
    <w:rsid w:val="1A8B4F03"/>
    <w:rsid w:val="1A8B6479"/>
    <w:rsid w:val="1A8B7E79"/>
    <w:rsid w:val="1A8C1CB5"/>
    <w:rsid w:val="1A8F3C86"/>
    <w:rsid w:val="1A9016E4"/>
    <w:rsid w:val="1A901BB1"/>
    <w:rsid w:val="1A9024A7"/>
    <w:rsid w:val="1A910ABC"/>
    <w:rsid w:val="1A914F07"/>
    <w:rsid w:val="1A92388D"/>
    <w:rsid w:val="1A924232"/>
    <w:rsid w:val="1A937313"/>
    <w:rsid w:val="1A9424AE"/>
    <w:rsid w:val="1A95088B"/>
    <w:rsid w:val="1A9557EC"/>
    <w:rsid w:val="1A9676B7"/>
    <w:rsid w:val="1A97051A"/>
    <w:rsid w:val="1A97307B"/>
    <w:rsid w:val="1A9742EA"/>
    <w:rsid w:val="1A975E3B"/>
    <w:rsid w:val="1A976E5F"/>
    <w:rsid w:val="1A9776FB"/>
    <w:rsid w:val="1A98475D"/>
    <w:rsid w:val="1A99589A"/>
    <w:rsid w:val="1A997B74"/>
    <w:rsid w:val="1A9A5CB7"/>
    <w:rsid w:val="1A9A648B"/>
    <w:rsid w:val="1A9A7693"/>
    <w:rsid w:val="1A9C2029"/>
    <w:rsid w:val="1A9C48B3"/>
    <w:rsid w:val="1A9C7758"/>
    <w:rsid w:val="1A9D6217"/>
    <w:rsid w:val="1A9D70AA"/>
    <w:rsid w:val="1A9E2025"/>
    <w:rsid w:val="1A9E3580"/>
    <w:rsid w:val="1A9F379B"/>
    <w:rsid w:val="1AA060F9"/>
    <w:rsid w:val="1AA15FAD"/>
    <w:rsid w:val="1AA20C5D"/>
    <w:rsid w:val="1AA255DC"/>
    <w:rsid w:val="1AA35A1E"/>
    <w:rsid w:val="1AA41354"/>
    <w:rsid w:val="1AA64D8C"/>
    <w:rsid w:val="1AA907A3"/>
    <w:rsid w:val="1AA90BE8"/>
    <w:rsid w:val="1AA91385"/>
    <w:rsid w:val="1AAA4EC5"/>
    <w:rsid w:val="1AAB2075"/>
    <w:rsid w:val="1AAC3990"/>
    <w:rsid w:val="1AAD303C"/>
    <w:rsid w:val="1AAD45DE"/>
    <w:rsid w:val="1AAD5756"/>
    <w:rsid w:val="1AAE1582"/>
    <w:rsid w:val="1AAE3F81"/>
    <w:rsid w:val="1AAF11C7"/>
    <w:rsid w:val="1AB01AA7"/>
    <w:rsid w:val="1AB037F9"/>
    <w:rsid w:val="1AB16D8D"/>
    <w:rsid w:val="1AB204E9"/>
    <w:rsid w:val="1AB36D20"/>
    <w:rsid w:val="1AB43742"/>
    <w:rsid w:val="1AB448C1"/>
    <w:rsid w:val="1AB44FF3"/>
    <w:rsid w:val="1AB535CF"/>
    <w:rsid w:val="1AB55005"/>
    <w:rsid w:val="1AB76358"/>
    <w:rsid w:val="1AB84A57"/>
    <w:rsid w:val="1AB85342"/>
    <w:rsid w:val="1AB86BAD"/>
    <w:rsid w:val="1AB879F4"/>
    <w:rsid w:val="1AB92E2D"/>
    <w:rsid w:val="1AB93B37"/>
    <w:rsid w:val="1AB943B7"/>
    <w:rsid w:val="1AB9743E"/>
    <w:rsid w:val="1ABA59B3"/>
    <w:rsid w:val="1ABB236E"/>
    <w:rsid w:val="1ABB7006"/>
    <w:rsid w:val="1ABB7A27"/>
    <w:rsid w:val="1ABC0E77"/>
    <w:rsid w:val="1ABD2AC6"/>
    <w:rsid w:val="1ABE18FF"/>
    <w:rsid w:val="1ABF6AA2"/>
    <w:rsid w:val="1AC01327"/>
    <w:rsid w:val="1AC1096A"/>
    <w:rsid w:val="1AC31AA4"/>
    <w:rsid w:val="1AC45B3E"/>
    <w:rsid w:val="1AC47300"/>
    <w:rsid w:val="1AC5699F"/>
    <w:rsid w:val="1AC63907"/>
    <w:rsid w:val="1AC92B69"/>
    <w:rsid w:val="1AC976AA"/>
    <w:rsid w:val="1ACA4321"/>
    <w:rsid w:val="1ACB1CBF"/>
    <w:rsid w:val="1ACB7BBE"/>
    <w:rsid w:val="1ACC13EB"/>
    <w:rsid w:val="1ACC2805"/>
    <w:rsid w:val="1ACD039F"/>
    <w:rsid w:val="1ACE63D1"/>
    <w:rsid w:val="1ACF00F1"/>
    <w:rsid w:val="1ACF194E"/>
    <w:rsid w:val="1AD02149"/>
    <w:rsid w:val="1AD04576"/>
    <w:rsid w:val="1AD220F1"/>
    <w:rsid w:val="1AD3124A"/>
    <w:rsid w:val="1AD33D36"/>
    <w:rsid w:val="1AD5775F"/>
    <w:rsid w:val="1AD64983"/>
    <w:rsid w:val="1AD6553D"/>
    <w:rsid w:val="1AD758DA"/>
    <w:rsid w:val="1AD80DDB"/>
    <w:rsid w:val="1AD81CC7"/>
    <w:rsid w:val="1AD9291B"/>
    <w:rsid w:val="1ADA2AFB"/>
    <w:rsid w:val="1ADA712F"/>
    <w:rsid w:val="1ADB573D"/>
    <w:rsid w:val="1ADC1524"/>
    <w:rsid w:val="1ADD0C53"/>
    <w:rsid w:val="1ADE0138"/>
    <w:rsid w:val="1ADE4ADC"/>
    <w:rsid w:val="1AE01AEC"/>
    <w:rsid w:val="1AE02CDB"/>
    <w:rsid w:val="1AE04070"/>
    <w:rsid w:val="1AE0635C"/>
    <w:rsid w:val="1AE154DB"/>
    <w:rsid w:val="1AE25190"/>
    <w:rsid w:val="1AE25978"/>
    <w:rsid w:val="1AE52032"/>
    <w:rsid w:val="1AE74C34"/>
    <w:rsid w:val="1AE8530A"/>
    <w:rsid w:val="1AE86002"/>
    <w:rsid w:val="1AEA67C3"/>
    <w:rsid w:val="1AEB3644"/>
    <w:rsid w:val="1AEB5005"/>
    <w:rsid w:val="1AEC11F3"/>
    <w:rsid w:val="1AEC507F"/>
    <w:rsid w:val="1AEE25CF"/>
    <w:rsid w:val="1AEF03DC"/>
    <w:rsid w:val="1AF078D3"/>
    <w:rsid w:val="1AF07ABE"/>
    <w:rsid w:val="1AF10A0C"/>
    <w:rsid w:val="1AF22894"/>
    <w:rsid w:val="1AF23B08"/>
    <w:rsid w:val="1AF304D3"/>
    <w:rsid w:val="1AF40915"/>
    <w:rsid w:val="1AF46C60"/>
    <w:rsid w:val="1AF53BB6"/>
    <w:rsid w:val="1AF5570C"/>
    <w:rsid w:val="1AF5638A"/>
    <w:rsid w:val="1AF644B1"/>
    <w:rsid w:val="1AF701B2"/>
    <w:rsid w:val="1AF82BB8"/>
    <w:rsid w:val="1AF87C2B"/>
    <w:rsid w:val="1AF914CD"/>
    <w:rsid w:val="1AFA31C6"/>
    <w:rsid w:val="1AFB0442"/>
    <w:rsid w:val="1AFC4063"/>
    <w:rsid w:val="1AFC5F8D"/>
    <w:rsid w:val="1AFD0A64"/>
    <w:rsid w:val="1AFD320E"/>
    <w:rsid w:val="1AFF1EC8"/>
    <w:rsid w:val="1B000E30"/>
    <w:rsid w:val="1B012302"/>
    <w:rsid w:val="1B021A9D"/>
    <w:rsid w:val="1B02588B"/>
    <w:rsid w:val="1B0428B0"/>
    <w:rsid w:val="1B046F80"/>
    <w:rsid w:val="1B0475B6"/>
    <w:rsid w:val="1B0662C1"/>
    <w:rsid w:val="1B067919"/>
    <w:rsid w:val="1B0720FE"/>
    <w:rsid w:val="1B0A1726"/>
    <w:rsid w:val="1B0B609D"/>
    <w:rsid w:val="1B0D6265"/>
    <w:rsid w:val="1B0F15F1"/>
    <w:rsid w:val="1B0F22CF"/>
    <w:rsid w:val="1B0F27A4"/>
    <w:rsid w:val="1B114C59"/>
    <w:rsid w:val="1B121155"/>
    <w:rsid w:val="1B122866"/>
    <w:rsid w:val="1B124510"/>
    <w:rsid w:val="1B126F6B"/>
    <w:rsid w:val="1B127E3F"/>
    <w:rsid w:val="1B13717E"/>
    <w:rsid w:val="1B140288"/>
    <w:rsid w:val="1B147FDB"/>
    <w:rsid w:val="1B15756B"/>
    <w:rsid w:val="1B16537B"/>
    <w:rsid w:val="1B166B07"/>
    <w:rsid w:val="1B17784B"/>
    <w:rsid w:val="1B18509C"/>
    <w:rsid w:val="1B1B25B9"/>
    <w:rsid w:val="1B1E0159"/>
    <w:rsid w:val="1B1E28B3"/>
    <w:rsid w:val="1B1F4796"/>
    <w:rsid w:val="1B206E1A"/>
    <w:rsid w:val="1B216501"/>
    <w:rsid w:val="1B222279"/>
    <w:rsid w:val="1B230958"/>
    <w:rsid w:val="1B23671D"/>
    <w:rsid w:val="1B247501"/>
    <w:rsid w:val="1B263D34"/>
    <w:rsid w:val="1B2735BA"/>
    <w:rsid w:val="1B277B2E"/>
    <w:rsid w:val="1B286473"/>
    <w:rsid w:val="1B29134E"/>
    <w:rsid w:val="1B291859"/>
    <w:rsid w:val="1B2A3848"/>
    <w:rsid w:val="1B2A7DD7"/>
    <w:rsid w:val="1B2A7E54"/>
    <w:rsid w:val="1B2C2D07"/>
    <w:rsid w:val="1B2C54CB"/>
    <w:rsid w:val="1B2D544E"/>
    <w:rsid w:val="1B2E15A1"/>
    <w:rsid w:val="1B2E7C06"/>
    <w:rsid w:val="1B2F4801"/>
    <w:rsid w:val="1B2F5FEF"/>
    <w:rsid w:val="1B2F75DB"/>
    <w:rsid w:val="1B30756F"/>
    <w:rsid w:val="1B3115B8"/>
    <w:rsid w:val="1B312E97"/>
    <w:rsid w:val="1B314F5F"/>
    <w:rsid w:val="1B3163D1"/>
    <w:rsid w:val="1B325260"/>
    <w:rsid w:val="1B3267B5"/>
    <w:rsid w:val="1B334C93"/>
    <w:rsid w:val="1B344143"/>
    <w:rsid w:val="1B346FAA"/>
    <w:rsid w:val="1B350BCC"/>
    <w:rsid w:val="1B3821FE"/>
    <w:rsid w:val="1B3976F8"/>
    <w:rsid w:val="1B3A5096"/>
    <w:rsid w:val="1B3A6979"/>
    <w:rsid w:val="1B3A75C2"/>
    <w:rsid w:val="1B3E2542"/>
    <w:rsid w:val="1B3F00C0"/>
    <w:rsid w:val="1B40161D"/>
    <w:rsid w:val="1B411F3B"/>
    <w:rsid w:val="1B415FDD"/>
    <w:rsid w:val="1B437A96"/>
    <w:rsid w:val="1B440BFE"/>
    <w:rsid w:val="1B441859"/>
    <w:rsid w:val="1B44394F"/>
    <w:rsid w:val="1B44560F"/>
    <w:rsid w:val="1B447BC4"/>
    <w:rsid w:val="1B460455"/>
    <w:rsid w:val="1B462E4A"/>
    <w:rsid w:val="1B477B17"/>
    <w:rsid w:val="1B4914E9"/>
    <w:rsid w:val="1B4A5EFB"/>
    <w:rsid w:val="1B4A6562"/>
    <w:rsid w:val="1B4A7657"/>
    <w:rsid w:val="1B4B7F39"/>
    <w:rsid w:val="1B4D0DC9"/>
    <w:rsid w:val="1B4D28CD"/>
    <w:rsid w:val="1B4E09AA"/>
    <w:rsid w:val="1B4E1FD5"/>
    <w:rsid w:val="1B4E63FB"/>
    <w:rsid w:val="1B4E6A4E"/>
    <w:rsid w:val="1B4F1F42"/>
    <w:rsid w:val="1B4F48C3"/>
    <w:rsid w:val="1B5017BE"/>
    <w:rsid w:val="1B501AD4"/>
    <w:rsid w:val="1B502EFC"/>
    <w:rsid w:val="1B50491E"/>
    <w:rsid w:val="1B506993"/>
    <w:rsid w:val="1B5101ED"/>
    <w:rsid w:val="1B520013"/>
    <w:rsid w:val="1B52244E"/>
    <w:rsid w:val="1B523035"/>
    <w:rsid w:val="1B5544D0"/>
    <w:rsid w:val="1B555B8D"/>
    <w:rsid w:val="1B5621D1"/>
    <w:rsid w:val="1B565EE4"/>
    <w:rsid w:val="1B571195"/>
    <w:rsid w:val="1B572326"/>
    <w:rsid w:val="1B5775A5"/>
    <w:rsid w:val="1B5777F7"/>
    <w:rsid w:val="1B584038"/>
    <w:rsid w:val="1B5866A0"/>
    <w:rsid w:val="1B5A3F64"/>
    <w:rsid w:val="1B5A7F07"/>
    <w:rsid w:val="1B5B387B"/>
    <w:rsid w:val="1B5E3183"/>
    <w:rsid w:val="1B6019DE"/>
    <w:rsid w:val="1B613EDB"/>
    <w:rsid w:val="1B61671A"/>
    <w:rsid w:val="1B617245"/>
    <w:rsid w:val="1B62334C"/>
    <w:rsid w:val="1B627A11"/>
    <w:rsid w:val="1B640F2A"/>
    <w:rsid w:val="1B652590"/>
    <w:rsid w:val="1B6606B1"/>
    <w:rsid w:val="1B666609"/>
    <w:rsid w:val="1B670421"/>
    <w:rsid w:val="1B674310"/>
    <w:rsid w:val="1B674CBA"/>
    <w:rsid w:val="1B67781F"/>
    <w:rsid w:val="1B682CFE"/>
    <w:rsid w:val="1B6953AA"/>
    <w:rsid w:val="1B6A2D00"/>
    <w:rsid w:val="1B6A5222"/>
    <w:rsid w:val="1B6C4F0A"/>
    <w:rsid w:val="1B6D5A44"/>
    <w:rsid w:val="1B6D759C"/>
    <w:rsid w:val="1B6E6171"/>
    <w:rsid w:val="1B6F387E"/>
    <w:rsid w:val="1B6F54BE"/>
    <w:rsid w:val="1B704AAB"/>
    <w:rsid w:val="1B7156DA"/>
    <w:rsid w:val="1B7251BD"/>
    <w:rsid w:val="1B7312FC"/>
    <w:rsid w:val="1B743976"/>
    <w:rsid w:val="1B746F78"/>
    <w:rsid w:val="1B747804"/>
    <w:rsid w:val="1B752A01"/>
    <w:rsid w:val="1B757110"/>
    <w:rsid w:val="1B770817"/>
    <w:rsid w:val="1B7725C5"/>
    <w:rsid w:val="1B7827E5"/>
    <w:rsid w:val="1B7872FA"/>
    <w:rsid w:val="1B7959DE"/>
    <w:rsid w:val="1B7A7D7F"/>
    <w:rsid w:val="1B7B258A"/>
    <w:rsid w:val="1B7B70E3"/>
    <w:rsid w:val="1B7D0A1D"/>
    <w:rsid w:val="1B7F0146"/>
    <w:rsid w:val="1B7F0577"/>
    <w:rsid w:val="1B7F0679"/>
    <w:rsid w:val="1B80591D"/>
    <w:rsid w:val="1B815460"/>
    <w:rsid w:val="1B8232C1"/>
    <w:rsid w:val="1B832531"/>
    <w:rsid w:val="1B845637"/>
    <w:rsid w:val="1B854CE1"/>
    <w:rsid w:val="1B862799"/>
    <w:rsid w:val="1B870938"/>
    <w:rsid w:val="1B873788"/>
    <w:rsid w:val="1B8922A0"/>
    <w:rsid w:val="1B896AEA"/>
    <w:rsid w:val="1B8A3290"/>
    <w:rsid w:val="1B8A5572"/>
    <w:rsid w:val="1B8B14AB"/>
    <w:rsid w:val="1B8B3939"/>
    <w:rsid w:val="1B8E5A25"/>
    <w:rsid w:val="1B8F67F8"/>
    <w:rsid w:val="1B8F72BD"/>
    <w:rsid w:val="1B902585"/>
    <w:rsid w:val="1B90504E"/>
    <w:rsid w:val="1B906E7B"/>
    <w:rsid w:val="1B921996"/>
    <w:rsid w:val="1B927013"/>
    <w:rsid w:val="1B9326C6"/>
    <w:rsid w:val="1B935091"/>
    <w:rsid w:val="1B9363EE"/>
    <w:rsid w:val="1B944F25"/>
    <w:rsid w:val="1B946797"/>
    <w:rsid w:val="1B951893"/>
    <w:rsid w:val="1B953C80"/>
    <w:rsid w:val="1B960842"/>
    <w:rsid w:val="1B977781"/>
    <w:rsid w:val="1B980B29"/>
    <w:rsid w:val="1B986767"/>
    <w:rsid w:val="1B990A4B"/>
    <w:rsid w:val="1B99136E"/>
    <w:rsid w:val="1B9B38DD"/>
    <w:rsid w:val="1B9C57F6"/>
    <w:rsid w:val="1B9D763C"/>
    <w:rsid w:val="1B9E1012"/>
    <w:rsid w:val="1B9F1C9B"/>
    <w:rsid w:val="1B9F4351"/>
    <w:rsid w:val="1BA15893"/>
    <w:rsid w:val="1BA22221"/>
    <w:rsid w:val="1BA23B9B"/>
    <w:rsid w:val="1BA24915"/>
    <w:rsid w:val="1BA33440"/>
    <w:rsid w:val="1BA50EE0"/>
    <w:rsid w:val="1BA530B2"/>
    <w:rsid w:val="1BA535D6"/>
    <w:rsid w:val="1BA60290"/>
    <w:rsid w:val="1BA64C58"/>
    <w:rsid w:val="1BA77E0C"/>
    <w:rsid w:val="1BA82A49"/>
    <w:rsid w:val="1BA91B8C"/>
    <w:rsid w:val="1BA93859"/>
    <w:rsid w:val="1BAA4748"/>
    <w:rsid w:val="1BAB4E27"/>
    <w:rsid w:val="1BAB64B2"/>
    <w:rsid w:val="1BAC26C9"/>
    <w:rsid w:val="1BAC2926"/>
    <w:rsid w:val="1BAD291D"/>
    <w:rsid w:val="1BAF018A"/>
    <w:rsid w:val="1BB07532"/>
    <w:rsid w:val="1BB31283"/>
    <w:rsid w:val="1BB3358F"/>
    <w:rsid w:val="1BB36608"/>
    <w:rsid w:val="1BB4571C"/>
    <w:rsid w:val="1BB477F2"/>
    <w:rsid w:val="1BB51F5F"/>
    <w:rsid w:val="1BB5399E"/>
    <w:rsid w:val="1BB56A8F"/>
    <w:rsid w:val="1BB61785"/>
    <w:rsid w:val="1BB65D15"/>
    <w:rsid w:val="1BB71FAD"/>
    <w:rsid w:val="1BB72C99"/>
    <w:rsid w:val="1BB7679E"/>
    <w:rsid w:val="1BB769A8"/>
    <w:rsid w:val="1BB92FF8"/>
    <w:rsid w:val="1BB96ABD"/>
    <w:rsid w:val="1BBB3B4D"/>
    <w:rsid w:val="1BBB45C6"/>
    <w:rsid w:val="1BBD05EC"/>
    <w:rsid w:val="1BBD091F"/>
    <w:rsid w:val="1BBE01F3"/>
    <w:rsid w:val="1BBE16D8"/>
    <w:rsid w:val="1BBE2B10"/>
    <w:rsid w:val="1BBE56A7"/>
    <w:rsid w:val="1BBF402D"/>
    <w:rsid w:val="1BC066D3"/>
    <w:rsid w:val="1BC111DD"/>
    <w:rsid w:val="1BC12219"/>
    <w:rsid w:val="1BC16E8C"/>
    <w:rsid w:val="1BC22888"/>
    <w:rsid w:val="1BC24148"/>
    <w:rsid w:val="1BC263C8"/>
    <w:rsid w:val="1BC378AD"/>
    <w:rsid w:val="1BC4351D"/>
    <w:rsid w:val="1BC5242A"/>
    <w:rsid w:val="1BC558B7"/>
    <w:rsid w:val="1BC626E4"/>
    <w:rsid w:val="1BC63880"/>
    <w:rsid w:val="1BC6658C"/>
    <w:rsid w:val="1BC85DE4"/>
    <w:rsid w:val="1BCC11CE"/>
    <w:rsid w:val="1BCC2A84"/>
    <w:rsid w:val="1BCF1B55"/>
    <w:rsid w:val="1BD01FD6"/>
    <w:rsid w:val="1BD16179"/>
    <w:rsid w:val="1BD32089"/>
    <w:rsid w:val="1BD33CD1"/>
    <w:rsid w:val="1BD4591C"/>
    <w:rsid w:val="1BD52AC6"/>
    <w:rsid w:val="1BD573F6"/>
    <w:rsid w:val="1BD57725"/>
    <w:rsid w:val="1BD6378F"/>
    <w:rsid w:val="1BD73063"/>
    <w:rsid w:val="1BD87507"/>
    <w:rsid w:val="1BD92E02"/>
    <w:rsid w:val="1BD93979"/>
    <w:rsid w:val="1BDA5C83"/>
    <w:rsid w:val="1BDB2656"/>
    <w:rsid w:val="1BDC2527"/>
    <w:rsid w:val="1BDD08C4"/>
    <w:rsid w:val="1BDE01B7"/>
    <w:rsid w:val="1BDE11CE"/>
    <w:rsid w:val="1BDE43F2"/>
    <w:rsid w:val="1BE0016A"/>
    <w:rsid w:val="1BE01AFD"/>
    <w:rsid w:val="1BE0555A"/>
    <w:rsid w:val="1BE137C9"/>
    <w:rsid w:val="1BE3371C"/>
    <w:rsid w:val="1BE376E3"/>
    <w:rsid w:val="1BE46C49"/>
    <w:rsid w:val="1BE50115"/>
    <w:rsid w:val="1BE6598A"/>
    <w:rsid w:val="1BE66E73"/>
    <w:rsid w:val="1BE67CAF"/>
    <w:rsid w:val="1BE86C4A"/>
    <w:rsid w:val="1BE952E1"/>
    <w:rsid w:val="1BE95673"/>
    <w:rsid w:val="1BEA0FE8"/>
    <w:rsid w:val="1BEA44C8"/>
    <w:rsid w:val="1BEA7B4F"/>
    <w:rsid w:val="1BEB1F26"/>
    <w:rsid w:val="1BED30CC"/>
    <w:rsid w:val="1BED38F0"/>
    <w:rsid w:val="1BEE1A69"/>
    <w:rsid w:val="1BEF1167"/>
    <w:rsid w:val="1BF14125"/>
    <w:rsid w:val="1BF14E36"/>
    <w:rsid w:val="1BF27E04"/>
    <w:rsid w:val="1BF400B9"/>
    <w:rsid w:val="1BF409BA"/>
    <w:rsid w:val="1BF41064"/>
    <w:rsid w:val="1BF54CE8"/>
    <w:rsid w:val="1BF62DFB"/>
    <w:rsid w:val="1BF65E1C"/>
    <w:rsid w:val="1BF6798D"/>
    <w:rsid w:val="1BF7343A"/>
    <w:rsid w:val="1BF74BB1"/>
    <w:rsid w:val="1BF779AD"/>
    <w:rsid w:val="1BF812E1"/>
    <w:rsid w:val="1BF81957"/>
    <w:rsid w:val="1BF81B66"/>
    <w:rsid w:val="1BF84BCE"/>
    <w:rsid w:val="1BF857E4"/>
    <w:rsid w:val="1BF85C20"/>
    <w:rsid w:val="1BF865FC"/>
    <w:rsid w:val="1BF91102"/>
    <w:rsid w:val="1BF97562"/>
    <w:rsid w:val="1BFA1224"/>
    <w:rsid w:val="1BFB3860"/>
    <w:rsid w:val="1BFC1BAE"/>
    <w:rsid w:val="1BFC2ACA"/>
    <w:rsid w:val="1BFD5A01"/>
    <w:rsid w:val="1BFD7D6F"/>
    <w:rsid w:val="1BFE0DA6"/>
    <w:rsid w:val="1BFE261B"/>
    <w:rsid w:val="1BFE4D79"/>
    <w:rsid w:val="1C00080C"/>
    <w:rsid w:val="1C0058A1"/>
    <w:rsid w:val="1C010CAE"/>
    <w:rsid w:val="1C014F3D"/>
    <w:rsid w:val="1C0211D5"/>
    <w:rsid w:val="1C0302FC"/>
    <w:rsid w:val="1C0320AA"/>
    <w:rsid w:val="1C03796F"/>
    <w:rsid w:val="1C043AC0"/>
    <w:rsid w:val="1C043CB3"/>
    <w:rsid w:val="1C053B91"/>
    <w:rsid w:val="1C066879"/>
    <w:rsid w:val="1C0A45FF"/>
    <w:rsid w:val="1C0B5693"/>
    <w:rsid w:val="1C0B71C8"/>
    <w:rsid w:val="1C0C71B1"/>
    <w:rsid w:val="1C0C7829"/>
    <w:rsid w:val="1C0D32DB"/>
    <w:rsid w:val="1C0E6E9C"/>
    <w:rsid w:val="1C0F6851"/>
    <w:rsid w:val="1C1147C7"/>
    <w:rsid w:val="1C12344F"/>
    <w:rsid w:val="1C1238BF"/>
    <w:rsid w:val="1C146065"/>
    <w:rsid w:val="1C156DF0"/>
    <w:rsid w:val="1C1575B8"/>
    <w:rsid w:val="1C161DDD"/>
    <w:rsid w:val="1C166281"/>
    <w:rsid w:val="1C172DF3"/>
    <w:rsid w:val="1C173660"/>
    <w:rsid w:val="1C177904"/>
    <w:rsid w:val="1C1B04C5"/>
    <w:rsid w:val="1C1B6232"/>
    <w:rsid w:val="1C1D13BE"/>
    <w:rsid w:val="1C1D6CDF"/>
    <w:rsid w:val="1C1E0C92"/>
    <w:rsid w:val="1C1E6B01"/>
    <w:rsid w:val="1C1E6EE4"/>
    <w:rsid w:val="1C1F5BFB"/>
    <w:rsid w:val="1C200F44"/>
    <w:rsid w:val="1C2179A2"/>
    <w:rsid w:val="1C23676C"/>
    <w:rsid w:val="1C24274C"/>
    <w:rsid w:val="1C2479B4"/>
    <w:rsid w:val="1C247BF6"/>
    <w:rsid w:val="1C250E5C"/>
    <w:rsid w:val="1C252021"/>
    <w:rsid w:val="1C260E2E"/>
    <w:rsid w:val="1C26385D"/>
    <w:rsid w:val="1C264522"/>
    <w:rsid w:val="1C266A76"/>
    <w:rsid w:val="1C2705D0"/>
    <w:rsid w:val="1C2707CC"/>
    <w:rsid w:val="1C2775A9"/>
    <w:rsid w:val="1C282B8D"/>
    <w:rsid w:val="1C290A43"/>
    <w:rsid w:val="1C291CA4"/>
    <w:rsid w:val="1C2A0ACE"/>
    <w:rsid w:val="1C2B0A0C"/>
    <w:rsid w:val="1C2B12CA"/>
    <w:rsid w:val="1C2B13CA"/>
    <w:rsid w:val="1C2B1DDC"/>
    <w:rsid w:val="1C2B663D"/>
    <w:rsid w:val="1C2C63B2"/>
    <w:rsid w:val="1C2D5567"/>
    <w:rsid w:val="1C2E137E"/>
    <w:rsid w:val="1C2E1509"/>
    <w:rsid w:val="1C2F7D03"/>
    <w:rsid w:val="1C301642"/>
    <w:rsid w:val="1C30475F"/>
    <w:rsid w:val="1C305FA2"/>
    <w:rsid w:val="1C3130DC"/>
    <w:rsid w:val="1C313639"/>
    <w:rsid w:val="1C317DAA"/>
    <w:rsid w:val="1C321384"/>
    <w:rsid w:val="1C325E28"/>
    <w:rsid w:val="1C333E2F"/>
    <w:rsid w:val="1C334008"/>
    <w:rsid w:val="1C346708"/>
    <w:rsid w:val="1C3533F3"/>
    <w:rsid w:val="1C35754A"/>
    <w:rsid w:val="1C357D5D"/>
    <w:rsid w:val="1C362480"/>
    <w:rsid w:val="1C3852D9"/>
    <w:rsid w:val="1C395ACC"/>
    <w:rsid w:val="1C3A08A1"/>
    <w:rsid w:val="1C3A1C5A"/>
    <w:rsid w:val="1C3B5CE8"/>
    <w:rsid w:val="1C3B7AB2"/>
    <w:rsid w:val="1C3D2FDD"/>
    <w:rsid w:val="1C3D380E"/>
    <w:rsid w:val="1C3E71CC"/>
    <w:rsid w:val="1C3F07E7"/>
    <w:rsid w:val="1C411B36"/>
    <w:rsid w:val="1C413D24"/>
    <w:rsid w:val="1C414032"/>
    <w:rsid w:val="1C420C2C"/>
    <w:rsid w:val="1C420E24"/>
    <w:rsid w:val="1C43132C"/>
    <w:rsid w:val="1C440896"/>
    <w:rsid w:val="1C441207"/>
    <w:rsid w:val="1C4429AF"/>
    <w:rsid w:val="1C452525"/>
    <w:rsid w:val="1C454033"/>
    <w:rsid w:val="1C480C1B"/>
    <w:rsid w:val="1C48160C"/>
    <w:rsid w:val="1C4832CF"/>
    <w:rsid w:val="1C487B04"/>
    <w:rsid w:val="1C492D6C"/>
    <w:rsid w:val="1C49697C"/>
    <w:rsid w:val="1C4A1FB8"/>
    <w:rsid w:val="1C4A728A"/>
    <w:rsid w:val="1C4A7417"/>
    <w:rsid w:val="1C4B1399"/>
    <w:rsid w:val="1C4B5D35"/>
    <w:rsid w:val="1C4C07B0"/>
    <w:rsid w:val="1C4E1AC2"/>
    <w:rsid w:val="1C4E1D5C"/>
    <w:rsid w:val="1C4E5C24"/>
    <w:rsid w:val="1C4E5D33"/>
    <w:rsid w:val="1C4E76C8"/>
    <w:rsid w:val="1C4F22FA"/>
    <w:rsid w:val="1C5037C9"/>
    <w:rsid w:val="1C5045D2"/>
    <w:rsid w:val="1C51457D"/>
    <w:rsid w:val="1C521F14"/>
    <w:rsid w:val="1C52434B"/>
    <w:rsid w:val="1C530401"/>
    <w:rsid w:val="1C53255D"/>
    <w:rsid w:val="1C533032"/>
    <w:rsid w:val="1C550B37"/>
    <w:rsid w:val="1C550B58"/>
    <w:rsid w:val="1C56667E"/>
    <w:rsid w:val="1C576E7E"/>
    <w:rsid w:val="1C5969C2"/>
    <w:rsid w:val="1C5A4EFE"/>
    <w:rsid w:val="1C5B7B26"/>
    <w:rsid w:val="1C5D01D2"/>
    <w:rsid w:val="1C5D3EB1"/>
    <w:rsid w:val="1C5E353A"/>
    <w:rsid w:val="1C5E547B"/>
    <w:rsid w:val="1C5E7925"/>
    <w:rsid w:val="1C5F19D6"/>
    <w:rsid w:val="1C5F3505"/>
    <w:rsid w:val="1C5F3BAF"/>
    <w:rsid w:val="1C5F61F1"/>
    <w:rsid w:val="1C5F6B98"/>
    <w:rsid w:val="1C601B99"/>
    <w:rsid w:val="1C62177B"/>
    <w:rsid w:val="1C626DD1"/>
    <w:rsid w:val="1C6332CB"/>
    <w:rsid w:val="1C633C5C"/>
    <w:rsid w:val="1C635866"/>
    <w:rsid w:val="1C635A3C"/>
    <w:rsid w:val="1C65754E"/>
    <w:rsid w:val="1C676ADD"/>
    <w:rsid w:val="1C680D07"/>
    <w:rsid w:val="1C684352"/>
    <w:rsid w:val="1C6973F4"/>
    <w:rsid w:val="1C6A3ED7"/>
    <w:rsid w:val="1C6B1F5C"/>
    <w:rsid w:val="1C6B3DC5"/>
    <w:rsid w:val="1C6B7F03"/>
    <w:rsid w:val="1C6C33DE"/>
    <w:rsid w:val="1C6C40F3"/>
    <w:rsid w:val="1C6D06B1"/>
    <w:rsid w:val="1C6E7E08"/>
    <w:rsid w:val="1C7036CC"/>
    <w:rsid w:val="1C7067AD"/>
    <w:rsid w:val="1C7178FA"/>
    <w:rsid w:val="1C72156B"/>
    <w:rsid w:val="1C731143"/>
    <w:rsid w:val="1C7410D7"/>
    <w:rsid w:val="1C75033B"/>
    <w:rsid w:val="1C750AE8"/>
    <w:rsid w:val="1C754C65"/>
    <w:rsid w:val="1C76037F"/>
    <w:rsid w:val="1C7657B7"/>
    <w:rsid w:val="1C7749E3"/>
    <w:rsid w:val="1C781A8A"/>
    <w:rsid w:val="1C7871AE"/>
    <w:rsid w:val="1C797F26"/>
    <w:rsid w:val="1C7A6484"/>
    <w:rsid w:val="1C7D378F"/>
    <w:rsid w:val="1C800088"/>
    <w:rsid w:val="1C803E14"/>
    <w:rsid w:val="1C805D87"/>
    <w:rsid w:val="1C812015"/>
    <w:rsid w:val="1C82354E"/>
    <w:rsid w:val="1C8401AD"/>
    <w:rsid w:val="1C845937"/>
    <w:rsid w:val="1C86394C"/>
    <w:rsid w:val="1C8724BA"/>
    <w:rsid w:val="1C894FDC"/>
    <w:rsid w:val="1C895D91"/>
    <w:rsid w:val="1C89750E"/>
    <w:rsid w:val="1C8A763E"/>
    <w:rsid w:val="1C8B0D12"/>
    <w:rsid w:val="1C8B2B67"/>
    <w:rsid w:val="1C8E3E97"/>
    <w:rsid w:val="1C8F189F"/>
    <w:rsid w:val="1C8F409E"/>
    <w:rsid w:val="1C900E6F"/>
    <w:rsid w:val="1C9074FE"/>
    <w:rsid w:val="1C91118D"/>
    <w:rsid w:val="1C91695D"/>
    <w:rsid w:val="1C9363D4"/>
    <w:rsid w:val="1C9466D2"/>
    <w:rsid w:val="1C95279F"/>
    <w:rsid w:val="1C9538CE"/>
    <w:rsid w:val="1C964CCC"/>
    <w:rsid w:val="1C970611"/>
    <w:rsid w:val="1C9761DD"/>
    <w:rsid w:val="1C9865D5"/>
    <w:rsid w:val="1C991496"/>
    <w:rsid w:val="1C992912"/>
    <w:rsid w:val="1C9930D4"/>
    <w:rsid w:val="1C99656B"/>
    <w:rsid w:val="1C9B3EAC"/>
    <w:rsid w:val="1C9B55BD"/>
    <w:rsid w:val="1C9C2C85"/>
    <w:rsid w:val="1C9C2ED5"/>
    <w:rsid w:val="1C9D3091"/>
    <w:rsid w:val="1C9D4E8A"/>
    <w:rsid w:val="1C9D5736"/>
    <w:rsid w:val="1C9F5DD9"/>
    <w:rsid w:val="1CA0178F"/>
    <w:rsid w:val="1CA03591"/>
    <w:rsid w:val="1CA14636"/>
    <w:rsid w:val="1CA2247B"/>
    <w:rsid w:val="1CA30706"/>
    <w:rsid w:val="1CA40C0C"/>
    <w:rsid w:val="1CA4388D"/>
    <w:rsid w:val="1CA53072"/>
    <w:rsid w:val="1CA70C88"/>
    <w:rsid w:val="1CA94A00"/>
    <w:rsid w:val="1CA96A15"/>
    <w:rsid w:val="1CAB3108"/>
    <w:rsid w:val="1CAD0876"/>
    <w:rsid w:val="1CAD4FF6"/>
    <w:rsid w:val="1CAD79FF"/>
    <w:rsid w:val="1CAE508E"/>
    <w:rsid w:val="1CAE5842"/>
    <w:rsid w:val="1CAF0DD6"/>
    <w:rsid w:val="1CB06A41"/>
    <w:rsid w:val="1CB139AE"/>
    <w:rsid w:val="1CB226F7"/>
    <w:rsid w:val="1CB27054"/>
    <w:rsid w:val="1CB315A0"/>
    <w:rsid w:val="1CB32810"/>
    <w:rsid w:val="1CB52A5D"/>
    <w:rsid w:val="1CB5767A"/>
    <w:rsid w:val="1CB63965"/>
    <w:rsid w:val="1CB661B7"/>
    <w:rsid w:val="1CB6681F"/>
    <w:rsid w:val="1CB70FD5"/>
    <w:rsid w:val="1CB73D95"/>
    <w:rsid w:val="1CB84BDC"/>
    <w:rsid w:val="1CB8776E"/>
    <w:rsid w:val="1CB87EE5"/>
    <w:rsid w:val="1CB90BA6"/>
    <w:rsid w:val="1CBA40B3"/>
    <w:rsid w:val="1CBC22EE"/>
    <w:rsid w:val="1CBC361C"/>
    <w:rsid w:val="1CBC619A"/>
    <w:rsid w:val="1CBD18D7"/>
    <w:rsid w:val="1CBD3874"/>
    <w:rsid w:val="1CBF31C6"/>
    <w:rsid w:val="1CC00D13"/>
    <w:rsid w:val="1CC07862"/>
    <w:rsid w:val="1CC173C7"/>
    <w:rsid w:val="1CC21F65"/>
    <w:rsid w:val="1CC22173"/>
    <w:rsid w:val="1CC37B90"/>
    <w:rsid w:val="1CC67A6B"/>
    <w:rsid w:val="1CC761CC"/>
    <w:rsid w:val="1CC8318C"/>
    <w:rsid w:val="1CC94AAB"/>
    <w:rsid w:val="1CC96CF2"/>
    <w:rsid w:val="1CC96E50"/>
    <w:rsid w:val="1CCA1DE9"/>
    <w:rsid w:val="1CCB4390"/>
    <w:rsid w:val="1CCB4CFF"/>
    <w:rsid w:val="1CCC6FD1"/>
    <w:rsid w:val="1CCF6BE6"/>
    <w:rsid w:val="1CD209BC"/>
    <w:rsid w:val="1CD20EA3"/>
    <w:rsid w:val="1CD37684"/>
    <w:rsid w:val="1CD37940"/>
    <w:rsid w:val="1CD40050"/>
    <w:rsid w:val="1CD41FE7"/>
    <w:rsid w:val="1CD50E8C"/>
    <w:rsid w:val="1CD53A47"/>
    <w:rsid w:val="1CD612FF"/>
    <w:rsid w:val="1CD62C7D"/>
    <w:rsid w:val="1CD64CCD"/>
    <w:rsid w:val="1CD700C4"/>
    <w:rsid w:val="1CD707D9"/>
    <w:rsid w:val="1CD72153"/>
    <w:rsid w:val="1CD724C7"/>
    <w:rsid w:val="1CD963B0"/>
    <w:rsid w:val="1CDA069D"/>
    <w:rsid w:val="1CDA4102"/>
    <w:rsid w:val="1CDB2F4B"/>
    <w:rsid w:val="1CDC0905"/>
    <w:rsid w:val="1CDC12CF"/>
    <w:rsid w:val="1CDC18F9"/>
    <w:rsid w:val="1CDD2960"/>
    <w:rsid w:val="1CDD6D9F"/>
    <w:rsid w:val="1CDE4685"/>
    <w:rsid w:val="1CE03BBE"/>
    <w:rsid w:val="1CE25726"/>
    <w:rsid w:val="1CE523E9"/>
    <w:rsid w:val="1CE54AF5"/>
    <w:rsid w:val="1CE56C8D"/>
    <w:rsid w:val="1CE61322"/>
    <w:rsid w:val="1CE617B0"/>
    <w:rsid w:val="1CE7330D"/>
    <w:rsid w:val="1CE86FA4"/>
    <w:rsid w:val="1CE912A0"/>
    <w:rsid w:val="1CEC1A8F"/>
    <w:rsid w:val="1CED3BA2"/>
    <w:rsid w:val="1CED7C1A"/>
    <w:rsid w:val="1CEE500F"/>
    <w:rsid w:val="1CEE7D71"/>
    <w:rsid w:val="1CF06752"/>
    <w:rsid w:val="1CF101B8"/>
    <w:rsid w:val="1CF14417"/>
    <w:rsid w:val="1CF15F84"/>
    <w:rsid w:val="1CF167DB"/>
    <w:rsid w:val="1CF16BA7"/>
    <w:rsid w:val="1CF31A3E"/>
    <w:rsid w:val="1CF34BCB"/>
    <w:rsid w:val="1CF436AF"/>
    <w:rsid w:val="1CF4752C"/>
    <w:rsid w:val="1CF56195"/>
    <w:rsid w:val="1CF67CC9"/>
    <w:rsid w:val="1CF9444B"/>
    <w:rsid w:val="1CFB1B4E"/>
    <w:rsid w:val="1CFC56E0"/>
    <w:rsid w:val="1CFD070F"/>
    <w:rsid w:val="1CFE011A"/>
    <w:rsid w:val="1CFE572E"/>
    <w:rsid w:val="1CFE70FF"/>
    <w:rsid w:val="1CFF0C80"/>
    <w:rsid w:val="1CFF25BD"/>
    <w:rsid w:val="1CFF47B3"/>
    <w:rsid w:val="1CFF56E8"/>
    <w:rsid w:val="1D005142"/>
    <w:rsid w:val="1D01156B"/>
    <w:rsid w:val="1D012A8E"/>
    <w:rsid w:val="1D020935"/>
    <w:rsid w:val="1D035E33"/>
    <w:rsid w:val="1D041A1B"/>
    <w:rsid w:val="1D043F56"/>
    <w:rsid w:val="1D0449F7"/>
    <w:rsid w:val="1D046572"/>
    <w:rsid w:val="1D04722A"/>
    <w:rsid w:val="1D085312"/>
    <w:rsid w:val="1D085BCA"/>
    <w:rsid w:val="1D0861E8"/>
    <w:rsid w:val="1D094EA4"/>
    <w:rsid w:val="1D0B56BA"/>
    <w:rsid w:val="1D0C47AC"/>
    <w:rsid w:val="1D0C5C34"/>
    <w:rsid w:val="1D0E5B6B"/>
    <w:rsid w:val="1D0E7780"/>
    <w:rsid w:val="1D0F1F45"/>
    <w:rsid w:val="1D0F25F5"/>
    <w:rsid w:val="1D100149"/>
    <w:rsid w:val="1D103862"/>
    <w:rsid w:val="1D1053D6"/>
    <w:rsid w:val="1D110AE1"/>
    <w:rsid w:val="1D122DA1"/>
    <w:rsid w:val="1D1246B6"/>
    <w:rsid w:val="1D124A7B"/>
    <w:rsid w:val="1D1279D5"/>
    <w:rsid w:val="1D127A69"/>
    <w:rsid w:val="1D130756"/>
    <w:rsid w:val="1D1316B8"/>
    <w:rsid w:val="1D133527"/>
    <w:rsid w:val="1D13631D"/>
    <w:rsid w:val="1D1414AB"/>
    <w:rsid w:val="1D144528"/>
    <w:rsid w:val="1D144537"/>
    <w:rsid w:val="1D151EF2"/>
    <w:rsid w:val="1D152951"/>
    <w:rsid w:val="1D194868"/>
    <w:rsid w:val="1D1A495A"/>
    <w:rsid w:val="1D1C1667"/>
    <w:rsid w:val="1D1C1EC5"/>
    <w:rsid w:val="1D1C2534"/>
    <w:rsid w:val="1D1D0F4A"/>
    <w:rsid w:val="1D1E0415"/>
    <w:rsid w:val="1D1F0795"/>
    <w:rsid w:val="1D204A78"/>
    <w:rsid w:val="1D211272"/>
    <w:rsid w:val="1D211953"/>
    <w:rsid w:val="1D226055"/>
    <w:rsid w:val="1D227206"/>
    <w:rsid w:val="1D233D7E"/>
    <w:rsid w:val="1D23441E"/>
    <w:rsid w:val="1D24052A"/>
    <w:rsid w:val="1D2422D8"/>
    <w:rsid w:val="1D246249"/>
    <w:rsid w:val="1D2507C4"/>
    <w:rsid w:val="1D260D82"/>
    <w:rsid w:val="1D266C03"/>
    <w:rsid w:val="1D26718E"/>
    <w:rsid w:val="1D277B49"/>
    <w:rsid w:val="1D292920"/>
    <w:rsid w:val="1D294450"/>
    <w:rsid w:val="1D2A61E1"/>
    <w:rsid w:val="1D2C49BB"/>
    <w:rsid w:val="1D2D6A81"/>
    <w:rsid w:val="1D2D74FA"/>
    <w:rsid w:val="1D2E0F82"/>
    <w:rsid w:val="1D2E3C2C"/>
    <w:rsid w:val="1D2F788C"/>
    <w:rsid w:val="1D30031E"/>
    <w:rsid w:val="1D306ECF"/>
    <w:rsid w:val="1D313E2D"/>
    <w:rsid w:val="1D3203DE"/>
    <w:rsid w:val="1D3249F5"/>
    <w:rsid w:val="1D344AD1"/>
    <w:rsid w:val="1D3558A2"/>
    <w:rsid w:val="1D3743EF"/>
    <w:rsid w:val="1D3807C1"/>
    <w:rsid w:val="1D382FC3"/>
    <w:rsid w:val="1D385D84"/>
    <w:rsid w:val="1D393E0D"/>
    <w:rsid w:val="1D394750"/>
    <w:rsid w:val="1D3A1AFC"/>
    <w:rsid w:val="1D3A5F55"/>
    <w:rsid w:val="1D3B125C"/>
    <w:rsid w:val="1D3B3B59"/>
    <w:rsid w:val="1D3B5FEF"/>
    <w:rsid w:val="1D3B67AE"/>
    <w:rsid w:val="1D3B6F7E"/>
    <w:rsid w:val="1D3B7C6D"/>
    <w:rsid w:val="1D3C5038"/>
    <w:rsid w:val="1D3F30C1"/>
    <w:rsid w:val="1D401CFC"/>
    <w:rsid w:val="1D4029A2"/>
    <w:rsid w:val="1D4044BA"/>
    <w:rsid w:val="1D410D13"/>
    <w:rsid w:val="1D414A32"/>
    <w:rsid w:val="1D422837"/>
    <w:rsid w:val="1D427438"/>
    <w:rsid w:val="1D431530"/>
    <w:rsid w:val="1D4330A6"/>
    <w:rsid w:val="1D441525"/>
    <w:rsid w:val="1D445A97"/>
    <w:rsid w:val="1D453826"/>
    <w:rsid w:val="1D454838"/>
    <w:rsid w:val="1D4561E5"/>
    <w:rsid w:val="1D463CB8"/>
    <w:rsid w:val="1D463EBA"/>
    <w:rsid w:val="1D480A72"/>
    <w:rsid w:val="1D483E66"/>
    <w:rsid w:val="1D4A604E"/>
    <w:rsid w:val="1D4B1A1A"/>
    <w:rsid w:val="1D4C6A9F"/>
    <w:rsid w:val="1D4D3A48"/>
    <w:rsid w:val="1D4D4BCA"/>
    <w:rsid w:val="1D4D69B7"/>
    <w:rsid w:val="1D4D7F40"/>
    <w:rsid w:val="1D5006E2"/>
    <w:rsid w:val="1D51468C"/>
    <w:rsid w:val="1D5150BC"/>
    <w:rsid w:val="1D5159CD"/>
    <w:rsid w:val="1D526D63"/>
    <w:rsid w:val="1D55493B"/>
    <w:rsid w:val="1D575B20"/>
    <w:rsid w:val="1D5807C7"/>
    <w:rsid w:val="1D597DB2"/>
    <w:rsid w:val="1D5B46B4"/>
    <w:rsid w:val="1D5C2E5E"/>
    <w:rsid w:val="1D5C4948"/>
    <w:rsid w:val="1D5C678A"/>
    <w:rsid w:val="1D5C6F31"/>
    <w:rsid w:val="1D5E364A"/>
    <w:rsid w:val="1D5F1D99"/>
    <w:rsid w:val="1D5F3957"/>
    <w:rsid w:val="1D5F6196"/>
    <w:rsid w:val="1D61177E"/>
    <w:rsid w:val="1D6132A5"/>
    <w:rsid w:val="1D622524"/>
    <w:rsid w:val="1D623CE6"/>
    <w:rsid w:val="1D633565"/>
    <w:rsid w:val="1D6368CB"/>
    <w:rsid w:val="1D640046"/>
    <w:rsid w:val="1D646CF8"/>
    <w:rsid w:val="1D655AFD"/>
    <w:rsid w:val="1D660B43"/>
    <w:rsid w:val="1D6643BF"/>
    <w:rsid w:val="1D6713CB"/>
    <w:rsid w:val="1D671E67"/>
    <w:rsid w:val="1D6758EF"/>
    <w:rsid w:val="1D684F0D"/>
    <w:rsid w:val="1D685CB5"/>
    <w:rsid w:val="1D687CDB"/>
    <w:rsid w:val="1D691882"/>
    <w:rsid w:val="1D6950EF"/>
    <w:rsid w:val="1D697180"/>
    <w:rsid w:val="1D6A0723"/>
    <w:rsid w:val="1D6A107B"/>
    <w:rsid w:val="1D6F5B4D"/>
    <w:rsid w:val="1D701EDA"/>
    <w:rsid w:val="1D70376F"/>
    <w:rsid w:val="1D70603C"/>
    <w:rsid w:val="1D7222B5"/>
    <w:rsid w:val="1D725739"/>
    <w:rsid w:val="1D73011D"/>
    <w:rsid w:val="1D7312A3"/>
    <w:rsid w:val="1D7414B2"/>
    <w:rsid w:val="1D743C34"/>
    <w:rsid w:val="1D74633E"/>
    <w:rsid w:val="1D763D3F"/>
    <w:rsid w:val="1D764FB6"/>
    <w:rsid w:val="1D76522A"/>
    <w:rsid w:val="1D7773D1"/>
    <w:rsid w:val="1D7926C1"/>
    <w:rsid w:val="1D796AC8"/>
    <w:rsid w:val="1D7A1153"/>
    <w:rsid w:val="1D7A7C9C"/>
    <w:rsid w:val="1D7B1EA5"/>
    <w:rsid w:val="1D7B793B"/>
    <w:rsid w:val="1D7D20BC"/>
    <w:rsid w:val="1D7D7138"/>
    <w:rsid w:val="1D7E6968"/>
    <w:rsid w:val="1D7F17EA"/>
    <w:rsid w:val="1D803319"/>
    <w:rsid w:val="1D804F3C"/>
    <w:rsid w:val="1D807CA4"/>
    <w:rsid w:val="1D81597C"/>
    <w:rsid w:val="1D826E1D"/>
    <w:rsid w:val="1D833FD6"/>
    <w:rsid w:val="1D842994"/>
    <w:rsid w:val="1D843F44"/>
    <w:rsid w:val="1D844FBF"/>
    <w:rsid w:val="1D8471AE"/>
    <w:rsid w:val="1D85779E"/>
    <w:rsid w:val="1D86733C"/>
    <w:rsid w:val="1D88562B"/>
    <w:rsid w:val="1D886D0B"/>
    <w:rsid w:val="1D890D99"/>
    <w:rsid w:val="1D8951D4"/>
    <w:rsid w:val="1D8A0486"/>
    <w:rsid w:val="1D8A24FF"/>
    <w:rsid w:val="1D8A5EA2"/>
    <w:rsid w:val="1D8C1861"/>
    <w:rsid w:val="1D8C664E"/>
    <w:rsid w:val="1D8C7807"/>
    <w:rsid w:val="1D8D2D14"/>
    <w:rsid w:val="1D8E56D5"/>
    <w:rsid w:val="1D8F1E47"/>
    <w:rsid w:val="1D8F3D10"/>
    <w:rsid w:val="1D8F64BD"/>
    <w:rsid w:val="1D903B1C"/>
    <w:rsid w:val="1D904A93"/>
    <w:rsid w:val="1D904DBD"/>
    <w:rsid w:val="1D9146CB"/>
    <w:rsid w:val="1D923073"/>
    <w:rsid w:val="1D930B0E"/>
    <w:rsid w:val="1D932D6E"/>
    <w:rsid w:val="1D945988"/>
    <w:rsid w:val="1D95788F"/>
    <w:rsid w:val="1D971E99"/>
    <w:rsid w:val="1D983533"/>
    <w:rsid w:val="1D98582F"/>
    <w:rsid w:val="1D990F18"/>
    <w:rsid w:val="1D9A6C42"/>
    <w:rsid w:val="1D9C63A4"/>
    <w:rsid w:val="1D9D32A1"/>
    <w:rsid w:val="1D9D7070"/>
    <w:rsid w:val="1D9E19D0"/>
    <w:rsid w:val="1D9F1E99"/>
    <w:rsid w:val="1D9F3834"/>
    <w:rsid w:val="1D9F616B"/>
    <w:rsid w:val="1DA148A4"/>
    <w:rsid w:val="1DA1570C"/>
    <w:rsid w:val="1DA222B3"/>
    <w:rsid w:val="1DA33641"/>
    <w:rsid w:val="1DA4002F"/>
    <w:rsid w:val="1DA52E4D"/>
    <w:rsid w:val="1DA6052E"/>
    <w:rsid w:val="1DA6627E"/>
    <w:rsid w:val="1DA75D06"/>
    <w:rsid w:val="1DA82846"/>
    <w:rsid w:val="1DA85754"/>
    <w:rsid w:val="1DA94B37"/>
    <w:rsid w:val="1DA96A6F"/>
    <w:rsid w:val="1DAA1327"/>
    <w:rsid w:val="1DAB2808"/>
    <w:rsid w:val="1DAB77B7"/>
    <w:rsid w:val="1DAB7F33"/>
    <w:rsid w:val="1DAD2CAB"/>
    <w:rsid w:val="1DAD49C3"/>
    <w:rsid w:val="1DAE320C"/>
    <w:rsid w:val="1DAF2452"/>
    <w:rsid w:val="1DAF45F9"/>
    <w:rsid w:val="1DAF6046"/>
    <w:rsid w:val="1DB00010"/>
    <w:rsid w:val="1DB06ACF"/>
    <w:rsid w:val="1DB07C40"/>
    <w:rsid w:val="1DB124D1"/>
    <w:rsid w:val="1DB22A46"/>
    <w:rsid w:val="1DB244E3"/>
    <w:rsid w:val="1DB34226"/>
    <w:rsid w:val="1DB605AC"/>
    <w:rsid w:val="1DB63878"/>
    <w:rsid w:val="1DB63F0D"/>
    <w:rsid w:val="1DB81C3A"/>
    <w:rsid w:val="1DB8700D"/>
    <w:rsid w:val="1DB92444"/>
    <w:rsid w:val="1DBA24F8"/>
    <w:rsid w:val="1DBA26EF"/>
    <w:rsid w:val="1DBA3E76"/>
    <w:rsid w:val="1DBA4A40"/>
    <w:rsid w:val="1DBB279E"/>
    <w:rsid w:val="1DBC10C3"/>
    <w:rsid w:val="1DBE5D48"/>
    <w:rsid w:val="1DBF46E8"/>
    <w:rsid w:val="1DBF493B"/>
    <w:rsid w:val="1DBF57F9"/>
    <w:rsid w:val="1DC06213"/>
    <w:rsid w:val="1DC32259"/>
    <w:rsid w:val="1DC332DD"/>
    <w:rsid w:val="1DC37BB2"/>
    <w:rsid w:val="1DC863CF"/>
    <w:rsid w:val="1DC936E2"/>
    <w:rsid w:val="1DCA52F7"/>
    <w:rsid w:val="1DCC0473"/>
    <w:rsid w:val="1DCC1FFE"/>
    <w:rsid w:val="1DCC2569"/>
    <w:rsid w:val="1DCC4043"/>
    <w:rsid w:val="1DCC4533"/>
    <w:rsid w:val="1DCC72F7"/>
    <w:rsid w:val="1DCC7928"/>
    <w:rsid w:val="1DCD02A0"/>
    <w:rsid w:val="1DCF1687"/>
    <w:rsid w:val="1DCF201B"/>
    <w:rsid w:val="1DD0085C"/>
    <w:rsid w:val="1DD11374"/>
    <w:rsid w:val="1DD12460"/>
    <w:rsid w:val="1DD176BC"/>
    <w:rsid w:val="1DD21403"/>
    <w:rsid w:val="1DD25099"/>
    <w:rsid w:val="1DD343A3"/>
    <w:rsid w:val="1DD34B1E"/>
    <w:rsid w:val="1DD34F82"/>
    <w:rsid w:val="1DD41F3C"/>
    <w:rsid w:val="1DD50CF7"/>
    <w:rsid w:val="1DD97567"/>
    <w:rsid w:val="1DDA3171"/>
    <w:rsid w:val="1DDA5751"/>
    <w:rsid w:val="1DDB36B3"/>
    <w:rsid w:val="1DDC0E05"/>
    <w:rsid w:val="1DDC0EF0"/>
    <w:rsid w:val="1DDC3559"/>
    <w:rsid w:val="1DDD5774"/>
    <w:rsid w:val="1DDF7CA6"/>
    <w:rsid w:val="1DE01651"/>
    <w:rsid w:val="1DE07480"/>
    <w:rsid w:val="1DE10BC6"/>
    <w:rsid w:val="1DE17F63"/>
    <w:rsid w:val="1DE207AB"/>
    <w:rsid w:val="1DE23EBF"/>
    <w:rsid w:val="1DE30791"/>
    <w:rsid w:val="1DE3280C"/>
    <w:rsid w:val="1DE42AF6"/>
    <w:rsid w:val="1DE43269"/>
    <w:rsid w:val="1DE57CF3"/>
    <w:rsid w:val="1DE65D97"/>
    <w:rsid w:val="1DE675CD"/>
    <w:rsid w:val="1DE801A3"/>
    <w:rsid w:val="1DEA4172"/>
    <w:rsid w:val="1DEA7F90"/>
    <w:rsid w:val="1DEB6E0B"/>
    <w:rsid w:val="1DEC26CB"/>
    <w:rsid w:val="1DEC3186"/>
    <w:rsid w:val="1DED0A78"/>
    <w:rsid w:val="1DED0EED"/>
    <w:rsid w:val="1DED0FD0"/>
    <w:rsid w:val="1DED29EB"/>
    <w:rsid w:val="1DEE7EB0"/>
    <w:rsid w:val="1DEF0B38"/>
    <w:rsid w:val="1DF034A2"/>
    <w:rsid w:val="1DF148B0"/>
    <w:rsid w:val="1DF3360C"/>
    <w:rsid w:val="1DF443A0"/>
    <w:rsid w:val="1DF46C22"/>
    <w:rsid w:val="1DF57F41"/>
    <w:rsid w:val="1DF66C74"/>
    <w:rsid w:val="1DF82B3E"/>
    <w:rsid w:val="1DF85C28"/>
    <w:rsid w:val="1DFB572F"/>
    <w:rsid w:val="1DFB69D8"/>
    <w:rsid w:val="1DFC00B5"/>
    <w:rsid w:val="1DFC3255"/>
    <w:rsid w:val="1DFC3830"/>
    <w:rsid w:val="1DFD3589"/>
    <w:rsid w:val="1DFD506D"/>
    <w:rsid w:val="1DFF0A28"/>
    <w:rsid w:val="1DFF7416"/>
    <w:rsid w:val="1E01086B"/>
    <w:rsid w:val="1E011EFE"/>
    <w:rsid w:val="1E015A5E"/>
    <w:rsid w:val="1E016246"/>
    <w:rsid w:val="1E04636E"/>
    <w:rsid w:val="1E046E4D"/>
    <w:rsid w:val="1E056BD5"/>
    <w:rsid w:val="1E057A6F"/>
    <w:rsid w:val="1E0652D0"/>
    <w:rsid w:val="1E0756AE"/>
    <w:rsid w:val="1E075E82"/>
    <w:rsid w:val="1E087C14"/>
    <w:rsid w:val="1E090D49"/>
    <w:rsid w:val="1E09287F"/>
    <w:rsid w:val="1E097A28"/>
    <w:rsid w:val="1E0A3BC4"/>
    <w:rsid w:val="1E0B10EA"/>
    <w:rsid w:val="1E0B33FB"/>
    <w:rsid w:val="1E0B45F4"/>
    <w:rsid w:val="1E0C16EA"/>
    <w:rsid w:val="1E0C2885"/>
    <w:rsid w:val="1E0C5B33"/>
    <w:rsid w:val="1E0C793C"/>
    <w:rsid w:val="1E0C7FC9"/>
    <w:rsid w:val="1E0D743F"/>
    <w:rsid w:val="1E100DC3"/>
    <w:rsid w:val="1E106E48"/>
    <w:rsid w:val="1E111A10"/>
    <w:rsid w:val="1E122143"/>
    <w:rsid w:val="1E14053A"/>
    <w:rsid w:val="1E146FDE"/>
    <w:rsid w:val="1E16147F"/>
    <w:rsid w:val="1E167A40"/>
    <w:rsid w:val="1E171CE7"/>
    <w:rsid w:val="1E185311"/>
    <w:rsid w:val="1E1862E1"/>
    <w:rsid w:val="1E1923DB"/>
    <w:rsid w:val="1E19297F"/>
    <w:rsid w:val="1E197963"/>
    <w:rsid w:val="1E1D4912"/>
    <w:rsid w:val="1E1E6BD4"/>
    <w:rsid w:val="1E200CF1"/>
    <w:rsid w:val="1E2030CD"/>
    <w:rsid w:val="1E203378"/>
    <w:rsid w:val="1E20679B"/>
    <w:rsid w:val="1E214557"/>
    <w:rsid w:val="1E2162F9"/>
    <w:rsid w:val="1E217CEA"/>
    <w:rsid w:val="1E230866"/>
    <w:rsid w:val="1E23366E"/>
    <w:rsid w:val="1E2504BC"/>
    <w:rsid w:val="1E267A75"/>
    <w:rsid w:val="1E28666F"/>
    <w:rsid w:val="1E290094"/>
    <w:rsid w:val="1E29229C"/>
    <w:rsid w:val="1E293041"/>
    <w:rsid w:val="1E293BEA"/>
    <w:rsid w:val="1E2950A8"/>
    <w:rsid w:val="1E2A1B70"/>
    <w:rsid w:val="1E2B48DF"/>
    <w:rsid w:val="1E2C4390"/>
    <w:rsid w:val="1E2C69EF"/>
    <w:rsid w:val="1E2D4515"/>
    <w:rsid w:val="1E2D476D"/>
    <w:rsid w:val="1E2E2158"/>
    <w:rsid w:val="1E2E65A9"/>
    <w:rsid w:val="1E2F7187"/>
    <w:rsid w:val="1E302C66"/>
    <w:rsid w:val="1E304463"/>
    <w:rsid w:val="1E305155"/>
    <w:rsid w:val="1E306949"/>
    <w:rsid w:val="1E312EFF"/>
    <w:rsid w:val="1E315AF1"/>
    <w:rsid w:val="1E324B5C"/>
    <w:rsid w:val="1E330808"/>
    <w:rsid w:val="1E3443C3"/>
    <w:rsid w:val="1E350253"/>
    <w:rsid w:val="1E365FB3"/>
    <w:rsid w:val="1E366086"/>
    <w:rsid w:val="1E367C9E"/>
    <w:rsid w:val="1E370B06"/>
    <w:rsid w:val="1E37387F"/>
    <w:rsid w:val="1E375461"/>
    <w:rsid w:val="1E386D1B"/>
    <w:rsid w:val="1E386D3D"/>
    <w:rsid w:val="1E39597F"/>
    <w:rsid w:val="1E3A658A"/>
    <w:rsid w:val="1E3B4FF2"/>
    <w:rsid w:val="1E3D23BC"/>
    <w:rsid w:val="1E3E68F9"/>
    <w:rsid w:val="1E3F0B27"/>
    <w:rsid w:val="1E4127BB"/>
    <w:rsid w:val="1E412917"/>
    <w:rsid w:val="1E42510C"/>
    <w:rsid w:val="1E42774E"/>
    <w:rsid w:val="1E430E84"/>
    <w:rsid w:val="1E4361E1"/>
    <w:rsid w:val="1E44449D"/>
    <w:rsid w:val="1E44628E"/>
    <w:rsid w:val="1E456D71"/>
    <w:rsid w:val="1E464CD0"/>
    <w:rsid w:val="1E46641D"/>
    <w:rsid w:val="1E47675D"/>
    <w:rsid w:val="1E485D91"/>
    <w:rsid w:val="1E4A674A"/>
    <w:rsid w:val="1E4A6953"/>
    <w:rsid w:val="1E4A76D4"/>
    <w:rsid w:val="1E4C627E"/>
    <w:rsid w:val="1E4D585F"/>
    <w:rsid w:val="1E4E19BD"/>
    <w:rsid w:val="1E4E376C"/>
    <w:rsid w:val="1E4E67B2"/>
    <w:rsid w:val="1E4F217A"/>
    <w:rsid w:val="1E4F5417"/>
    <w:rsid w:val="1E4F5B7B"/>
    <w:rsid w:val="1E522E0D"/>
    <w:rsid w:val="1E526564"/>
    <w:rsid w:val="1E547096"/>
    <w:rsid w:val="1E56072B"/>
    <w:rsid w:val="1E567BD2"/>
    <w:rsid w:val="1E573315"/>
    <w:rsid w:val="1E57604D"/>
    <w:rsid w:val="1E58492F"/>
    <w:rsid w:val="1E586C33"/>
    <w:rsid w:val="1E590BE7"/>
    <w:rsid w:val="1E5927A7"/>
    <w:rsid w:val="1E5A1293"/>
    <w:rsid w:val="1E5A5FC8"/>
    <w:rsid w:val="1E5B48A1"/>
    <w:rsid w:val="1E5B4960"/>
    <w:rsid w:val="1E5B5204"/>
    <w:rsid w:val="1E5C4551"/>
    <w:rsid w:val="1E5D3B6B"/>
    <w:rsid w:val="1E5D4E9A"/>
    <w:rsid w:val="1E5E0599"/>
    <w:rsid w:val="1E5F5E96"/>
    <w:rsid w:val="1E605592"/>
    <w:rsid w:val="1E6167B4"/>
    <w:rsid w:val="1E641526"/>
    <w:rsid w:val="1E6517B1"/>
    <w:rsid w:val="1E655BBE"/>
    <w:rsid w:val="1E65704C"/>
    <w:rsid w:val="1E6615A9"/>
    <w:rsid w:val="1E672DC4"/>
    <w:rsid w:val="1E6A4B1A"/>
    <w:rsid w:val="1E6B02B1"/>
    <w:rsid w:val="1E6B4B5A"/>
    <w:rsid w:val="1E6D567C"/>
    <w:rsid w:val="1E6E5400"/>
    <w:rsid w:val="1E707FA7"/>
    <w:rsid w:val="1E711CB2"/>
    <w:rsid w:val="1E71779F"/>
    <w:rsid w:val="1E731769"/>
    <w:rsid w:val="1E734C4A"/>
    <w:rsid w:val="1E7352C5"/>
    <w:rsid w:val="1E7421DE"/>
    <w:rsid w:val="1E742AAA"/>
    <w:rsid w:val="1E7430A4"/>
    <w:rsid w:val="1E7440CE"/>
    <w:rsid w:val="1E74604F"/>
    <w:rsid w:val="1E756A19"/>
    <w:rsid w:val="1E763BFC"/>
    <w:rsid w:val="1E7A43DA"/>
    <w:rsid w:val="1E7A5E10"/>
    <w:rsid w:val="1E7C7851"/>
    <w:rsid w:val="1E7D1075"/>
    <w:rsid w:val="1E7D79C5"/>
    <w:rsid w:val="1E7E22AB"/>
    <w:rsid w:val="1E7F010E"/>
    <w:rsid w:val="1E801F9C"/>
    <w:rsid w:val="1E8068F9"/>
    <w:rsid w:val="1E826933"/>
    <w:rsid w:val="1E835366"/>
    <w:rsid w:val="1E840A3C"/>
    <w:rsid w:val="1E8512FD"/>
    <w:rsid w:val="1E8558BB"/>
    <w:rsid w:val="1E860B31"/>
    <w:rsid w:val="1E870EAF"/>
    <w:rsid w:val="1E8717F3"/>
    <w:rsid w:val="1E872CDC"/>
    <w:rsid w:val="1E876D42"/>
    <w:rsid w:val="1E877AD1"/>
    <w:rsid w:val="1E89227A"/>
    <w:rsid w:val="1E894640"/>
    <w:rsid w:val="1E8A158E"/>
    <w:rsid w:val="1E8A32F0"/>
    <w:rsid w:val="1E8A4F0A"/>
    <w:rsid w:val="1E8B12D8"/>
    <w:rsid w:val="1E8B1411"/>
    <w:rsid w:val="1E8B60C1"/>
    <w:rsid w:val="1E8B632B"/>
    <w:rsid w:val="1E8D3FC1"/>
    <w:rsid w:val="1E8E0B45"/>
    <w:rsid w:val="1E8E325B"/>
    <w:rsid w:val="1E8E65A3"/>
    <w:rsid w:val="1E8F1F8A"/>
    <w:rsid w:val="1E8F5E77"/>
    <w:rsid w:val="1E8F661D"/>
    <w:rsid w:val="1E900239"/>
    <w:rsid w:val="1E902CFD"/>
    <w:rsid w:val="1E913C15"/>
    <w:rsid w:val="1E917E41"/>
    <w:rsid w:val="1E92303D"/>
    <w:rsid w:val="1E927D98"/>
    <w:rsid w:val="1E936385"/>
    <w:rsid w:val="1E937715"/>
    <w:rsid w:val="1E953EAA"/>
    <w:rsid w:val="1E95450A"/>
    <w:rsid w:val="1E954756"/>
    <w:rsid w:val="1E965458"/>
    <w:rsid w:val="1E9664E3"/>
    <w:rsid w:val="1E9671D5"/>
    <w:rsid w:val="1E9676DF"/>
    <w:rsid w:val="1E967FEE"/>
    <w:rsid w:val="1E982F7E"/>
    <w:rsid w:val="1E9A0220"/>
    <w:rsid w:val="1E9A378C"/>
    <w:rsid w:val="1E9A4F48"/>
    <w:rsid w:val="1E9B0CC0"/>
    <w:rsid w:val="1E9B2E83"/>
    <w:rsid w:val="1E9D67E6"/>
    <w:rsid w:val="1E9E11CF"/>
    <w:rsid w:val="1EA01228"/>
    <w:rsid w:val="1EA10EDE"/>
    <w:rsid w:val="1EA35B1D"/>
    <w:rsid w:val="1EA442D4"/>
    <w:rsid w:val="1EA52C82"/>
    <w:rsid w:val="1EA56C09"/>
    <w:rsid w:val="1EA56C6A"/>
    <w:rsid w:val="1EA57B4B"/>
    <w:rsid w:val="1EA64965"/>
    <w:rsid w:val="1EA71413"/>
    <w:rsid w:val="1EA77173"/>
    <w:rsid w:val="1EA81DF2"/>
    <w:rsid w:val="1EA84017"/>
    <w:rsid w:val="1EA86119"/>
    <w:rsid w:val="1EA94287"/>
    <w:rsid w:val="1EAA0A15"/>
    <w:rsid w:val="1EAB258F"/>
    <w:rsid w:val="1EAC04C3"/>
    <w:rsid w:val="1EAC4C7B"/>
    <w:rsid w:val="1EB17799"/>
    <w:rsid w:val="1EB24F08"/>
    <w:rsid w:val="1EB32B92"/>
    <w:rsid w:val="1EB33C0A"/>
    <w:rsid w:val="1EB34A6E"/>
    <w:rsid w:val="1EB44C3A"/>
    <w:rsid w:val="1EB53B30"/>
    <w:rsid w:val="1EB56555"/>
    <w:rsid w:val="1EB568C0"/>
    <w:rsid w:val="1EB61BB2"/>
    <w:rsid w:val="1EB65147"/>
    <w:rsid w:val="1EB659EE"/>
    <w:rsid w:val="1EB853CE"/>
    <w:rsid w:val="1EB9078D"/>
    <w:rsid w:val="1EB96347"/>
    <w:rsid w:val="1EBA0569"/>
    <w:rsid w:val="1EBA3405"/>
    <w:rsid w:val="1EBB6772"/>
    <w:rsid w:val="1EBC3344"/>
    <w:rsid w:val="1EBD459D"/>
    <w:rsid w:val="1EBF050A"/>
    <w:rsid w:val="1EBF6202"/>
    <w:rsid w:val="1EC03BB7"/>
    <w:rsid w:val="1EC10F60"/>
    <w:rsid w:val="1EC15808"/>
    <w:rsid w:val="1EC2011E"/>
    <w:rsid w:val="1EC60A42"/>
    <w:rsid w:val="1EC70B5D"/>
    <w:rsid w:val="1EC82232"/>
    <w:rsid w:val="1EC9257D"/>
    <w:rsid w:val="1EC94C84"/>
    <w:rsid w:val="1EC9797A"/>
    <w:rsid w:val="1ECA29DE"/>
    <w:rsid w:val="1ECA6AF9"/>
    <w:rsid w:val="1ECB2E05"/>
    <w:rsid w:val="1ECF35D3"/>
    <w:rsid w:val="1ECF5222"/>
    <w:rsid w:val="1ED0096A"/>
    <w:rsid w:val="1ED2063C"/>
    <w:rsid w:val="1ED23E85"/>
    <w:rsid w:val="1ED25922"/>
    <w:rsid w:val="1ED45A31"/>
    <w:rsid w:val="1ED526B1"/>
    <w:rsid w:val="1ED54A6D"/>
    <w:rsid w:val="1ED712AC"/>
    <w:rsid w:val="1ED74AFA"/>
    <w:rsid w:val="1ED8781E"/>
    <w:rsid w:val="1ED90599"/>
    <w:rsid w:val="1EDA6661"/>
    <w:rsid w:val="1EDB1CB7"/>
    <w:rsid w:val="1EDB51FA"/>
    <w:rsid w:val="1EDC36A6"/>
    <w:rsid w:val="1EDC403A"/>
    <w:rsid w:val="1EDC62DD"/>
    <w:rsid w:val="1EDD03A5"/>
    <w:rsid w:val="1EDD4E34"/>
    <w:rsid w:val="1EE01FD6"/>
    <w:rsid w:val="1EE12B77"/>
    <w:rsid w:val="1EE26412"/>
    <w:rsid w:val="1EE27045"/>
    <w:rsid w:val="1EE36C03"/>
    <w:rsid w:val="1EE4107F"/>
    <w:rsid w:val="1EE4349E"/>
    <w:rsid w:val="1EE53F7A"/>
    <w:rsid w:val="1EE6018D"/>
    <w:rsid w:val="1EE64702"/>
    <w:rsid w:val="1EE65E08"/>
    <w:rsid w:val="1EE7180F"/>
    <w:rsid w:val="1EE7254A"/>
    <w:rsid w:val="1EE75B81"/>
    <w:rsid w:val="1EE830BB"/>
    <w:rsid w:val="1EE90857"/>
    <w:rsid w:val="1EEB3383"/>
    <w:rsid w:val="1EEC5078"/>
    <w:rsid w:val="1EEE4DCC"/>
    <w:rsid w:val="1EEF4894"/>
    <w:rsid w:val="1EF01CAB"/>
    <w:rsid w:val="1EF02DBA"/>
    <w:rsid w:val="1EF15EF1"/>
    <w:rsid w:val="1EF1701D"/>
    <w:rsid w:val="1EF2138D"/>
    <w:rsid w:val="1EF54DE2"/>
    <w:rsid w:val="1EF5763B"/>
    <w:rsid w:val="1EF6573A"/>
    <w:rsid w:val="1EF67D14"/>
    <w:rsid w:val="1EF74148"/>
    <w:rsid w:val="1EF83A1C"/>
    <w:rsid w:val="1EF93823"/>
    <w:rsid w:val="1EF962D9"/>
    <w:rsid w:val="1EFA1CE8"/>
    <w:rsid w:val="1EFA7825"/>
    <w:rsid w:val="1EFB099A"/>
    <w:rsid w:val="1EFB350D"/>
    <w:rsid w:val="1EFC1441"/>
    <w:rsid w:val="1EFC5204"/>
    <w:rsid w:val="1EFD2328"/>
    <w:rsid w:val="1EFD609C"/>
    <w:rsid w:val="1EFF5708"/>
    <w:rsid w:val="1EFF6848"/>
    <w:rsid w:val="1F007353"/>
    <w:rsid w:val="1F016D75"/>
    <w:rsid w:val="1F026649"/>
    <w:rsid w:val="1F037907"/>
    <w:rsid w:val="1F05003D"/>
    <w:rsid w:val="1F0629FB"/>
    <w:rsid w:val="1F070B67"/>
    <w:rsid w:val="1F071EB1"/>
    <w:rsid w:val="1F081417"/>
    <w:rsid w:val="1F09720F"/>
    <w:rsid w:val="1F0A2599"/>
    <w:rsid w:val="1F0B7256"/>
    <w:rsid w:val="1F0C20CC"/>
    <w:rsid w:val="1F0D4502"/>
    <w:rsid w:val="1F124910"/>
    <w:rsid w:val="1F125493"/>
    <w:rsid w:val="1F126501"/>
    <w:rsid w:val="1F1279FF"/>
    <w:rsid w:val="1F131EFA"/>
    <w:rsid w:val="1F132604"/>
    <w:rsid w:val="1F144534"/>
    <w:rsid w:val="1F14460C"/>
    <w:rsid w:val="1F146188"/>
    <w:rsid w:val="1F152820"/>
    <w:rsid w:val="1F154762"/>
    <w:rsid w:val="1F1563B3"/>
    <w:rsid w:val="1F160813"/>
    <w:rsid w:val="1F160FB7"/>
    <w:rsid w:val="1F170346"/>
    <w:rsid w:val="1F176B6B"/>
    <w:rsid w:val="1F187F9D"/>
    <w:rsid w:val="1F19038F"/>
    <w:rsid w:val="1F1A1BE5"/>
    <w:rsid w:val="1F1B26E3"/>
    <w:rsid w:val="1F1C3BAF"/>
    <w:rsid w:val="1F1C4DA5"/>
    <w:rsid w:val="1F1D10EC"/>
    <w:rsid w:val="1F1D3483"/>
    <w:rsid w:val="1F1D4603"/>
    <w:rsid w:val="1F1E6AC8"/>
    <w:rsid w:val="1F1F702C"/>
    <w:rsid w:val="1F200E52"/>
    <w:rsid w:val="1F2030DD"/>
    <w:rsid w:val="1F2111C5"/>
    <w:rsid w:val="1F211C1E"/>
    <w:rsid w:val="1F2170C9"/>
    <w:rsid w:val="1F226CEB"/>
    <w:rsid w:val="1F2419A1"/>
    <w:rsid w:val="1F2446C8"/>
    <w:rsid w:val="1F2534F3"/>
    <w:rsid w:val="1F2562A9"/>
    <w:rsid w:val="1F273CC8"/>
    <w:rsid w:val="1F2801AD"/>
    <w:rsid w:val="1F2835BA"/>
    <w:rsid w:val="1F284C6B"/>
    <w:rsid w:val="1F292C10"/>
    <w:rsid w:val="1F2A1C1E"/>
    <w:rsid w:val="1F2A5125"/>
    <w:rsid w:val="1F2B1086"/>
    <w:rsid w:val="1F2B1096"/>
    <w:rsid w:val="1F2B666B"/>
    <w:rsid w:val="1F2B7FF6"/>
    <w:rsid w:val="1F2C3F22"/>
    <w:rsid w:val="1F2C5DD9"/>
    <w:rsid w:val="1F2D2A0E"/>
    <w:rsid w:val="1F2F02C6"/>
    <w:rsid w:val="1F2F1C82"/>
    <w:rsid w:val="1F2F3BF4"/>
    <w:rsid w:val="1F3056CD"/>
    <w:rsid w:val="1F3209DC"/>
    <w:rsid w:val="1F333C41"/>
    <w:rsid w:val="1F337125"/>
    <w:rsid w:val="1F364BB7"/>
    <w:rsid w:val="1F376F23"/>
    <w:rsid w:val="1F380E7F"/>
    <w:rsid w:val="1F3816E3"/>
    <w:rsid w:val="1F39499A"/>
    <w:rsid w:val="1F3A3060"/>
    <w:rsid w:val="1F3A55EB"/>
    <w:rsid w:val="1F3A669C"/>
    <w:rsid w:val="1F3B7729"/>
    <w:rsid w:val="1F3F0B98"/>
    <w:rsid w:val="1F403B0D"/>
    <w:rsid w:val="1F4310FD"/>
    <w:rsid w:val="1F4379B3"/>
    <w:rsid w:val="1F441CDA"/>
    <w:rsid w:val="1F445C6E"/>
    <w:rsid w:val="1F45754D"/>
    <w:rsid w:val="1F457A09"/>
    <w:rsid w:val="1F470500"/>
    <w:rsid w:val="1F486AD9"/>
    <w:rsid w:val="1F4A4AD3"/>
    <w:rsid w:val="1F4B1523"/>
    <w:rsid w:val="1F4F1797"/>
    <w:rsid w:val="1F5056F1"/>
    <w:rsid w:val="1F510404"/>
    <w:rsid w:val="1F512E32"/>
    <w:rsid w:val="1F523BEB"/>
    <w:rsid w:val="1F5350F7"/>
    <w:rsid w:val="1F535879"/>
    <w:rsid w:val="1F546283"/>
    <w:rsid w:val="1F552779"/>
    <w:rsid w:val="1F5565FE"/>
    <w:rsid w:val="1F564C1F"/>
    <w:rsid w:val="1F583DAF"/>
    <w:rsid w:val="1F5844BB"/>
    <w:rsid w:val="1F5C3959"/>
    <w:rsid w:val="1F5C51C2"/>
    <w:rsid w:val="1F5D28B6"/>
    <w:rsid w:val="1F5D7D23"/>
    <w:rsid w:val="1F5D7ED9"/>
    <w:rsid w:val="1F5E73A9"/>
    <w:rsid w:val="1F5F1EF7"/>
    <w:rsid w:val="1F5F44D0"/>
    <w:rsid w:val="1F6074F8"/>
    <w:rsid w:val="1F6379FE"/>
    <w:rsid w:val="1F645556"/>
    <w:rsid w:val="1F6456B2"/>
    <w:rsid w:val="1F6514E8"/>
    <w:rsid w:val="1F6605CA"/>
    <w:rsid w:val="1F67061F"/>
    <w:rsid w:val="1F6949B7"/>
    <w:rsid w:val="1F6A2267"/>
    <w:rsid w:val="1F6A372E"/>
    <w:rsid w:val="1F6B39D9"/>
    <w:rsid w:val="1F6C21DC"/>
    <w:rsid w:val="1F6D440A"/>
    <w:rsid w:val="1F703746"/>
    <w:rsid w:val="1F707970"/>
    <w:rsid w:val="1F711D7F"/>
    <w:rsid w:val="1F712DC2"/>
    <w:rsid w:val="1F722321"/>
    <w:rsid w:val="1F7245D7"/>
    <w:rsid w:val="1F74414D"/>
    <w:rsid w:val="1F7507FB"/>
    <w:rsid w:val="1F7515EA"/>
    <w:rsid w:val="1F7532BF"/>
    <w:rsid w:val="1F760B9D"/>
    <w:rsid w:val="1F7762D0"/>
    <w:rsid w:val="1F777130"/>
    <w:rsid w:val="1F781499"/>
    <w:rsid w:val="1F7D1F78"/>
    <w:rsid w:val="1F7F6C18"/>
    <w:rsid w:val="1F806099"/>
    <w:rsid w:val="1F811C64"/>
    <w:rsid w:val="1F82379E"/>
    <w:rsid w:val="1F826828"/>
    <w:rsid w:val="1F833C2E"/>
    <w:rsid w:val="1F835CF5"/>
    <w:rsid w:val="1F846FD8"/>
    <w:rsid w:val="1F87465B"/>
    <w:rsid w:val="1F882FF2"/>
    <w:rsid w:val="1F883238"/>
    <w:rsid w:val="1F89461B"/>
    <w:rsid w:val="1F896A4A"/>
    <w:rsid w:val="1F8C0209"/>
    <w:rsid w:val="1F8C3691"/>
    <w:rsid w:val="1F8D56F4"/>
    <w:rsid w:val="1F8E0EBD"/>
    <w:rsid w:val="1F8F34D6"/>
    <w:rsid w:val="1F905AFE"/>
    <w:rsid w:val="1F90634B"/>
    <w:rsid w:val="1F922CB9"/>
    <w:rsid w:val="1F927B6B"/>
    <w:rsid w:val="1F932DF6"/>
    <w:rsid w:val="1F9460CE"/>
    <w:rsid w:val="1F950812"/>
    <w:rsid w:val="1F953832"/>
    <w:rsid w:val="1F9579A8"/>
    <w:rsid w:val="1F966AD9"/>
    <w:rsid w:val="1F987162"/>
    <w:rsid w:val="1F991801"/>
    <w:rsid w:val="1F99698C"/>
    <w:rsid w:val="1F9A2D6F"/>
    <w:rsid w:val="1F9A73AA"/>
    <w:rsid w:val="1F9B0686"/>
    <w:rsid w:val="1F9D6549"/>
    <w:rsid w:val="1F9D6F56"/>
    <w:rsid w:val="1F9D6FD9"/>
    <w:rsid w:val="1F9F3C4B"/>
    <w:rsid w:val="1F9F7A11"/>
    <w:rsid w:val="1FA023CA"/>
    <w:rsid w:val="1FA06825"/>
    <w:rsid w:val="1FA12306"/>
    <w:rsid w:val="1FA1632D"/>
    <w:rsid w:val="1FA2252F"/>
    <w:rsid w:val="1FA32BE8"/>
    <w:rsid w:val="1FA36BBF"/>
    <w:rsid w:val="1FA631AA"/>
    <w:rsid w:val="1FA6791C"/>
    <w:rsid w:val="1FA7254E"/>
    <w:rsid w:val="1FA80B40"/>
    <w:rsid w:val="1FA81635"/>
    <w:rsid w:val="1FA81665"/>
    <w:rsid w:val="1FA83722"/>
    <w:rsid w:val="1FAB15B6"/>
    <w:rsid w:val="1FAC33E4"/>
    <w:rsid w:val="1FAC53D6"/>
    <w:rsid w:val="1FAF1A54"/>
    <w:rsid w:val="1FAF3ACC"/>
    <w:rsid w:val="1FB001A8"/>
    <w:rsid w:val="1FB07190"/>
    <w:rsid w:val="1FB14CCA"/>
    <w:rsid w:val="1FB179C6"/>
    <w:rsid w:val="1FB223E3"/>
    <w:rsid w:val="1FB232D7"/>
    <w:rsid w:val="1FB36C7F"/>
    <w:rsid w:val="1FB4550E"/>
    <w:rsid w:val="1FB45F02"/>
    <w:rsid w:val="1FB46AA4"/>
    <w:rsid w:val="1FB5467F"/>
    <w:rsid w:val="1FB55268"/>
    <w:rsid w:val="1FB57B5F"/>
    <w:rsid w:val="1FB76625"/>
    <w:rsid w:val="1FB9100C"/>
    <w:rsid w:val="1FB94DE9"/>
    <w:rsid w:val="1FBA5176"/>
    <w:rsid w:val="1FBB5E2A"/>
    <w:rsid w:val="1FBC6CA8"/>
    <w:rsid w:val="1FBC7140"/>
    <w:rsid w:val="1FBD222D"/>
    <w:rsid w:val="1FBE07C2"/>
    <w:rsid w:val="1FBE0EA2"/>
    <w:rsid w:val="1FBE1CDA"/>
    <w:rsid w:val="1FBE5ABB"/>
    <w:rsid w:val="1FBE630D"/>
    <w:rsid w:val="1FBF0AB8"/>
    <w:rsid w:val="1FBF1ABC"/>
    <w:rsid w:val="1FC02C5A"/>
    <w:rsid w:val="1FC131F6"/>
    <w:rsid w:val="1FC15FC2"/>
    <w:rsid w:val="1FC16504"/>
    <w:rsid w:val="1FC2709D"/>
    <w:rsid w:val="1FC30B43"/>
    <w:rsid w:val="1FC310F5"/>
    <w:rsid w:val="1FC37245"/>
    <w:rsid w:val="1FC43B21"/>
    <w:rsid w:val="1FC44D9A"/>
    <w:rsid w:val="1FC5460C"/>
    <w:rsid w:val="1FC56C02"/>
    <w:rsid w:val="1FC67130"/>
    <w:rsid w:val="1FC84345"/>
    <w:rsid w:val="1FC91A5B"/>
    <w:rsid w:val="1FC93A5C"/>
    <w:rsid w:val="1FCC5D6A"/>
    <w:rsid w:val="1FCC7ADD"/>
    <w:rsid w:val="1FCD0842"/>
    <w:rsid w:val="1FCE078F"/>
    <w:rsid w:val="1FD004F5"/>
    <w:rsid w:val="1FD05D91"/>
    <w:rsid w:val="1FD14BE2"/>
    <w:rsid w:val="1FD27E93"/>
    <w:rsid w:val="1FD308B3"/>
    <w:rsid w:val="1FD42832"/>
    <w:rsid w:val="1FD53473"/>
    <w:rsid w:val="1FD573AF"/>
    <w:rsid w:val="1FD6163B"/>
    <w:rsid w:val="1FD6186F"/>
    <w:rsid w:val="1FD81096"/>
    <w:rsid w:val="1FDB17ED"/>
    <w:rsid w:val="1FDC030D"/>
    <w:rsid w:val="1FDE359C"/>
    <w:rsid w:val="1FDE458D"/>
    <w:rsid w:val="1FDE7F5E"/>
    <w:rsid w:val="1FDF7F9B"/>
    <w:rsid w:val="1FE0375E"/>
    <w:rsid w:val="1FE06C87"/>
    <w:rsid w:val="1FE10CC3"/>
    <w:rsid w:val="1FE50158"/>
    <w:rsid w:val="1FE50445"/>
    <w:rsid w:val="1FE618BE"/>
    <w:rsid w:val="1FE665C2"/>
    <w:rsid w:val="1FE67F31"/>
    <w:rsid w:val="1FE73E1F"/>
    <w:rsid w:val="1FE741BD"/>
    <w:rsid w:val="1FE7457E"/>
    <w:rsid w:val="1FE7539E"/>
    <w:rsid w:val="1FE77A03"/>
    <w:rsid w:val="1FE83A91"/>
    <w:rsid w:val="1FE86C28"/>
    <w:rsid w:val="1FE94E8A"/>
    <w:rsid w:val="1FEA07EB"/>
    <w:rsid w:val="1FEA46F5"/>
    <w:rsid w:val="1FEE048D"/>
    <w:rsid w:val="1FEE7E1C"/>
    <w:rsid w:val="1FEF6BCD"/>
    <w:rsid w:val="1FF119C4"/>
    <w:rsid w:val="1FF12270"/>
    <w:rsid w:val="1FF13AB4"/>
    <w:rsid w:val="1FF1533F"/>
    <w:rsid w:val="1FF35F64"/>
    <w:rsid w:val="1FF3689D"/>
    <w:rsid w:val="1FF41699"/>
    <w:rsid w:val="1FF51F8F"/>
    <w:rsid w:val="1FF54C72"/>
    <w:rsid w:val="1FF56E68"/>
    <w:rsid w:val="1FF61C0D"/>
    <w:rsid w:val="1FF7502E"/>
    <w:rsid w:val="1FF75123"/>
    <w:rsid w:val="1FF7664E"/>
    <w:rsid w:val="1FF80096"/>
    <w:rsid w:val="1FFA316D"/>
    <w:rsid w:val="1FFA46CE"/>
    <w:rsid w:val="1FFC3756"/>
    <w:rsid w:val="1FFC696C"/>
    <w:rsid w:val="1FFD0343"/>
    <w:rsid w:val="1FFD6432"/>
    <w:rsid w:val="1FFE2C96"/>
    <w:rsid w:val="1FFE3BBA"/>
    <w:rsid w:val="1FFE5062"/>
    <w:rsid w:val="1FFF6D8A"/>
    <w:rsid w:val="200159CF"/>
    <w:rsid w:val="200207B9"/>
    <w:rsid w:val="20025260"/>
    <w:rsid w:val="20032E44"/>
    <w:rsid w:val="200334C8"/>
    <w:rsid w:val="20042508"/>
    <w:rsid w:val="20052498"/>
    <w:rsid w:val="20056E08"/>
    <w:rsid w:val="20061F7F"/>
    <w:rsid w:val="20071859"/>
    <w:rsid w:val="200A614B"/>
    <w:rsid w:val="200C41CE"/>
    <w:rsid w:val="200C5F1E"/>
    <w:rsid w:val="200C7108"/>
    <w:rsid w:val="200D4854"/>
    <w:rsid w:val="201013CA"/>
    <w:rsid w:val="20104D96"/>
    <w:rsid w:val="20110CB2"/>
    <w:rsid w:val="20113546"/>
    <w:rsid w:val="201148E1"/>
    <w:rsid w:val="2012261C"/>
    <w:rsid w:val="201237BF"/>
    <w:rsid w:val="20126932"/>
    <w:rsid w:val="20130094"/>
    <w:rsid w:val="20133365"/>
    <w:rsid w:val="20140D2A"/>
    <w:rsid w:val="201441BB"/>
    <w:rsid w:val="201477F8"/>
    <w:rsid w:val="20155297"/>
    <w:rsid w:val="201612E1"/>
    <w:rsid w:val="20170DC5"/>
    <w:rsid w:val="201767DE"/>
    <w:rsid w:val="20185789"/>
    <w:rsid w:val="201924B3"/>
    <w:rsid w:val="20196340"/>
    <w:rsid w:val="201B060B"/>
    <w:rsid w:val="201B0F76"/>
    <w:rsid w:val="201B1B3C"/>
    <w:rsid w:val="201B28D7"/>
    <w:rsid w:val="201C4CC4"/>
    <w:rsid w:val="201D018C"/>
    <w:rsid w:val="201D063C"/>
    <w:rsid w:val="201D2529"/>
    <w:rsid w:val="201D4D1C"/>
    <w:rsid w:val="201E2258"/>
    <w:rsid w:val="201F596A"/>
    <w:rsid w:val="201F62E6"/>
    <w:rsid w:val="201F6D62"/>
    <w:rsid w:val="2020147D"/>
    <w:rsid w:val="20201BE6"/>
    <w:rsid w:val="202034E4"/>
    <w:rsid w:val="20206F49"/>
    <w:rsid w:val="2021790A"/>
    <w:rsid w:val="202251F5"/>
    <w:rsid w:val="20241570"/>
    <w:rsid w:val="20254CE5"/>
    <w:rsid w:val="20265102"/>
    <w:rsid w:val="20266BC2"/>
    <w:rsid w:val="20277A00"/>
    <w:rsid w:val="20280798"/>
    <w:rsid w:val="20290F38"/>
    <w:rsid w:val="202A0901"/>
    <w:rsid w:val="202C6C23"/>
    <w:rsid w:val="202C6F6E"/>
    <w:rsid w:val="202D1E43"/>
    <w:rsid w:val="202E1F15"/>
    <w:rsid w:val="202E4EE0"/>
    <w:rsid w:val="2030283D"/>
    <w:rsid w:val="2030652F"/>
    <w:rsid w:val="2031721D"/>
    <w:rsid w:val="20327004"/>
    <w:rsid w:val="20333841"/>
    <w:rsid w:val="2034408C"/>
    <w:rsid w:val="203506F4"/>
    <w:rsid w:val="20355D0E"/>
    <w:rsid w:val="2036506B"/>
    <w:rsid w:val="203675A1"/>
    <w:rsid w:val="20370539"/>
    <w:rsid w:val="203741D2"/>
    <w:rsid w:val="20384A18"/>
    <w:rsid w:val="20384F7D"/>
    <w:rsid w:val="20390B9D"/>
    <w:rsid w:val="203953C1"/>
    <w:rsid w:val="203B0065"/>
    <w:rsid w:val="203B7610"/>
    <w:rsid w:val="203C2883"/>
    <w:rsid w:val="203C2A71"/>
    <w:rsid w:val="203C52EF"/>
    <w:rsid w:val="203C5789"/>
    <w:rsid w:val="203C66A6"/>
    <w:rsid w:val="203D1B42"/>
    <w:rsid w:val="203D1BBB"/>
    <w:rsid w:val="203D31A7"/>
    <w:rsid w:val="203D456C"/>
    <w:rsid w:val="203E76A0"/>
    <w:rsid w:val="203F2061"/>
    <w:rsid w:val="20411C85"/>
    <w:rsid w:val="20422F13"/>
    <w:rsid w:val="2042411F"/>
    <w:rsid w:val="20447548"/>
    <w:rsid w:val="204620FB"/>
    <w:rsid w:val="2046441B"/>
    <w:rsid w:val="204679CD"/>
    <w:rsid w:val="20474A01"/>
    <w:rsid w:val="20475E9C"/>
    <w:rsid w:val="20480339"/>
    <w:rsid w:val="20487A67"/>
    <w:rsid w:val="20487ABD"/>
    <w:rsid w:val="20490F2F"/>
    <w:rsid w:val="204A1CCE"/>
    <w:rsid w:val="204A21EF"/>
    <w:rsid w:val="204C14D6"/>
    <w:rsid w:val="204C6E14"/>
    <w:rsid w:val="204C7D55"/>
    <w:rsid w:val="204D5FEA"/>
    <w:rsid w:val="204E15E1"/>
    <w:rsid w:val="204E1EBD"/>
    <w:rsid w:val="204E3D7D"/>
    <w:rsid w:val="20501CCD"/>
    <w:rsid w:val="2050480F"/>
    <w:rsid w:val="20507AC6"/>
    <w:rsid w:val="20510059"/>
    <w:rsid w:val="20511636"/>
    <w:rsid w:val="20514F88"/>
    <w:rsid w:val="2052068F"/>
    <w:rsid w:val="2052380D"/>
    <w:rsid w:val="2053237A"/>
    <w:rsid w:val="20544E21"/>
    <w:rsid w:val="2054554F"/>
    <w:rsid w:val="20547BCC"/>
    <w:rsid w:val="20552401"/>
    <w:rsid w:val="20554DBD"/>
    <w:rsid w:val="20555FD1"/>
    <w:rsid w:val="205630F0"/>
    <w:rsid w:val="205634B0"/>
    <w:rsid w:val="20564718"/>
    <w:rsid w:val="2056753A"/>
    <w:rsid w:val="2057413A"/>
    <w:rsid w:val="20580C17"/>
    <w:rsid w:val="205904EB"/>
    <w:rsid w:val="20592F93"/>
    <w:rsid w:val="2059422E"/>
    <w:rsid w:val="2059673D"/>
    <w:rsid w:val="20597DA6"/>
    <w:rsid w:val="205A01D9"/>
    <w:rsid w:val="205A1583"/>
    <w:rsid w:val="205B0FB8"/>
    <w:rsid w:val="205B24B5"/>
    <w:rsid w:val="205B4263"/>
    <w:rsid w:val="205C22E1"/>
    <w:rsid w:val="205D1ED7"/>
    <w:rsid w:val="205D24AF"/>
    <w:rsid w:val="205D33EC"/>
    <w:rsid w:val="205D364A"/>
    <w:rsid w:val="205D4DC1"/>
    <w:rsid w:val="205E6DED"/>
    <w:rsid w:val="205F0E28"/>
    <w:rsid w:val="205F2E5C"/>
    <w:rsid w:val="205F2EEE"/>
    <w:rsid w:val="20602450"/>
    <w:rsid w:val="20607EA0"/>
    <w:rsid w:val="20620EE2"/>
    <w:rsid w:val="20635C11"/>
    <w:rsid w:val="2063739B"/>
    <w:rsid w:val="20637614"/>
    <w:rsid w:val="20650270"/>
    <w:rsid w:val="20650485"/>
    <w:rsid w:val="20652652"/>
    <w:rsid w:val="2066447E"/>
    <w:rsid w:val="20670766"/>
    <w:rsid w:val="20671BE0"/>
    <w:rsid w:val="20672C61"/>
    <w:rsid w:val="20677837"/>
    <w:rsid w:val="20686980"/>
    <w:rsid w:val="20691FCA"/>
    <w:rsid w:val="206B1EF8"/>
    <w:rsid w:val="206C121D"/>
    <w:rsid w:val="206C3DE5"/>
    <w:rsid w:val="206C408B"/>
    <w:rsid w:val="206D452E"/>
    <w:rsid w:val="206D4E8F"/>
    <w:rsid w:val="206E05E3"/>
    <w:rsid w:val="206F058A"/>
    <w:rsid w:val="206F3FF8"/>
    <w:rsid w:val="20704FCC"/>
    <w:rsid w:val="20712604"/>
    <w:rsid w:val="20716881"/>
    <w:rsid w:val="20723415"/>
    <w:rsid w:val="20724DA3"/>
    <w:rsid w:val="20735759"/>
    <w:rsid w:val="2074095B"/>
    <w:rsid w:val="2075366A"/>
    <w:rsid w:val="20753F4B"/>
    <w:rsid w:val="20757B2D"/>
    <w:rsid w:val="20763B8A"/>
    <w:rsid w:val="20772662"/>
    <w:rsid w:val="207812FE"/>
    <w:rsid w:val="20790B8D"/>
    <w:rsid w:val="20791BF6"/>
    <w:rsid w:val="2079264D"/>
    <w:rsid w:val="2079293B"/>
    <w:rsid w:val="207A271F"/>
    <w:rsid w:val="207A62DC"/>
    <w:rsid w:val="207A7564"/>
    <w:rsid w:val="207B1BB0"/>
    <w:rsid w:val="207B66B3"/>
    <w:rsid w:val="207B6FD9"/>
    <w:rsid w:val="207C452B"/>
    <w:rsid w:val="207C5BCE"/>
    <w:rsid w:val="207D282B"/>
    <w:rsid w:val="207D75FE"/>
    <w:rsid w:val="207E43F5"/>
    <w:rsid w:val="207E7A89"/>
    <w:rsid w:val="207F4FEB"/>
    <w:rsid w:val="20801662"/>
    <w:rsid w:val="2080704E"/>
    <w:rsid w:val="20820341"/>
    <w:rsid w:val="20822381"/>
    <w:rsid w:val="20823EE5"/>
    <w:rsid w:val="20825806"/>
    <w:rsid w:val="20826F69"/>
    <w:rsid w:val="20830551"/>
    <w:rsid w:val="20831A0C"/>
    <w:rsid w:val="208400B9"/>
    <w:rsid w:val="2086254D"/>
    <w:rsid w:val="20886610"/>
    <w:rsid w:val="20890483"/>
    <w:rsid w:val="20894729"/>
    <w:rsid w:val="208960F5"/>
    <w:rsid w:val="208A37E2"/>
    <w:rsid w:val="208A3FC9"/>
    <w:rsid w:val="208C0EFF"/>
    <w:rsid w:val="208D0F7E"/>
    <w:rsid w:val="20901942"/>
    <w:rsid w:val="209122FD"/>
    <w:rsid w:val="20925403"/>
    <w:rsid w:val="20927DA8"/>
    <w:rsid w:val="2093407F"/>
    <w:rsid w:val="20945561"/>
    <w:rsid w:val="20951A8F"/>
    <w:rsid w:val="209634ED"/>
    <w:rsid w:val="20963CB8"/>
    <w:rsid w:val="20967991"/>
    <w:rsid w:val="20980FAB"/>
    <w:rsid w:val="20981039"/>
    <w:rsid w:val="20992A79"/>
    <w:rsid w:val="209946C3"/>
    <w:rsid w:val="20996B07"/>
    <w:rsid w:val="20996FB4"/>
    <w:rsid w:val="209A090E"/>
    <w:rsid w:val="209B094F"/>
    <w:rsid w:val="209B7606"/>
    <w:rsid w:val="209C0D97"/>
    <w:rsid w:val="209D055F"/>
    <w:rsid w:val="209D2ACD"/>
    <w:rsid w:val="209D4A29"/>
    <w:rsid w:val="209D641A"/>
    <w:rsid w:val="209E0FCB"/>
    <w:rsid w:val="209E1AB3"/>
    <w:rsid w:val="209E2529"/>
    <w:rsid w:val="209F3E7A"/>
    <w:rsid w:val="20A0245C"/>
    <w:rsid w:val="20A126CD"/>
    <w:rsid w:val="20A13FF5"/>
    <w:rsid w:val="20A21E92"/>
    <w:rsid w:val="20A24CF7"/>
    <w:rsid w:val="20A26336"/>
    <w:rsid w:val="20A309B0"/>
    <w:rsid w:val="20A30C25"/>
    <w:rsid w:val="20A44004"/>
    <w:rsid w:val="20A568E6"/>
    <w:rsid w:val="20A602EA"/>
    <w:rsid w:val="20A64348"/>
    <w:rsid w:val="20A64877"/>
    <w:rsid w:val="20A67094"/>
    <w:rsid w:val="20A71B49"/>
    <w:rsid w:val="20A756FA"/>
    <w:rsid w:val="20A76F0C"/>
    <w:rsid w:val="20A81A1B"/>
    <w:rsid w:val="20A85157"/>
    <w:rsid w:val="20AB0DA3"/>
    <w:rsid w:val="20AE5E6F"/>
    <w:rsid w:val="20AF16D9"/>
    <w:rsid w:val="20AF2801"/>
    <w:rsid w:val="20B073BB"/>
    <w:rsid w:val="20B07FB6"/>
    <w:rsid w:val="20B17012"/>
    <w:rsid w:val="20B3595C"/>
    <w:rsid w:val="20B44B02"/>
    <w:rsid w:val="20B475D9"/>
    <w:rsid w:val="20B50777"/>
    <w:rsid w:val="20B64159"/>
    <w:rsid w:val="20B646FB"/>
    <w:rsid w:val="20B6755A"/>
    <w:rsid w:val="20B83E3C"/>
    <w:rsid w:val="20B8425B"/>
    <w:rsid w:val="20B84EDD"/>
    <w:rsid w:val="20B971DB"/>
    <w:rsid w:val="20BA2AE8"/>
    <w:rsid w:val="20BB7035"/>
    <w:rsid w:val="20BE2A44"/>
    <w:rsid w:val="20BF6076"/>
    <w:rsid w:val="20BF76FF"/>
    <w:rsid w:val="20C141D6"/>
    <w:rsid w:val="20C337AE"/>
    <w:rsid w:val="20C438DB"/>
    <w:rsid w:val="20C53424"/>
    <w:rsid w:val="20C55CEA"/>
    <w:rsid w:val="20C70FBF"/>
    <w:rsid w:val="20C81C32"/>
    <w:rsid w:val="20C938C2"/>
    <w:rsid w:val="20CA1365"/>
    <w:rsid w:val="20CA3197"/>
    <w:rsid w:val="20CA6FA5"/>
    <w:rsid w:val="20CA723A"/>
    <w:rsid w:val="20CB6693"/>
    <w:rsid w:val="20CB6F22"/>
    <w:rsid w:val="20CD04A5"/>
    <w:rsid w:val="20CD64B8"/>
    <w:rsid w:val="20CE6D11"/>
    <w:rsid w:val="20CE712B"/>
    <w:rsid w:val="20CF2D5D"/>
    <w:rsid w:val="20D12777"/>
    <w:rsid w:val="20D12E2D"/>
    <w:rsid w:val="20D3029D"/>
    <w:rsid w:val="20D3486B"/>
    <w:rsid w:val="20D3568F"/>
    <w:rsid w:val="20D40D3D"/>
    <w:rsid w:val="20D44015"/>
    <w:rsid w:val="20D45DBA"/>
    <w:rsid w:val="20D77EB9"/>
    <w:rsid w:val="20DA4E1E"/>
    <w:rsid w:val="20DB2702"/>
    <w:rsid w:val="20DB686C"/>
    <w:rsid w:val="20DC2EC0"/>
    <w:rsid w:val="20DC5E15"/>
    <w:rsid w:val="20DC7F63"/>
    <w:rsid w:val="20DE3074"/>
    <w:rsid w:val="20DE37A6"/>
    <w:rsid w:val="20E05C6E"/>
    <w:rsid w:val="20E11235"/>
    <w:rsid w:val="20E16B40"/>
    <w:rsid w:val="20E27EA4"/>
    <w:rsid w:val="20E32222"/>
    <w:rsid w:val="20E32E40"/>
    <w:rsid w:val="20E411AA"/>
    <w:rsid w:val="20E51D80"/>
    <w:rsid w:val="20E60919"/>
    <w:rsid w:val="20E80CE2"/>
    <w:rsid w:val="20E82650"/>
    <w:rsid w:val="20E97AC1"/>
    <w:rsid w:val="20EA3839"/>
    <w:rsid w:val="20EA5EE4"/>
    <w:rsid w:val="20EA68E4"/>
    <w:rsid w:val="20EA713E"/>
    <w:rsid w:val="20EB2829"/>
    <w:rsid w:val="20EB574C"/>
    <w:rsid w:val="20EB6EAE"/>
    <w:rsid w:val="20EC1616"/>
    <w:rsid w:val="20EC22DE"/>
    <w:rsid w:val="20ED19C7"/>
    <w:rsid w:val="20ED1B43"/>
    <w:rsid w:val="20ED7EFF"/>
    <w:rsid w:val="20EF0E4F"/>
    <w:rsid w:val="20F33BFB"/>
    <w:rsid w:val="20F43A19"/>
    <w:rsid w:val="20F54406"/>
    <w:rsid w:val="20F616B2"/>
    <w:rsid w:val="20F823F0"/>
    <w:rsid w:val="20F90ADD"/>
    <w:rsid w:val="20FB4A47"/>
    <w:rsid w:val="20FC69FD"/>
    <w:rsid w:val="20FD094E"/>
    <w:rsid w:val="20FD2C47"/>
    <w:rsid w:val="20FD356C"/>
    <w:rsid w:val="20FE0C1C"/>
    <w:rsid w:val="20FF1092"/>
    <w:rsid w:val="21007A18"/>
    <w:rsid w:val="21056DDA"/>
    <w:rsid w:val="21064A21"/>
    <w:rsid w:val="21066D51"/>
    <w:rsid w:val="21072BF9"/>
    <w:rsid w:val="210743EB"/>
    <w:rsid w:val="2107657B"/>
    <w:rsid w:val="21077565"/>
    <w:rsid w:val="210804F6"/>
    <w:rsid w:val="21080AD4"/>
    <w:rsid w:val="21094E58"/>
    <w:rsid w:val="210C371F"/>
    <w:rsid w:val="210C6EE3"/>
    <w:rsid w:val="210C78BE"/>
    <w:rsid w:val="210E70E0"/>
    <w:rsid w:val="210E7527"/>
    <w:rsid w:val="210F6F63"/>
    <w:rsid w:val="21124EAE"/>
    <w:rsid w:val="21125DCE"/>
    <w:rsid w:val="21134B3E"/>
    <w:rsid w:val="21137A4A"/>
    <w:rsid w:val="211422E8"/>
    <w:rsid w:val="21170D43"/>
    <w:rsid w:val="21180095"/>
    <w:rsid w:val="2118037E"/>
    <w:rsid w:val="2118076D"/>
    <w:rsid w:val="21180F60"/>
    <w:rsid w:val="21183C64"/>
    <w:rsid w:val="2118531C"/>
    <w:rsid w:val="2118585A"/>
    <w:rsid w:val="21186EF7"/>
    <w:rsid w:val="21187826"/>
    <w:rsid w:val="21192572"/>
    <w:rsid w:val="211A62D4"/>
    <w:rsid w:val="211B62B4"/>
    <w:rsid w:val="211C2AD5"/>
    <w:rsid w:val="211C60E8"/>
    <w:rsid w:val="211C6679"/>
    <w:rsid w:val="211D2CCE"/>
    <w:rsid w:val="211D2FA2"/>
    <w:rsid w:val="211D4C01"/>
    <w:rsid w:val="211D6CC1"/>
    <w:rsid w:val="211D6F29"/>
    <w:rsid w:val="211E23D3"/>
    <w:rsid w:val="211E5DCE"/>
    <w:rsid w:val="21205EB9"/>
    <w:rsid w:val="21207A5E"/>
    <w:rsid w:val="212136FE"/>
    <w:rsid w:val="21214847"/>
    <w:rsid w:val="21221B4A"/>
    <w:rsid w:val="2123321B"/>
    <w:rsid w:val="21246401"/>
    <w:rsid w:val="2126035D"/>
    <w:rsid w:val="21266726"/>
    <w:rsid w:val="2127467F"/>
    <w:rsid w:val="212810D7"/>
    <w:rsid w:val="212925B3"/>
    <w:rsid w:val="212A3C0D"/>
    <w:rsid w:val="212A7E4C"/>
    <w:rsid w:val="212C3222"/>
    <w:rsid w:val="212D28F4"/>
    <w:rsid w:val="212D2AB8"/>
    <w:rsid w:val="212D4F3B"/>
    <w:rsid w:val="212D7038"/>
    <w:rsid w:val="21303941"/>
    <w:rsid w:val="213056EF"/>
    <w:rsid w:val="21305AE2"/>
    <w:rsid w:val="213136D4"/>
    <w:rsid w:val="213157A2"/>
    <w:rsid w:val="213274AB"/>
    <w:rsid w:val="213276BA"/>
    <w:rsid w:val="213315F2"/>
    <w:rsid w:val="213351E0"/>
    <w:rsid w:val="21335A88"/>
    <w:rsid w:val="2133779E"/>
    <w:rsid w:val="21343328"/>
    <w:rsid w:val="21350851"/>
    <w:rsid w:val="21371494"/>
    <w:rsid w:val="213762C4"/>
    <w:rsid w:val="213A747F"/>
    <w:rsid w:val="213B74B1"/>
    <w:rsid w:val="213C22E6"/>
    <w:rsid w:val="21405039"/>
    <w:rsid w:val="2140670A"/>
    <w:rsid w:val="2141536D"/>
    <w:rsid w:val="21417877"/>
    <w:rsid w:val="21425898"/>
    <w:rsid w:val="21433B0C"/>
    <w:rsid w:val="21477FCA"/>
    <w:rsid w:val="21495670"/>
    <w:rsid w:val="214B03E8"/>
    <w:rsid w:val="214D3C2D"/>
    <w:rsid w:val="214D4C03"/>
    <w:rsid w:val="214E117C"/>
    <w:rsid w:val="214F19B1"/>
    <w:rsid w:val="214F6F9D"/>
    <w:rsid w:val="21506DAC"/>
    <w:rsid w:val="21513D9B"/>
    <w:rsid w:val="2151654D"/>
    <w:rsid w:val="21534B33"/>
    <w:rsid w:val="215373B5"/>
    <w:rsid w:val="21551108"/>
    <w:rsid w:val="21553566"/>
    <w:rsid w:val="21562C7C"/>
    <w:rsid w:val="215674A9"/>
    <w:rsid w:val="21571AD7"/>
    <w:rsid w:val="2158070A"/>
    <w:rsid w:val="2159718F"/>
    <w:rsid w:val="215A0430"/>
    <w:rsid w:val="215A2310"/>
    <w:rsid w:val="215A2592"/>
    <w:rsid w:val="215A3097"/>
    <w:rsid w:val="215A451A"/>
    <w:rsid w:val="215A475A"/>
    <w:rsid w:val="215C1096"/>
    <w:rsid w:val="215C4E0D"/>
    <w:rsid w:val="215C7CDE"/>
    <w:rsid w:val="215D0D52"/>
    <w:rsid w:val="215D72BB"/>
    <w:rsid w:val="215F4227"/>
    <w:rsid w:val="21605D66"/>
    <w:rsid w:val="21616458"/>
    <w:rsid w:val="21617836"/>
    <w:rsid w:val="21621431"/>
    <w:rsid w:val="21624696"/>
    <w:rsid w:val="21631505"/>
    <w:rsid w:val="21636259"/>
    <w:rsid w:val="216435EB"/>
    <w:rsid w:val="21655700"/>
    <w:rsid w:val="21655BB1"/>
    <w:rsid w:val="216600BB"/>
    <w:rsid w:val="21661111"/>
    <w:rsid w:val="216655B5"/>
    <w:rsid w:val="21680FDF"/>
    <w:rsid w:val="216940ED"/>
    <w:rsid w:val="216A323B"/>
    <w:rsid w:val="216B551D"/>
    <w:rsid w:val="216C3C7F"/>
    <w:rsid w:val="216C556D"/>
    <w:rsid w:val="216C7F09"/>
    <w:rsid w:val="216D7A19"/>
    <w:rsid w:val="216E6218"/>
    <w:rsid w:val="216F2348"/>
    <w:rsid w:val="21706052"/>
    <w:rsid w:val="21713CFB"/>
    <w:rsid w:val="21715D40"/>
    <w:rsid w:val="21717B2E"/>
    <w:rsid w:val="21725D08"/>
    <w:rsid w:val="21727D80"/>
    <w:rsid w:val="21731A80"/>
    <w:rsid w:val="21732E92"/>
    <w:rsid w:val="21736F40"/>
    <w:rsid w:val="21742705"/>
    <w:rsid w:val="217553E2"/>
    <w:rsid w:val="217575A6"/>
    <w:rsid w:val="2175763B"/>
    <w:rsid w:val="217605A2"/>
    <w:rsid w:val="21762D01"/>
    <w:rsid w:val="21767881"/>
    <w:rsid w:val="21787758"/>
    <w:rsid w:val="217952E8"/>
    <w:rsid w:val="2179563C"/>
    <w:rsid w:val="217961A0"/>
    <w:rsid w:val="217B16B2"/>
    <w:rsid w:val="217D4371"/>
    <w:rsid w:val="217E4497"/>
    <w:rsid w:val="217F2120"/>
    <w:rsid w:val="217F30C7"/>
    <w:rsid w:val="218003A4"/>
    <w:rsid w:val="218125A1"/>
    <w:rsid w:val="21817CF9"/>
    <w:rsid w:val="21832B8D"/>
    <w:rsid w:val="218332CE"/>
    <w:rsid w:val="21833821"/>
    <w:rsid w:val="218454ED"/>
    <w:rsid w:val="21850130"/>
    <w:rsid w:val="218705D8"/>
    <w:rsid w:val="21871088"/>
    <w:rsid w:val="2187228F"/>
    <w:rsid w:val="21877B70"/>
    <w:rsid w:val="218802D5"/>
    <w:rsid w:val="218826E5"/>
    <w:rsid w:val="21884874"/>
    <w:rsid w:val="21892D14"/>
    <w:rsid w:val="2189381D"/>
    <w:rsid w:val="218A3A0E"/>
    <w:rsid w:val="218B62E9"/>
    <w:rsid w:val="218C6BD3"/>
    <w:rsid w:val="218D4927"/>
    <w:rsid w:val="2190618E"/>
    <w:rsid w:val="219062E0"/>
    <w:rsid w:val="2191623E"/>
    <w:rsid w:val="21932C04"/>
    <w:rsid w:val="21934EB6"/>
    <w:rsid w:val="2194572D"/>
    <w:rsid w:val="2195301A"/>
    <w:rsid w:val="219530A8"/>
    <w:rsid w:val="21992D5D"/>
    <w:rsid w:val="21996A45"/>
    <w:rsid w:val="219B527C"/>
    <w:rsid w:val="219D4853"/>
    <w:rsid w:val="219E0C7B"/>
    <w:rsid w:val="219E2A00"/>
    <w:rsid w:val="219F1CE3"/>
    <w:rsid w:val="219F426A"/>
    <w:rsid w:val="21A12149"/>
    <w:rsid w:val="21A1249A"/>
    <w:rsid w:val="21A22604"/>
    <w:rsid w:val="21A502FB"/>
    <w:rsid w:val="21A97696"/>
    <w:rsid w:val="21AA3700"/>
    <w:rsid w:val="21AB1710"/>
    <w:rsid w:val="21AD0AEE"/>
    <w:rsid w:val="21AE0AD3"/>
    <w:rsid w:val="21AF59CF"/>
    <w:rsid w:val="21B115E6"/>
    <w:rsid w:val="21B207FA"/>
    <w:rsid w:val="21B24356"/>
    <w:rsid w:val="21B26EA7"/>
    <w:rsid w:val="21B32569"/>
    <w:rsid w:val="21B33A59"/>
    <w:rsid w:val="21B42009"/>
    <w:rsid w:val="21B45880"/>
    <w:rsid w:val="21B45A7D"/>
    <w:rsid w:val="21B764BA"/>
    <w:rsid w:val="21B81511"/>
    <w:rsid w:val="21B91B40"/>
    <w:rsid w:val="21B92ABB"/>
    <w:rsid w:val="21B93339"/>
    <w:rsid w:val="21BB02FB"/>
    <w:rsid w:val="21BC5949"/>
    <w:rsid w:val="21BD3E4B"/>
    <w:rsid w:val="21BD58BA"/>
    <w:rsid w:val="21BD66B9"/>
    <w:rsid w:val="21BD75D2"/>
    <w:rsid w:val="21BE2CFB"/>
    <w:rsid w:val="21BF0856"/>
    <w:rsid w:val="21BF4A89"/>
    <w:rsid w:val="21BF5804"/>
    <w:rsid w:val="21BF7911"/>
    <w:rsid w:val="21C01F8C"/>
    <w:rsid w:val="21C06266"/>
    <w:rsid w:val="21C370CD"/>
    <w:rsid w:val="21C422DC"/>
    <w:rsid w:val="21C4408A"/>
    <w:rsid w:val="21C665E1"/>
    <w:rsid w:val="21C75F73"/>
    <w:rsid w:val="21C80E83"/>
    <w:rsid w:val="21CB5418"/>
    <w:rsid w:val="21CE0AA4"/>
    <w:rsid w:val="21CE4B81"/>
    <w:rsid w:val="21CE5A42"/>
    <w:rsid w:val="21CE62D5"/>
    <w:rsid w:val="21CF271E"/>
    <w:rsid w:val="21CF4A58"/>
    <w:rsid w:val="21CF55C0"/>
    <w:rsid w:val="21D10A55"/>
    <w:rsid w:val="21D14AB0"/>
    <w:rsid w:val="21D20555"/>
    <w:rsid w:val="21D23945"/>
    <w:rsid w:val="21D3094F"/>
    <w:rsid w:val="21D34ECD"/>
    <w:rsid w:val="21D52124"/>
    <w:rsid w:val="21D64782"/>
    <w:rsid w:val="21D72FF7"/>
    <w:rsid w:val="21D7311F"/>
    <w:rsid w:val="21D744CA"/>
    <w:rsid w:val="21D934E8"/>
    <w:rsid w:val="21D95D87"/>
    <w:rsid w:val="21DA73FB"/>
    <w:rsid w:val="21DD116A"/>
    <w:rsid w:val="21DE15EF"/>
    <w:rsid w:val="21DE318A"/>
    <w:rsid w:val="21DE44CE"/>
    <w:rsid w:val="21DF2C72"/>
    <w:rsid w:val="21E01462"/>
    <w:rsid w:val="21E0244A"/>
    <w:rsid w:val="21E040E6"/>
    <w:rsid w:val="21E075A7"/>
    <w:rsid w:val="21E11163"/>
    <w:rsid w:val="21E21C07"/>
    <w:rsid w:val="21E22735"/>
    <w:rsid w:val="21E332A1"/>
    <w:rsid w:val="21E336A7"/>
    <w:rsid w:val="21E41A30"/>
    <w:rsid w:val="21E457BF"/>
    <w:rsid w:val="21E46311"/>
    <w:rsid w:val="21E50699"/>
    <w:rsid w:val="21E5472C"/>
    <w:rsid w:val="21E64897"/>
    <w:rsid w:val="21E70203"/>
    <w:rsid w:val="21E9722F"/>
    <w:rsid w:val="21EA1D42"/>
    <w:rsid w:val="21EB1616"/>
    <w:rsid w:val="21EB3785"/>
    <w:rsid w:val="21EB5EAC"/>
    <w:rsid w:val="21EC2233"/>
    <w:rsid w:val="21EE3754"/>
    <w:rsid w:val="21EF5B80"/>
    <w:rsid w:val="21F04BD0"/>
    <w:rsid w:val="21F05E3F"/>
    <w:rsid w:val="21F229A5"/>
    <w:rsid w:val="21F23D4A"/>
    <w:rsid w:val="21F25750"/>
    <w:rsid w:val="21F30AC0"/>
    <w:rsid w:val="21F35EBD"/>
    <w:rsid w:val="21F4176C"/>
    <w:rsid w:val="21F4331D"/>
    <w:rsid w:val="21F70E9A"/>
    <w:rsid w:val="21F7113B"/>
    <w:rsid w:val="21F72B7B"/>
    <w:rsid w:val="21F75899"/>
    <w:rsid w:val="21F9081D"/>
    <w:rsid w:val="21F93950"/>
    <w:rsid w:val="21FA01C9"/>
    <w:rsid w:val="21FA022C"/>
    <w:rsid w:val="21FA1F19"/>
    <w:rsid w:val="21FA3F89"/>
    <w:rsid w:val="21FB02E8"/>
    <w:rsid w:val="21FB2BEC"/>
    <w:rsid w:val="21FB39B1"/>
    <w:rsid w:val="21FC4843"/>
    <w:rsid w:val="21FD0C6F"/>
    <w:rsid w:val="21FD591D"/>
    <w:rsid w:val="21FD71C6"/>
    <w:rsid w:val="21FE33DB"/>
    <w:rsid w:val="21FE3DF5"/>
    <w:rsid w:val="21FF5B54"/>
    <w:rsid w:val="220113F0"/>
    <w:rsid w:val="22012756"/>
    <w:rsid w:val="220210E1"/>
    <w:rsid w:val="22043CE7"/>
    <w:rsid w:val="22045388"/>
    <w:rsid w:val="2204653F"/>
    <w:rsid w:val="22052944"/>
    <w:rsid w:val="220670D9"/>
    <w:rsid w:val="22073C60"/>
    <w:rsid w:val="220837FD"/>
    <w:rsid w:val="22092ECD"/>
    <w:rsid w:val="220B5253"/>
    <w:rsid w:val="220C57E0"/>
    <w:rsid w:val="220D1CC2"/>
    <w:rsid w:val="220D2D7A"/>
    <w:rsid w:val="220D3C83"/>
    <w:rsid w:val="220F17A9"/>
    <w:rsid w:val="220F79FB"/>
    <w:rsid w:val="22106B73"/>
    <w:rsid w:val="22121299"/>
    <w:rsid w:val="2214507F"/>
    <w:rsid w:val="2216323B"/>
    <w:rsid w:val="22164061"/>
    <w:rsid w:val="22166788"/>
    <w:rsid w:val="22167BA9"/>
    <w:rsid w:val="22171B1D"/>
    <w:rsid w:val="22192627"/>
    <w:rsid w:val="22194943"/>
    <w:rsid w:val="22194949"/>
    <w:rsid w:val="22194F87"/>
    <w:rsid w:val="221A6CAF"/>
    <w:rsid w:val="221B718B"/>
    <w:rsid w:val="221C1D1E"/>
    <w:rsid w:val="221C4D78"/>
    <w:rsid w:val="221D3C39"/>
    <w:rsid w:val="221D5D7D"/>
    <w:rsid w:val="221E2665"/>
    <w:rsid w:val="222043B9"/>
    <w:rsid w:val="222324C0"/>
    <w:rsid w:val="22235254"/>
    <w:rsid w:val="22236DE5"/>
    <w:rsid w:val="22253B4C"/>
    <w:rsid w:val="22254C50"/>
    <w:rsid w:val="222556C6"/>
    <w:rsid w:val="22266E34"/>
    <w:rsid w:val="22274D44"/>
    <w:rsid w:val="22281DE3"/>
    <w:rsid w:val="22282762"/>
    <w:rsid w:val="222911D9"/>
    <w:rsid w:val="222921D7"/>
    <w:rsid w:val="22295471"/>
    <w:rsid w:val="22296857"/>
    <w:rsid w:val="222A3D92"/>
    <w:rsid w:val="222C01C5"/>
    <w:rsid w:val="222C235B"/>
    <w:rsid w:val="222D1C2F"/>
    <w:rsid w:val="222D6B02"/>
    <w:rsid w:val="222E2E69"/>
    <w:rsid w:val="22325497"/>
    <w:rsid w:val="22333AC4"/>
    <w:rsid w:val="22356D36"/>
    <w:rsid w:val="223614B1"/>
    <w:rsid w:val="22363BC8"/>
    <w:rsid w:val="22364F87"/>
    <w:rsid w:val="2237194C"/>
    <w:rsid w:val="223903FC"/>
    <w:rsid w:val="223905D4"/>
    <w:rsid w:val="223B259E"/>
    <w:rsid w:val="223B2978"/>
    <w:rsid w:val="223B54DF"/>
    <w:rsid w:val="223C763B"/>
    <w:rsid w:val="223D1FC4"/>
    <w:rsid w:val="223E05AA"/>
    <w:rsid w:val="223E140F"/>
    <w:rsid w:val="223E1D90"/>
    <w:rsid w:val="223E3EBD"/>
    <w:rsid w:val="223F3F39"/>
    <w:rsid w:val="22411B47"/>
    <w:rsid w:val="224145BE"/>
    <w:rsid w:val="22417039"/>
    <w:rsid w:val="22467EF6"/>
    <w:rsid w:val="22470981"/>
    <w:rsid w:val="2248030A"/>
    <w:rsid w:val="22486DF5"/>
    <w:rsid w:val="22496632"/>
    <w:rsid w:val="224A27E1"/>
    <w:rsid w:val="224A34FE"/>
    <w:rsid w:val="224A3FBB"/>
    <w:rsid w:val="224B4799"/>
    <w:rsid w:val="224C12BE"/>
    <w:rsid w:val="224C2F91"/>
    <w:rsid w:val="224C7902"/>
    <w:rsid w:val="224D0AFC"/>
    <w:rsid w:val="224D67B5"/>
    <w:rsid w:val="224E4D71"/>
    <w:rsid w:val="224E5C78"/>
    <w:rsid w:val="225035B1"/>
    <w:rsid w:val="22512D93"/>
    <w:rsid w:val="22516221"/>
    <w:rsid w:val="22525B39"/>
    <w:rsid w:val="22532499"/>
    <w:rsid w:val="22535F44"/>
    <w:rsid w:val="22552F34"/>
    <w:rsid w:val="2255395F"/>
    <w:rsid w:val="225551E9"/>
    <w:rsid w:val="22571B1C"/>
    <w:rsid w:val="22576990"/>
    <w:rsid w:val="22585FDB"/>
    <w:rsid w:val="22597E34"/>
    <w:rsid w:val="225A323F"/>
    <w:rsid w:val="225A482A"/>
    <w:rsid w:val="225B0AD7"/>
    <w:rsid w:val="225B3B4F"/>
    <w:rsid w:val="225C20EF"/>
    <w:rsid w:val="225C7C4B"/>
    <w:rsid w:val="225E008D"/>
    <w:rsid w:val="225F3D71"/>
    <w:rsid w:val="22600026"/>
    <w:rsid w:val="226118D9"/>
    <w:rsid w:val="22627437"/>
    <w:rsid w:val="226378A8"/>
    <w:rsid w:val="22670ED9"/>
    <w:rsid w:val="22674648"/>
    <w:rsid w:val="22676592"/>
    <w:rsid w:val="226A166A"/>
    <w:rsid w:val="226B25DA"/>
    <w:rsid w:val="226B7536"/>
    <w:rsid w:val="226C25E6"/>
    <w:rsid w:val="226D41DE"/>
    <w:rsid w:val="226E089E"/>
    <w:rsid w:val="22704C12"/>
    <w:rsid w:val="2270529F"/>
    <w:rsid w:val="227143BA"/>
    <w:rsid w:val="22714AF6"/>
    <w:rsid w:val="22715CC4"/>
    <w:rsid w:val="2272371A"/>
    <w:rsid w:val="227410C5"/>
    <w:rsid w:val="22744312"/>
    <w:rsid w:val="22747AED"/>
    <w:rsid w:val="22750C92"/>
    <w:rsid w:val="22765384"/>
    <w:rsid w:val="227679FA"/>
    <w:rsid w:val="22783A51"/>
    <w:rsid w:val="22797DB7"/>
    <w:rsid w:val="227A1485"/>
    <w:rsid w:val="227B5B3E"/>
    <w:rsid w:val="227B69C9"/>
    <w:rsid w:val="227C0C9A"/>
    <w:rsid w:val="227C1DE0"/>
    <w:rsid w:val="227C2F06"/>
    <w:rsid w:val="227D7E1D"/>
    <w:rsid w:val="227E0610"/>
    <w:rsid w:val="227F1F30"/>
    <w:rsid w:val="228043A6"/>
    <w:rsid w:val="22813CB8"/>
    <w:rsid w:val="2281775C"/>
    <w:rsid w:val="22817846"/>
    <w:rsid w:val="22832ED4"/>
    <w:rsid w:val="22842644"/>
    <w:rsid w:val="228435DF"/>
    <w:rsid w:val="22850E66"/>
    <w:rsid w:val="22853819"/>
    <w:rsid w:val="22861AB5"/>
    <w:rsid w:val="22867E03"/>
    <w:rsid w:val="22872B48"/>
    <w:rsid w:val="228736BD"/>
    <w:rsid w:val="2287472B"/>
    <w:rsid w:val="228768B2"/>
    <w:rsid w:val="22883ECC"/>
    <w:rsid w:val="2288532F"/>
    <w:rsid w:val="22892FBC"/>
    <w:rsid w:val="22897F2E"/>
    <w:rsid w:val="228A7F53"/>
    <w:rsid w:val="228C104B"/>
    <w:rsid w:val="228C599D"/>
    <w:rsid w:val="228D5DB4"/>
    <w:rsid w:val="228E4FC1"/>
    <w:rsid w:val="22906C1A"/>
    <w:rsid w:val="229121BE"/>
    <w:rsid w:val="22913F8A"/>
    <w:rsid w:val="22927FCB"/>
    <w:rsid w:val="22934EEF"/>
    <w:rsid w:val="22940F07"/>
    <w:rsid w:val="22942FD8"/>
    <w:rsid w:val="22945B6B"/>
    <w:rsid w:val="229551C0"/>
    <w:rsid w:val="22965DA5"/>
    <w:rsid w:val="22967C38"/>
    <w:rsid w:val="22974E00"/>
    <w:rsid w:val="22975836"/>
    <w:rsid w:val="22982F20"/>
    <w:rsid w:val="229916C0"/>
    <w:rsid w:val="22991C34"/>
    <w:rsid w:val="22994063"/>
    <w:rsid w:val="229B128E"/>
    <w:rsid w:val="229D423F"/>
    <w:rsid w:val="229E3576"/>
    <w:rsid w:val="229E631A"/>
    <w:rsid w:val="22A02D28"/>
    <w:rsid w:val="22A03DBF"/>
    <w:rsid w:val="22A10069"/>
    <w:rsid w:val="22A13DF7"/>
    <w:rsid w:val="22A169EB"/>
    <w:rsid w:val="22A201E4"/>
    <w:rsid w:val="22A203A0"/>
    <w:rsid w:val="22A213EB"/>
    <w:rsid w:val="22A316B7"/>
    <w:rsid w:val="22A31E55"/>
    <w:rsid w:val="22A4060D"/>
    <w:rsid w:val="22A53EBB"/>
    <w:rsid w:val="22A6087B"/>
    <w:rsid w:val="22A638EF"/>
    <w:rsid w:val="22A748BB"/>
    <w:rsid w:val="22A85759"/>
    <w:rsid w:val="22A945AB"/>
    <w:rsid w:val="22AB06E9"/>
    <w:rsid w:val="22AC2323"/>
    <w:rsid w:val="22AC7C48"/>
    <w:rsid w:val="22AD54C3"/>
    <w:rsid w:val="22B02FD8"/>
    <w:rsid w:val="22B052A0"/>
    <w:rsid w:val="22B06FCC"/>
    <w:rsid w:val="22B12048"/>
    <w:rsid w:val="22B135B1"/>
    <w:rsid w:val="22B46246"/>
    <w:rsid w:val="22B51882"/>
    <w:rsid w:val="22B53579"/>
    <w:rsid w:val="22B573FA"/>
    <w:rsid w:val="22B629AE"/>
    <w:rsid w:val="22B63A87"/>
    <w:rsid w:val="22B64EE9"/>
    <w:rsid w:val="22B83BEE"/>
    <w:rsid w:val="22B91715"/>
    <w:rsid w:val="22B934C3"/>
    <w:rsid w:val="22BA5686"/>
    <w:rsid w:val="22BA78FE"/>
    <w:rsid w:val="22BC3AAB"/>
    <w:rsid w:val="22BC6389"/>
    <w:rsid w:val="22BE02E1"/>
    <w:rsid w:val="22BE1BCC"/>
    <w:rsid w:val="22BE3845"/>
    <w:rsid w:val="22BE4F7D"/>
    <w:rsid w:val="22BE5AA8"/>
    <w:rsid w:val="22BF31CF"/>
    <w:rsid w:val="22C03AF4"/>
    <w:rsid w:val="22C239D3"/>
    <w:rsid w:val="22C357EB"/>
    <w:rsid w:val="22C37100"/>
    <w:rsid w:val="22C4036A"/>
    <w:rsid w:val="22C407E5"/>
    <w:rsid w:val="22C41787"/>
    <w:rsid w:val="22C57C45"/>
    <w:rsid w:val="22C63C28"/>
    <w:rsid w:val="22C9291E"/>
    <w:rsid w:val="22CA76EB"/>
    <w:rsid w:val="22CC0DAF"/>
    <w:rsid w:val="22CC6838"/>
    <w:rsid w:val="22CD74AF"/>
    <w:rsid w:val="22CE1F27"/>
    <w:rsid w:val="22CE51C0"/>
    <w:rsid w:val="22CF646D"/>
    <w:rsid w:val="22CF6F17"/>
    <w:rsid w:val="22D030C2"/>
    <w:rsid w:val="22D14FE7"/>
    <w:rsid w:val="22D518A9"/>
    <w:rsid w:val="22D52341"/>
    <w:rsid w:val="22D534C5"/>
    <w:rsid w:val="22D71C21"/>
    <w:rsid w:val="22D8100F"/>
    <w:rsid w:val="22D84291"/>
    <w:rsid w:val="22D84C1F"/>
    <w:rsid w:val="22DB1AD2"/>
    <w:rsid w:val="22DB48AD"/>
    <w:rsid w:val="22DD0C7B"/>
    <w:rsid w:val="22DD64F3"/>
    <w:rsid w:val="22DD6545"/>
    <w:rsid w:val="22DE2ECD"/>
    <w:rsid w:val="22DE4A80"/>
    <w:rsid w:val="22DF6273"/>
    <w:rsid w:val="22E02553"/>
    <w:rsid w:val="22E10B03"/>
    <w:rsid w:val="22E15D96"/>
    <w:rsid w:val="22E16A62"/>
    <w:rsid w:val="22E20981"/>
    <w:rsid w:val="22E30BB5"/>
    <w:rsid w:val="22E320C7"/>
    <w:rsid w:val="22E362F8"/>
    <w:rsid w:val="22E405B5"/>
    <w:rsid w:val="22E4175C"/>
    <w:rsid w:val="22E55FC1"/>
    <w:rsid w:val="22E62B4F"/>
    <w:rsid w:val="22E770E1"/>
    <w:rsid w:val="22E7730A"/>
    <w:rsid w:val="22E80103"/>
    <w:rsid w:val="22E813DE"/>
    <w:rsid w:val="22E83907"/>
    <w:rsid w:val="22E83DA8"/>
    <w:rsid w:val="22E91FFA"/>
    <w:rsid w:val="22EA03CB"/>
    <w:rsid w:val="22EA4E5A"/>
    <w:rsid w:val="22ED7C9F"/>
    <w:rsid w:val="22EE4221"/>
    <w:rsid w:val="22EF5136"/>
    <w:rsid w:val="22EF61DC"/>
    <w:rsid w:val="22F015DA"/>
    <w:rsid w:val="22F03CE2"/>
    <w:rsid w:val="22F133E6"/>
    <w:rsid w:val="22F15C66"/>
    <w:rsid w:val="22F17100"/>
    <w:rsid w:val="22F1771B"/>
    <w:rsid w:val="22F2262E"/>
    <w:rsid w:val="22F25CAA"/>
    <w:rsid w:val="22F26581"/>
    <w:rsid w:val="22F36574"/>
    <w:rsid w:val="22F3720D"/>
    <w:rsid w:val="22F4126A"/>
    <w:rsid w:val="22F4274D"/>
    <w:rsid w:val="22F444A7"/>
    <w:rsid w:val="22F47480"/>
    <w:rsid w:val="22F60C69"/>
    <w:rsid w:val="22F61887"/>
    <w:rsid w:val="22F65750"/>
    <w:rsid w:val="22F677FE"/>
    <w:rsid w:val="22F67FFE"/>
    <w:rsid w:val="22F71194"/>
    <w:rsid w:val="22F72FB9"/>
    <w:rsid w:val="22F97D63"/>
    <w:rsid w:val="22FB3ADB"/>
    <w:rsid w:val="22FD610A"/>
    <w:rsid w:val="22FD7397"/>
    <w:rsid w:val="22FE4C82"/>
    <w:rsid w:val="22FF35CB"/>
    <w:rsid w:val="230052ED"/>
    <w:rsid w:val="23011DCB"/>
    <w:rsid w:val="2302660E"/>
    <w:rsid w:val="230275B5"/>
    <w:rsid w:val="23035E73"/>
    <w:rsid w:val="23046121"/>
    <w:rsid w:val="230473E9"/>
    <w:rsid w:val="23063A86"/>
    <w:rsid w:val="230648F3"/>
    <w:rsid w:val="2307368E"/>
    <w:rsid w:val="23077290"/>
    <w:rsid w:val="23077E3B"/>
    <w:rsid w:val="23087526"/>
    <w:rsid w:val="23091C40"/>
    <w:rsid w:val="230A413B"/>
    <w:rsid w:val="230A444A"/>
    <w:rsid w:val="230A4A59"/>
    <w:rsid w:val="230B1774"/>
    <w:rsid w:val="230B4AB0"/>
    <w:rsid w:val="230D4226"/>
    <w:rsid w:val="230D52E5"/>
    <w:rsid w:val="230D7D07"/>
    <w:rsid w:val="230E15AE"/>
    <w:rsid w:val="230E316B"/>
    <w:rsid w:val="230E485F"/>
    <w:rsid w:val="230E7CB2"/>
    <w:rsid w:val="230F63B4"/>
    <w:rsid w:val="23121440"/>
    <w:rsid w:val="231227F8"/>
    <w:rsid w:val="23131DB1"/>
    <w:rsid w:val="2313615C"/>
    <w:rsid w:val="231401EA"/>
    <w:rsid w:val="23162DCF"/>
    <w:rsid w:val="2316317B"/>
    <w:rsid w:val="2316320E"/>
    <w:rsid w:val="23166D34"/>
    <w:rsid w:val="231710FF"/>
    <w:rsid w:val="23172410"/>
    <w:rsid w:val="23174EDD"/>
    <w:rsid w:val="231828DF"/>
    <w:rsid w:val="231A0405"/>
    <w:rsid w:val="231A5F07"/>
    <w:rsid w:val="231C42BB"/>
    <w:rsid w:val="231C657D"/>
    <w:rsid w:val="231D3230"/>
    <w:rsid w:val="232329AD"/>
    <w:rsid w:val="23233F9F"/>
    <w:rsid w:val="23234FFC"/>
    <w:rsid w:val="23251BD8"/>
    <w:rsid w:val="23267848"/>
    <w:rsid w:val="23272B22"/>
    <w:rsid w:val="23273348"/>
    <w:rsid w:val="23287981"/>
    <w:rsid w:val="2329689A"/>
    <w:rsid w:val="232A142B"/>
    <w:rsid w:val="232A3179"/>
    <w:rsid w:val="232A3B63"/>
    <w:rsid w:val="232A7663"/>
    <w:rsid w:val="232B147F"/>
    <w:rsid w:val="232B3A0B"/>
    <w:rsid w:val="232C2037"/>
    <w:rsid w:val="232C7CCA"/>
    <w:rsid w:val="232E3EB1"/>
    <w:rsid w:val="232E4E2E"/>
    <w:rsid w:val="232E5A1F"/>
    <w:rsid w:val="232F151C"/>
    <w:rsid w:val="232F7A4C"/>
    <w:rsid w:val="23302E78"/>
    <w:rsid w:val="233035C8"/>
    <w:rsid w:val="23312EF1"/>
    <w:rsid w:val="233444F5"/>
    <w:rsid w:val="23344885"/>
    <w:rsid w:val="23346F67"/>
    <w:rsid w:val="23353C0B"/>
    <w:rsid w:val="23367EF4"/>
    <w:rsid w:val="23371F11"/>
    <w:rsid w:val="23376CAD"/>
    <w:rsid w:val="23395BAF"/>
    <w:rsid w:val="233B0D40"/>
    <w:rsid w:val="233C03FA"/>
    <w:rsid w:val="233C42B1"/>
    <w:rsid w:val="233D0598"/>
    <w:rsid w:val="233D1441"/>
    <w:rsid w:val="233D4342"/>
    <w:rsid w:val="233D4A23"/>
    <w:rsid w:val="233D5994"/>
    <w:rsid w:val="233E0016"/>
    <w:rsid w:val="233F39AC"/>
    <w:rsid w:val="233F4FE5"/>
    <w:rsid w:val="233F6FAA"/>
    <w:rsid w:val="233F75F6"/>
    <w:rsid w:val="23402943"/>
    <w:rsid w:val="23403315"/>
    <w:rsid w:val="23411EA5"/>
    <w:rsid w:val="23412D55"/>
    <w:rsid w:val="23422FB2"/>
    <w:rsid w:val="23425BAE"/>
    <w:rsid w:val="23430A9A"/>
    <w:rsid w:val="23437EA5"/>
    <w:rsid w:val="23443D08"/>
    <w:rsid w:val="23455200"/>
    <w:rsid w:val="23457A9C"/>
    <w:rsid w:val="234623F1"/>
    <w:rsid w:val="23463F15"/>
    <w:rsid w:val="23464D26"/>
    <w:rsid w:val="234751B6"/>
    <w:rsid w:val="23482267"/>
    <w:rsid w:val="234965C1"/>
    <w:rsid w:val="234A05BF"/>
    <w:rsid w:val="234B4A63"/>
    <w:rsid w:val="234B6811"/>
    <w:rsid w:val="234B77EF"/>
    <w:rsid w:val="234C4337"/>
    <w:rsid w:val="234C4621"/>
    <w:rsid w:val="234C7156"/>
    <w:rsid w:val="234D1354"/>
    <w:rsid w:val="234D23D0"/>
    <w:rsid w:val="234F09B4"/>
    <w:rsid w:val="23502079"/>
    <w:rsid w:val="23503E27"/>
    <w:rsid w:val="235056E3"/>
    <w:rsid w:val="23507B91"/>
    <w:rsid w:val="23515643"/>
    <w:rsid w:val="235174BE"/>
    <w:rsid w:val="2352122E"/>
    <w:rsid w:val="23527A67"/>
    <w:rsid w:val="2354369B"/>
    <w:rsid w:val="23544746"/>
    <w:rsid w:val="23544E06"/>
    <w:rsid w:val="23551A56"/>
    <w:rsid w:val="2356451C"/>
    <w:rsid w:val="23582CDC"/>
    <w:rsid w:val="2359200C"/>
    <w:rsid w:val="235A2EF8"/>
    <w:rsid w:val="235A4CA6"/>
    <w:rsid w:val="235A78FF"/>
    <w:rsid w:val="235A7987"/>
    <w:rsid w:val="235B12EC"/>
    <w:rsid w:val="235F0D81"/>
    <w:rsid w:val="235F406A"/>
    <w:rsid w:val="235F6687"/>
    <w:rsid w:val="23626E91"/>
    <w:rsid w:val="23626F93"/>
    <w:rsid w:val="236317C0"/>
    <w:rsid w:val="236336A4"/>
    <w:rsid w:val="236339A5"/>
    <w:rsid w:val="23643B7B"/>
    <w:rsid w:val="23645B24"/>
    <w:rsid w:val="23651AF0"/>
    <w:rsid w:val="2366189C"/>
    <w:rsid w:val="2369071C"/>
    <w:rsid w:val="23694C50"/>
    <w:rsid w:val="236A6589"/>
    <w:rsid w:val="236A722B"/>
    <w:rsid w:val="236B0A7D"/>
    <w:rsid w:val="236B0C61"/>
    <w:rsid w:val="236B2A0F"/>
    <w:rsid w:val="236B7B73"/>
    <w:rsid w:val="236C49D9"/>
    <w:rsid w:val="236F1622"/>
    <w:rsid w:val="236F1A45"/>
    <w:rsid w:val="2370223B"/>
    <w:rsid w:val="23711FEF"/>
    <w:rsid w:val="23720241"/>
    <w:rsid w:val="237224E0"/>
    <w:rsid w:val="23731EDA"/>
    <w:rsid w:val="237361FE"/>
    <w:rsid w:val="23736C25"/>
    <w:rsid w:val="237737AA"/>
    <w:rsid w:val="23784F3B"/>
    <w:rsid w:val="23785419"/>
    <w:rsid w:val="237A5348"/>
    <w:rsid w:val="237A65BE"/>
    <w:rsid w:val="237B5992"/>
    <w:rsid w:val="237D090B"/>
    <w:rsid w:val="237E0765"/>
    <w:rsid w:val="237E2F2D"/>
    <w:rsid w:val="237F312B"/>
    <w:rsid w:val="237F5607"/>
    <w:rsid w:val="2380250D"/>
    <w:rsid w:val="23805B67"/>
    <w:rsid w:val="23810484"/>
    <w:rsid w:val="2381228C"/>
    <w:rsid w:val="2381607B"/>
    <w:rsid w:val="23826F3B"/>
    <w:rsid w:val="23834CE9"/>
    <w:rsid w:val="238762A5"/>
    <w:rsid w:val="238869EC"/>
    <w:rsid w:val="23887E17"/>
    <w:rsid w:val="23894BE4"/>
    <w:rsid w:val="23897339"/>
    <w:rsid w:val="238A4DDF"/>
    <w:rsid w:val="238C41FE"/>
    <w:rsid w:val="238D675B"/>
    <w:rsid w:val="238E1BDE"/>
    <w:rsid w:val="238F2921"/>
    <w:rsid w:val="238F7AE0"/>
    <w:rsid w:val="23906919"/>
    <w:rsid w:val="23906FA0"/>
    <w:rsid w:val="23914961"/>
    <w:rsid w:val="239202E0"/>
    <w:rsid w:val="239221F2"/>
    <w:rsid w:val="239301B8"/>
    <w:rsid w:val="23932557"/>
    <w:rsid w:val="2393640A"/>
    <w:rsid w:val="23947504"/>
    <w:rsid w:val="239506C2"/>
    <w:rsid w:val="23953040"/>
    <w:rsid w:val="23984C30"/>
    <w:rsid w:val="2399524F"/>
    <w:rsid w:val="239B5A21"/>
    <w:rsid w:val="239C0EDA"/>
    <w:rsid w:val="239C46B7"/>
    <w:rsid w:val="239D4C6A"/>
    <w:rsid w:val="239E13A3"/>
    <w:rsid w:val="239E4078"/>
    <w:rsid w:val="239E4EE9"/>
    <w:rsid w:val="239E6BF2"/>
    <w:rsid w:val="239F090A"/>
    <w:rsid w:val="23A0428C"/>
    <w:rsid w:val="23A107AC"/>
    <w:rsid w:val="23A14F0C"/>
    <w:rsid w:val="23A27E04"/>
    <w:rsid w:val="23A40072"/>
    <w:rsid w:val="23A40321"/>
    <w:rsid w:val="23A52CF7"/>
    <w:rsid w:val="23A711B6"/>
    <w:rsid w:val="23A77962"/>
    <w:rsid w:val="23A83F33"/>
    <w:rsid w:val="23A929AA"/>
    <w:rsid w:val="23AA7E0D"/>
    <w:rsid w:val="23AB23C9"/>
    <w:rsid w:val="23AD7B35"/>
    <w:rsid w:val="23AE6990"/>
    <w:rsid w:val="23AF6323"/>
    <w:rsid w:val="23B02B18"/>
    <w:rsid w:val="23B04775"/>
    <w:rsid w:val="23B048B1"/>
    <w:rsid w:val="23B07801"/>
    <w:rsid w:val="23B31FBC"/>
    <w:rsid w:val="23B343B6"/>
    <w:rsid w:val="23B3515A"/>
    <w:rsid w:val="23B44B6D"/>
    <w:rsid w:val="23B45F70"/>
    <w:rsid w:val="23B52198"/>
    <w:rsid w:val="23B62BED"/>
    <w:rsid w:val="23B75C54"/>
    <w:rsid w:val="23B80E02"/>
    <w:rsid w:val="23B81166"/>
    <w:rsid w:val="23B86302"/>
    <w:rsid w:val="23B87AF9"/>
    <w:rsid w:val="23BA4C4A"/>
    <w:rsid w:val="23BA5744"/>
    <w:rsid w:val="23BA7543"/>
    <w:rsid w:val="23BB2B38"/>
    <w:rsid w:val="23BB34F9"/>
    <w:rsid w:val="23BC03CF"/>
    <w:rsid w:val="23BC1AE2"/>
    <w:rsid w:val="23BC3477"/>
    <w:rsid w:val="23BF1BBE"/>
    <w:rsid w:val="23C00415"/>
    <w:rsid w:val="23C21E3A"/>
    <w:rsid w:val="23C30B15"/>
    <w:rsid w:val="23C334D5"/>
    <w:rsid w:val="23C44815"/>
    <w:rsid w:val="23C50DFE"/>
    <w:rsid w:val="23C6758F"/>
    <w:rsid w:val="23C70C7F"/>
    <w:rsid w:val="23C734A3"/>
    <w:rsid w:val="23C76570"/>
    <w:rsid w:val="23CB4497"/>
    <w:rsid w:val="23CB47D0"/>
    <w:rsid w:val="23CD304C"/>
    <w:rsid w:val="23CD5478"/>
    <w:rsid w:val="23CF2712"/>
    <w:rsid w:val="23CF72BD"/>
    <w:rsid w:val="23D02D31"/>
    <w:rsid w:val="23D16A12"/>
    <w:rsid w:val="23D16F16"/>
    <w:rsid w:val="23D20B18"/>
    <w:rsid w:val="23D23F7E"/>
    <w:rsid w:val="23D36811"/>
    <w:rsid w:val="23D370D1"/>
    <w:rsid w:val="23D41BB8"/>
    <w:rsid w:val="23D55E5B"/>
    <w:rsid w:val="23D6170C"/>
    <w:rsid w:val="23D63C5E"/>
    <w:rsid w:val="23D671A6"/>
    <w:rsid w:val="23D808C2"/>
    <w:rsid w:val="23DA1DD3"/>
    <w:rsid w:val="23DA58AD"/>
    <w:rsid w:val="23DB1EE7"/>
    <w:rsid w:val="23DB41D1"/>
    <w:rsid w:val="23DC1E90"/>
    <w:rsid w:val="23DC4E0C"/>
    <w:rsid w:val="23DE1C48"/>
    <w:rsid w:val="23DE2F0E"/>
    <w:rsid w:val="23DE5A83"/>
    <w:rsid w:val="23DF295E"/>
    <w:rsid w:val="23E31058"/>
    <w:rsid w:val="23E356EC"/>
    <w:rsid w:val="23E40B36"/>
    <w:rsid w:val="23E57478"/>
    <w:rsid w:val="23E57F40"/>
    <w:rsid w:val="23E6129C"/>
    <w:rsid w:val="23E67165"/>
    <w:rsid w:val="23E72982"/>
    <w:rsid w:val="23E813A3"/>
    <w:rsid w:val="23EB0A99"/>
    <w:rsid w:val="23EC1509"/>
    <w:rsid w:val="23EC3090"/>
    <w:rsid w:val="23EC420C"/>
    <w:rsid w:val="23EC7600"/>
    <w:rsid w:val="23ED396D"/>
    <w:rsid w:val="23ED46EB"/>
    <w:rsid w:val="23EE2706"/>
    <w:rsid w:val="23F17782"/>
    <w:rsid w:val="23F35236"/>
    <w:rsid w:val="23F50DC1"/>
    <w:rsid w:val="23F517A7"/>
    <w:rsid w:val="23F52C20"/>
    <w:rsid w:val="23F549CE"/>
    <w:rsid w:val="23F65C81"/>
    <w:rsid w:val="23F70B0A"/>
    <w:rsid w:val="23F8016D"/>
    <w:rsid w:val="23F8076A"/>
    <w:rsid w:val="23F97302"/>
    <w:rsid w:val="23FA2D00"/>
    <w:rsid w:val="23FA3D93"/>
    <w:rsid w:val="23FA6C47"/>
    <w:rsid w:val="23FB633D"/>
    <w:rsid w:val="23FC5D5D"/>
    <w:rsid w:val="23FC6C82"/>
    <w:rsid w:val="23FD1ABA"/>
    <w:rsid w:val="23FE0CE8"/>
    <w:rsid w:val="23FE188A"/>
    <w:rsid w:val="23FE1AD5"/>
    <w:rsid w:val="23FF2D74"/>
    <w:rsid w:val="23FF35A8"/>
    <w:rsid w:val="23FF452C"/>
    <w:rsid w:val="23FF5990"/>
    <w:rsid w:val="23FF6CAD"/>
    <w:rsid w:val="23FF7543"/>
    <w:rsid w:val="2401106B"/>
    <w:rsid w:val="240210CD"/>
    <w:rsid w:val="240349F6"/>
    <w:rsid w:val="24037792"/>
    <w:rsid w:val="2405172C"/>
    <w:rsid w:val="240544D6"/>
    <w:rsid w:val="24054C81"/>
    <w:rsid w:val="24056855"/>
    <w:rsid w:val="24056A11"/>
    <w:rsid w:val="240607D0"/>
    <w:rsid w:val="24060DA7"/>
    <w:rsid w:val="240729FD"/>
    <w:rsid w:val="2407361F"/>
    <w:rsid w:val="240853F4"/>
    <w:rsid w:val="240861CC"/>
    <w:rsid w:val="24095906"/>
    <w:rsid w:val="24097F11"/>
    <w:rsid w:val="240B5FA0"/>
    <w:rsid w:val="240C7DD7"/>
    <w:rsid w:val="240D1079"/>
    <w:rsid w:val="240F21AB"/>
    <w:rsid w:val="241006B3"/>
    <w:rsid w:val="24107B4C"/>
    <w:rsid w:val="2411700A"/>
    <w:rsid w:val="24124D7F"/>
    <w:rsid w:val="24132953"/>
    <w:rsid w:val="24134E54"/>
    <w:rsid w:val="2414594E"/>
    <w:rsid w:val="24146C39"/>
    <w:rsid w:val="2416438A"/>
    <w:rsid w:val="241659F9"/>
    <w:rsid w:val="24172A1B"/>
    <w:rsid w:val="24180CBD"/>
    <w:rsid w:val="24181984"/>
    <w:rsid w:val="24185E45"/>
    <w:rsid w:val="241906BD"/>
    <w:rsid w:val="2419690F"/>
    <w:rsid w:val="241A2DD3"/>
    <w:rsid w:val="241A7148"/>
    <w:rsid w:val="241C5C3D"/>
    <w:rsid w:val="241C67DD"/>
    <w:rsid w:val="241D2C4B"/>
    <w:rsid w:val="241E3D49"/>
    <w:rsid w:val="241E5CD3"/>
    <w:rsid w:val="241E5D9A"/>
    <w:rsid w:val="241F3DFA"/>
    <w:rsid w:val="241F799A"/>
    <w:rsid w:val="2420217D"/>
    <w:rsid w:val="24206C18"/>
    <w:rsid w:val="242202A4"/>
    <w:rsid w:val="2423153B"/>
    <w:rsid w:val="24276354"/>
    <w:rsid w:val="2428336C"/>
    <w:rsid w:val="24284949"/>
    <w:rsid w:val="24285695"/>
    <w:rsid w:val="242A0B1C"/>
    <w:rsid w:val="242A3FC1"/>
    <w:rsid w:val="242B1E47"/>
    <w:rsid w:val="242C6DFF"/>
    <w:rsid w:val="242E1BAC"/>
    <w:rsid w:val="242F4D8B"/>
    <w:rsid w:val="242F67D5"/>
    <w:rsid w:val="24301E0F"/>
    <w:rsid w:val="243050F2"/>
    <w:rsid w:val="24306B58"/>
    <w:rsid w:val="24320144"/>
    <w:rsid w:val="24320BF2"/>
    <w:rsid w:val="2432352D"/>
    <w:rsid w:val="24333CAB"/>
    <w:rsid w:val="24343533"/>
    <w:rsid w:val="243454F7"/>
    <w:rsid w:val="2435360E"/>
    <w:rsid w:val="24364810"/>
    <w:rsid w:val="243674C1"/>
    <w:rsid w:val="24372971"/>
    <w:rsid w:val="24373C1E"/>
    <w:rsid w:val="24374FE7"/>
    <w:rsid w:val="243807CB"/>
    <w:rsid w:val="24392B0D"/>
    <w:rsid w:val="2439706A"/>
    <w:rsid w:val="24397AB2"/>
    <w:rsid w:val="243A34A9"/>
    <w:rsid w:val="243A6885"/>
    <w:rsid w:val="243B00F9"/>
    <w:rsid w:val="243E0123"/>
    <w:rsid w:val="243F5C4A"/>
    <w:rsid w:val="24405610"/>
    <w:rsid w:val="24413553"/>
    <w:rsid w:val="24416F07"/>
    <w:rsid w:val="24417C14"/>
    <w:rsid w:val="24422C3A"/>
    <w:rsid w:val="24432AED"/>
    <w:rsid w:val="24435FDA"/>
    <w:rsid w:val="24445438"/>
    <w:rsid w:val="24460E5F"/>
    <w:rsid w:val="24466A0F"/>
    <w:rsid w:val="24487692"/>
    <w:rsid w:val="244A1B0D"/>
    <w:rsid w:val="244A2F6C"/>
    <w:rsid w:val="244B7021"/>
    <w:rsid w:val="244B7CEF"/>
    <w:rsid w:val="244E32A7"/>
    <w:rsid w:val="244E793D"/>
    <w:rsid w:val="244F2331"/>
    <w:rsid w:val="244F5A79"/>
    <w:rsid w:val="244F6D8A"/>
    <w:rsid w:val="24503469"/>
    <w:rsid w:val="2450363A"/>
    <w:rsid w:val="245069C9"/>
    <w:rsid w:val="24513CB5"/>
    <w:rsid w:val="24513CEA"/>
    <w:rsid w:val="245143AD"/>
    <w:rsid w:val="245177B4"/>
    <w:rsid w:val="245178E2"/>
    <w:rsid w:val="24537E8A"/>
    <w:rsid w:val="2455546D"/>
    <w:rsid w:val="2456072D"/>
    <w:rsid w:val="24572F93"/>
    <w:rsid w:val="245731AB"/>
    <w:rsid w:val="245739FD"/>
    <w:rsid w:val="245748E0"/>
    <w:rsid w:val="2457550E"/>
    <w:rsid w:val="245A6B46"/>
    <w:rsid w:val="245B2AA2"/>
    <w:rsid w:val="245B61C4"/>
    <w:rsid w:val="245C2357"/>
    <w:rsid w:val="245C5E57"/>
    <w:rsid w:val="245C6C04"/>
    <w:rsid w:val="245D000B"/>
    <w:rsid w:val="245F0EEB"/>
    <w:rsid w:val="245F4681"/>
    <w:rsid w:val="245F66E0"/>
    <w:rsid w:val="246052F7"/>
    <w:rsid w:val="24624982"/>
    <w:rsid w:val="24642A53"/>
    <w:rsid w:val="24652FBD"/>
    <w:rsid w:val="2465328A"/>
    <w:rsid w:val="24665940"/>
    <w:rsid w:val="24672836"/>
    <w:rsid w:val="24683BCD"/>
    <w:rsid w:val="246840C4"/>
    <w:rsid w:val="2468605A"/>
    <w:rsid w:val="246905D0"/>
    <w:rsid w:val="246C147E"/>
    <w:rsid w:val="246D3861"/>
    <w:rsid w:val="246E0168"/>
    <w:rsid w:val="246E0249"/>
    <w:rsid w:val="246E106A"/>
    <w:rsid w:val="246E4997"/>
    <w:rsid w:val="246E6609"/>
    <w:rsid w:val="246F2A3C"/>
    <w:rsid w:val="246F4B0D"/>
    <w:rsid w:val="2470008C"/>
    <w:rsid w:val="24705813"/>
    <w:rsid w:val="24710AA3"/>
    <w:rsid w:val="24723F26"/>
    <w:rsid w:val="2472495D"/>
    <w:rsid w:val="24726FC7"/>
    <w:rsid w:val="24743B45"/>
    <w:rsid w:val="24770F7C"/>
    <w:rsid w:val="24775FC4"/>
    <w:rsid w:val="247833D0"/>
    <w:rsid w:val="24785961"/>
    <w:rsid w:val="247862F9"/>
    <w:rsid w:val="24792817"/>
    <w:rsid w:val="247D2F13"/>
    <w:rsid w:val="247D33FB"/>
    <w:rsid w:val="247D49BE"/>
    <w:rsid w:val="247E2C16"/>
    <w:rsid w:val="247E480D"/>
    <w:rsid w:val="247F06FE"/>
    <w:rsid w:val="247F3158"/>
    <w:rsid w:val="2480528F"/>
    <w:rsid w:val="24805C6E"/>
    <w:rsid w:val="24815A71"/>
    <w:rsid w:val="24816CC7"/>
    <w:rsid w:val="24822095"/>
    <w:rsid w:val="24831243"/>
    <w:rsid w:val="24831832"/>
    <w:rsid w:val="24841378"/>
    <w:rsid w:val="248471A4"/>
    <w:rsid w:val="2485792E"/>
    <w:rsid w:val="24866D29"/>
    <w:rsid w:val="24870270"/>
    <w:rsid w:val="248741BC"/>
    <w:rsid w:val="24874423"/>
    <w:rsid w:val="24874831"/>
    <w:rsid w:val="248765BF"/>
    <w:rsid w:val="24880887"/>
    <w:rsid w:val="2488352F"/>
    <w:rsid w:val="24883A75"/>
    <w:rsid w:val="24891ED5"/>
    <w:rsid w:val="248921C0"/>
    <w:rsid w:val="2489439D"/>
    <w:rsid w:val="24896341"/>
    <w:rsid w:val="248B63B2"/>
    <w:rsid w:val="248C6B1F"/>
    <w:rsid w:val="248D02B0"/>
    <w:rsid w:val="248E5098"/>
    <w:rsid w:val="248F4E0C"/>
    <w:rsid w:val="248F558F"/>
    <w:rsid w:val="2490316E"/>
    <w:rsid w:val="249037E0"/>
    <w:rsid w:val="2491532A"/>
    <w:rsid w:val="24934BD0"/>
    <w:rsid w:val="249366D3"/>
    <w:rsid w:val="249509BD"/>
    <w:rsid w:val="24952229"/>
    <w:rsid w:val="24962290"/>
    <w:rsid w:val="2497247B"/>
    <w:rsid w:val="24975A76"/>
    <w:rsid w:val="2497667E"/>
    <w:rsid w:val="24980A26"/>
    <w:rsid w:val="24981271"/>
    <w:rsid w:val="249917FE"/>
    <w:rsid w:val="24994742"/>
    <w:rsid w:val="24994A97"/>
    <w:rsid w:val="249A0E95"/>
    <w:rsid w:val="249B16EF"/>
    <w:rsid w:val="249B2C9D"/>
    <w:rsid w:val="249C1522"/>
    <w:rsid w:val="249C1C32"/>
    <w:rsid w:val="249C4A19"/>
    <w:rsid w:val="249C782B"/>
    <w:rsid w:val="249F2657"/>
    <w:rsid w:val="249F53F6"/>
    <w:rsid w:val="24A02B8C"/>
    <w:rsid w:val="24A16714"/>
    <w:rsid w:val="24A25AA4"/>
    <w:rsid w:val="24A3267C"/>
    <w:rsid w:val="24A465FD"/>
    <w:rsid w:val="24A47BD1"/>
    <w:rsid w:val="24A5122F"/>
    <w:rsid w:val="24A575E0"/>
    <w:rsid w:val="24A64F52"/>
    <w:rsid w:val="24A65D1A"/>
    <w:rsid w:val="24A80AA9"/>
    <w:rsid w:val="24A939DB"/>
    <w:rsid w:val="24AA31AC"/>
    <w:rsid w:val="24AA7099"/>
    <w:rsid w:val="24AB32DF"/>
    <w:rsid w:val="24AE0E9A"/>
    <w:rsid w:val="24B046AB"/>
    <w:rsid w:val="24B06AE2"/>
    <w:rsid w:val="24B1010E"/>
    <w:rsid w:val="24B107CA"/>
    <w:rsid w:val="24B1183B"/>
    <w:rsid w:val="24B166C8"/>
    <w:rsid w:val="24B34642"/>
    <w:rsid w:val="24B4543E"/>
    <w:rsid w:val="24B45F55"/>
    <w:rsid w:val="24B50519"/>
    <w:rsid w:val="24B6591B"/>
    <w:rsid w:val="24B740BF"/>
    <w:rsid w:val="24B83315"/>
    <w:rsid w:val="24B84555"/>
    <w:rsid w:val="24B91939"/>
    <w:rsid w:val="24B96126"/>
    <w:rsid w:val="24B96F50"/>
    <w:rsid w:val="24BA5D18"/>
    <w:rsid w:val="24BB37D4"/>
    <w:rsid w:val="24BB4BCA"/>
    <w:rsid w:val="24BB77DD"/>
    <w:rsid w:val="24BC54EC"/>
    <w:rsid w:val="24BC5D8B"/>
    <w:rsid w:val="24BF09F7"/>
    <w:rsid w:val="24BF0AEA"/>
    <w:rsid w:val="24BF2D29"/>
    <w:rsid w:val="24BF6222"/>
    <w:rsid w:val="24C063FD"/>
    <w:rsid w:val="24C13568"/>
    <w:rsid w:val="24C1359F"/>
    <w:rsid w:val="24C2136D"/>
    <w:rsid w:val="24C257C0"/>
    <w:rsid w:val="24C31BF0"/>
    <w:rsid w:val="24C31F83"/>
    <w:rsid w:val="24C45946"/>
    <w:rsid w:val="24C4697F"/>
    <w:rsid w:val="24C57FA9"/>
    <w:rsid w:val="24C630CC"/>
    <w:rsid w:val="24C65372"/>
    <w:rsid w:val="24C70119"/>
    <w:rsid w:val="24C84B79"/>
    <w:rsid w:val="24C86268"/>
    <w:rsid w:val="24C86644"/>
    <w:rsid w:val="24C92677"/>
    <w:rsid w:val="24CA3262"/>
    <w:rsid w:val="24CB12EC"/>
    <w:rsid w:val="24CB34B1"/>
    <w:rsid w:val="24CD0A8F"/>
    <w:rsid w:val="24CF19BC"/>
    <w:rsid w:val="24CF3999"/>
    <w:rsid w:val="24D00DA8"/>
    <w:rsid w:val="24D21D46"/>
    <w:rsid w:val="24D373EF"/>
    <w:rsid w:val="24D40EDE"/>
    <w:rsid w:val="24D46CDA"/>
    <w:rsid w:val="24D545CC"/>
    <w:rsid w:val="24D54E6B"/>
    <w:rsid w:val="24D54EEA"/>
    <w:rsid w:val="24D64800"/>
    <w:rsid w:val="24D665AE"/>
    <w:rsid w:val="24D67B63"/>
    <w:rsid w:val="24D739F5"/>
    <w:rsid w:val="24D749CA"/>
    <w:rsid w:val="24D87DB1"/>
    <w:rsid w:val="24D9609E"/>
    <w:rsid w:val="24DB298B"/>
    <w:rsid w:val="24DC7CF1"/>
    <w:rsid w:val="24DD0075"/>
    <w:rsid w:val="24DD00DF"/>
    <w:rsid w:val="24DD2294"/>
    <w:rsid w:val="24DD3289"/>
    <w:rsid w:val="24DE0291"/>
    <w:rsid w:val="24DE5363"/>
    <w:rsid w:val="24E01DC6"/>
    <w:rsid w:val="24E044D2"/>
    <w:rsid w:val="24E0742D"/>
    <w:rsid w:val="24E23B68"/>
    <w:rsid w:val="24E35063"/>
    <w:rsid w:val="24E40E30"/>
    <w:rsid w:val="24E46F1D"/>
    <w:rsid w:val="24E4735D"/>
    <w:rsid w:val="24E54A43"/>
    <w:rsid w:val="24E567F1"/>
    <w:rsid w:val="24E71634"/>
    <w:rsid w:val="24E72EEB"/>
    <w:rsid w:val="24E733C6"/>
    <w:rsid w:val="24E7671C"/>
    <w:rsid w:val="24E8332D"/>
    <w:rsid w:val="24E87B40"/>
    <w:rsid w:val="24EA32DC"/>
    <w:rsid w:val="24EB6C2C"/>
    <w:rsid w:val="24EB6F36"/>
    <w:rsid w:val="24EC4ADB"/>
    <w:rsid w:val="24ED190D"/>
    <w:rsid w:val="24ED2D10"/>
    <w:rsid w:val="24ED45C1"/>
    <w:rsid w:val="24EF2C61"/>
    <w:rsid w:val="24EF7588"/>
    <w:rsid w:val="24F02E15"/>
    <w:rsid w:val="24F10D26"/>
    <w:rsid w:val="24F1229D"/>
    <w:rsid w:val="24F2280F"/>
    <w:rsid w:val="24F508DE"/>
    <w:rsid w:val="24F65CD0"/>
    <w:rsid w:val="24F71BF0"/>
    <w:rsid w:val="24F72AFC"/>
    <w:rsid w:val="24F76B35"/>
    <w:rsid w:val="24F806C0"/>
    <w:rsid w:val="24F80BA9"/>
    <w:rsid w:val="24F828E9"/>
    <w:rsid w:val="24F9229C"/>
    <w:rsid w:val="24FB6014"/>
    <w:rsid w:val="24FC224D"/>
    <w:rsid w:val="24FD1D8D"/>
    <w:rsid w:val="24FD1EF8"/>
    <w:rsid w:val="24FD3288"/>
    <w:rsid w:val="24FF195F"/>
    <w:rsid w:val="24FF73CB"/>
    <w:rsid w:val="2500245D"/>
    <w:rsid w:val="250052AB"/>
    <w:rsid w:val="25011C53"/>
    <w:rsid w:val="2502111B"/>
    <w:rsid w:val="25021EB4"/>
    <w:rsid w:val="25024C03"/>
    <w:rsid w:val="250318FA"/>
    <w:rsid w:val="25062115"/>
    <w:rsid w:val="250665DE"/>
    <w:rsid w:val="25086C8D"/>
    <w:rsid w:val="250927FD"/>
    <w:rsid w:val="25094FEB"/>
    <w:rsid w:val="250A108A"/>
    <w:rsid w:val="250A111B"/>
    <w:rsid w:val="250A2633"/>
    <w:rsid w:val="250A426C"/>
    <w:rsid w:val="250C0222"/>
    <w:rsid w:val="250D3731"/>
    <w:rsid w:val="250D4D13"/>
    <w:rsid w:val="250D7AF6"/>
    <w:rsid w:val="250E0B4C"/>
    <w:rsid w:val="250E726B"/>
    <w:rsid w:val="250F5E26"/>
    <w:rsid w:val="25112E5F"/>
    <w:rsid w:val="2513397F"/>
    <w:rsid w:val="25145328"/>
    <w:rsid w:val="2515148A"/>
    <w:rsid w:val="2516076E"/>
    <w:rsid w:val="25171955"/>
    <w:rsid w:val="25177A1A"/>
    <w:rsid w:val="2518625E"/>
    <w:rsid w:val="25186BC6"/>
    <w:rsid w:val="251952CD"/>
    <w:rsid w:val="251A2D39"/>
    <w:rsid w:val="251A2D4A"/>
    <w:rsid w:val="251A3E89"/>
    <w:rsid w:val="251B0400"/>
    <w:rsid w:val="251B0465"/>
    <w:rsid w:val="251B2213"/>
    <w:rsid w:val="251B73A3"/>
    <w:rsid w:val="251D242F"/>
    <w:rsid w:val="251E2AD6"/>
    <w:rsid w:val="251E3693"/>
    <w:rsid w:val="251E6B93"/>
    <w:rsid w:val="251F61A7"/>
    <w:rsid w:val="25201F1F"/>
    <w:rsid w:val="2520440C"/>
    <w:rsid w:val="25207829"/>
    <w:rsid w:val="25231339"/>
    <w:rsid w:val="25245AA6"/>
    <w:rsid w:val="25256813"/>
    <w:rsid w:val="2526030B"/>
    <w:rsid w:val="2526151C"/>
    <w:rsid w:val="25283750"/>
    <w:rsid w:val="25291246"/>
    <w:rsid w:val="25293FDD"/>
    <w:rsid w:val="252A0156"/>
    <w:rsid w:val="252A033C"/>
    <w:rsid w:val="252C4420"/>
    <w:rsid w:val="252D53FE"/>
    <w:rsid w:val="252D66FD"/>
    <w:rsid w:val="252E2709"/>
    <w:rsid w:val="252F0929"/>
    <w:rsid w:val="252F3087"/>
    <w:rsid w:val="25303BE6"/>
    <w:rsid w:val="25306B73"/>
    <w:rsid w:val="2531310B"/>
    <w:rsid w:val="25331202"/>
    <w:rsid w:val="2533461C"/>
    <w:rsid w:val="253421B0"/>
    <w:rsid w:val="25352B7D"/>
    <w:rsid w:val="2536704D"/>
    <w:rsid w:val="25367417"/>
    <w:rsid w:val="253725AB"/>
    <w:rsid w:val="253773FA"/>
    <w:rsid w:val="25385294"/>
    <w:rsid w:val="25387269"/>
    <w:rsid w:val="25396B3D"/>
    <w:rsid w:val="25397112"/>
    <w:rsid w:val="253B2830"/>
    <w:rsid w:val="253B2878"/>
    <w:rsid w:val="253B4663"/>
    <w:rsid w:val="253D07AE"/>
    <w:rsid w:val="253D5AEE"/>
    <w:rsid w:val="253F4153"/>
    <w:rsid w:val="25404172"/>
    <w:rsid w:val="25407ECB"/>
    <w:rsid w:val="25413497"/>
    <w:rsid w:val="25422098"/>
    <w:rsid w:val="254256CA"/>
    <w:rsid w:val="2543788F"/>
    <w:rsid w:val="25450940"/>
    <w:rsid w:val="25477544"/>
    <w:rsid w:val="254A305F"/>
    <w:rsid w:val="254C6870"/>
    <w:rsid w:val="254D4A63"/>
    <w:rsid w:val="254E5A36"/>
    <w:rsid w:val="254F41BD"/>
    <w:rsid w:val="2551032A"/>
    <w:rsid w:val="255201FC"/>
    <w:rsid w:val="255209ED"/>
    <w:rsid w:val="255445EA"/>
    <w:rsid w:val="25555F05"/>
    <w:rsid w:val="255869C1"/>
    <w:rsid w:val="25594A65"/>
    <w:rsid w:val="25594F9F"/>
    <w:rsid w:val="255A0F8D"/>
    <w:rsid w:val="255B4CEF"/>
    <w:rsid w:val="255D1541"/>
    <w:rsid w:val="255E2196"/>
    <w:rsid w:val="255F68A1"/>
    <w:rsid w:val="25606344"/>
    <w:rsid w:val="2561102C"/>
    <w:rsid w:val="256261AB"/>
    <w:rsid w:val="25627259"/>
    <w:rsid w:val="2563247C"/>
    <w:rsid w:val="25641112"/>
    <w:rsid w:val="25642005"/>
    <w:rsid w:val="256537C5"/>
    <w:rsid w:val="2565387F"/>
    <w:rsid w:val="256745E4"/>
    <w:rsid w:val="25675458"/>
    <w:rsid w:val="25675748"/>
    <w:rsid w:val="25682745"/>
    <w:rsid w:val="256908D9"/>
    <w:rsid w:val="25695993"/>
    <w:rsid w:val="25697998"/>
    <w:rsid w:val="256A244C"/>
    <w:rsid w:val="256A61E3"/>
    <w:rsid w:val="256D201E"/>
    <w:rsid w:val="256D2A5A"/>
    <w:rsid w:val="256D3EE4"/>
    <w:rsid w:val="256D5CC5"/>
    <w:rsid w:val="256E4B60"/>
    <w:rsid w:val="256E67E6"/>
    <w:rsid w:val="256E7960"/>
    <w:rsid w:val="256F470B"/>
    <w:rsid w:val="25701708"/>
    <w:rsid w:val="25750D2C"/>
    <w:rsid w:val="257531E6"/>
    <w:rsid w:val="25754019"/>
    <w:rsid w:val="25756071"/>
    <w:rsid w:val="2576468E"/>
    <w:rsid w:val="257752D1"/>
    <w:rsid w:val="25776B77"/>
    <w:rsid w:val="257833A7"/>
    <w:rsid w:val="257842C5"/>
    <w:rsid w:val="25786102"/>
    <w:rsid w:val="257B385C"/>
    <w:rsid w:val="257D4C7B"/>
    <w:rsid w:val="257E4755"/>
    <w:rsid w:val="257E748B"/>
    <w:rsid w:val="257F27A2"/>
    <w:rsid w:val="257F2DC4"/>
    <w:rsid w:val="257F77D2"/>
    <w:rsid w:val="258016E4"/>
    <w:rsid w:val="25801CC6"/>
    <w:rsid w:val="258204E4"/>
    <w:rsid w:val="25832E07"/>
    <w:rsid w:val="258355DC"/>
    <w:rsid w:val="2584351E"/>
    <w:rsid w:val="2584600A"/>
    <w:rsid w:val="2584689F"/>
    <w:rsid w:val="25852DBB"/>
    <w:rsid w:val="25854B6C"/>
    <w:rsid w:val="25857E7B"/>
    <w:rsid w:val="25871783"/>
    <w:rsid w:val="258723DB"/>
    <w:rsid w:val="25873000"/>
    <w:rsid w:val="25876F14"/>
    <w:rsid w:val="2588020F"/>
    <w:rsid w:val="25885131"/>
    <w:rsid w:val="25893620"/>
    <w:rsid w:val="258B7398"/>
    <w:rsid w:val="258D24BC"/>
    <w:rsid w:val="258E0E11"/>
    <w:rsid w:val="258F6E4A"/>
    <w:rsid w:val="25902941"/>
    <w:rsid w:val="259049AF"/>
    <w:rsid w:val="2591055E"/>
    <w:rsid w:val="25914D4F"/>
    <w:rsid w:val="259167C1"/>
    <w:rsid w:val="25921364"/>
    <w:rsid w:val="25923B47"/>
    <w:rsid w:val="259315DE"/>
    <w:rsid w:val="25937077"/>
    <w:rsid w:val="25944AA9"/>
    <w:rsid w:val="25946B13"/>
    <w:rsid w:val="2596403B"/>
    <w:rsid w:val="25971900"/>
    <w:rsid w:val="25983276"/>
    <w:rsid w:val="25983F78"/>
    <w:rsid w:val="25990713"/>
    <w:rsid w:val="25997DE6"/>
    <w:rsid w:val="259A519A"/>
    <w:rsid w:val="259B4462"/>
    <w:rsid w:val="259C7AF4"/>
    <w:rsid w:val="259D08E8"/>
    <w:rsid w:val="259D3753"/>
    <w:rsid w:val="259D5973"/>
    <w:rsid w:val="25A0633E"/>
    <w:rsid w:val="25A161CA"/>
    <w:rsid w:val="25A20E20"/>
    <w:rsid w:val="25A4112A"/>
    <w:rsid w:val="25A50D72"/>
    <w:rsid w:val="25A548A1"/>
    <w:rsid w:val="25A549AF"/>
    <w:rsid w:val="25A6086F"/>
    <w:rsid w:val="25A62FF3"/>
    <w:rsid w:val="25A76296"/>
    <w:rsid w:val="25A9081D"/>
    <w:rsid w:val="25A945FB"/>
    <w:rsid w:val="25A95A70"/>
    <w:rsid w:val="25AA7F8B"/>
    <w:rsid w:val="25AB0B9A"/>
    <w:rsid w:val="25AB47DA"/>
    <w:rsid w:val="25AD74DE"/>
    <w:rsid w:val="25AE2268"/>
    <w:rsid w:val="25AF4181"/>
    <w:rsid w:val="25AF6769"/>
    <w:rsid w:val="25AF7183"/>
    <w:rsid w:val="25B14925"/>
    <w:rsid w:val="25B22918"/>
    <w:rsid w:val="25B243B6"/>
    <w:rsid w:val="25B368EF"/>
    <w:rsid w:val="25B44DBE"/>
    <w:rsid w:val="25B508B9"/>
    <w:rsid w:val="25B5286F"/>
    <w:rsid w:val="25B71472"/>
    <w:rsid w:val="25BA5ED0"/>
    <w:rsid w:val="25BB1ED6"/>
    <w:rsid w:val="25BB437F"/>
    <w:rsid w:val="25BB5B26"/>
    <w:rsid w:val="25BB5E41"/>
    <w:rsid w:val="25BD0595"/>
    <w:rsid w:val="25BF1403"/>
    <w:rsid w:val="25BF395F"/>
    <w:rsid w:val="25BF79C0"/>
    <w:rsid w:val="25C02188"/>
    <w:rsid w:val="25C0542F"/>
    <w:rsid w:val="25C2078C"/>
    <w:rsid w:val="25C2471A"/>
    <w:rsid w:val="25C52620"/>
    <w:rsid w:val="25C5343E"/>
    <w:rsid w:val="25C670D8"/>
    <w:rsid w:val="25C8287A"/>
    <w:rsid w:val="25C84BEB"/>
    <w:rsid w:val="25C95221"/>
    <w:rsid w:val="25C97EC1"/>
    <w:rsid w:val="25CA74FD"/>
    <w:rsid w:val="25CC2D39"/>
    <w:rsid w:val="25CD22A1"/>
    <w:rsid w:val="25CE197B"/>
    <w:rsid w:val="25CE4BCE"/>
    <w:rsid w:val="25CE7E17"/>
    <w:rsid w:val="25CF13FB"/>
    <w:rsid w:val="25CF6D19"/>
    <w:rsid w:val="25D04A91"/>
    <w:rsid w:val="25D05E7A"/>
    <w:rsid w:val="25D32AED"/>
    <w:rsid w:val="25D3781C"/>
    <w:rsid w:val="25D56FD7"/>
    <w:rsid w:val="25D63B72"/>
    <w:rsid w:val="25D77156"/>
    <w:rsid w:val="25DA3763"/>
    <w:rsid w:val="25DA6DC1"/>
    <w:rsid w:val="25DA7469"/>
    <w:rsid w:val="25DC097F"/>
    <w:rsid w:val="25DC73F0"/>
    <w:rsid w:val="25DC7BF4"/>
    <w:rsid w:val="25DC7D36"/>
    <w:rsid w:val="25DD02A2"/>
    <w:rsid w:val="25DF397B"/>
    <w:rsid w:val="25E010B2"/>
    <w:rsid w:val="25E06519"/>
    <w:rsid w:val="25E1096F"/>
    <w:rsid w:val="25E1243F"/>
    <w:rsid w:val="25E30E0B"/>
    <w:rsid w:val="25E33EBB"/>
    <w:rsid w:val="25E3730F"/>
    <w:rsid w:val="25E436E6"/>
    <w:rsid w:val="25E46AA9"/>
    <w:rsid w:val="25E51D67"/>
    <w:rsid w:val="25E531A1"/>
    <w:rsid w:val="25E7558E"/>
    <w:rsid w:val="25E87216"/>
    <w:rsid w:val="25E93187"/>
    <w:rsid w:val="25E940BF"/>
    <w:rsid w:val="25EC2D81"/>
    <w:rsid w:val="25EC4439"/>
    <w:rsid w:val="25F15F86"/>
    <w:rsid w:val="25F211C5"/>
    <w:rsid w:val="25F26F7B"/>
    <w:rsid w:val="25F31A45"/>
    <w:rsid w:val="25F31E7F"/>
    <w:rsid w:val="25F333E4"/>
    <w:rsid w:val="25F52A64"/>
    <w:rsid w:val="25F56F08"/>
    <w:rsid w:val="25F600BD"/>
    <w:rsid w:val="25F74A2E"/>
    <w:rsid w:val="25F80884"/>
    <w:rsid w:val="25F81C56"/>
    <w:rsid w:val="25FA0251"/>
    <w:rsid w:val="25FA62CC"/>
    <w:rsid w:val="25FB44EA"/>
    <w:rsid w:val="25FD4D49"/>
    <w:rsid w:val="25FD7B6A"/>
    <w:rsid w:val="25FE06EA"/>
    <w:rsid w:val="25FE4A18"/>
    <w:rsid w:val="260019FC"/>
    <w:rsid w:val="26001DB7"/>
    <w:rsid w:val="260025FE"/>
    <w:rsid w:val="260158AC"/>
    <w:rsid w:val="260225A7"/>
    <w:rsid w:val="26031CEA"/>
    <w:rsid w:val="26035EB0"/>
    <w:rsid w:val="26036CE4"/>
    <w:rsid w:val="26040EF9"/>
    <w:rsid w:val="2604637D"/>
    <w:rsid w:val="26057CF0"/>
    <w:rsid w:val="260662B7"/>
    <w:rsid w:val="260700C6"/>
    <w:rsid w:val="260A14DE"/>
    <w:rsid w:val="260A3F14"/>
    <w:rsid w:val="260B65ED"/>
    <w:rsid w:val="260B6BBB"/>
    <w:rsid w:val="260C6665"/>
    <w:rsid w:val="260D14E7"/>
    <w:rsid w:val="260D2697"/>
    <w:rsid w:val="260D4E12"/>
    <w:rsid w:val="260D5C5B"/>
    <w:rsid w:val="260F35F4"/>
    <w:rsid w:val="26111E0A"/>
    <w:rsid w:val="2611255C"/>
    <w:rsid w:val="26113BA0"/>
    <w:rsid w:val="26121868"/>
    <w:rsid w:val="26124153"/>
    <w:rsid w:val="26127ABA"/>
    <w:rsid w:val="261343AE"/>
    <w:rsid w:val="261403D4"/>
    <w:rsid w:val="26140F51"/>
    <w:rsid w:val="26153106"/>
    <w:rsid w:val="26163176"/>
    <w:rsid w:val="26164A75"/>
    <w:rsid w:val="26172DBA"/>
    <w:rsid w:val="26177A08"/>
    <w:rsid w:val="261854C9"/>
    <w:rsid w:val="2619025D"/>
    <w:rsid w:val="261A7BD1"/>
    <w:rsid w:val="261B1912"/>
    <w:rsid w:val="261B23B1"/>
    <w:rsid w:val="261B2DD7"/>
    <w:rsid w:val="261B5E2B"/>
    <w:rsid w:val="261C0A8D"/>
    <w:rsid w:val="261C69CC"/>
    <w:rsid w:val="261D07A4"/>
    <w:rsid w:val="261D37EF"/>
    <w:rsid w:val="261E5E0D"/>
    <w:rsid w:val="262011CB"/>
    <w:rsid w:val="26203922"/>
    <w:rsid w:val="26213C64"/>
    <w:rsid w:val="262214E2"/>
    <w:rsid w:val="26226403"/>
    <w:rsid w:val="26235823"/>
    <w:rsid w:val="262422AD"/>
    <w:rsid w:val="262446E1"/>
    <w:rsid w:val="262477ED"/>
    <w:rsid w:val="262537C6"/>
    <w:rsid w:val="26257FE8"/>
    <w:rsid w:val="26262914"/>
    <w:rsid w:val="26291F16"/>
    <w:rsid w:val="26296B8D"/>
    <w:rsid w:val="262B2929"/>
    <w:rsid w:val="262C10B7"/>
    <w:rsid w:val="262C420B"/>
    <w:rsid w:val="262C5394"/>
    <w:rsid w:val="262D044F"/>
    <w:rsid w:val="262D7E77"/>
    <w:rsid w:val="262E0EDA"/>
    <w:rsid w:val="262E3DD7"/>
    <w:rsid w:val="262F14EE"/>
    <w:rsid w:val="262F241A"/>
    <w:rsid w:val="262F6908"/>
    <w:rsid w:val="262F71C5"/>
    <w:rsid w:val="263376C3"/>
    <w:rsid w:val="263419A5"/>
    <w:rsid w:val="263537A8"/>
    <w:rsid w:val="26355556"/>
    <w:rsid w:val="26367BD9"/>
    <w:rsid w:val="26376000"/>
    <w:rsid w:val="26376791"/>
    <w:rsid w:val="263877F8"/>
    <w:rsid w:val="26395046"/>
    <w:rsid w:val="26397485"/>
    <w:rsid w:val="26397917"/>
    <w:rsid w:val="263A1741"/>
    <w:rsid w:val="263A2B6C"/>
    <w:rsid w:val="263B2EA2"/>
    <w:rsid w:val="263B5AF2"/>
    <w:rsid w:val="263C7CAD"/>
    <w:rsid w:val="263D105D"/>
    <w:rsid w:val="263D1C5C"/>
    <w:rsid w:val="263E08AF"/>
    <w:rsid w:val="263F14EC"/>
    <w:rsid w:val="264052DC"/>
    <w:rsid w:val="26416A95"/>
    <w:rsid w:val="26421195"/>
    <w:rsid w:val="26422509"/>
    <w:rsid w:val="26433204"/>
    <w:rsid w:val="2644165A"/>
    <w:rsid w:val="26442D7E"/>
    <w:rsid w:val="264535B2"/>
    <w:rsid w:val="26462B66"/>
    <w:rsid w:val="264639C2"/>
    <w:rsid w:val="26493DA0"/>
    <w:rsid w:val="2649680B"/>
    <w:rsid w:val="264A15BB"/>
    <w:rsid w:val="264A4933"/>
    <w:rsid w:val="264A7253"/>
    <w:rsid w:val="264D156F"/>
    <w:rsid w:val="264F52E3"/>
    <w:rsid w:val="264F6618"/>
    <w:rsid w:val="26503E0F"/>
    <w:rsid w:val="26517A93"/>
    <w:rsid w:val="2652135E"/>
    <w:rsid w:val="2652217A"/>
    <w:rsid w:val="265321BC"/>
    <w:rsid w:val="26532CE7"/>
    <w:rsid w:val="26544F07"/>
    <w:rsid w:val="2655616E"/>
    <w:rsid w:val="26562AEF"/>
    <w:rsid w:val="265645F5"/>
    <w:rsid w:val="26564F48"/>
    <w:rsid w:val="26566A86"/>
    <w:rsid w:val="26567AD0"/>
    <w:rsid w:val="265740AF"/>
    <w:rsid w:val="265920E0"/>
    <w:rsid w:val="265A29F4"/>
    <w:rsid w:val="265D403A"/>
    <w:rsid w:val="265E391C"/>
    <w:rsid w:val="265E47A1"/>
    <w:rsid w:val="26612A02"/>
    <w:rsid w:val="26635059"/>
    <w:rsid w:val="26636438"/>
    <w:rsid w:val="2664166E"/>
    <w:rsid w:val="26642959"/>
    <w:rsid w:val="2665408D"/>
    <w:rsid w:val="26681488"/>
    <w:rsid w:val="26684E72"/>
    <w:rsid w:val="2669305E"/>
    <w:rsid w:val="266B6B78"/>
    <w:rsid w:val="266C1B15"/>
    <w:rsid w:val="266C1C6A"/>
    <w:rsid w:val="266D4CF0"/>
    <w:rsid w:val="266D6982"/>
    <w:rsid w:val="266E2CA6"/>
    <w:rsid w:val="266F1DA1"/>
    <w:rsid w:val="266F2E08"/>
    <w:rsid w:val="26704B8B"/>
    <w:rsid w:val="26712A32"/>
    <w:rsid w:val="26723BCD"/>
    <w:rsid w:val="26723C36"/>
    <w:rsid w:val="267247B8"/>
    <w:rsid w:val="267450E2"/>
    <w:rsid w:val="267570D2"/>
    <w:rsid w:val="26772B1B"/>
    <w:rsid w:val="2678416E"/>
    <w:rsid w:val="267918E7"/>
    <w:rsid w:val="26795443"/>
    <w:rsid w:val="267A5A56"/>
    <w:rsid w:val="267A740D"/>
    <w:rsid w:val="267A78CA"/>
    <w:rsid w:val="267B1637"/>
    <w:rsid w:val="267B47E5"/>
    <w:rsid w:val="267C3ECB"/>
    <w:rsid w:val="267D1B27"/>
    <w:rsid w:val="267D5DA7"/>
    <w:rsid w:val="267D7E99"/>
    <w:rsid w:val="267F570C"/>
    <w:rsid w:val="267F5B9A"/>
    <w:rsid w:val="267F65F6"/>
    <w:rsid w:val="26807DDA"/>
    <w:rsid w:val="2683377C"/>
    <w:rsid w:val="26837C22"/>
    <w:rsid w:val="268445FA"/>
    <w:rsid w:val="26847829"/>
    <w:rsid w:val="26851DE7"/>
    <w:rsid w:val="26865DB2"/>
    <w:rsid w:val="26870BCA"/>
    <w:rsid w:val="2687553F"/>
    <w:rsid w:val="26875DD9"/>
    <w:rsid w:val="268950F8"/>
    <w:rsid w:val="268A5BE1"/>
    <w:rsid w:val="268A7A48"/>
    <w:rsid w:val="268B0B38"/>
    <w:rsid w:val="268B33C8"/>
    <w:rsid w:val="268D5392"/>
    <w:rsid w:val="268E681E"/>
    <w:rsid w:val="268F0A8E"/>
    <w:rsid w:val="268F52E3"/>
    <w:rsid w:val="2690545A"/>
    <w:rsid w:val="269119CA"/>
    <w:rsid w:val="2691462A"/>
    <w:rsid w:val="26946305"/>
    <w:rsid w:val="269516C8"/>
    <w:rsid w:val="269566F2"/>
    <w:rsid w:val="2696295E"/>
    <w:rsid w:val="269629DC"/>
    <w:rsid w:val="26972725"/>
    <w:rsid w:val="269957F4"/>
    <w:rsid w:val="269E52EC"/>
    <w:rsid w:val="269E5B3B"/>
    <w:rsid w:val="269F3CA3"/>
    <w:rsid w:val="269F7E5B"/>
    <w:rsid w:val="26A1499A"/>
    <w:rsid w:val="26A22CAD"/>
    <w:rsid w:val="26A307CD"/>
    <w:rsid w:val="26A457A4"/>
    <w:rsid w:val="26A50A6A"/>
    <w:rsid w:val="26A631F3"/>
    <w:rsid w:val="26A64D45"/>
    <w:rsid w:val="26A662B4"/>
    <w:rsid w:val="26A7181B"/>
    <w:rsid w:val="26A73923"/>
    <w:rsid w:val="26A86847"/>
    <w:rsid w:val="26AB25E8"/>
    <w:rsid w:val="26AC477F"/>
    <w:rsid w:val="26AD6D16"/>
    <w:rsid w:val="26AD7DAB"/>
    <w:rsid w:val="26AE0625"/>
    <w:rsid w:val="26AE4545"/>
    <w:rsid w:val="26B115F0"/>
    <w:rsid w:val="26B22148"/>
    <w:rsid w:val="26B3046B"/>
    <w:rsid w:val="26B43C52"/>
    <w:rsid w:val="26B54824"/>
    <w:rsid w:val="26B54902"/>
    <w:rsid w:val="26B6391A"/>
    <w:rsid w:val="26B648E9"/>
    <w:rsid w:val="26B64F4F"/>
    <w:rsid w:val="26B6662A"/>
    <w:rsid w:val="26B70D36"/>
    <w:rsid w:val="26B718C0"/>
    <w:rsid w:val="26B81276"/>
    <w:rsid w:val="26B86DC0"/>
    <w:rsid w:val="26B87ECC"/>
    <w:rsid w:val="26B9266D"/>
    <w:rsid w:val="26B92E82"/>
    <w:rsid w:val="26B953CA"/>
    <w:rsid w:val="26B96F61"/>
    <w:rsid w:val="26BA3FBB"/>
    <w:rsid w:val="26BC17D3"/>
    <w:rsid w:val="26BD0503"/>
    <w:rsid w:val="26BD063A"/>
    <w:rsid w:val="26BD490E"/>
    <w:rsid w:val="26BD7CAA"/>
    <w:rsid w:val="26BF222E"/>
    <w:rsid w:val="26BF2A05"/>
    <w:rsid w:val="26BF7CDE"/>
    <w:rsid w:val="26C11C17"/>
    <w:rsid w:val="26C11D23"/>
    <w:rsid w:val="26C1383B"/>
    <w:rsid w:val="26C16F44"/>
    <w:rsid w:val="26C21459"/>
    <w:rsid w:val="26C34DB4"/>
    <w:rsid w:val="26C50688"/>
    <w:rsid w:val="26C60C4E"/>
    <w:rsid w:val="26C64605"/>
    <w:rsid w:val="26C656E7"/>
    <w:rsid w:val="26C857B1"/>
    <w:rsid w:val="26C857DD"/>
    <w:rsid w:val="26C863CA"/>
    <w:rsid w:val="26C872BD"/>
    <w:rsid w:val="26C909C7"/>
    <w:rsid w:val="26CC7BB9"/>
    <w:rsid w:val="26CE5111"/>
    <w:rsid w:val="26CF21AD"/>
    <w:rsid w:val="26D008AE"/>
    <w:rsid w:val="26D13174"/>
    <w:rsid w:val="26D219F9"/>
    <w:rsid w:val="26D3351B"/>
    <w:rsid w:val="26D4022A"/>
    <w:rsid w:val="26D579ED"/>
    <w:rsid w:val="26D677B6"/>
    <w:rsid w:val="26D77A4E"/>
    <w:rsid w:val="26D86BF8"/>
    <w:rsid w:val="26D905D7"/>
    <w:rsid w:val="26D92385"/>
    <w:rsid w:val="26DA06A7"/>
    <w:rsid w:val="26DA29BF"/>
    <w:rsid w:val="26DB4B7E"/>
    <w:rsid w:val="26DB55D3"/>
    <w:rsid w:val="26DC2347"/>
    <w:rsid w:val="26DC3466"/>
    <w:rsid w:val="26DC48C5"/>
    <w:rsid w:val="26DD084F"/>
    <w:rsid w:val="26E010E3"/>
    <w:rsid w:val="26E02504"/>
    <w:rsid w:val="26E07478"/>
    <w:rsid w:val="26E21714"/>
    <w:rsid w:val="26E2660B"/>
    <w:rsid w:val="26E47B75"/>
    <w:rsid w:val="26E62B73"/>
    <w:rsid w:val="26E712EE"/>
    <w:rsid w:val="26E74BC0"/>
    <w:rsid w:val="26E765DD"/>
    <w:rsid w:val="26E8081A"/>
    <w:rsid w:val="26E8098A"/>
    <w:rsid w:val="26E82C56"/>
    <w:rsid w:val="26E860A8"/>
    <w:rsid w:val="26E91AA5"/>
    <w:rsid w:val="26EA56B0"/>
    <w:rsid w:val="26ED0DA0"/>
    <w:rsid w:val="26ED5E31"/>
    <w:rsid w:val="26EE13D9"/>
    <w:rsid w:val="26EE2F4B"/>
    <w:rsid w:val="26EF759A"/>
    <w:rsid w:val="26F10A7B"/>
    <w:rsid w:val="26F1147D"/>
    <w:rsid w:val="26F12ADB"/>
    <w:rsid w:val="26F21DE5"/>
    <w:rsid w:val="26F253EA"/>
    <w:rsid w:val="26F45733"/>
    <w:rsid w:val="26F521EF"/>
    <w:rsid w:val="26F52461"/>
    <w:rsid w:val="26F56860"/>
    <w:rsid w:val="26F62F37"/>
    <w:rsid w:val="26F70A5D"/>
    <w:rsid w:val="26F71413"/>
    <w:rsid w:val="26F85EB9"/>
    <w:rsid w:val="26F92AB1"/>
    <w:rsid w:val="26FB4A31"/>
    <w:rsid w:val="26FC559D"/>
    <w:rsid w:val="26FD5BC2"/>
    <w:rsid w:val="26FD5FB8"/>
    <w:rsid w:val="270005DA"/>
    <w:rsid w:val="27003DB6"/>
    <w:rsid w:val="27007912"/>
    <w:rsid w:val="27017BC1"/>
    <w:rsid w:val="27020DAE"/>
    <w:rsid w:val="270253D8"/>
    <w:rsid w:val="2705317A"/>
    <w:rsid w:val="27077F58"/>
    <w:rsid w:val="27084A19"/>
    <w:rsid w:val="2708710F"/>
    <w:rsid w:val="270928A4"/>
    <w:rsid w:val="27096287"/>
    <w:rsid w:val="270A01FA"/>
    <w:rsid w:val="270A0791"/>
    <w:rsid w:val="270A34D9"/>
    <w:rsid w:val="270B6250"/>
    <w:rsid w:val="270C0B22"/>
    <w:rsid w:val="270C62B7"/>
    <w:rsid w:val="270E1B1F"/>
    <w:rsid w:val="270E5617"/>
    <w:rsid w:val="270F5DA7"/>
    <w:rsid w:val="2710495C"/>
    <w:rsid w:val="27111B1F"/>
    <w:rsid w:val="27113153"/>
    <w:rsid w:val="27115187"/>
    <w:rsid w:val="271177EE"/>
    <w:rsid w:val="271311AB"/>
    <w:rsid w:val="2715029F"/>
    <w:rsid w:val="27153D5B"/>
    <w:rsid w:val="27165DF1"/>
    <w:rsid w:val="27165EAB"/>
    <w:rsid w:val="271665F6"/>
    <w:rsid w:val="27176B34"/>
    <w:rsid w:val="271810F5"/>
    <w:rsid w:val="27182EAE"/>
    <w:rsid w:val="27184F20"/>
    <w:rsid w:val="27194E78"/>
    <w:rsid w:val="271A0416"/>
    <w:rsid w:val="271B318F"/>
    <w:rsid w:val="271B3787"/>
    <w:rsid w:val="271B474C"/>
    <w:rsid w:val="271C12F6"/>
    <w:rsid w:val="271D04C4"/>
    <w:rsid w:val="271D1173"/>
    <w:rsid w:val="271D4B63"/>
    <w:rsid w:val="271E274A"/>
    <w:rsid w:val="271E761A"/>
    <w:rsid w:val="271F694F"/>
    <w:rsid w:val="27204802"/>
    <w:rsid w:val="27206337"/>
    <w:rsid w:val="27212DF2"/>
    <w:rsid w:val="27213CBD"/>
    <w:rsid w:val="27217B11"/>
    <w:rsid w:val="27221F7E"/>
    <w:rsid w:val="272338CB"/>
    <w:rsid w:val="27244C60"/>
    <w:rsid w:val="27247AA4"/>
    <w:rsid w:val="27252C52"/>
    <w:rsid w:val="27257379"/>
    <w:rsid w:val="27263E01"/>
    <w:rsid w:val="272864AD"/>
    <w:rsid w:val="272967B6"/>
    <w:rsid w:val="272A5D82"/>
    <w:rsid w:val="272A7058"/>
    <w:rsid w:val="272B290F"/>
    <w:rsid w:val="272C4BAB"/>
    <w:rsid w:val="272C6E61"/>
    <w:rsid w:val="272D7221"/>
    <w:rsid w:val="272E0923"/>
    <w:rsid w:val="272F45A5"/>
    <w:rsid w:val="273017C0"/>
    <w:rsid w:val="27305B5F"/>
    <w:rsid w:val="27315D1D"/>
    <w:rsid w:val="273342ED"/>
    <w:rsid w:val="27335A7A"/>
    <w:rsid w:val="2736516F"/>
    <w:rsid w:val="27367355"/>
    <w:rsid w:val="273714DE"/>
    <w:rsid w:val="27382668"/>
    <w:rsid w:val="27390587"/>
    <w:rsid w:val="2739230E"/>
    <w:rsid w:val="27392A8D"/>
    <w:rsid w:val="273A7E19"/>
    <w:rsid w:val="273B3040"/>
    <w:rsid w:val="273B4DEE"/>
    <w:rsid w:val="273B5DD0"/>
    <w:rsid w:val="273B6968"/>
    <w:rsid w:val="273D7373"/>
    <w:rsid w:val="273E17AC"/>
    <w:rsid w:val="273E536D"/>
    <w:rsid w:val="273E71E2"/>
    <w:rsid w:val="274001D4"/>
    <w:rsid w:val="27403132"/>
    <w:rsid w:val="27416A3A"/>
    <w:rsid w:val="27417ECD"/>
    <w:rsid w:val="27421CD9"/>
    <w:rsid w:val="274243CE"/>
    <w:rsid w:val="27424408"/>
    <w:rsid w:val="274254B6"/>
    <w:rsid w:val="27432AFF"/>
    <w:rsid w:val="27433332"/>
    <w:rsid w:val="27446632"/>
    <w:rsid w:val="27450589"/>
    <w:rsid w:val="27453BED"/>
    <w:rsid w:val="27462A45"/>
    <w:rsid w:val="27463C22"/>
    <w:rsid w:val="27467D9E"/>
    <w:rsid w:val="27477D62"/>
    <w:rsid w:val="27482A1B"/>
    <w:rsid w:val="274952AF"/>
    <w:rsid w:val="274A177F"/>
    <w:rsid w:val="274A3283"/>
    <w:rsid w:val="274D7DED"/>
    <w:rsid w:val="274E1D31"/>
    <w:rsid w:val="274E6D7C"/>
    <w:rsid w:val="274F3A6A"/>
    <w:rsid w:val="274F6A87"/>
    <w:rsid w:val="2750140C"/>
    <w:rsid w:val="27502694"/>
    <w:rsid w:val="27512402"/>
    <w:rsid w:val="27515B14"/>
    <w:rsid w:val="2752212D"/>
    <w:rsid w:val="27536AE7"/>
    <w:rsid w:val="275413E1"/>
    <w:rsid w:val="27545EB0"/>
    <w:rsid w:val="27550E8B"/>
    <w:rsid w:val="275565A8"/>
    <w:rsid w:val="275615A4"/>
    <w:rsid w:val="27565BD3"/>
    <w:rsid w:val="275A068B"/>
    <w:rsid w:val="275A1718"/>
    <w:rsid w:val="275A5F54"/>
    <w:rsid w:val="275A5F6A"/>
    <w:rsid w:val="275B3DBD"/>
    <w:rsid w:val="275E0050"/>
    <w:rsid w:val="275E5052"/>
    <w:rsid w:val="275E645E"/>
    <w:rsid w:val="275E6CDC"/>
    <w:rsid w:val="275F73A9"/>
    <w:rsid w:val="27602478"/>
    <w:rsid w:val="2761249D"/>
    <w:rsid w:val="276151E9"/>
    <w:rsid w:val="27617291"/>
    <w:rsid w:val="276271E1"/>
    <w:rsid w:val="276306C1"/>
    <w:rsid w:val="2763275B"/>
    <w:rsid w:val="27641721"/>
    <w:rsid w:val="27654C47"/>
    <w:rsid w:val="27660DF3"/>
    <w:rsid w:val="27677D87"/>
    <w:rsid w:val="276866C1"/>
    <w:rsid w:val="276A00DF"/>
    <w:rsid w:val="276A0682"/>
    <w:rsid w:val="276B4995"/>
    <w:rsid w:val="276D133B"/>
    <w:rsid w:val="276D1AA8"/>
    <w:rsid w:val="276D58B8"/>
    <w:rsid w:val="276D762A"/>
    <w:rsid w:val="276E0D20"/>
    <w:rsid w:val="276E1EFB"/>
    <w:rsid w:val="276F0E52"/>
    <w:rsid w:val="276F67AE"/>
    <w:rsid w:val="277057A2"/>
    <w:rsid w:val="27705C24"/>
    <w:rsid w:val="277103FE"/>
    <w:rsid w:val="27716A62"/>
    <w:rsid w:val="27717B18"/>
    <w:rsid w:val="27722EB9"/>
    <w:rsid w:val="27732BED"/>
    <w:rsid w:val="27742350"/>
    <w:rsid w:val="27746A96"/>
    <w:rsid w:val="27750300"/>
    <w:rsid w:val="27783572"/>
    <w:rsid w:val="2778678D"/>
    <w:rsid w:val="27793942"/>
    <w:rsid w:val="277A343F"/>
    <w:rsid w:val="277C4693"/>
    <w:rsid w:val="277D3B95"/>
    <w:rsid w:val="277D3D7A"/>
    <w:rsid w:val="277D5634"/>
    <w:rsid w:val="277D642C"/>
    <w:rsid w:val="277E34DF"/>
    <w:rsid w:val="277F60B6"/>
    <w:rsid w:val="27802FBD"/>
    <w:rsid w:val="278059B9"/>
    <w:rsid w:val="27806CA5"/>
    <w:rsid w:val="27816B59"/>
    <w:rsid w:val="2783100A"/>
    <w:rsid w:val="2783664C"/>
    <w:rsid w:val="27845C34"/>
    <w:rsid w:val="27846879"/>
    <w:rsid w:val="278542BB"/>
    <w:rsid w:val="27856565"/>
    <w:rsid w:val="27867DA4"/>
    <w:rsid w:val="27875B71"/>
    <w:rsid w:val="27886C6A"/>
    <w:rsid w:val="278A5DF7"/>
    <w:rsid w:val="278B3A6A"/>
    <w:rsid w:val="278B4BD4"/>
    <w:rsid w:val="278D00B1"/>
    <w:rsid w:val="278E37C0"/>
    <w:rsid w:val="278E6955"/>
    <w:rsid w:val="278F29AD"/>
    <w:rsid w:val="278F6A47"/>
    <w:rsid w:val="27906EE8"/>
    <w:rsid w:val="2791133C"/>
    <w:rsid w:val="2791133F"/>
    <w:rsid w:val="27912118"/>
    <w:rsid w:val="279215BA"/>
    <w:rsid w:val="279222E6"/>
    <w:rsid w:val="27941FD7"/>
    <w:rsid w:val="27947449"/>
    <w:rsid w:val="279544FE"/>
    <w:rsid w:val="2796292E"/>
    <w:rsid w:val="27963632"/>
    <w:rsid w:val="27965D1C"/>
    <w:rsid w:val="27985494"/>
    <w:rsid w:val="279976E6"/>
    <w:rsid w:val="279A1B15"/>
    <w:rsid w:val="279B763B"/>
    <w:rsid w:val="279C3849"/>
    <w:rsid w:val="279D5697"/>
    <w:rsid w:val="279D572E"/>
    <w:rsid w:val="279E4117"/>
    <w:rsid w:val="279F537D"/>
    <w:rsid w:val="279F5E5B"/>
    <w:rsid w:val="279F7950"/>
    <w:rsid w:val="27A03FA9"/>
    <w:rsid w:val="27A04C51"/>
    <w:rsid w:val="27A12A4E"/>
    <w:rsid w:val="27A2004A"/>
    <w:rsid w:val="27A204A5"/>
    <w:rsid w:val="27A225A9"/>
    <w:rsid w:val="27A24A1A"/>
    <w:rsid w:val="27A24C5F"/>
    <w:rsid w:val="27A333B8"/>
    <w:rsid w:val="27A368E1"/>
    <w:rsid w:val="27A52D5C"/>
    <w:rsid w:val="27A542E7"/>
    <w:rsid w:val="27A566A2"/>
    <w:rsid w:val="27A62C49"/>
    <w:rsid w:val="27A65834"/>
    <w:rsid w:val="27A7575A"/>
    <w:rsid w:val="27A77EBF"/>
    <w:rsid w:val="27A95F90"/>
    <w:rsid w:val="27AA0374"/>
    <w:rsid w:val="27AB0BD5"/>
    <w:rsid w:val="27AB2135"/>
    <w:rsid w:val="27AB3482"/>
    <w:rsid w:val="27AC0A32"/>
    <w:rsid w:val="27AC35F6"/>
    <w:rsid w:val="27AC5565"/>
    <w:rsid w:val="27AC5D68"/>
    <w:rsid w:val="27AF14F6"/>
    <w:rsid w:val="27B00138"/>
    <w:rsid w:val="27B02287"/>
    <w:rsid w:val="27B06C0A"/>
    <w:rsid w:val="27B117B5"/>
    <w:rsid w:val="27B16E5E"/>
    <w:rsid w:val="27B23302"/>
    <w:rsid w:val="27B54495"/>
    <w:rsid w:val="27B554D8"/>
    <w:rsid w:val="27B5694E"/>
    <w:rsid w:val="27B57895"/>
    <w:rsid w:val="27B63751"/>
    <w:rsid w:val="27B64420"/>
    <w:rsid w:val="27B74448"/>
    <w:rsid w:val="27B9780F"/>
    <w:rsid w:val="27BC56B8"/>
    <w:rsid w:val="27BD54AB"/>
    <w:rsid w:val="27BD555B"/>
    <w:rsid w:val="27BD5B9A"/>
    <w:rsid w:val="27BE44A2"/>
    <w:rsid w:val="27BE54B5"/>
    <w:rsid w:val="27BF1727"/>
    <w:rsid w:val="27BF2EBD"/>
    <w:rsid w:val="27BF39A6"/>
    <w:rsid w:val="27BF61E6"/>
    <w:rsid w:val="27BF7650"/>
    <w:rsid w:val="27C024E0"/>
    <w:rsid w:val="27C02691"/>
    <w:rsid w:val="27C052A1"/>
    <w:rsid w:val="27C11BF5"/>
    <w:rsid w:val="27C20411"/>
    <w:rsid w:val="27C2106B"/>
    <w:rsid w:val="27C431C2"/>
    <w:rsid w:val="27C546B8"/>
    <w:rsid w:val="27C6290A"/>
    <w:rsid w:val="27C740B3"/>
    <w:rsid w:val="27C748D4"/>
    <w:rsid w:val="27C83DAE"/>
    <w:rsid w:val="27C85E49"/>
    <w:rsid w:val="27C8657A"/>
    <w:rsid w:val="27C949E5"/>
    <w:rsid w:val="27CA7D40"/>
    <w:rsid w:val="27CB1D31"/>
    <w:rsid w:val="27CB625A"/>
    <w:rsid w:val="27CB7F77"/>
    <w:rsid w:val="27CC1EEA"/>
    <w:rsid w:val="27CC5A46"/>
    <w:rsid w:val="27CC767A"/>
    <w:rsid w:val="27CD2F42"/>
    <w:rsid w:val="27CD5B10"/>
    <w:rsid w:val="27CE1238"/>
    <w:rsid w:val="27CF4632"/>
    <w:rsid w:val="27CF7E28"/>
    <w:rsid w:val="27D112AE"/>
    <w:rsid w:val="27D21EB6"/>
    <w:rsid w:val="27D2491A"/>
    <w:rsid w:val="27D37E16"/>
    <w:rsid w:val="27D46175"/>
    <w:rsid w:val="27D50D9F"/>
    <w:rsid w:val="27D53B9D"/>
    <w:rsid w:val="27D57C1F"/>
    <w:rsid w:val="27D62829"/>
    <w:rsid w:val="27D668C5"/>
    <w:rsid w:val="27D8088F"/>
    <w:rsid w:val="27D91D13"/>
    <w:rsid w:val="27DA0C79"/>
    <w:rsid w:val="27DA2094"/>
    <w:rsid w:val="27DA2487"/>
    <w:rsid w:val="27DA25D3"/>
    <w:rsid w:val="27DA61C4"/>
    <w:rsid w:val="27DD7C53"/>
    <w:rsid w:val="27DE362C"/>
    <w:rsid w:val="27DE42AF"/>
    <w:rsid w:val="27DF0CDB"/>
    <w:rsid w:val="27DF22F9"/>
    <w:rsid w:val="27DF46C2"/>
    <w:rsid w:val="27E0541B"/>
    <w:rsid w:val="27E06749"/>
    <w:rsid w:val="27E21D04"/>
    <w:rsid w:val="27E224E8"/>
    <w:rsid w:val="27E22755"/>
    <w:rsid w:val="27E3072A"/>
    <w:rsid w:val="27E50525"/>
    <w:rsid w:val="27E5301B"/>
    <w:rsid w:val="27E560B8"/>
    <w:rsid w:val="27E62FAC"/>
    <w:rsid w:val="27E7002E"/>
    <w:rsid w:val="27E72880"/>
    <w:rsid w:val="27E92DC7"/>
    <w:rsid w:val="27E937A0"/>
    <w:rsid w:val="27E9580F"/>
    <w:rsid w:val="27E979DF"/>
    <w:rsid w:val="27EA20ED"/>
    <w:rsid w:val="27EB3867"/>
    <w:rsid w:val="27EB3C35"/>
    <w:rsid w:val="27ED10C0"/>
    <w:rsid w:val="27ED356A"/>
    <w:rsid w:val="27EE00B2"/>
    <w:rsid w:val="27EE0562"/>
    <w:rsid w:val="27EE292F"/>
    <w:rsid w:val="27EE2F27"/>
    <w:rsid w:val="27EF4262"/>
    <w:rsid w:val="27EF6F53"/>
    <w:rsid w:val="27F0004A"/>
    <w:rsid w:val="27F029D2"/>
    <w:rsid w:val="27F05BD9"/>
    <w:rsid w:val="27F060A7"/>
    <w:rsid w:val="27F06139"/>
    <w:rsid w:val="27F063B2"/>
    <w:rsid w:val="27F12038"/>
    <w:rsid w:val="27F2194B"/>
    <w:rsid w:val="27F33D12"/>
    <w:rsid w:val="27F35747"/>
    <w:rsid w:val="27F37477"/>
    <w:rsid w:val="27F37A0B"/>
    <w:rsid w:val="27F51029"/>
    <w:rsid w:val="27F56217"/>
    <w:rsid w:val="27F60549"/>
    <w:rsid w:val="27F625BE"/>
    <w:rsid w:val="27F70690"/>
    <w:rsid w:val="27F80E76"/>
    <w:rsid w:val="27F84A8D"/>
    <w:rsid w:val="27F865D1"/>
    <w:rsid w:val="27F90EE9"/>
    <w:rsid w:val="27FA2222"/>
    <w:rsid w:val="27FA69FC"/>
    <w:rsid w:val="27FB2FD8"/>
    <w:rsid w:val="27FD20A3"/>
    <w:rsid w:val="27FE26B6"/>
    <w:rsid w:val="27FE5176"/>
    <w:rsid w:val="27FE6262"/>
    <w:rsid w:val="27FE6547"/>
    <w:rsid w:val="27FF5E1C"/>
    <w:rsid w:val="28003B35"/>
    <w:rsid w:val="28031A1A"/>
    <w:rsid w:val="28063AC5"/>
    <w:rsid w:val="2807533B"/>
    <w:rsid w:val="28087C7A"/>
    <w:rsid w:val="28090A10"/>
    <w:rsid w:val="28091FD9"/>
    <w:rsid w:val="28096839"/>
    <w:rsid w:val="280A2717"/>
    <w:rsid w:val="280A3AC2"/>
    <w:rsid w:val="280B3E0E"/>
    <w:rsid w:val="280D086D"/>
    <w:rsid w:val="280D4E59"/>
    <w:rsid w:val="280D6D1A"/>
    <w:rsid w:val="280E21B9"/>
    <w:rsid w:val="2810220D"/>
    <w:rsid w:val="2811715A"/>
    <w:rsid w:val="281178FD"/>
    <w:rsid w:val="2812499E"/>
    <w:rsid w:val="28132A2F"/>
    <w:rsid w:val="28133675"/>
    <w:rsid w:val="2817406B"/>
    <w:rsid w:val="2817608F"/>
    <w:rsid w:val="28176D96"/>
    <w:rsid w:val="28190206"/>
    <w:rsid w:val="28193534"/>
    <w:rsid w:val="2819531E"/>
    <w:rsid w:val="281A1D73"/>
    <w:rsid w:val="281A23E5"/>
    <w:rsid w:val="281A4FAF"/>
    <w:rsid w:val="281D134A"/>
    <w:rsid w:val="281D44F4"/>
    <w:rsid w:val="281D48F8"/>
    <w:rsid w:val="281D62A2"/>
    <w:rsid w:val="281D646A"/>
    <w:rsid w:val="281D670A"/>
    <w:rsid w:val="28212236"/>
    <w:rsid w:val="2822453E"/>
    <w:rsid w:val="282274AB"/>
    <w:rsid w:val="2824095C"/>
    <w:rsid w:val="28245671"/>
    <w:rsid w:val="282615FA"/>
    <w:rsid w:val="28262168"/>
    <w:rsid w:val="28265E89"/>
    <w:rsid w:val="282664DB"/>
    <w:rsid w:val="2827547F"/>
    <w:rsid w:val="282806A6"/>
    <w:rsid w:val="28293E11"/>
    <w:rsid w:val="2829459A"/>
    <w:rsid w:val="28294ECF"/>
    <w:rsid w:val="282B02EF"/>
    <w:rsid w:val="282B4ECE"/>
    <w:rsid w:val="282B60FE"/>
    <w:rsid w:val="282D1903"/>
    <w:rsid w:val="282E23A7"/>
    <w:rsid w:val="282E58D8"/>
    <w:rsid w:val="282F03AE"/>
    <w:rsid w:val="282F7520"/>
    <w:rsid w:val="28302CEE"/>
    <w:rsid w:val="283175E3"/>
    <w:rsid w:val="283202A1"/>
    <w:rsid w:val="28326600"/>
    <w:rsid w:val="28337663"/>
    <w:rsid w:val="2834103C"/>
    <w:rsid w:val="28341F69"/>
    <w:rsid w:val="28342D95"/>
    <w:rsid w:val="283462BA"/>
    <w:rsid w:val="283501E0"/>
    <w:rsid w:val="28361039"/>
    <w:rsid w:val="2837045C"/>
    <w:rsid w:val="28372B7F"/>
    <w:rsid w:val="283841C0"/>
    <w:rsid w:val="2839094D"/>
    <w:rsid w:val="28392B55"/>
    <w:rsid w:val="283A38E3"/>
    <w:rsid w:val="283B23AC"/>
    <w:rsid w:val="283C5EF6"/>
    <w:rsid w:val="283D06F2"/>
    <w:rsid w:val="283D6944"/>
    <w:rsid w:val="283E3295"/>
    <w:rsid w:val="283E4B96"/>
    <w:rsid w:val="283E5541"/>
    <w:rsid w:val="283E5AA4"/>
    <w:rsid w:val="28401E1B"/>
    <w:rsid w:val="28403D93"/>
    <w:rsid w:val="28414C4F"/>
    <w:rsid w:val="284200F9"/>
    <w:rsid w:val="28422ADB"/>
    <w:rsid w:val="28424403"/>
    <w:rsid w:val="284361DD"/>
    <w:rsid w:val="28436980"/>
    <w:rsid w:val="2846185C"/>
    <w:rsid w:val="28467183"/>
    <w:rsid w:val="2848080D"/>
    <w:rsid w:val="28481571"/>
    <w:rsid w:val="28482873"/>
    <w:rsid w:val="284872D1"/>
    <w:rsid w:val="28487D60"/>
    <w:rsid w:val="2849187A"/>
    <w:rsid w:val="28491FDC"/>
    <w:rsid w:val="284952E9"/>
    <w:rsid w:val="284A27D5"/>
    <w:rsid w:val="284B1061"/>
    <w:rsid w:val="284B3AE8"/>
    <w:rsid w:val="284B456B"/>
    <w:rsid w:val="284C0E5C"/>
    <w:rsid w:val="284C6B82"/>
    <w:rsid w:val="284E0B51"/>
    <w:rsid w:val="284E12DA"/>
    <w:rsid w:val="284F03E8"/>
    <w:rsid w:val="284F3202"/>
    <w:rsid w:val="28502D5B"/>
    <w:rsid w:val="285032DC"/>
    <w:rsid w:val="285120CB"/>
    <w:rsid w:val="2851265D"/>
    <w:rsid w:val="2851780C"/>
    <w:rsid w:val="28520231"/>
    <w:rsid w:val="285223EF"/>
    <w:rsid w:val="28524A32"/>
    <w:rsid w:val="28533221"/>
    <w:rsid w:val="28534F2C"/>
    <w:rsid w:val="285443B9"/>
    <w:rsid w:val="28552C3B"/>
    <w:rsid w:val="28560CD9"/>
    <w:rsid w:val="2857130B"/>
    <w:rsid w:val="28575C58"/>
    <w:rsid w:val="28577641"/>
    <w:rsid w:val="2859351C"/>
    <w:rsid w:val="28597429"/>
    <w:rsid w:val="285A1852"/>
    <w:rsid w:val="285B64BC"/>
    <w:rsid w:val="285C501C"/>
    <w:rsid w:val="285C5A91"/>
    <w:rsid w:val="285C6305"/>
    <w:rsid w:val="285E1547"/>
    <w:rsid w:val="285E4499"/>
    <w:rsid w:val="285F3848"/>
    <w:rsid w:val="285F69B3"/>
    <w:rsid w:val="28602C2F"/>
    <w:rsid w:val="2861048D"/>
    <w:rsid w:val="286106BA"/>
    <w:rsid w:val="28615A32"/>
    <w:rsid w:val="28623807"/>
    <w:rsid w:val="28643962"/>
    <w:rsid w:val="28646A1D"/>
    <w:rsid w:val="28656F62"/>
    <w:rsid w:val="28664D77"/>
    <w:rsid w:val="28666C41"/>
    <w:rsid w:val="28680AFD"/>
    <w:rsid w:val="28685A5E"/>
    <w:rsid w:val="28687C4B"/>
    <w:rsid w:val="286921FA"/>
    <w:rsid w:val="28695673"/>
    <w:rsid w:val="2869668D"/>
    <w:rsid w:val="286A1D34"/>
    <w:rsid w:val="286B15B8"/>
    <w:rsid w:val="286B5D47"/>
    <w:rsid w:val="286C52CE"/>
    <w:rsid w:val="286C5F66"/>
    <w:rsid w:val="286D5B95"/>
    <w:rsid w:val="286E6AFD"/>
    <w:rsid w:val="286E757F"/>
    <w:rsid w:val="286F610E"/>
    <w:rsid w:val="28711DA7"/>
    <w:rsid w:val="28712ED4"/>
    <w:rsid w:val="287162BC"/>
    <w:rsid w:val="28721925"/>
    <w:rsid w:val="28721C96"/>
    <w:rsid w:val="287265EE"/>
    <w:rsid w:val="28727080"/>
    <w:rsid w:val="2873447D"/>
    <w:rsid w:val="28754DD7"/>
    <w:rsid w:val="287560DE"/>
    <w:rsid w:val="28756860"/>
    <w:rsid w:val="2875686E"/>
    <w:rsid w:val="2876332C"/>
    <w:rsid w:val="2876350C"/>
    <w:rsid w:val="2876794B"/>
    <w:rsid w:val="28772EE2"/>
    <w:rsid w:val="28783EC6"/>
    <w:rsid w:val="287907AB"/>
    <w:rsid w:val="287B175A"/>
    <w:rsid w:val="287B3099"/>
    <w:rsid w:val="287B78F0"/>
    <w:rsid w:val="287C7C64"/>
    <w:rsid w:val="287D150B"/>
    <w:rsid w:val="287F3FE3"/>
    <w:rsid w:val="287F43B2"/>
    <w:rsid w:val="287F5293"/>
    <w:rsid w:val="2880302D"/>
    <w:rsid w:val="28810F90"/>
    <w:rsid w:val="2881252E"/>
    <w:rsid w:val="28814A83"/>
    <w:rsid w:val="28824A2D"/>
    <w:rsid w:val="28835D01"/>
    <w:rsid w:val="28836A4D"/>
    <w:rsid w:val="2884262D"/>
    <w:rsid w:val="288440B8"/>
    <w:rsid w:val="28844D66"/>
    <w:rsid w:val="288527C5"/>
    <w:rsid w:val="28862456"/>
    <w:rsid w:val="28865B2B"/>
    <w:rsid w:val="28871867"/>
    <w:rsid w:val="288830A4"/>
    <w:rsid w:val="28884063"/>
    <w:rsid w:val="28886820"/>
    <w:rsid w:val="28894E9D"/>
    <w:rsid w:val="288A5D41"/>
    <w:rsid w:val="288C555B"/>
    <w:rsid w:val="288C753B"/>
    <w:rsid w:val="288D015A"/>
    <w:rsid w:val="288D3427"/>
    <w:rsid w:val="288E0F4E"/>
    <w:rsid w:val="288F2E28"/>
    <w:rsid w:val="288F50A3"/>
    <w:rsid w:val="288F5D65"/>
    <w:rsid w:val="288F66EB"/>
    <w:rsid w:val="288F6D86"/>
    <w:rsid w:val="28916D1F"/>
    <w:rsid w:val="28920E44"/>
    <w:rsid w:val="289229F6"/>
    <w:rsid w:val="289274C3"/>
    <w:rsid w:val="28944004"/>
    <w:rsid w:val="28960B98"/>
    <w:rsid w:val="28971511"/>
    <w:rsid w:val="289942DB"/>
    <w:rsid w:val="289A48A4"/>
    <w:rsid w:val="289A5B44"/>
    <w:rsid w:val="289C6F6F"/>
    <w:rsid w:val="289E017A"/>
    <w:rsid w:val="289E313C"/>
    <w:rsid w:val="289E4C1E"/>
    <w:rsid w:val="28A07CAF"/>
    <w:rsid w:val="28A46D87"/>
    <w:rsid w:val="28A47CA0"/>
    <w:rsid w:val="28A6098D"/>
    <w:rsid w:val="28A91FCA"/>
    <w:rsid w:val="28AA40FD"/>
    <w:rsid w:val="28AA5830"/>
    <w:rsid w:val="28AB1CCE"/>
    <w:rsid w:val="28AB2D32"/>
    <w:rsid w:val="28AE3687"/>
    <w:rsid w:val="28AF2A88"/>
    <w:rsid w:val="28AF57D0"/>
    <w:rsid w:val="28B17529"/>
    <w:rsid w:val="28B17B80"/>
    <w:rsid w:val="28B24F20"/>
    <w:rsid w:val="28B25EF0"/>
    <w:rsid w:val="28B54518"/>
    <w:rsid w:val="28B55805"/>
    <w:rsid w:val="28B704A4"/>
    <w:rsid w:val="28B75372"/>
    <w:rsid w:val="28B766F6"/>
    <w:rsid w:val="28B76F16"/>
    <w:rsid w:val="28B84408"/>
    <w:rsid w:val="28B876D5"/>
    <w:rsid w:val="28B915F8"/>
    <w:rsid w:val="28B91CAE"/>
    <w:rsid w:val="28B9246E"/>
    <w:rsid w:val="28B93C10"/>
    <w:rsid w:val="28B93CFD"/>
    <w:rsid w:val="28B9562E"/>
    <w:rsid w:val="28BB0922"/>
    <w:rsid w:val="28BB39D8"/>
    <w:rsid w:val="28BD2297"/>
    <w:rsid w:val="28BD5AC4"/>
    <w:rsid w:val="28BE1833"/>
    <w:rsid w:val="28BE780E"/>
    <w:rsid w:val="28BF71F5"/>
    <w:rsid w:val="28C055AB"/>
    <w:rsid w:val="28C05FA0"/>
    <w:rsid w:val="28C22296"/>
    <w:rsid w:val="28C268C4"/>
    <w:rsid w:val="28C27125"/>
    <w:rsid w:val="28C341BA"/>
    <w:rsid w:val="28C44CA0"/>
    <w:rsid w:val="28C5055B"/>
    <w:rsid w:val="28C56287"/>
    <w:rsid w:val="28C62ACC"/>
    <w:rsid w:val="28C63E13"/>
    <w:rsid w:val="28C66712"/>
    <w:rsid w:val="28C72DDD"/>
    <w:rsid w:val="28C9055E"/>
    <w:rsid w:val="28C91449"/>
    <w:rsid w:val="28C926AC"/>
    <w:rsid w:val="28C94F5F"/>
    <w:rsid w:val="28CA0D49"/>
    <w:rsid w:val="28CA4219"/>
    <w:rsid w:val="28CA56EB"/>
    <w:rsid w:val="28CA5CFD"/>
    <w:rsid w:val="28CB3DA2"/>
    <w:rsid w:val="28CC2207"/>
    <w:rsid w:val="28CC44E4"/>
    <w:rsid w:val="28CC6517"/>
    <w:rsid w:val="28CD1A76"/>
    <w:rsid w:val="28CD5C1B"/>
    <w:rsid w:val="28CD7CC8"/>
    <w:rsid w:val="28CF13ED"/>
    <w:rsid w:val="28CF3BE7"/>
    <w:rsid w:val="28CF79A4"/>
    <w:rsid w:val="28D014E5"/>
    <w:rsid w:val="28D01922"/>
    <w:rsid w:val="28D03639"/>
    <w:rsid w:val="28D32E46"/>
    <w:rsid w:val="28D35C94"/>
    <w:rsid w:val="28D41A00"/>
    <w:rsid w:val="28D42E04"/>
    <w:rsid w:val="28D46E16"/>
    <w:rsid w:val="28D538A3"/>
    <w:rsid w:val="28D64DCE"/>
    <w:rsid w:val="28D65CAF"/>
    <w:rsid w:val="28D728F5"/>
    <w:rsid w:val="28D82B6D"/>
    <w:rsid w:val="28D9070A"/>
    <w:rsid w:val="28DA4D5B"/>
    <w:rsid w:val="28DC7A10"/>
    <w:rsid w:val="28DC7FCD"/>
    <w:rsid w:val="28DD727E"/>
    <w:rsid w:val="28DD7A4B"/>
    <w:rsid w:val="28DF6D48"/>
    <w:rsid w:val="28E053B2"/>
    <w:rsid w:val="28E11359"/>
    <w:rsid w:val="28E23B21"/>
    <w:rsid w:val="28E40CF0"/>
    <w:rsid w:val="28E46C93"/>
    <w:rsid w:val="28E46E6E"/>
    <w:rsid w:val="28E563CE"/>
    <w:rsid w:val="28E62B38"/>
    <w:rsid w:val="28E701FC"/>
    <w:rsid w:val="28E73CB0"/>
    <w:rsid w:val="28E771FC"/>
    <w:rsid w:val="28E81102"/>
    <w:rsid w:val="28E841D5"/>
    <w:rsid w:val="28E90BA1"/>
    <w:rsid w:val="28E973E9"/>
    <w:rsid w:val="28EA6064"/>
    <w:rsid w:val="28EB4BFB"/>
    <w:rsid w:val="28EB7706"/>
    <w:rsid w:val="28EC0230"/>
    <w:rsid w:val="28EC3BFC"/>
    <w:rsid w:val="28EC6BE7"/>
    <w:rsid w:val="28ED3CB9"/>
    <w:rsid w:val="28EE0972"/>
    <w:rsid w:val="28EE1706"/>
    <w:rsid w:val="28EF568F"/>
    <w:rsid w:val="28F05102"/>
    <w:rsid w:val="28F0543C"/>
    <w:rsid w:val="28F069BF"/>
    <w:rsid w:val="28F214DC"/>
    <w:rsid w:val="28F2318D"/>
    <w:rsid w:val="28F24F48"/>
    <w:rsid w:val="28F27B7E"/>
    <w:rsid w:val="28F413A6"/>
    <w:rsid w:val="28F44326"/>
    <w:rsid w:val="28F46B89"/>
    <w:rsid w:val="28F5025F"/>
    <w:rsid w:val="28F530EF"/>
    <w:rsid w:val="28F5736F"/>
    <w:rsid w:val="28F60095"/>
    <w:rsid w:val="28F63EDE"/>
    <w:rsid w:val="28F811E9"/>
    <w:rsid w:val="28FA6D1F"/>
    <w:rsid w:val="28FB2363"/>
    <w:rsid w:val="28FB2667"/>
    <w:rsid w:val="28FC5FDB"/>
    <w:rsid w:val="28FD6DA8"/>
    <w:rsid w:val="28FE73D4"/>
    <w:rsid w:val="28FF48AD"/>
    <w:rsid w:val="28FF6841"/>
    <w:rsid w:val="28FF7D67"/>
    <w:rsid w:val="29002516"/>
    <w:rsid w:val="29013526"/>
    <w:rsid w:val="29017971"/>
    <w:rsid w:val="290440F0"/>
    <w:rsid w:val="29050401"/>
    <w:rsid w:val="290556B4"/>
    <w:rsid w:val="29057462"/>
    <w:rsid w:val="29061ECF"/>
    <w:rsid w:val="290731DA"/>
    <w:rsid w:val="2907481E"/>
    <w:rsid w:val="2909543E"/>
    <w:rsid w:val="29096E83"/>
    <w:rsid w:val="290A59A4"/>
    <w:rsid w:val="290B2C19"/>
    <w:rsid w:val="290C3D9E"/>
    <w:rsid w:val="290E1C74"/>
    <w:rsid w:val="2910376B"/>
    <w:rsid w:val="2911026F"/>
    <w:rsid w:val="291263FD"/>
    <w:rsid w:val="291323A7"/>
    <w:rsid w:val="291357D1"/>
    <w:rsid w:val="29154678"/>
    <w:rsid w:val="29176F63"/>
    <w:rsid w:val="2918060A"/>
    <w:rsid w:val="29185688"/>
    <w:rsid w:val="291925C0"/>
    <w:rsid w:val="2919489C"/>
    <w:rsid w:val="29194CBB"/>
    <w:rsid w:val="291A250E"/>
    <w:rsid w:val="291C1B56"/>
    <w:rsid w:val="291C3E23"/>
    <w:rsid w:val="291F7AB1"/>
    <w:rsid w:val="29206EB8"/>
    <w:rsid w:val="29220014"/>
    <w:rsid w:val="29231FDE"/>
    <w:rsid w:val="29233815"/>
    <w:rsid w:val="29253660"/>
    <w:rsid w:val="29256A78"/>
    <w:rsid w:val="29257A13"/>
    <w:rsid w:val="29264DAB"/>
    <w:rsid w:val="29265348"/>
    <w:rsid w:val="29275A00"/>
    <w:rsid w:val="292813A2"/>
    <w:rsid w:val="2929503D"/>
    <w:rsid w:val="29295B4A"/>
    <w:rsid w:val="292A425B"/>
    <w:rsid w:val="292B1D78"/>
    <w:rsid w:val="292B5728"/>
    <w:rsid w:val="292C0BB0"/>
    <w:rsid w:val="292E2CF0"/>
    <w:rsid w:val="292E2E2F"/>
    <w:rsid w:val="292F3E2B"/>
    <w:rsid w:val="29306F38"/>
    <w:rsid w:val="293258B0"/>
    <w:rsid w:val="29333A5A"/>
    <w:rsid w:val="293374EC"/>
    <w:rsid w:val="29341C59"/>
    <w:rsid w:val="293430C6"/>
    <w:rsid w:val="29343273"/>
    <w:rsid w:val="29345FFD"/>
    <w:rsid w:val="2936373F"/>
    <w:rsid w:val="29381B9B"/>
    <w:rsid w:val="29383EF7"/>
    <w:rsid w:val="29385A89"/>
    <w:rsid w:val="29387837"/>
    <w:rsid w:val="293930DB"/>
    <w:rsid w:val="29397A60"/>
    <w:rsid w:val="293B5B6A"/>
    <w:rsid w:val="293D2340"/>
    <w:rsid w:val="293D5A72"/>
    <w:rsid w:val="293D6516"/>
    <w:rsid w:val="293E50CC"/>
    <w:rsid w:val="293F4ABA"/>
    <w:rsid w:val="293F744F"/>
    <w:rsid w:val="294015F5"/>
    <w:rsid w:val="29401613"/>
    <w:rsid w:val="294042BB"/>
    <w:rsid w:val="2942142E"/>
    <w:rsid w:val="294241FF"/>
    <w:rsid w:val="29424212"/>
    <w:rsid w:val="294361DC"/>
    <w:rsid w:val="2944055C"/>
    <w:rsid w:val="29444C64"/>
    <w:rsid w:val="29455985"/>
    <w:rsid w:val="29476BD6"/>
    <w:rsid w:val="294833DC"/>
    <w:rsid w:val="294877A6"/>
    <w:rsid w:val="29497054"/>
    <w:rsid w:val="294B16C8"/>
    <w:rsid w:val="294C32E2"/>
    <w:rsid w:val="294C5091"/>
    <w:rsid w:val="294D190D"/>
    <w:rsid w:val="294D4722"/>
    <w:rsid w:val="294D6231"/>
    <w:rsid w:val="294F23C0"/>
    <w:rsid w:val="294F4981"/>
    <w:rsid w:val="29501D73"/>
    <w:rsid w:val="295109D4"/>
    <w:rsid w:val="295169BB"/>
    <w:rsid w:val="295233D2"/>
    <w:rsid w:val="29534075"/>
    <w:rsid w:val="2953483F"/>
    <w:rsid w:val="29542989"/>
    <w:rsid w:val="29560E58"/>
    <w:rsid w:val="295700BA"/>
    <w:rsid w:val="29570DF4"/>
    <w:rsid w:val="2957349A"/>
    <w:rsid w:val="29587509"/>
    <w:rsid w:val="29595666"/>
    <w:rsid w:val="295A1E9A"/>
    <w:rsid w:val="295A4C02"/>
    <w:rsid w:val="295B1778"/>
    <w:rsid w:val="295C154A"/>
    <w:rsid w:val="295C2001"/>
    <w:rsid w:val="295C4F64"/>
    <w:rsid w:val="295C7216"/>
    <w:rsid w:val="295C79FC"/>
    <w:rsid w:val="295D0FD8"/>
    <w:rsid w:val="295E6B72"/>
    <w:rsid w:val="295F1CCD"/>
    <w:rsid w:val="295F2D97"/>
    <w:rsid w:val="296216B0"/>
    <w:rsid w:val="29627D86"/>
    <w:rsid w:val="2963196D"/>
    <w:rsid w:val="29634188"/>
    <w:rsid w:val="296357D5"/>
    <w:rsid w:val="296529E2"/>
    <w:rsid w:val="29653D68"/>
    <w:rsid w:val="2966517F"/>
    <w:rsid w:val="296666A0"/>
    <w:rsid w:val="29667960"/>
    <w:rsid w:val="29671ECA"/>
    <w:rsid w:val="29686070"/>
    <w:rsid w:val="296874DC"/>
    <w:rsid w:val="2969523F"/>
    <w:rsid w:val="296A142C"/>
    <w:rsid w:val="296B1032"/>
    <w:rsid w:val="296C0D23"/>
    <w:rsid w:val="296C2C58"/>
    <w:rsid w:val="296E7CFF"/>
    <w:rsid w:val="296F0ED9"/>
    <w:rsid w:val="296F5223"/>
    <w:rsid w:val="296F5BD4"/>
    <w:rsid w:val="29701211"/>
    <w:rsid w:val="29711E75"/>
    <w:rsid w:val="29720054"/>
    <w:rsid w:val="29720ED4"/>
    <w:rsid w:val="297221D3"/>
    <w:rsid w:val="2973261D"/>
    <w:rsid w:val="297402D7"/>
    <w:rsid w:val="2976210D"/>
    <w:rsid w:val="29763EBB"/>
    <w:rsid w:val="29766532"/>
    <w:rsid w:val="297821E9"/>
    <w:rsid w:val="29787622"/>
    <w:rsid w:val="297962D5"/>
    <w:rsid w:val="297A0F79"/>
    <w:rsid w:val="297A5B3A"/>
    <w:rsid w:val="297A7395"/>
    <w:rsid w:val="297A7E50"/>
    <w:rsid w:val="297B2E79"/>
    <w:rsid w:val="297B3BC8"/>
    <w:rsid w:val="297B40EB"/>
    <w:rsid w:val="297B5976"/>
    <w:rsid w:val="297D1175"/>
    <w:rsid w:val="297F576C"/>
    <w:rsid w:val="29804D3A"/>
    <w:rsid w:val="29812371"/>
    <w:rsid w:val="298124E9"/>
    <w:rsid w:val="29814649"/>
    <w:rsid w:val="2981538C"/>
    <w:rsid w:val="29820AB2"/>
    <w:rsid w:val="298234AE"/>
    <w:rsid w:val="298239BC"/>
    <w:rsid w:val="29823C62"/>
    <w:rsid w:val="29842A7C"/>
    <w:rsid w:val="29860CF9"/>
    <w:rsid w:val="298664DC"/>
    <w:rsid w:val="29866E9C"/>
    <w:rsid w:val="29874881"/>
    <w:rsid w:val="29876EFA"/>
    <w:rsid w:val="298779BC"/>
    <w:rsid w:val="298857D8"/>
    <w:rsid w:val="2988710A"/>
    <w:rsid w:val="29890093"/>
    <w:rsid w:val="29896437"/>
    <w:rsid w:val="298A10D5"/>
    <w:rsid w:val="298A691F"/>
    <w:rsid w:val="298B3766"/>
    <w:rsid w:val="298B4095"/>
    <w:rsid w:val="298C55EB"/>
    <w:rsid w:val="298D22DB"/>
    <w:rsid w:val="298D2772"/>
    <w:rsid w:val="298E626E"/>
    <w:rsid w:val="298E6B26"/>
    <w:rsid w:val="298F1070"/>
    <w:rsid w:val="298F323B"/>
    <w:rsid w:val="29901CE4"/>
    <w:rsid w:val="299034EA"/>
    <w:rsid w:val="29920B32"/>
    <w:rsid w:val="29930F11"/>
    <w:rsid w:val="29931845"/>
    <w:rsid w:val="29934C98"/>
    <w:rsid w:val="29934E82"/>
    <w:rsid w:val="29941994"/>
    <w:rsid w:val="29942A1C"/>
    <w:rsid w:val="29946431"/>
    <w:rsid w:val="29957935"/>
    <w:rsid w:val="29965452"/>
    <w:rsid w:val="29965711"/>
    <w:rsid w:val="299910F4"/>
    <w:rsid w:val="29995DFC"/>
    <w:rsid w:val="299A42BB"/>
    <w:rsid w:val="299A60F9"/>
    <w:rsid w:val="299B7336"/>
    <w:rsid w:val="299D1DEB"/>
    <w:rsid w:val="299D24FB"/>
    <w:rsid w:val="299D6485"/>
    <w:rsid w:val="299E3412"/>
    <w:rsid w:val="299E7AA4"/>
    <w:rsid w:val="299F0075"/>
    <w:rsid w:val="299F3699"/>
    <w:rsid w:val="29A00EFB"/>
    <w:rsid w:val="29A0688C"/>
    <w:rsid w:val="29A11351"/>
    <w:rsid w:val="29A128EF"/>
    <w:rsid w:val="29A20D42"/>
    <w:rsid w:val="29A2782D"/>
    <w:rsid w:val="29A30077"/>
    <w:rsid w:val="29A32EDD"/>
    <w:rsid w:val="29A44339"/>
    <w:rsid w:val="29A466B6"/>
    <w:rsid w:val="29A54F20"/>
    <w:rsid w:val="29A749BD"/>
    <w:rsid w:val="29A76BDF"/>
    <w:rsid w:val="29A847D0"/>
    <w:rsid w:val="29A85CC0"/>
    <w:rsid w:val="29A96161"/>
    <w:rsid w:val="29AA4DFA"/>
    <w:rsid w:val="29AB5281"/>
    <w:rsid w:val="29AD1197"/>
    <w:rsid w:val="29AD1ED5"/>
    <w:rsid w:val="29AD6810"/>
    <w:rsid w:val="29AE38F9"/>
    <w:rsid w:val="29AF49D2"/>
    <w:rsid w:val="29B00767"/>
    <w:rsid w:val="29B2422A"/>
    <w:rsid w:val="29B31E3B"/>
    <w:rsid w:val="29B32E5E"/>
    <w:rsid w:val="29B33D32"/>
    <w:rsid w:val="29B34FE9"/>
    <w:rsid w:val="29B36B5A"/>
    <w:rsid w:val="29B42E29"/>
    <w:rsid w:val="29B54879"/>
    <w:rsid w:val="29B54E56"/>
    <w:rsid w:val="29B55DEC"/>
    <w:rsid w:val="29B66B05"/>
    <w:rsid w:val="29B748D7"/>
    <w:rsid w:val="29B80978"/>
    <w:rsid w:val="29B82726"/>
    <w:rsid w:val="29B83429"/>
    <w:rsid w:val="29B91D82"/>
    <w:rsid w:val="29BA0843"/>
    <w:rsid w:val="29BA2FA5"/>
    <w:rsid w:val="29BA45FF"/>
    <w:rsid w:val="29BC1B48"/>
    <w:rsid w:val="29BD3223"/>
    <w:rsid w:val="29BD6562"/>
    <w:rsid w:val="29BE3DDA"/>
    <w:rsid w:val="29BE5420"/>
    <w:rsid w:val="29BF0B75"/>
    <w:rsid w:val="29BF549C"/>
    <w:rsid w:val="29C02C2B"/>
    <w:rsid w:val="29C23335"/>
    <w:rsid w:val="29C3742E"/>
    <w:rsid w:val="29C42E79"/>
    <w:rsid w:val="29C640A6"/>
    <w:rsid w:val="29C80431"/>
    <w:rsid w:val="29C808BC"/>
    <w:rsid w:val="29C82F0C"/>
    <w:rsid w:val="29C8349F"/>
    <w:rsid w:val="29C84034"/>
    <w:rsid w:val="29C86E9B"/>
    <w:rsid w:val="29C93E27"/>
    <w:rsid w:val="29C94933"/>
    <w:rsid w:val="29C964A0"/>
    <w:rsid w:val="29CA5713"/>
    <w:rsid w:val="29CC6A83"/>
    <w:rsid w:val="29CD1684"/>
    <w:rsid w:val="29CD55D7"/>
    <w:rsid w:val="29CE3CF8"/>
    <w:rsid w:val="29CF4C4F"/>
    <w:rsid w:val="29CF63D3"/>
    <w:rsid w:val="29D00CD1"/>
    <w:rsid w:val="29D05CC2"/>
    <w:rsid w:val="29D07A70"/>
    <w:rsid w:val="29D20A3F"/>
    <w:rsid w:val="29D4050A"/>
    <w:rsid w:val="29D451DB"/>
    <w:rsid w:val="29D54A7A"/>
    <w:rsid w:val="29D54CD3"/>
    <w:rsid w:val="29D555AD"/>
    <w:rsid w:val="29D662F4"/>
    <w:rsid w:val="29D7495D"/>
    <w:rsid w:val="29D764D8"/>
    <w:rsid w:val="29DB6414"/>
    <w:rsid w:val="29DD0242"/>
    <w:rsid w:val="29DD218D"/>
    <w:rsid w:val="29DE0258"/>
    <w:rsid w:val="29DE1448"/>
    <w:rsid w:val="29DE2775"/>
    <w:rsid w:val="29DF5F05"/>
    <w:rsid w:val="29E035C3"/>
    <w:rsid w:val="29E2199A"/>
    <w:rsid w:val="29E31088"/>
    <w:rsid w:val="29E325E0"/>
    <w:rsid w:val="29E32D39"/>
    <w:rsid w:val="29E4071B"/>
    <w:rsid w:val="29E452C9"/>
    <w:rsid w:val="29E57B1E"/>
    <w:rsid w:val="29E606C2"/>
    <w:rsid w:val="29E62DF9"/>
    <w:rsid w:val="29E6743B"/>
    <w:rsid w:val="29E67D49"/>
    <w:rsid w:val="29E71F35"/>
    <w:rsid w:val="29E74ECF"/>
    <w:rsid w:val="29E77D42"/>
    <w:rsid w:val="29E94B19"/>
    <w:rsid w:val="29EB5F97"/>
    <w:rsid w:val="29EC42BC"/>
    <w:rsid w:val="29EC6EA3"/>
    <w:rsid w:val="29EE7EF6"/>
    <w:rsid w:val="29EF140A"/>
    <w:rsid w:val="29EF2AC2"/>
    <w:rsid w:val="29EF4ABC"/>
    <w:rsid w:val="29F00514"/>
    <w:rsid w:val="29F021D3"/>
    <w:rsid w:val="29F0526A"/>
    <w:rsid w:val="29F23838"/>
    <w:rsid w:val="29F25A7E"/>
    <w:rsid w:val="29F325E0"/>
    <w:rsid w:val="29F44D3F"/>
    <w:rsid w:val="29F50380"/>
    <w:rsid w:val="29F62B15"/>
    <w:rsid w:val="29F64FFC"/>
    <w:rsid w:val="29F66CC6"/>
    <w:rsid w:val="29F729B2"/>
    <w:rsid w:val="29F90068"/>
    <w:rsid w:val="29FB5CF1"/>
    <w:rsid w:val="29FC2772"/>
    <w:rsid w:val="29FD2868"/>
    <w:rsid w:val="29FD770B"/>
    <w:rsid w:val="29FE0780"/>
    <w:rsid w:val="29FE3DFA"/>
    <w:rsid w:val="29FF542B"/>
    <w:rsid w:val="2A0077A5"/>
    <w:rsid w:val="2A022A1E"/>
    <w:rsid w:val="2A026295"/>
    <w:rsid w:val="2A034BDC"/>
    <w:rsid w:val="2A037E75"/>
    <w:rsid w:val="2A04110F"/>
    <w:rsid w:val="2A052370"/>
    <w:rsid w:val="2A0533A4"/>
    <w:rsid w:val="2A063D0E"/>
    <w:rsid w:val="2A070A19"/>
    <w:rsid w:val="2A0748A0"/>
    <w:rsid w:val="2A077209"/>
    <w:rsid w:val="2A0859AA"/>
    <w:rsid w:val="2A08676D"/>
    <w:rsid w:val="2A097A63"/>
    <w:rsid w:val="2A0A0667"/>
    <w:rsid w:val="2A0A6017"/>
    <w:rsid w:val="2A0B1726"/>
    <w:rsid w:val="2A0B4FC0"/>
    <w:rsid w:val="2A0B59F6"/>
    <w:rsid w:val="2A0F0193"/>
    <w:rsid w:val="2A0F3FFD"/>
    <w:rsid w:val="2A10129E"/>
    <w:rsid w:val="2A107188"/>
    <w:rsid w:val="2A1120E6"/>
    <w:rsid w:val="2A1306C0"/>
    <w:rsid w:val="2A131096"/>
    <w:rsid w:val="2A1408E5"/>
    <w:rsid w:val="2A1541D4"/>
    <w:rsid w:val="2A154B9F"/>
    <w:rsid w:val="2A160E4E"/>
    <w:rsid w:val="2A16599D"/>
    <w:rsid w:val="2A165E19"/>
    <w:rsid w:val="2A166D4E"/>
    <w:rsid w:val="2A1706A1"/>
    <w:rsid w:val="2A172A24"/>
    <w:rsid w:val="2A172A3E"/>
    <w:rsid w:val="2A172F05"/>
    <w:rsid w:val="2A180232"/>
    <w:rsid w:val="2A18547A"/>
    <w:rsid w:val="2A186BEA"/>
    <w:rsid w:val="2A191BD4"/>
    <w:rsid w:val="2A193DB0"/>
    <w:rsid w:val="2A193F11"/>
    <w:rsid w:val="2A193F73"/>
    <w:rsid w:val="2A197FC4"/>
    <w:rsid w:val="2A1A62DE"/>
    <w:rsid w:val="2A1A6820"/>
    <w:rsid w:val="2A1D0A9F"/>
    <w:rsid w:val="2A1D6CD1"/>
    <w:rsid w:val="2A1F221E"/>
    <w:rsid w:val="2A1F68E0"/>
    <w:rsid w:val="2A206227"/>
    <w:rsid w:val="2A207928"/>
    <w:rsid w:val="2A2204A4"/>
    <w:rsid w:val="2A225DF1"/>
    <w:rsid w:val="2A2278C6"/>
    <w:rsid w:val="2A232CAA"/>
    <w:rsid w:val="2A23357E"/>
    <w:rsid w:val="2A240705"/>
    <w:rsid w:val="2A255246"/>
    <w:rsid w:val="2A257690"/>
    <w:rsid w:val="2A261D85"/>
    <w:rsid w:val="2A263B34"/>
    <w:rsid w:val="2A263B5A"/>
    <w:rsid w:val="2A270F03"/>
    <w:rsid w:val="2A271EBB"/>
    <w:rsid w:val="2A274918"/>
    <w:rsid w:val="2A2933E4"/>
    <w:rsid w:val="2A2A21F0"/>
    <w:rsid w:val="2A2A4B12"/>
    <w:rsid w:val="2A2A678B"/>
    <w:rsid w:val="2A2B03E7"/>
    <w:rsid w:val="2A2B3B9E"/>
    <w:rsid w:val="2A2E29E8"/>
    <w:rsid w:val="2A2E6039"/>
    <w:rsid w:val="2A2F4422"/>
    <w:rsid w:val="2A300766"/>
    <w:rsid w:val="2A3102E7"/>
    <w:rsid w:val="2A3224D8"/>
    <w:rsid w:val="2A326B67"/>
    <w:rsid w:val="2A334DF7"/>
    <w:rsid w:val="2A34120B"/>
    <w:rsid w:val="2A351D0E"/>
    <w:rsid w:val="2A363EB7"/>
    <w:rsid w:val="2A371704"/>
    <w:rsid w:val="2A37427E"/>
    <w:rsid w:val="2A376EBE"/>
    <w:rsid w:val="2A383BEA"/>
    <w:rsid w:val="2A385615"/>
    <w:rsid w:val="2A391AFB"/>
    <w:rsid w:val="2A397935"/>
    <w:rsid w:val="2A3A1E41"/>
    <w:rsid w:val="2A3A313B"/>
    <w:rsid w:val="2A3A3353"/>
    <w:rsid w:val="2A3B228C"/>
    <w:rsid w:val="2A3B37C9"/>
    <w:rsid w:val="2A3B392D"/>
    <w:rsid w:val="2A3B5E1B"/>
    <w:rsid w:val="2A3C129F"/>
    <w:rsid w:val="2A3C233A"/>
    <w:rsid w:val="2A3F09C8"/>
    <w:rsid w:val="2A40055A"/>
    <w:rsid w:val="2A440156"/>
    <w:rsid w:val="2A452503"/>
    <w:rsid w:val="2A454EB8"/>
    <w:rsid w:val="2A461BE1"/>
    <w:rsid w:val="2A465548"/>
    <w:rsid w:val="2A487D32"/>
    <w:rsid w:val="2A491EF9"/>
    <w:rsid w:val="2A4B5066"/>
    <w:rsid w:val="2A4C2ACF"/>
    <w:rsid w:val="2A4E1CD2"/>
    <w:rsid w:val="2A4F61ED"/>
    <w:rsid w:val="2A50425B"/>
    <w:rsid w:val="2A5079C8"/>
    <w:rsid w:val="2A510DA5"/>
    <w:rsid w:val="2A521929"/>
    <w:rsid w:val="2A5371A1"/>
    <w:rsid w:val="2A5410F4"/>
    <w:rsid w:val="2A5438D8"/>
    <w:rsid w:val="2A552E31"/>
    <w:rsid w:val="2A557B68"/>
    <w:rsid w:val="2A561E4D"/>
    <w:rsid w:val="2A5623DE"/>
    <w:rsid w:val="2A563FC5"/>
    <w:rsid w:val="2A5743F0"/>
    <w:rsid w:val="2A5826B1"/>
    <w:rsid w:val="2A586417"/>
    <w:rsid w:val="2A587D57"/>
    <w:rsid w:val="2A5941D9"/>
    <w:rsid w:val="2A5A558B"/>
    <w:rsid w:val="2A5C0F49"/>
    <w:rsid w:val="2A5C1303"/>
    <w:rsid w:val="2A5F2AB6"/>
    <w:rsid w:val="2A6056F0"/>
    <w:rsid w:val="2A6250D8"/>
    <w:rsid w:val="2A6262F4"/>
    <w:rsid w:val="2A6308E4"/>
    <w:rsid w:val="2A6428AE"/>
    <w:rsid w:val="2A646307"/>
    <w:rsid w:val="2A663D63"/>
    <w:rsid w:val="2A666E0D"/>
    <w:rsid w:val="2A67047B"/>
    <w:rsid w:val="2A692A5C"/>
    <w:rsid w:val="2A695E6F"/>
    <w:rsid w:val="2A6A231A"/>
    <w:rsid w:val="2A6A428D"/>
    <w:rsid w:val="2A6A570C"/>
    <w:rsid w:val="2A6A6DE7"/>
    <w:rsid w:val="2A6B0C90"/>
    <w:rsid w:val="2A6B6C80"/>
    <w:rsid w:val="2A6B7798"/>
    <w:rsid w:val="2A6C6813"/>
    <w:rsid w:val="2A6C70CB"/>
    <w:rsid w:val="2A6D49CA"/>
    <w:rsid w:val="2A6E146B"/>
    <w:rsid w:val="2A7028F7"/>
    <w:rsid w:val="2A705F20"/>
    <w:rsid w:val="2A7072C9"/>
    <w:rsid w:val="2A715E74"/>
    <w:rsid w:val="2A73659C"/>
    <w:rsid w:val="2A7369C2"/>
    <w:rsid w:val="2A7431C6"/>
    <w:rsid w:val="2A743B5B"/>
    <w:rsid w:val="2A7570ED"/>
    <w:rsid w:val="2A765DEA"/>
    <w:rsid w:val="2A796BCF"/>
    <w:rsid w:val="2A7A04C6"/>
    <w:rsid w:val="2A7B041E"/>
    <w:rsid w:val="2A7B137B"/>
    <w:rsid w:val="2A7E0A31"/>
    <w:rsid w:val="2A7F0ACE"/>
    <w:rsid w:val="2A7F55A2"/>
    <w:rsid w:val="2A8003F3"/>
    <w:rsid w:val="2A804513"/>
    <w:rsid w:val="2A8104E9"/>
    <w:rsid w:val="2A813C34"/>
    <w:rsid w:val="2A8373ED"/>
    <w:rsid w:val="2A865EC9"/>
    <w:rsid w:val="2A8672FE"/>
    <w:rsid w:val="2A874583"/>
    <w:rsid w:val="2A88218A"/>
    <w:rsid w:val="2A886695"/>
    <w:rsid w:val="2A8879BC"/>
    <w:rsid w:val="2A892A92"/>
    <w:rsid w:val="2A893B6E"/>
    <w:rsid w:val="2A8A0E3F"/>
    <w:rsid w:val="2A8A4A6F"/>
    <w:rsid w:val="2A8A6DFB"/>
    <w:rsid w:val="2A8B2AA1"/>
    <w:rsid w:val="2A8B3997"/>
    <w:rsid w:val="2A8C5319"/>
    <w:rsid w:val="2A8D2502"/>
    <w:rsid w:val="2A8D5961"/>
    <w:rsid w:val="2A8E02ED"/>
    <w:rsid w:val="2A8E4FD3"/>
    <w:rsid w:val="2A8F4E2F"/>
    <w:rsid w:val="2A903CEF"/>
    <w:rsid w:val="2A9101F5"/>
    <w:rsid w:val="2A915742"/>
    <w:rsid w:val="2A921460"/>
    <w:rsid w:val="2A922CB6"/>
    <w:rsid w:val="2A926C3A"/>
    <w:rsid w:val="2A930A9D"/>
    <w:rsid w:val="2A933B52"/>
    <w:rsid w:val="2A935211"/>
    <w:rsid w:val="2A937275"/>
    <w:rsid w:val="2A952A67"/>
    <w:rsid w:val="2A955A9C"/>
    <w:rsid w:val="2A9666D6"/>
    <w:rsid w:val="2A9676D5"/>
    <w:rsid w:val="2A970150"/>
    <w:rsid w:val="2A9742D2"/>
    <w:rsid w:val="2A980869"/>
    <w:rsid w:val="2A985C89"/>
    <w:rsid w:val="2A9914F7"/>
    <w:rsid w:val="2A9C2048"/>
    <w:rsid w:val="2A9C7DF2"/>
    <w:rsid w:val="2A9D36CA"/>
    <w:rsid w:val="2A9E2235"/>
    <w:rsid w:val="2A9E3F84"/>
    <w:rsid w:val="2A9F666E"/>
    <w:rsid w:val="2AA00AB0"/>
    <w:rsid w:val="2AA02382"/>
    <w:rsid w:val="2AA056BA"/>
    <w:rsid w:val="2AA231F4"/>
    <w:rsid w:val="2AA26725"/>
    <w:rsid w:val="2AA271F1"/>
    <w:rsid w:val="2AA42CAA"/>
    <w:rsid w:val="2AA46F11"/>
    <w:rsid w:val="2AA6196B"/>
    <w:rsid w:val="2AA6270C"/>
    <w:rsid w:val="2AA66A22"/>
    <w:rsid w:val="2AA734AF"/>
    <w:rsid w:val="2AA76DC8"/>
    <w:rsid w:val="2AAA30C5"/>
    <w:rsid w:val="2AAA3325"/>
    <w:rsid w:val="2AAA4765"/>
    <w:rsid w:val="2AAA55F3"/>
    <w:rsid w:val="2AAA6513"/>
    <w:rsid w:val="2AAD55E4"/>
    <w:rsid w:val="2AAE25B1"/>
    <w:rsid w:val="2AAF1218"/>
    <w:rsid w:val="2AAF5FB9"/>
    <w:rsid w:val="2AB04CD6"/>
    <w:rsid w:val="2AB13D45"/>
    <w:rsid w:val="2AB23F44"/>
    <w:rsid w:val="2AB4738A"/>
    <w:rsid w:val="2AB87A4D"/>
    <w:rsid w:val="2AB9263D"/>
    <w:rsid w:val="2ABA58D8"/>
    <w:rsid w:val="2ABC0996"/>
    <w:rsid w:val="2ABC42D0"/>
    <w:rsid w:val="2ABD0865"/>
    <w:rsid w:val="2ABD1413"/>
    <w:rsid w:val="2ABD3F56"/>
    <w:rsid w:val="2ABD5F6A"/>
    <w:rsid w:val="2ABE104C"/>
    <w:rsid w:val="2ABF2268"/>
    <w:rsid w:val="2ABF2A20"/>
    <w:rsid w:val="2ABF7C98"/>
    <w:rsid w:val="2AC1560A"/>
    <w:rsid w:val="2AC25973"/>
    <w:rsid w:val="2AC35D39"/>
    <w:rsid w:val="2AC36BDF"/>
    <w:rsid w:val="2AC375D4"/>
    <w:rsid w:val="2AC37F8E"/>
    <w:rsid w:val="2AC41210"/>
    <w:rsid w:val="2AC450FA"/>
    <w:rsid w:val="2AC606E1"/>
    <w:rsid w:val="2AC6542E"/>
    <w:rsid w:val="2AC66958"/>
    <w:rsid w:val="2AC748BC"/>
    <w:rsid w:val="2AC7598C"/>
    <w:rsid w:val="2AC767B5"/>
    <w:rsid w:val="2AC77B8A"/>
    <w:rsid w:val="2AC82D49"/>
    <w:rsid w:val="2AC85AC9"/>
    <w:rsid w:val="2AC900AE"/>
    <w:rsid w:val="2AC93028"/>
    <w:rsid w:val="2ACA0963"/>
    <w:rsid w:val="2ACB1F3D"/>
    <w:rsid w:val="2ACB3B4E"/>
    <w:rsid w:val="2ACB48FF"/>
    <w:rsid w:val="2ACB7E99"/>
    <w:rsid w:val="2ACC32D1"/>
    <w:rsid w:val="2ACE18C7"/>
    <w:rsid w:val="2ACE2D24"/>
    <w:rsid w:val="2AD014E3"/>
    <w:rsid w:val="2AD03A9F"/>
    <w:rsid w:val="2AD1359E"/>
    <w:rsid w:val="2AD14FB9"/>
    <w:rsid w:val="2AD2753D"/>
    <w:rsid w:val="2AD27817"/>
    <w:rsid w:val="2AD41913"/>
    <w:rsid w:val="2AD510B6"/>
    <w:rsid w:val="2AD65D0D"/>
    <w:rsid w:val="2AD733A4"/>
    <w:rsid w:val="2AD8341B"/>
    <w:rsid w:val="2ADA334B"/>
    <w:rsid w:val="2ADA5073"/>
    <w:rsid w:val="2ADE61BC"/>
    <w:rsid w:val="2ADF3CE2"/>
    <w:rsid w:val="2ADF5C06"/>
    <w:rsid w:val="2AE051AE"/>
    <w:rsid w:val="2AE158E1"/>
    <w:rsid w:val="2AE24837"/>
    <w:rsid w:val="2AE253A8"/>
    <w:rsid w:val="2AE256EF"/>
    <w:rsid w:val="2AE451EA"/>
    <w:rsid w:val="2AE77EE5"/>
    <w:rsid w:val="2AE80D38"/>
    <w:rsid w:val="2AE86A4B"/>
    <w:rsid w:val="2AE91BA5"/>
    <w:rsid w:val="2AEA2285"/>
    <w:rsid w:val="2AEA335B"/>
    <w:rsid w:val="2AEA5BFF"/>
    <w:rsid w:val="2AEC44AE"/>
    <w:rsid w:val="2AEC7D06"/>
    <w:rsid w:val="2AED6348"/>
    <w:rsid w:val="2AEF34FB"/>
    <w:rsid w:val="2AEF5522"/>
    <w:rsid w:val="2AF07711"/>
    <w:rsid w:val="2AF13861"/>
    <w:rsid w:val="2AF40BE4"/>
    <w:rsid w:val="2AF460E0"/>
    <w:rsid w:val="2AF47341"/>
    <w:rsid w:val="2AF523CD"/>
    <w:rsid w:val="2AF5340B"/>
    <w:rsid w:val="2AF53506"/>
    <w:rsid w:val="2AF54DB9"/>
    <w:rsid w:val="2AF66BA8"/>
    <w:rsid w:val="2AF70242"/>
    <w:rsid w:val="2AF74588"/>
    <w:rsid w:val="2AF97D2D"/>
    <w:rsid w:val="2AFB2155"/>
    <w:rsid w:val="2AFB230F"/>
    <w:rsid w:val="2AFB4B42"/>
    <w:rsid w:val="2AFB6D6E"/>
    <w:rsid w:val="2AFC4B70"/>
    <w:rsid w:val="2AFD240A"/>
    <w:rsid w:val="2AFE14D3"/>
    <w:rsid w:val="2AFF3DDC"/>
    <w:rsid w:val="2AFF7566"/>
    <w:rsid w:val="2B0206A2"/>
    <w:rsid w:val="2B025073"/>
    <w:rsid w:val="2B03759B"/>
    <w:rsid w:val="2B0379CB"/>
    <w:rsid w:val="2B0458BE"/>
    <w:rsid w:val="2B062C69"/>
    <w:rsid w:val="2B065713"/>
    <w:rsid w:val="2B0674C1"/>
    <w:rsid w:val="2B084459"/>
    <w:rsid w:val="2B0A0217"/>
    <w:rsid w:val="2B0B4AD7"/>
    <w:rsid w:val="2B0C7E20"/>
    <w:rsid w:val="2B0E0CD2"/>
    <w:rsid w:val="2B0E13C5"/>
    <w:rsid w:val="2B0E580B"/>
    <w:rsid w:val="2B0E6219"/>
    <w:rsid w:val="2B0E67DD"/>
    <w:rsid w:val="2B0E68EE"/>
    <w:rsid w:val="2B0E788A"/>
    <w:rsid w:val="2B0F28D6"/>
    <w:rsid w:val="2B0F72CD"/>
    <w:rsid w:val="2B1020EE"/>
    <w:rsid w:val="2B106871"/>
    <w:rsid w:val="2B110336"/>
    <w:rsid w:val="2B110340"/>
    <w:rsid w:val="2B116710"/>
    <w:rsid w:val="2B125051"/>
    <w:rsid w:val="2B12611A"/>
    <w:rsid w:val="2B12784B"/>
    <w:rsid w:val="2B135B50"/>
    <w:rsid w:val="2B140A9E"/>
    <w:rsid w:val="2B147FD7"/>
    <w:rsid w:val="2B150806"/>
    <w:rsid w:val="2B15594A"/>
    <w:rsid w:val="2B18454C"/>
    <w:rsid w:val="2B1870F0"/>
    <w:rsid w:val="2B197CEA"/>
    <w:rsid w:val="2B1A50CA"/>
    <w:rsid w:val="2B1C2ADA"/>
    <w:rsid w:val="2B1C6CE5"/>
    <w:rsid w:val="2B1D0238"/>
    <w:rsid w:val="2B1F6A5F"/>
    <w:rsid w:val="2B200A0A"/>
    <w:rsid w:val="2B20653A"/>
    <w:rsid w:val="2B2253DC"/>
    <w:rsid w:val="2B234014"/>
    <w:rsid w:val="2B2362C5"/>
    <w:rsid w:val="2B25759C"/>
    <w:rsid w:val="2B260D67"/>
    <w:rsid w:val="2B262B0B"/>
    <w:rsid w:val="2B263893"/>
    <w:rsid w:val="2B277B63"/>
    <w:rsid w:val="2B28015F"/>
    <w:rsid w:val="2B287982"/>
    <w:rsid w:val="2B292B7F"/>
    <w:rsid w:val="2B295EE3"/>
    <w:rsid w:val="2B29671C"/>
    <w:rsid w:val="2B2972A5"/>
    <w:rsid w:val="2B2A67F6"/>
    <w:rsid w:val="2B2B3DC5"/>
    <w:rsid w:val="2B2C2DF0"/>
    <w:rsid w:val="2B2C5E3A"/>
    <w:rsid w:val="2B2D4A4E"/>
    <w:rsid w:val="2B2D610A"/>
    <w:rsid w:val="2B300DB0"/>
    <w:rsid w:val="2B306050"/>
    <w:rsid w:val="2B3106B0"/>
    <w:rsid w:val="2B314F21"/>
    <w:rsid w:val="2B3202B6"/>
    <w:rsid w:val="2B3230DF"/>
    <w:rsid w:val="2B3402C6"/>
    <w:rsid w:val="2B340F93"/>
    <w:rsid w:val="2B3447AD"/>
    <w:rsid w:val="2B351EB9"/>
    <w:rsid w:val="2B352FF1"/>
    <w:rsid w:val="2B365FF8"/>
    <w:rsid w:val="2B367382"/>
    <w:rsid w:val="2B3733C3"/>
    <w:rsid w:val="2B376617"/>
    <w:rsid w:val="2B3852FD"/>
    <w:rsid w:val="2B3902D3"/>
    <w:rsid w:val="2B395AE8"/>
    <w:rsid w:val="2B3A04E1"/>
    <w:rsid w:val="2B3B1A8A"/>
    <w:rsid w:val="2B3B4D2A"/>
    <w:rsid w:val="2B3D3003"/>
    <w:rsid w:val="2B3D37F1"/>
    <w:rsid w:val="2B3D4091"/>
    <w:rsid w:val="2B3D4A9E"/>
    <w:rsid w:val="2B3D6384"/>
    <w:rsid w:val="2B3D6FE1"/>
    <w:rsid w:val="2B3F4821"/>
    <w:rsid w:val="2B405C9B"/>
    <w:rsid w:val="2B410FAE"/>
    <w:rsid w:val="2B411237"/>
    <w:rsid w:val="2B422F79"/>
    <w:rsid w:val="2B43213A"/>
    <w:rsid w:val="2B433779"/>
    <w:rsid w:val="2B43682D"/>
    <w:rsid w:val="2B436B2F"/>
    <w:rsid w:val="2B472333"/>
    <w:rsid w:val="2B474549"/>
    <w:rsid w:val="2B494960"/>
    <w:rsid w:val="2B495227"/>
    <w:rsid w:val="2B4C314A"/>
    <w:rsid w:val="2B4C39D6"/>
    <w:rsid w:val="2B4C52BF"/>
    <w:rsid w:val="2B4C581C"/>
    <w:rsid w:val="2B4D6A90"/>
    <w:rsid w:val="2B4E0118"/>
    <w:rsid w:val="2B4E2567"/>
    <w:rsid w:val="2B4F23C8"/>
    <w:rsid w:val="2B51335D"/>
    <w:rsid w:val="2B5210F2"/>
    <w:rsid w:val="2B523868"/>
    <w:rsid w:val="2B53315A"/>
    <w:rsid w:val="2B551CFA"/>
    <w:rsid w:val="2B560448"/>
    <w:rsid w:val="2B561C16"/>
    <w:rsid w:val="2B56242A"/>
    <w:rsid w:val="2B562D59"/>
    <w:rsid w:val="2B5647BF"/>
    <w:rsid w:val="2B56578C"/>
    <w:rsid w:val="2B574202"/>
    <w:rsid w:val="2B5801B6"/>
    <w:rsid w:val="2B594EA2"/>
    <w:rsid w:val="2B5A3E0F"/>
    <w:rsid w:val="2B5A3EBA"/>
    <w:rsid w:val="2B5B38DF"/>
    <w:rsid w:val="2B5B409D"/>
    <w:rsid w:val="2B5D253A"/>
    <w:rsid w:val="2B5D3D6C"/>
    <w:rsid w:val="2B5D737F"/>
    <w:rsid w:val="2B5E4913"/>
    <w:rsid w:val="2B602946"/>
    <w:rsid w:val="2B603682"/>
    <w:rsid w:val="2B6128EB"/>
    <w:rsid w:val="2B6176F5"/>
    <w:rsid w:val="2B6366C1"/>
    <w:rsid w:val="2B6533EB"/>
    <w:rsid w:val="2B657ED0"/>
    <w:rsid w:val="2B674404"/>
    <w:rsid w:val="2B684122"/>
    <w:rsid w:val="2B687CF3"/>
    <w:rsid w:val="2B693732"/>
    <w:rsid w:val="2B6A031A"/>
    <w:rsid w:val="2B6A0D0E"/>
    <w:rsid w:val="2B6A2269"/>
    <w:rsid w:val="2B6A3B3B"/>
    <w:rsid w:val="2B6C0B1C"/>
    <w:rsid w:val="2B6C334C"/>
    <w:rsid w:val="2B6C4921"/>
    <w:rsid w:val="2B6C7C6C"/>
    <w:rsid w:val="2B6D3068"/>
    <w:rsid w:val="2B6D5A9A"/>
    <w:rsid w:val="2B6E19D6"/>
    <w:rsid w:val="2B6E5759"/>
    <w:rsid w:val="2B726905"/>
    <w:rsid w:val="2B727FEB"/>
    <w:rsid w:val="2B735437"/>
    <w:rsid w:val="2B742C80"/>
    <w:rsid w:val="2B744755"/>
    <w:rsid w:val="2B7519FB"/>
    <w:rsid w:val="2B755401"/>
    <w:rsid w:val="2B755B0D"/>
    <w:rsid w:val="2B755CC4"/>
    <w:rsid w:val="2B762C9E"/>
    <w:rsid w:val="2B763551"/>
    <w:rsid w:val="2B770415"/>
    <w:rsid w:val="2B77234F"/>
    <w:rsid w:val="2B780DB0"/>
    <w:rsid w:val="2B78125B"/>
    <w:rsid w:val="2B783046"/>
    <w:rsid w:val="2B7936D7"/>
    <w:rsid w:val="2B795EE5"/>
    <w:rsid w:val="2B7B16C7"/>
    <w:rsid w:val="2B7B3BAB"/>
    <w:rsid w:val="2B7E11A1"/>
    <w:rsid w:val="2B803E07"/>
    <w:rsid w:val="2B807C60"/>
    <w:rsid w:val="2B8102C9"/>
    <w:rsid w:val="2B8104F9"/>
    <w:rsid w:val="2B82123D"/>
    <w:rsid w:val="2B841333"/>
    <w:rsid w:val="2B8625C5"/>
    <w:rsid w:val="2B867EF4"/>
    <w:rsid w:val="2B870602"/>
    <w:rsid w:val="2B882210"/>
    <w:rsid w:val="2B885182"/>
    <w:rsid w:val="2B8873A7"/>
    <w:rsid w:val="2B8901CA"/>
    <w:rsid w:val="2B890DED"/>
    <w:rsid w:val="2B891029"/>
    <w:rsid w:val="2B892248"/>
    <w:rsid w:val="2B8A00F2"/>
    <w:rsid w:val="2B8A6344"/>
    <w:rsid w:val="2B8B1002"/>
    <w:rsid w:val="2B8B2ABB"/>
    <w:rsid w:val="2B8C006D"/>
    <w:rsid w:val="2B8D2D76"/>
    <w:rsid w:val="2B8D4322"/>
    <w:rsid w:val="2B8D6A40"/>
    <w:rsid w:val="2B8E7B1A"/>
    <w:rsid w:val="2B9176D3"/>
    <w:rsid w:val="2B920D55"/>
    <w:rsid w:val="2B9262C5"/>
    <w:rsid w:val="2B9275EC"/>
    <w:rsid w:val="2B935342"/>
    <w:rsid w:val="2B935626"/>
    <w:rsid w:val="2B936FA7"/>
    <w:rsid w:val="2B937597"/>
    <w:rsid w:val="2B940AE4"/>
    <w:rsid w:val="2B944760"/>
    <w:rsid w:val="2B954359"/>
    <w:rsid w:val="2B96297C"/>
    <w:rsid w:val="2B964572"/>
    <w:rsid w:val="2B964872"/>
    <w:rsid w:val="2B965909"/>
    <w:rsid w:val="2B987066"/>
    <w:rsid w:val="2B995990"/>
    <w:rsid w:val="2B9A2359"/>
    <w:rsid w:val="2B9A5FD7"/>
    <w:rsid w:val="2B9A6852"/>
    <w:rsid w:val="2B9C362C"/>
    <w:rsid w:val="2B9F5CA1"/>
    <w:rsid w:val="2BA1591D"/>
    <w:rsid w:val="2BA16375"/>
    <w:rsid w:val="2BA21FD0"/>
    <w:rsid w:val="2BA25A0A"/>
    <w:rsid w:val="2BA31966"/>
    <w:rsid w:val="2BA41E0C"/>
    <w:rsid w:val="2BA4385C"/>
    <w:rsid w:val="2BA4663E"/>
    <w:rsid w:val="2BA524D8"/>
    <w:rsid w:val="2BA57BC4"/>
    <w:rsid w:val="2BA705D5"/>
    <w:rsid w:val="2BA85FD2"/>
    <w:rsid w:val="2BA90DD3"/>
    <w:rsid w:val="2BA936A8"/>
    <w:rsid w:val="2BA96374"/>
    <w:rsid w:val="2BAA6FBE"/>
    <w:rsid w:val="2BAB2266"/>
    <w:rsid w:val="2BAC0068"/>
    <w:rsid w:val="2BAC5A15"/>
    <w:rsid w:val="2BAD29C6"/>
    <w:rsid w:val="2BAE6D07"/>
    <w:rsid w:val="2BAF74DD"/>
    <w:rsid w:val="2BAF7BFA"/>
    <w:rsid w:val="2BB0260A"/>
    <w:rsid w:val="2BB05DAB"/>
    <w:rsid w:val="2BB1742D"/>
    <w:rsid w:val="2BB20849"/>
    <w:rsid w:val="2BB22054"/>
    <w:rsid w:val="2BB305D5"/>
    <w:rsid w:val="2BB35478"/>
    <w:rsid w:val="2BB412CB"/>
    <w:rsid w:val="2BB43A51"/>
    <w:rsid w:val="2BB564A3"/>
    <w:rsid w:val="2BB57A8A"/>
    <w:rsid w:val="2BB60CEE"/>
    <w:rsid w:val="2BB63467"/>
    <w:rsid w:val="2BB667D9"/>
    <w:rsid w:val="2BB831C3"/>
    <w:rsid w:val="2BB86A0D"/>
    <w:rsid w:val="2BBB1288"/>
    <w:rsid w:val="2BBB24C9"/>
    <w:rsid w:val="2BBC6ECB"/>
    <w:rsid w:val="2BBD1527"/>
    <w:rsid w:val="2BBE1158"/>
    <w:rsid w:val="2BBE26CA"/>
    <w:rsid w:val="2BBF1E9A"/>
    <w:rsid w:val="2BBF7051"/>
    <w:rsid w:val="2BC115B6"/>
    <w:rsid w:val="2BC11FB2"/>
    <w:rsid w:val="2BC14BF9"/>
    <w:rsid w:val="2BC14C49"/>
    <w:rsid w:val="2BC23F9B"/>
    <w:rsid w:val="2BC25ADE"/>
    <w:rsid w:val="2BC30948"/>
    <w:rsid w:val="2BC34F3C"/>
    <w:rsid w:val="2BC35256"/>
    <w:rsid w:val="2BC363CD"/>
    <w:rsid w:val="2BC37ABD"/>
    <w:rsid w:val="2BC42AF1"/>
    <w:rsid w:val="2BC550AB"/>
    <w:rsid w:val="2BC55BC9"/>
    <w:rsid w:val="2BC67D37"/>
    <w:rsid w:val="2BC73DBF"/>
    <w:rsid w:val="2BC828E2"/>
    <w:rsid w:val="2BC907E9"/>
    <w:rsid w:val="2BCB585D"/>
    <w:rsid w:val="2BCC5A3F"/>
    <w:rsid w:val="2BCD00CD"/>
    <w:rsid w:val="2BCD0885"/>
    <w:rsid w:val="2BCD5330"/>
    <w:rsid w:val="2BCE1D15"/>
    <w:rsid w:val="2BCE4D9B"/>
    <w:rsid w:val="2BCF0C36"/>
    <w:rsid w:val="2BCF3D57"/>
    <w:rsid w:val="2BCF7C85"/>
    <w:rsid w:val="2BD0455F"/>
    <w:rsid w:val="2BD06835"/>
    <w:rsid w:val="2BD17BED"/>
    <w:rsid w:val="2BD207DE"/>
    <w:rsid w:val="2BD43A89"/>
    <w:rsid w:val="2BD5255A"/>
    <w:rsid w:val="2BD71405"/>
    <w:rsid w:val="2BDB3DC5"/>
    <w:rsid w:val="2BDB6081"/>
    <w:rsid w:val="2BDC19DE"/>
    <w:rsid w:val="2BDC1B2C"/>
    <w:rsid w:val="2BDE5844"/>
    <w:rsid w:val="2BE008CA"/>
    <w:rsid w:val="2BE06020"/>
    <w:rsid w:val="2BE07D12"/>
    <w:rsid w:val="2BE24CED"/>
    <w:rsid w:val="2BE3481B"/>
    <w:rsid w:val="2BE41B27"/>
    <w:rsid w:val="2BE42A5B"/>
    <w:rsid w:val="2BE51C78"/>
    <w:rsid w:val="2BE65116"/>
    <w:rsid w:val="2BE71779"/>
    <w:rsid w:val="2BE71963"/>
    <w:rsid w:val="2BE752CE"/>
    <w:rsid w:val="2BE7645A"/>
    <w:rsid w:val="2BE80A47"/>
    <w:rsid w:val="2BE82AEA"/>
    <w:rsid w:val="2BEA1240"/>
    <w:rsid w:val="2BEC66B7"/>
    <w:rsid w:val="2BED0422"/>
    <w:rsid w:val="2BEE0AAC"/>
    <w:rsid w:val="2BEE0AB3"/>
    <w:rsid w:val="2BEE0C9C"/>
    <w:rsid w:val="2BEE242F"/>
    <w:rsid w:val="2BEE5435"/>
    <w:rsid w:val="2BEF1D5C"/>
    <w:rsid w:val="2BF0264B"/>
    <w:rsid w:val="2BF30FF9"/>
    <w:rsid w:val="2BF32458"/>
    <w:rsid w:val="2BF33FFB"/>
    <w:rsid w:val="2BF451C0"/>
    <w:rsid w:val="2BF465B0"/>
    <w:rsid w:val="2BF46E3D"/>
    <w:rsid w:val="2BF53D00"/>
    <w:rsid w:val="2BF64FE9"/>
    <w:rsid w:val="2BF842FC"/>
    <w:rsid w:val="2BF8481D"/>
    <w:rsid w:val="2BF8719E"/>
    <w:rsid w:val="2BF9730E"/>
    <w:rsid w:val="2BFA2CF5"/>
    <w:rsid w:val="2BFA4484"/>
    <w:rsid w:val="2BFA5278"/>
    <w:rsid w:val="2BFB4A7F"/>
    <w:rsid w:val="2BFC024A"/>
    <w:rsid w:val="2BFC6920"/>
    <w:rsid w:val="2BFD0C79"/>
    <w:rsid w:val="2BFD12F0"/>
    <w:rsid w:val="2BFD2718"/>
    <w:rsid w:val="2BFE479C"/>
    <w:rsid w:val="2BFE72AA"/>
    <w:rsid w:val="2BFF0FFB"/>
    <w:rsid w:val="2BFF288E"/>
    <w:rsid w:val="2BFF50AE"/>
    <w:rsid w:val="2C0175DD"/>
    <w:rsid w:val="2C0203A4"/>
    <w:rsid w:val="2C022C57"/>
    <w:rsid w:val="2C0237A1"/>
    <w:rsid w:val="2C0411AD"/>
    <w:rsid w:val="2C045368"/>
    <w:rsid w:val="2C05730E"/>
    <w:rsid w:val="2C061651"/>
    <w:rsid w:val="2C071325"/>
    <w:rsid w:val="2C071743"/>
    <w:rsid w:val="2C073FBB"/>
    <w:rsid w:val="2C076946"/>
    <w:rsid w:val="2C091BF0"/>
    <w:rsid w:val="2C0A7A4C"/>
    <w:rsid w:val="2C0B2327"/>
    <w:rsid w:val="2C0B6403"/>
    <w:rsid w:val="2C0C7136"/>
    <w:rsid w:val="2C0E6D85"/>
    <w:rsid w:val="2C0F23A5"/>
    <w:rsid w:val="2C0F2439"/>
    <w:rsid w:val="2C0F2E5E"/>
    <w:rsid w:val="2C1005F7"/>
    <w:rsid w:val="2C101613"/>
    <w:rsid w:val="2C1119CE"/>
    <w:rsid w:val="2C1165C9"/>
    <w:rsid w:val="2C1356BB"/>
    <w:rsid w:val="2C135D6B"/>
    <w:rsid w:val="2C161986"/>
    <w:rsid w:val="2C164B01"/>
    <w:rsid w:val="2C1733C9"/>
    <w:rsid w:val="2C19680D"/>
    <w:rsid w:val="2C1A5526"/>
    <w:rsid w:val="2C1C51EE"/>
    <w:rsid w:val="2C1C5F67"/>
    <w:rsid w:val="2C1C7135"/>
    <w:rsid w:val="2C1E12D9"/>
    <w:rsid w:val="2C1E6976"/>
    <w:rsid w:val="2C1F4CDE"/>
    <w:rsid w:val="2C2005DF"/>
    <w:rsid w:val="2C2048EF"/>
    <w:rsid w:val="2C210A56"/>
    <w:rsid w:val="2C2157E3"/>
    <w:rsid w:val="2C23408A"/>
    <w:rsid w:val="2C236224"/>
    <w:rsid w:val="2C240B36"/>
    <w:rsid w:val="2C247F10"/>
    <w:rsid w:val="2C263232"/>
    <w:rsid w:val="2C2718BD"/>
    <w:rsid w:val="2C2725DE"/>
    <w:rsid w:val="2C28377C"/>
    <w:rsid w:val="2C283FF8"/>
    <w:rsid w:val="2C28525E"/>
    <w:rsid w:val="2C29711C"/>
    <w:rsid w:val="2C2A71DF"/>
    <w:rsid w:val="2C2B7EA2"/>
    <w:rsid w:val="2C2C11A9"/>
    <w:rsid w:val="2C2D1203"/>
    <w:rsid w:val="2C2E2686"/>
    <w:rsid w:val="2C2F65EA"/>
    <w:rsid w:val="2C300C99"/>
    <w:rsid w:val="2C304545"/>
    <w:rsid w:val="2C313E18"/>
    <w:rsid w:val="2C315A5A"/>
    <w:rsid w:val="2C323501"/>
    <w:rsid w:val="2C325ACE"/>
    <w:rsid w:val="2C326ED2"/>
    <w:rsid w:val="2C345A85"/>
    <w:rsid w:val="2C351E0C"/>
    <w:rsid w:val="2C360CA0"/>
    <w:rsid w:val="2C365727"/>
    <w:rsid w:val="2C3659E0"/>
    <w:rsid w:val="2C370D14"/>
    <w:rsid w:val="2C372028"/>
    <w:rsid w:val="2C372D4B"/>
    <w:rsid w:val="2C3816CF"/>
    <w:rsid w:val="2C382603"/>
    <w:rsid w:val="2C383C0D"/>
    <w:rsid w:val="2C38519D"/>
    <w:rsid w:val="2C387B4E"/>
    <w:rsid w:val="2C396B1A"/>
    <w:rsid w:val="2C3A78FD"/>
    <w:rsid w:val="2C3B2488"/>
    <w:rsid w:val="2C3B636D"/>
    <w:rsid w:val="2C3C3A99"/>
    <w:rsid w:val="2C3D1526"/>
    <w:rsid w:val="2C3D1774"/>
    <w:rsid w:val="2C3D1F25"/>
    <w:rsid w:val="2C3D25EA"/>
    <w:rsid w:val="2C401A8D"/>
    <w:rsid w:val="2C4024BC"/>
    <w:rsid w:val="2C402FF9"/>
    <w:rsid w:val="2C44096C"/>
    <w:rsid w:val="2C4421E8"/>
    <w:rsid w:val="2C464019"/>
    <w:rsid w:val="2C465E8A"/>
    <w:rsid w:val="2C465F37"/>
    <w:rsid w:val="2C475248"/>
    <w:rsid w:val="2C475FE3"/>
    <w:rsid w:val="2C476890"/>
    <w:rsid w:val="2C493BEE"/>
    <w:rsid w:val="2C497334"/>
    <w:rsid w:val="2C4A6ABB"/>
    <w:rsid w:val="2C4B1C25"/>
    <w:rsid w:val="2C4B7881"/>
    <w:rsid w:val="2C4C7EE8"/>
    <w:rsid w:val="2C4E22F6"/>
    <w:rsid w:val="2C4E297E"/>
    <w:rsid w:val="2C50728E"/>
    <w:rsid w:val="2C53211E"/>
    <w:rsid w:val="2C53365A"/>
    <w:rsid w:val="2C547D62"/>
    <w:rsid w:val="2C554BF1"/>
    <w:rsid w:val="2C56092B"/>
    <w:rsid w:val="2C567AFD"/>
    <w:rsid w:val="2C567DCF"/>
    <w:rsid w:val="2C572CBC"/>
    <w:rsid w:val="2C57477A"/>
    <w:rsid w:val="2C5907D8"/>
    <w:rsid w:val="2C59285D"/>
    <w:rsid w:val="2C5B3759"/>
    <w:rsid w:val="2C5B3C1F"/>
    <w:rsid w:val="2C5B535E"/>
    <w:rsid w:val="2C5B6571"/>
    <w:rsid w:val="2C5C5A5F"/>
    <w:rsid w:val="2C5D3DCC"/>
    <w:rsid w:val="2C5E0D76"/>
    <w:rsid w:val="2C5E293C"/>
    <w:rsid w:val="2C5F092B"/>
    <w:rsid w:val="2C5F46F9"/>
    <w:rsid w:val="2C603BE1"/>
    <w:rsid w:val="2C606EFE"/>
    <w:rsid w:val="2C610E53"/>
    <w:rsid w:val="2C611C9F"/>
    <w:rsid w:val="2C614353"/>
    <w:rsid w:val="2C615794"/>
    <w:rsid w:val="2C621223"/>
    <w:rsid w:val="2C624BCB"/>
    <w:rsid w:val="2C643FFF"/>
    <w:rsid w:val="2C651C94"/>
    <w:rsid w:val="2C65227D"/>
    <w:rsid w:val="2C667041"/>
    <w:rsid w:val="2C66736C"/>
    <w:rsid w:val="2C673F8F"/>
    <w:rsid w:val="2C6B0CB9"/>
    <w:rsid w:val="2C6B4ED3"/>
    <w:rsid w:val="2C6C77F8"/>
    <w:rsid w:val="2C6D1F9D"/>
    <w:rsid w:val="2C6D7352"/>
    <w:rsid w:val="2C6E531E"/>
    <w:rsid w:val="2C6F6E31"/>
    <w:rsid w:val="2C700CD0"/>
    <w:rsid w:val="2C712B36"/>
    <w:rsid w:val="2C717058"/>
    <w:rsid w:val="2C717B8E"/>
    <w:rsid w:val="2C720F72"/>
    <w:rsid w:val="2C731599"/>
    <w:rsid w:val="2C7330FF"/>
    <w:rsid w:val="2C740FB5"/>
    <w:rsid w:val="2C765141"/>
    <w:rsid w:val="2C774DAB"/>
    <w:rsid w:val="2C780F5D"/>
    <w:rsid w:val="2C78105D"/>
    <w:rsid w:val="2C7843EE"/>
    <w:rsid w:val="2C797610"/>
    <w:rsid w:val="2C7C0F4A"/>
    <w:rsid w:val="2C7F1FC2"/>
    <w:rsid w:val="2C803864"/>
    <w:rsid w:val="2C806C31"/>
    <w:rsid w:val="2C811CDA"/>
    <w:rsid w:val="2C8132A3"/>
    <w:rsid w:val="2C82409F"/>
    <w:rsid w:val="2C825265"/>
    <w:rsid w:val="2C827BAA"/>
    <w:rsid w:val="2C833ED8"/>
    <w:rsid w:val="2C846368"/>
    <w:rsid w:val="2C87091D"/>
    <w:rsid w:val="2C874107"/>
    <w:rsid w:val="2C8754C4"/>
    <w:rsid w:val="2C8824B7"/>
    <w:rsid w:val="2C886DA8"/>
    <w:rsid w:val="2C896589"/>
    <w:rsid w:val="2C8A1219"/>
    <w:rsid w:val="2C8A1332"/>
    <w:rsid w:val="2C8B0765"/>
    <w:rsid w:val="2C8B4122"/>
    <w:rsid w:val="2C8D1C48"/>
    <w:rsid w:val="2C8D50E5"/>
    <w:rsid w:val="2C8E11C6"/>
    <w:rsid w:val="2C8E50A6"/>
    <w:rsid w:val="2C8E5CDA"/>
    <w:rsid w:val="2C8E6592"/>
    <w:rsid w:val="2C8F24DF"/>
    <w:rsid w:val="2C8F2535"/>
    <w:rsid w:val="2C8F272E"/>
    <w:rsid w:val="2C8F634D"/>
    <w:rsid w:val="2C902650"/>
    <w:rsid w:val="2C914BF7"/>
    <w:rsid w:val="2C9172E8"/>
    <w:rsid w:val="2C91797A"/>
    <w:rsid w:val="2C92725E"/>
    <w:rsid w:val="2C942367"/>
    <w:rsid w:val="2C9663AB"/>
    <w:rsid w:val="2C966466"/>
    <w:rsid w:val="2C972980"/>
    <w:rsid w:val="2C973F96"/>
    <w:rsid w:val="2C9A1AB6"/>
    <w:rsid w:val="2C9A1CB1"/>
    <w:rsid w:val="2C9A2FB3"/>
    <w:rsid w:val="2C9A48A9"/>
    <w:rsid w:val="2C9A7A60"/>
    <w:rsid w:val="2C9B1D14"/>
    <w:rsid w:val="2C9B1F9D"/>
    <w:rsid w:val="2C9B57E1"/>
    <w:rsid w:val="2C9C1E8B"/>
    <w:rsid w:val="2C9E0BAE"/>
    <w:rsid w:val="2C9F68E3"/>
    <w:rsid w:val="2CA02EAC"/>
    <w:rsid w:val="2CA074B1"/>
    <w:rsid w:val="2CA12D54"/>
    <w:rsid w:val="2CA13945"/>
    <w:rsid w:val="2CA24B75"/>
    <w:rsid w:val="2CA376BD"/>
    <w:rsid w:val="2CA57B2C"/>
    <w:rsid w:val="2CA60F5C"/>
    <w:rsid w:val="2CA6162C"/>
    <w:rsid w:val="2CA66BE7"/>
    <w:rsid w:val="2CA719F5"/>
    <w:rsid w:val="2CA724AA"/>
    <w:rsid w:val="2CA80213"/>
    <w:rsid w:val="2CA823FE"/>
    <w:rsid w:val="2CA84BA2"/>
    <w:rsid w:val="2CA85142"/>
    <w:rsid w:val="2CA91522"/>
    <w:rsid w:val="2CA945A8"/>
    <w:rsid w:val="2CAD194B"/>
    <w:rsid w:val="2CAF1C30"/>
    <w:rsid w:val="2CB01DDA"/>
    <w:rsid w:val="2CB12F68"/>
    <w:rsid w:val="2CB32D2F"/>
    <w:rsid w:val="2CB513E2"/>
    <w:rsid w:val="2CB64919"/>
    <w:rsid w:val="2CB66905"/>
    <w:rsid w:val="2CB7480F"/>
    <w:rsid w:val="2CB828E4"/>
    <w:rsid w:val="2CB949EC"/>
    <w:rsid w:val="2CB971C7"/>
    <w:rsid w:val="2CBA0AE8"/>
    <w:rsid w:val="2CBA7EB3"/>
    <w:rsid w:val="2CBB6D45"/>
    <w:rsid w:val="2CBE43FE"/>
    <w:rsid w:val="2CBF7D48"/>
    <w:rsid w:val="2CC01DEF"/>
    <w:rsid w:val="2CC116BF"/>
    <w:rsid w:val="2CC12EED"/>
    <w:rsid w:val="2CC165DC"/>
    <w:rsid w:val="2CC23B0D"/>
    <w:rsid w:val="2CC366BA"/>
    <w:rsid w:val="2CC4264E"/>
    <w:rsid w:val="2CC5253A"/>
    <w:rsid w:val="2CC52B9D"/>
    <w:rsid w:val="2CC6364E"/>
    <w:rsid w:val="2CC6515A"/>
    <w:rsid w:val="2CC66F08"/>
    <w:rsid w:val="2CC745AB"/>
    <w:rsid w:val="2CC82C80"/>
    <w:rsid w:val="2CC9373B"/>
    <w:rsid w:val="2CC93B76"/>
    <w:rsid w:val="2CCA4BD8"/>
    <w:rsid w:val="2CCD0E00"/>
    <w:rsid w:val="2CCD473A"/>
    <w:rsid w:val="2CCE019C"/>
    <w:rsid w:val="2CCE5D5C"/>
    <w:rsid w:val="2CD16AA6"/>
    <w:rsid w:val="2CD30707"/>
    <w:rsid w:val="2CD53597"/>
    <w:rsid w:val="2CD54C5E"/>
    <w:rsid w:val="2CD77D50"/>
    <w:rsid w:val="2CD97C27"/>
    <w:rsid w:val="2CDA6E57"/>
    <w:rsid w:val="2CDB040F"/>
    <w:rsid w:val="2CDB4A75"/>
    <w:rsid w:val="2CDB4FBC"/>
    <w:rsid w:val="2CDB6DAA"/>
    <w:rsid w:val="2CDF4189"/>
    <w:rsid w:val="2CDF7321"/>
    <w:rsid w:val="2CE10D2D"/>
    <w:rsid w:val="2CE130B1"/>
    <w:rsid w:val="2CE17CA6"/>
    <w:rsid w:val="2CE20111"/>
    <w:rsid w:val="2CE2198B"/>
    <w:rsid w:val="2CE24113"/>
    <w:rsid w:val="2CE250B9"/>
    <w:rsid w:val="2CE2646F"/>
    <w:rsid w:val="2CE43832"/>
    <w:rsid w:val="2CE625FE"/>
    <w:rsid w:val="2CE67865"/>
    <w:rsid w:val="2CE713CD"/>
    <w:rsid w:val="2CE92E06"/>
    <w:rsid w:val="2CE96451"/>
    <w:rsid w:val="2CEA0B09"/>
    <w:rsid w:val="2CEA1287"/>
    <w:rsid w:val="2CEA24F1"/>
    <w:rsid w:val="2CEA52EC"/>
    <w:rsid w:val="2CEA7029"/>
    <w:rsid w:val="2CEB4BC0"/>
    <w:rsid w:val="2CED0939"/>
    <w:rsid w:val="2CED15E9"/>
    <w:rsid w:val="2CEE13F1"/>
    <w:rsid w:val="2CF04558"/>
    <w:rsid w:val="2CF0707B"/>
    <w:rsid w:val="2CF2192B"/>
    <w:rsid w:val="2CF22EA0"/>
    <w:rsid w:val="2CF23C9D"/>
    <w:rsid w:val="2CF26DCA"/>
    <w:rsid w:val="2CF414A0"/>
    <w:rsid w:val="2CF513FE"/>
    <w:rsid w:val="2CF577ED"/>
    <w:rsid w:val="2CF62D5E"/>
    <w:rsid w:val="2CF64D2B"/>
    <w:rsid w:val="2CF717B7"/>
    <w:rsid w:val="2CF9281E"/>
    <w:rsid w:val="2CF93477"/>
    <w:rsid w:val="2CF9447A"/>
    <w:rsid w:val="2CF949B7"/>
    <w:rsid w:val="2CF96C0D"/>
    <w:rsid w:val="2CF97322"/>
    <w:rsid w:val="2CFA7462"/>
    <w:rsid w:val="2CFB3472"/>
    <w:rsid w:val="2CFD1E6D"/>
    <w:rsid w:val="2CFE2545"/>
    <w:rsid w:val="2CFE4D17"/>
    <w:rsid w:val="2CFF4306"/>
    <w:rsid w:val="2D00276B"/>
    <w:rsid w:val="2D003103"/>
    <w:rsid w:val="2D0068BE"/>
    <w:rsid w:val="2D020F4E"/>
    <w:rsid w:val="2D043141"/>
    <w:rsid w:val="2D0439A8"/>
    <w:rsid w:val="2D057509"/>
    <w:rsid w:val="2D06419F"/>
    <w:rsid w:val="2D0647F5"/>
    <w:rsid w:val="2D06563C"/>
    <w:rsid w:val="2D085772"/>
    <w:rsid w:val="2D0875C0"/>
    <w:rsid w:val="2D09149F"/>
    <w:rsid w:val="2D094A5B"/>
    <w:rsid w:val="2D094C2D"/>
    <w:rsid w:val="2D09555E"/>
    <w:rsid w:val="2D0A5D83"/>
    <w:rsid w:val="2D0B03C2"/>
    <w:rsid w:val="2D0B3415"/>
    <w:rsid w:val="2D0E2302"/>
    <w:rsid w:val="2D114B79"/>
    <w:rsid w:val="2D1265F1"/>
    <w:rsid w:val="2D135D5A"/>
    <w:rsid w:val="2D144117"/>
    <w:rsid w:val="2D145C47"/>
    <w:rsid w:val="2D151620"/>
    <w:rsid w:val="2D152905"/>
    <w:rsid w:val="2D153171"/>
    <w:rsid w:val="2D171E59"/>
    <w:rsid w:val="2D172F9D"/>
    <w:rsid w:val="2D184635"/>
    <w:rsid w:val="2D184809"/>
    <w:rsid w:val="2D187032"/>
    <w:rsid w:val="2D187D88"/>
    <w:rsid w:val="2D1907EC"/>
    <w:rsid w:val="2D1908C0"/>
    <w:rsid w:val="2D19120C"/>
    <w:rsid w:val="2D19555C"/>
    <w:rsid w:val="2D1A264B"/>
    <w:rsid w:val="2D1A7254"/>
    <w:rsid w:val="2D1C3854"/>
    <w:rsid w:val="2D1D1A83"/>
    <w:rsid w:val="2D1D4947"/>
    <w:rsid w:val="2D1E43FA"/>
    <w:rsid w:val="2D1E4F96"/>
    <w:rsid w:val="2D1E5790"/>
    <w:rsid w:val="2D1F486A"/>
    <w:rsid w:val="2D232D71"/>
    <w:rsid w:val="2D2366D7"/>
    <w:rsid w:val="2D237509"/>
    <w:rsid w:val="2D2457CB"/>
    <w:rsid w:val="2D2474E2"/>
    <w:rsid w:val="2D25037E"/>
    <w:rsid w:val="2D255AE3"/>
    <w:rsid w:val="2D2712CD"/>
    <w:rsid w:val="2D272FE9"/>
    <w:rsid w:val="2D280574"/>
    <w:rsid w:val="2D283187"/>
    <w:rsid w:val="2D287BC3"/>
    <w:rsid w:val="2D2A336C"/>
    <w:rsid w:val="2D2A7F70"/>
    <w:rsid w:val="2D2B53E8"/>
    <w:rsid w:val="2D2C02D8"/>
    <w:rsid w:val="2D2C0456"/>
    <w:rsid w:val="2D2C0AFD"/>
    <w:rsid w:val="2D2D2502"/>
    <w:rsid w:val="2D2E15FA"/>
    <w:rsid w:val="2D2E1B69"/>
    <w:rsid w:val="2D2F19F0"/>
    <w:rsid w:val="2D303125"/>
    <w:rsid w:val="2D310FEC"/>
    <w:rsid w:val="2D3205F1"/>
    <w:rsid w:val="2D323E26"/>
    <w:rsid w:val="2D33476D"/>
    <w:rsid w:val="2D345998"/>
    <w:rsid w:val="2D350E34"/>
    <w:rsid w:val="2D3520B9"/>
    <w:rsid w:val="2D3557D9"/>
    <w:rsid w:val="2D366FEA"/>
    <w:rsid w:val="2D376263"/>
    <w:rsid w:val="2D39210C"/>
    <w:rsid w:val="2D393B7E"/>
    <w:rsid w:val="2D3A2ADE"/>
    <w:rsid w:val="2D3A32FD"/>
    <w:rsid w:val="2D3B66FF"/>
    <w:rsid w:val="2D3C123C"/>
    <w:rsid w:val="2D3C3EF9"/>
    <w:rsid w:val="2D3D165B"/>
    <w:rsid w:val="2D3E0278"/>
    <w:rsid w:val="2D3E4281"/>
    <w:rsid w:val="2D40160D"/>
    <w:rsid w:val="2D412A32"/>
    <w:rsid w:val="2D414149"/>
    <w:rsid w:val="2D415C05"/>
    <w:rsid w:val="2D4218F3"/>
    <w:rsid w:val="2D421D89"/>
    <w:rsid w:val="2D423D97"/>
    <w:rsid w:val="2D444802"/>
    <w:rsid w:val="2D446D89"/>
    <w:rsid w:val="2D460845"/>
    <w:rsid w:val="2D46363B"/>
    <w:rsid w:val="2D465D16"/>
    <w:rsid w:val="2D480265"/>
    <w:rsid w:val="2D4906C5"/>
    <w:rsid w:val="2D493FE8"/>
    <w:rsid w:val="2D4A7B39"/>
    <w:rsid w:val="2D4D4278"/>
    <w:rsid w:val="2D4D57F3"/>
    <w:rsid w:val="2D4E1D45"/>
    <w:rsid w:val="2D4E26E2"/>
    <w:rsid w:val="2D4E6A04"/>
    <w:rsid w:val="2D4F2A39"/>
    <w:rsid w:val="2D4F33A1"/>
    <w:rsid w:val="2D4F6E8E"/>
    <w:rsid w:val="2D5001D0"/>
    <w:rsid w:val="2D5106E4"/>
    <w:rsid w:val="2D52241C"/>
    <w:rsid w:val="2D53386D"/>
    <w:rsid w:val="2D534CC5"/>
    <w:rsid w:val="2D53620B"/>
    <w:rsid w:val="2D536CF3"/>
    <w:rsid w:val="2D544951"/>
    <w:rsid w:val="2D551DBF"/>
    <w:rsid w:val="2D554297"/>
    <w:rsid w:val="2D5575C8"/>
    <w:rsid w:val="2D561DEF"/>
    <w:rsid w:val="2D567ECF"/>
    <w:rsid w:val="2D580122"/>
    <w:rsid w:val="2D585F59"/>
    <w:rsid w:val="2D593A64"/>
    <w:rsid w:val="2D593B12"/>
    <w:rsid w:val="2D5B2C2F"/>
    <w:rsid w:val="2D5B74B4"/>
    <w:rsid w:val="2D5E3A69"/>
    <w:rsid w:val="2D5F7171"/>
    <w:rsid w:val="2D6218D4"/>
    <w:rsid w:val="2D63077A"/>
    <w:rsid w:val="2D630962"/>
    <w:rsid w:val="2D6313BF"/>
    <w:rsid w:val="2D6329A9"/>
    <w:rsid w:val="2D63430B"/>
    <w:rsid w:val="2D642766"/>
    <w:rsid w:val="2D657D1A"/>
    <w:rsid w:val="2D661805"/>
    <w:rsid w:val="2D67207E"/>
    <w:rsid w:val="2D680954"/>
    <w:rsid w:val="2D6914A8"/>
    <w:rsid w:val="2D6A5AE4"/>
    <w:rsid w:val="2D6A6907"/>
    <w:rsid w:val="2D6B7DB9"/>
    <w:rsid w:val="2D6C00C7"/>
    <w:rsid w:val="2D6C6979"/>
    <w:rsid w:val="2D6E5887"/>
    <w:rsid w:val="2D6E681E"/>
    <w:rsid w:val="2D6F57F1"/>
    <w:rsid w:val="2D6F7207"/>
    <w:rsid w:val="2D7146E0"/>
    <w:rsid w:val="2D733E29"/>
    <w:rsid w:val="2D735853"/>
    <w:rsid w:val="2D736ADD"/>
    <w:rsid w:val="2D7828F8"/>
    <w:rsid w:val="2D7A1FB9"/>
    <w:rsid w:val="2D7B5F8A"/>
    <w:rsid w:val="2D7B7988"/>
    <w:rsid w:val="2D7C38D9"/>
    <w:rsid w:val="2D7C4F56"/>
    <w:rsid w:val="2D7D21F6"/>
    <w:rsid w:val="2D7D34C0"/>
    <w:rsid w:val="2D7E126C"/>
    <w:rsid w:val="2D7E3D08"/>
    <w:rsid w:val="2D7E7A4A"/>
    <w:rsid w:val="2D7E7C2D"/>
    <w:rsid w:val="2D803388"/>
    <w:rsid w:val="2D805B53"/>
    <w:rsid w:val="2D8158B5"/>
    <w:rsid w:val="2D820FE9"/>
    <w:rsid w:val="2D822379"/>
    <w:rsid w:val="2D833F1D"/>
    <w:rsid w:val="2D834DF9"/>
    <w:rsid w:val="2D845A3D"/>
    <w:rsid w:val="2D850B71"/>
    <w:rsid w:val="2D855BFA"/>
    <w:rsid w:val="2D8616D8"/>
    <w:rsid w:val="2D86353C"/>
    <w:rsid w:val="2D864F8D"/>
    <w:rsid w:val="2D86773A"/>
    <w:rsid w:val="2D880661"/>
    <w:rsid w:val="2D882646"/>
    <w:rsid w:val="2D8929EF"/>
    <w:rsid w:val="2D8A5724"/>
    <w:rsid w:val="2D8C3D9B"/>
    <w:rsid w:val="2D8D0751"/>
    <w:rsid w:val="2D8D336E"/>
    <w:rsid w:val="2D8D3C57"/>
    <w:rsid w:val="2D8D5C78"/>
    <w:rsid w:val="2D8D6A39"/>
    <w:rsid w:val="2D8E3C58"/>
    <w:rsid w:val="2D8E6EE6"/>
    <w:rsid w:val="2D8E7DD6"/>
    <w:rsid w:val="2D8F1AF3"/>
    <w:rsid w:val="2D8F2D24"/>
    <w:rsid w:val="2D8F69F6"/>
    <w:rsid w:val="2D9033B9"/>
    <w:rsid w:val="2D904096"/>
    <w:rsid w:val="2D92104D"/>
    <w:rsid w:val="2D9225EC"/>
    <w:rsid w:val="2D9240F2"/>
    <w:rsid w:val="2D930F28"/>
    <w:rsid w:val="2D936065"/>
    <w:rsid w:val="2D937732"/>
    <w:rsid w:val="2D941B77"/>
    <w:rsid w:val="2D946E4F"/>
    <w:rsid w:val="2D954F62"/>
    <w:rsid w:val="2D960291"/>
    <w:rsid w:val="2D962D7E"/>
    <w:rsid w:val="2D966C7F"/>
    <w:rsid w:val="2D9778E5"/>
    <w:rsid w:val="2D984D48"/>
    <w:rsid w:val="2D987293"/>
    <w:rsid w:val="2D9917E5"/>
    <w:rsid w:val="2D9A61E7"/>
    <w:rsid w:val="2D9A76D2"/>
    <w:rsid w:val="2D9B04A1"/>
    <w:rsid w:val="2D9C0914"/>
    <w:rsid w:val="2D9C4979"/>
    <w:rsid w:val="2D9C5EBB"/>
    <w:rsid w:val="2D9D19A2"/>
    <w:rsid w:val="2D9D235F"/>
    <w:rsid w:val="2D9D443C"/>
    <w:rsid w:val="2D9E2AF1"/>
    <w:rsid w:val="2D9E56F5"/>
    <w:rsid w:val="2D9E691D"/>
    <w:rsid w:val="2D9F451E"/>
    <w:rsid w:val="2DA14E52"/>
    <w:rsid w:val="2DA16E1B"/>
    <w:rsid w:val="2DA17E79"/>
    <w:rsid w:val="2DA33201"/>
    <w:rsid w:val="2DA36B74"/>
    <w:rsid w:val="2DA46A29"/>
    <w:rsid w:val="2DA6158B"/>
    <w:rsid w:val="2DA86230"/>
    <w:rsid w:val="2DA9252A"/>
    <w:rsid w:val="2DAA04EF"/>
    <w:rsid w:val="2DAC25A2"/>
    <w:rsid w:val="2DAD0BE7"/>
    <w:rsid w:val="2DAD75C4"/>
    <w:rsid w:val="2DAE314A"/>
    <w:rsid w:val="2DAE49D0"/>
    <w:rsid w:val="2DAE4B5B"/>
    <w:rsid w:val="2DB04E02"/>
    <w:rsid w:val="2DB07F6E"/>
    <w:rsid w:val="2DB12AA6"/>
    <w:rsid w:val="2DB2503C"/>
    <w:rsid w:val="2DB30A29"/>
    <w:rsid w:val="2DB31B82"/>
    <w:rsid w:val="2DB35176"/>
    <w:rsid w:val="2DB35593"/>
    <w:rsid w:val="2DB476A8"/>
    <w:rsid w:val="2DB47F2D"/>
    <w:rsid w:val="2DB50DA8"/>
    <w:rsid w:val="2DB57B9E"/>
    <w:rsid w:val="2DB65C4D"/>
    <w:rsid w:val="2DB718BE"/>
    <w:rsid w:val="2DB84DA7"/>
    <w:rsid w:val="2DB9081B"/>
    <w:rsid w:val="2DB91319"/>
    <w:rsid w:val="2DB93270"/>
    <w:rsid w:val="2DB94CBF"/>
    <w:rsid w:val="2DB97449"/>
    <w:rsid w:val="2DBA523D"/>
    <w:rsid w:val="2DBA6572"/>
    <w:rsid w:val="2DBA6FA3"/>
    <w:rsid w:val="2DBC11B6"/>
    <w:rsid w:val="2DBD1BF6"/>
    <w:rsid w:val="2DBE389C"/>
    <w:rsid w:val="2DBE3D4A"/>
    <w:rsid w:val="2DBF28BF"/>
    <w:rsid w:val="2DBF3B60"/>
    <w:rsid w:val="2DC025F9"/>
    <w:rsid w:val="2DC06C7A"/>
    <w:rsid w:val="2DC0783C"/>
    <w:rsid w:val="2DC22490"/>
    <w:rsid w:val="2DC23B73"/>
    <w:rsid w:val="2DC332BE"/>
    <w:rsid w:val="2DC34A84"/>
    <w:rsid w:val="2DC3747D"/>
    <w:rsid w:val="2DC45C38"/>
    <w:rsid w:val="2DC510ED"/>
    <w:rsid w:val="2DC542D1"/>
    <w:rsid w:val="2DC61B12"/>
    <w:rsid w:val="2DC627D6"/>
    <w:rsid w:val="2DC64E6D"/>
    <w:rsid w:val="2DC71C38"/>
    <w:rsid w:val="2DC8205D"/>
    <w:rsid w:val="2DCA1BE9"/>
    <w:rsid w:val="2DCB4005"/>
    <w:rsid w:val="2DCB603A"/>
    <w:rsid w:val="2DCC3E25"/>
    <w:rsid w:val="2DCE1287"/>
    <w:rsid w:val="2DCF0AE2"/>
    <w:rsid w:val="2DCF2108"/>
    <w:rsid w:val="2DCF4827"/>
    <w:rsid w:val="2DD37B2E"/>
    <w:rsid w:val="2DD37C8D"/>
    <w:rsid w:val="2DD40F62"/>
    <w:rsid w:val="2DD438A6"/>
    <w:rsid w:val="2DD62DA7"/>
    <w:rsid w:val="2DD75732"/>
    <w:rsid w:val="2DD85BC8"/>
    <w:rsid w:val="2DDA2B6C"/>
    <w:rsid w:val="2DDA7AC8"/>
    <w:rsid w:val="2DDB368E"/>
    <w:rsid w:val="2DDC63A8"/>
    <w:rsid w:val="2DDD09AD"/>
    <w:rsid w:val="2DDD275B"/>
    <w:rsid w:val="2DDD3E0B"/>
    <w:rsid w:val="2DDE3972"/>
    <w:rsid w:val="2DDE78D4"/>
    <w:rsid w:val="2DE05D26"/>
    <w:rsid w:val="2DE23515"/>
    <w:rsid w:val="2DE33CB0"/>
    <w:rsid w:val="2DE36300"/>
    <w:rsid w:val="2DE42F3F"/>
    <w:rsid w:val="2DE51C1A"/>
    <w:rsid w:val="2DE52D92"/>
    <w:rsid w:val="2DE53D06"/>
    <w:rsid w:val="2DE61A56"/>
    <w:rsid w:val="2DE649A6"/>
    <w:rsid w:val="2DE723FC"/>
    <w:rsid w:val="2DE91C83"/>
    <w:rsid w:val="2DE955B3"/>
    <w:rsid w:val="2DE97410"/>
    <w:rsid w:val="2DEA5ACB"/>
    <w:rsid w:val="2DEA6083"/>
    <w:rsid w:val="2DEB7CD1"/>
    <w:rsid w:val="2DEC3B42"/>
    <w:rsid w:val="2DEE14D9"/>
    <w:rsid w:val="2DEE2494"/>
    <w:rsid w:val="2DEE53D0"/>
    <w:rsid w:val="2DF00367"/>
    <w:rsid w:val="2DF049D6"/>
    <w:rsid w:val="2DF15354"/>
    <w:rsid w:val="2DF2352F"/>
    <w:rsid w:val="2DF43E56"/>
    <w:rsid w:val="2DF47AA5"/>
    <w:rsid w:val="2DF67CC1"/>
    <w:rsid w:val="2DF8236C"/>
    <w:rsid w:val="2DF856F1"/>
    <w:rsid w:val="2DF9330D"/>
    <w:rsid w:val="2DFB1B31"/>
    <w:rsid w:val="2DFB7540"/>
    <w:rsid w:val="2DFC2274"/>
    <w:rsid w:val="2DFE11BB"/>
    <w:rsid w:val="2DFE2956"/>
    <w:rsid w:val="2DFE615B"/>
    <w:rsid w:val="2DFE6330"/>
    <w:rsid w:val="2E01462C"/>
    <w:rsid w:val="2E025A8D"/>
    <w:rsid w:val="2E033CAA"/>
    <w:rsid w:val="2E036203"/>
    <w:rsid w:val="2E037ED9"/>
    <w:rsid w:val="2E037F47"/>
    <w:rsid w:val="2E05093A"/>
    <w:rsid w:val="2E062905"/>
    <w:rsid w:val="2E07467A"/>
    <w:rsid w:val="2E075E26"/>
    <w:rsid w:val="2E076D3E"/>
    <w:rsid w:val="2E084B22"/>
    <w:rsid w:val="2E084E66"/>
    <w:rsid w:val="2E093D60"/>
    <w:rsid w:val="2E094066"/>
    <w:rsid w:val="2E0A1689"/>
    <w:rsid w:val="2E0B3BF2"/>
    <w:rsid w:val="2E0E06C3"/>
    <w:rsid w:val="2E0F26F6"/>
    <w:rsid w:val="2E0F2B31"/>
    <w:rsid w:val="2E0F3D88"/>
    <w:rsid w:val="2E0F4F4F"/>
    <w:rsid w:val="2E103BB0"/>
    <w:rsid w:val="2E1048DF"/>
    <w:rsid w:val="2E1101B3"/>
    <w:rsid w:val="2E112405"/>
    <w:rsid w:val="2E116D45"/>
    <w:rsid w:val="2E116E70"/>
    <w:rsid w:val="2E1238E3"/>
    <w:rsid w:val="2E1343CF"/>
    <w:rsid w:val="2E150B3E"/>
    <w:rsid w:val="2E16157C"/>
    <w:rsid w:val="2E1624BC"/>
    <w:rsid w:val="2E1819E5"/>
    <w:rsid w:val="2E184038"/>
    <w:rsid w:val="2E1A4489"/>
    <w:rsid w:val="2E1A575D"/>
    <w:rsid w:val="2E1A798A"/>
    <w:rsid w:val="2E1B7727"/>
    <w:rsid w:val="2E1B7E40"/>
    <w:rsid w:val="2E1C6B3F"/>
    <w:rsid w:val="2E1D6FFC"/>
    <w:rsid w:val="2E202AB2"/>
    <w:rsid w:val="2E206D3B"/>
    <w:rsid w:val="2E207BF6"/>
    <w:rsid w:val="2E231DC4"/>
    <w:rsid w:val="2E242DBF"/>
    <w:rsid w:val="2E2445D7"/>
    <w:rsid w:val="2E25370B"/>
    <w:rsid w:val="2E25446E"/>
    <w:rsid w:val="2E272A68"/>
    <w:rsid w:val="2E277E7A"/>
    <w:rsid w:val="2E280E4F"/>
    <w:rsid w:val="2E290AF1"/>
    <w:rsid w:val="2E291DB5"/>
    <w:rsid w:val="2E2A1672"/>
    <w:rsid w:val="2E2B1242"/>
    <w:rsid w:val="2E2B660E"/>
    <w:rsid w:val="2E2B796A"/>
    <w:rsid w:val="2E2E15EB"/>
    <w:rsid w:val="2E2E1DEA"/>
    <w:rsid w:val="2E2E2FB7"/>
    <w:rsid w:val="2E2E4EAC"/>
    <w:rsid w:val="2E2F1618"/>
    <w:rsid w:val="2E2F3352"/>
    <w:rsid w:val="2E2F6D2F"/>
    <w:rsid w:val="2E3153FE"/>
    <w:rsid w:val="2E32289E"/>
    <w:rsid w:val="2E3249AE"/>
    <w:rsid w:val="2E334F93"/>
    <w:rsid w:val="2E344345"/>
    <w:rsid w:val="2E345848"/>
    <w:rsid w:val="2E345DCC"/>
    <w:rsid w:val="2E3507E9"/>
    <w:rsid w:val="2E355A72"/>
    <w:rsid w:val="2E3600BD"/>
    <w:rsid w:val="2E376F30"/>
    <w:rsid w:val="2E3879A0"/>
    <w:rsid w:val="2E393946"/>
    <w:rsid w:val="2E393E5C"/>
    <w:rsid w:val="2E3A2AB6"/>
    <w:rsid w:val="2E3A7BAD"/>
    <w:rsid w:val="2E3B69BD"/>
    <w:rsid w:val="2E3D7419"/>
    <w:rsid w:val="2E3F71FC"/>
    <w:rsid w:val="2E401E61"/>
    <w:rsid w:val="2E402CEA"/>
    <w:rsid w:val="2E414309"/>
    <w:rsid w:val="2E422536"/>
    <w:rsid w:val="2E42480E"/>
    <w:rsid w:val="2E424EA0"/>
    <w:rsid w:val="2E433BD4"/>
    <w:rsid w:val="2E435A3B"/>
    <w:rsid w:val="2E436669"/>
    <w:rsid w:val="2E441187"/>
    <w:rsid w:val="2E441BA3"/>
    <w:rsid w:val="2E441BF1"/>
    <w:rsid w:val="2E444588"/>
    <w:rsid w:val="2E45068D"/>
    <w:rsid w:val="2E454383"/>
    <w:rsid w:val="2E456552"/>
    <w:rsid w:val="2E4647A4"/>
    <w:rsid w:val="2E482D4D"/>
    <w:rsid w:val="2E487E4B"/>
    <w:rsid w:val="2E493076"/>
    <w:rsid w:val="2E4A47E8"/>
    <w:rsid w:val="2E4C7F5D"/>
    <w:rsid w:val="2E4D2DE1"/>
    <w:rsid w:val="2E4D693C"/>
    <w:rsid w:val="2E4E2BB0"/>
    <w:rsid w:val="2E4E3659"/>
    <w:rsid w:val="2E4F0D30"/>
    <w:rsid w:val="2E4F3247"/>
    <w:rsid w:val="2E5120E1"/>
    <w:rsid w:val="2E515C71"/>
    <w:rsid w:val="2E522A4F"/>
    <w:rsid w:val="2E522C3D"/>
    <w:rsid w:val="2E522DE1"/>
    <w:rsid w:val="2E523F2D"/>
    <w:rsid w:val="2E532A1D"/>
    <w:rsid w:val="2E537E0D"/>
    <w:rsid w:val="2E5444B9"/>
    <w:rsid w:val="2E544AA4"/>
    <w:rsid w:val="2E547C76"/>
    <w:rsid w:val="2E552C39"/>
    <w:rsid w:val="2E553966"/>
    <w:rsid w:val="2E556795"/>
    <w:rsid w:val="2E56250D"/>
    <w:rsid w:val="2E572E1D"/>
    <w:rsid w:val="2E592B3C"/>
    <w:rsid w:val="2E5A5652"/>
    <w:rsid w:val="2E5B64FD"/>
    <w:rsid w:val="2E5C29D6"/>
    <w:rsid w:val="2E5C59BE"/>
    <w:rsid w:val="2E5C5D76"/>
    <w:rsid w:val="2E5D1833"/>
    <w:rsid w:val="2E5D42F3"/>
    <w:rsid w:val="2E5D564A"/>
    <w:rsid w:val="2E5E14F4"/>
    <w:rsid w:val="2E5E2E0A"/>
    <w:rsid w:val="2E5F7614"/>
    <w:rsid w:val="2E610057"/>
    <w:rsid w:val="2E621535"/>
    <w:rsid w:val="2E621701"/>
    <w:rsid w:val="2E623557"/>
    <w:rsid w:val="2E6235F0"/>
    <w:rsid w:val="2E627104"/>
    <w:rsid w:val="2E631D41"/>
    <w:rsid w:val="2E637CC8"/>
    <w:rsid w:val="2E642319"/>
    <w:rsid w:val="2E642E7C"/>
    <w:rsid w:val="2E6469D8"/>
    <w:rsid w:val="2E6509F5"/>
    <w:rsid w:val="2E652751"/>
    <w:rsid w:val="2E654CF1"/>
    <w:rsid w:val="2E660C22"/>
    <w:rsid w:val="2E667F96"/>
    <w:rsid w:val="2E67688C"/>
    <w:rsid w:val="2E68257C"/>
    <w:rsid w:val="2E69363B"/>
    <w:rsid w:val="2E693F69"/>
    <w:rsid w:val="2E6949DD"/>
    <w:rsid w:val="2E696DC4"/>
    <w:rsid w:val="2E69718E"/>
    <w:rsid w:val="2E6C0051"/>
    <w:rsid w:val="2E6D1121"/>
    <w:rsid w:val="2E6D20B6"/>
    <w:rsid w:val="2E6D4FC2"/>
    <w:rsid w:val="2E6D6E94"/>
    <w:rsid w:val="2E6E64E3"/>
    <w:rsid w:val="2E6F1A47"/>
    <w:rsid w:val="2E6F2B9C"/>
    <w:rsid w:val="2E7149FC"/>
    <w:rsid w:val="2E715A32"/>
    <w:rsid w:val="2E7176BB"/>
    <w:rsid w:val="2E722323"/>
    <w:rsid w:val="2E725599"/>
    <w:rsid w:val="2E735535"/>
    <w:rsid w:val="2E747DA9"/>
    <w:rsid w:val="2E7559AA"/>
    <w:rsid w:val="2E757EEC"/>
    <w:rsid w:val="2E772BB0"/>
    <w:rsid w:val="2E787A38"/>
    <w:rsid w:val="2E787D55"/>
    <w:rsid w:val="2E792EF6"/>
    <w:rsid w:val="2E7943D0"/>
    <w:rsid w:val="2E795B53"/>
    <w:rsid w:val="2E7B5950"/>
    <w:rsid w:val="2E7C5611"/>
    <w:rsid w:val="2E7D4A05"/>
    <w:rsid w:val="2E7E1D4D"/>
    <w:rsid w:val="2E7E490A"/>
    <w:rsid w:val="2E7F5394"/>
    <w:rsid w:val="2E800011"/>
    <w:rsid w:val="2E811E2F"/>
    <w:rsid w:val="2E812AC8"/>
    <w:rsid w:val="2E813A2E"/>
    <w:rsid w:val="2E817F40"/>
    <w:rsid w:val="2E8226AB"/>
    <w:rsid w:val="2E824B4A"/>
    <w:rsid w:val="2E83434B"/>
    <w:rsid w:val="2E835643"/>
    <w:rsid w:val="2E837D7E"/>
    <w:rsid w:val="2E841505"/>
    <w:rsid w:val="2E855788"/>
    <w:rsid w:val="2E8568AC"/>
    <w:rsid w:val="2E86145D"/>
    <w:rsid w:val="2E864C5C"/>
    <w:rsid w:val="2E890FD8"/>
    <w:rsid w:val="2E892F14"/>
    <w:rsid w:val="2E8A6803"/>
    <w:rsid w:val="2E8B4F22"/>
    <w:rsid w:val="2E8B65A6"/>
    <w:rsid w:val="2E8B6DBB"/>
    <w:rsid w:val="2E8C4208"/>
    <w:rsid w:val="2E8F3FCF"/>
    <w:rsid w:val="2E9033D8"/>
    <w:rsid w:val="2E90511A"/>
    <w:rsid w:val="2E91351C"/>
    <w:rsid w:val="2E921798"/>
    <w:rsid w:val="2E922510"/>
    <w:rsid w:val="2E9229E8"/>
    <w:rsid w:val="2E922BF7"/>
    <w:rsid w:val="2E933758"/>
    <w:rsid w:val="2E933762"/>
    <w:rsid w:val="2E935510"/>
    <w:rsid w:val="2E952367"/>
    <w:rsid w:val="2E9717A5"/>
    <w:rsid w:val="2E9B1189"/>
    <w:rsid w:val="2E9B481B"/>
    <w:rsid w:val="2E9B5719"/>
    <w:rsid w:val="2E9B684A"/>
    <w:rsid w:val="2E9E1103"/>
    <w:rsid w:val="2E9F069E"/>
    <w:rsid w:val="2E9F4FB8"/>
    <w:rsid w:val="2EA01260"/>
    <w:rsid w:val="2EA05D34"/>
    <w:rsid w:val="2EA20C7B"/>
    <w:rsid w:val="2EA23661"/>
    <w:rsid w:val="2EA2374F"/>
    <w:rsid w:val="2EA339A5"/>
    <w:rsid w:val="2EA33F23"/>
    <w:rsid w:val="2EA374C6"/>
    <w:rsid w:val="2EA4771D"/>
    <w:rsid w:val="2EA50100"/>
    <w:rsid w:val="2EA52731"/>
    <w:rsid w:val="2EA54AA0"/>
    <w:rsid w:val="2EA654B6"/>
    <w:rsid w:val="2EA66AC8"/>
    <w:rsid w:val="2EA8026D"/>
    <w:rsid w:val="2EA814A6"/>
    <w:rsid w:val="2EA8262A"/>
    <w:rsid w:val="2EA9423D"/>
    <w:rsid w:val="2EA94D33"/>
    <w:rsid w:val="2EA96AE1"/>
    <w:rsid w:val="2EAA699E"/>
    <w:rsid w:val="2EAA742B"/>
    <w:rsid w:val="2EAB21A7"/>
    <w:rsid w:val="2EAC19A3"/>
    <w:rsid w:val="2EAD04E1"/>
    <w:rsid w:val="2EAE40F8"/>
    <w:rsid w:val="2EAF7F4A"/>
    <w:rsid w:val="2EB00BCF"/>
    <w:rsid w:val="2EB03460"/>
    <w:rsid w:val="2EB060C2"/>
    <w:rsid w:val="2EB174AF"/>
    <w:rsid w:val="2EB27B96"/>
    <w:rsid w:val="2EB30BCD"/>
    <w:rsid w:val="2EB342E0"/>
    <w:rsid w:val="2EB37F46"/>
    <w:rsid w:val="2EB52992"/>
    <w:rsid w:val="2EB536D8"/>
    <w:rsid w:val="2EB54F87"/>
    <w:rsid w:val="2EB568C8"/>
    <w:rsid w:val="2EB57234"/>
    <w:rsid w:val="2EB60183"/>
    <w:rsid w:val="2EB75230"/>
    <w:rsid w:val="2EB765AE"/>
    <w:rsid w:val="2EB84F76"/>
    <w:rsid w:val="2EB93D94"/>
    <w:rsid w:val="2EB95545"/>
    <w:rsid w:val="2EBB5736"/>
    <w:rsid w:val="2EBB75D9"/>
    <w:rsid w:val="2EBC4EF7"/>
    <w:rsid w:val="2EBD396A"/>
    <w:rsid w:val="2EBD5259"/>
    <w:rsid w:val="2EBD5CDA"/>
    <w:rsid w:val="2EBD7AEA"/>
    <w:rsid w:val="2EBE07DF"/>
    <w:rsid w:val="2EBE26F9"/>
    <w:rsid w:val="2EBE5A61"/>
    <w:rsid w:val="2EBF6305"/>
    <w:rsid w:val="2EC102CF"/>
    <w:rsid w:val="2EC27BA3"/>
    <w:rsid w:val="2EC40EC2"/>
    <w:rsid w:val="2EC471EF"/>
    <w:rsid w:val="2EC54550"/>
    <w:rsid w:val="2EC56DF4"/>
    <w:rsid w:val="2EC6211D"/>
    <w:rsid w:val="2EC64D30"/>
    <w:rsid w:val="2EC73150"/>
    <w:rsid w:val="2EC73AAB"/>
    <w:rsid w:val="2EC851B9"/>
    <w:rsid w:val="2EC90F31"/>
    <w:rsid w:val="2EC92CDF"/>
    <w:rsid w:val="2ECB2EFB"/>
    <w:rsid w:val="2ECC5165"/>
    <w:rsid w:val="2ECD0201"/>
    <w:rsid w:val="2ECE11AD"/>
    <w:rsid w:val="2ECF36A3"/>
    <w:rsid w:val="2ED01539"/>
    <w:rsid w:val="2ED2428A"/>
    <w:rsid w:val="2ED44817"/>
    <w:rsid w:val="2ED532A5"/>
    <w:rsid w:val="2ED543E1"/>
    <w:rsid w:val="2ED708E9"/>
    <w:rsid w:val="2ED7654D"/>
    <w:rsid w:val="2ED77BB1"/>
    <w:rsid w:val="2ED95618"/>
    <w:rsid w:val="2EDA313F"/>
    <w:rsid w:val="2EDA6197"/>
    <w:rsid w:val="2EDE3BA0"/>
    <w:rsid w:val="2EDE5A0F"/>
    <w:rsid w:val="2EDF0A11"/>
    <w:rsid w:val="2EDF1EFD"/>
    <w:rsid w:val="2EE05391"/>
    <w:rsid w:val="2EE07D29"/>
    <w:rsid w:val="2EE1627B"/>
    <w:rsid w:val="2EE50B13"/>
    <w:rsid w:val="2EE558BD"/>
    <w:rsid w:val="2EE73237"/>
    <w:rsid w:val="2EE80BBB"/>
    <w:rsid w:val="2EE84298"/>
    <w:rsid w:val="2EE8585B"/>
    <w:rsid w:val="2EE93874"/>
    <w:rsid w:val="2EE965A0"/>
    <w:rsid w:val="2EEA3DBB"/>
    <w:rsid w:val="2EEB299A"/>
    <w:rsid w:val="2EEC7797"/>
    <w:rsid w:val="2EED41C4"/>
    <w:rsid w:val="2EEE79CC"/>
    <w:rsid w:val="2EF02029"/>
    <w:rsid w:val="2EF02962"/>
    <w:rsid w:val="2EF04A7B"/>
    <w:rsid w:val="2EF1416A"/>
    <w:rsid w:val="2EF302CF"/>
    <w:rsid w:val="2EF3220C"/>
    <w:rsid w:val="2EF3597A"/>
    <w:rsid w:val="2EF417D5"/>
    <w:rsid w:val="2EF65E01"/>
    <w:rsid w:val="2EF6731C"/>
    <w:rsid w:val="2EF835C5"/>
    <w:rsid w:val="2EFA591F"/>
    <w:rsid w:val="2EFC4E63"/>
    <w:rsid w:val="2EFD4C16"/>
    <w:rsid w:val="2EFD6C9E"/>
    <w:rsid w:val="2EFF35B4"/>
    <w:rsid w:val="2EFF592B"/>
    <w:rsid w:val="2EFF6701"/>
    <w:rsid w:val="2F000DF7"/>
    <w:rsid w:val="2F001F21"/>
    <w:rsid w:val="2F015871"/>
    <w:rsid w:val="2F015983"/>
    <w:rsid w:val="2F0201DA"/>
    <w:rsid w:val="2F0318E1"/>
    <w:rsid w:val="2F035222"/>
    <w:rsid w:val="2F0509F9"/>
    <w:rsid w:val="2F071BA9"/>
    <w:rsid w:val="2F0737F8"/>
    <w:rsid w:val="2F0747FF"/>
    <w:rsid w:val="2F0863B8"/>
    <w:rsid w:val="2F097334"/>
    <w:rsid w:val="2F0A3A24"/>
    <w:rsid w:val="2F0B5D06"/>
    <w:rsid w:val="2F0C1B5B"/>
    <w:rsid w:val="2F0C7062"/>
    <w:rsid w:val="2F0D52C2"/>
    <w:rsid w:val="2F0F0E88"/>
    <w:rsid w:val="2F0F4FD7"/>
    <w:rsid w:val="2F10084E"/>
    <w:rsid w:val="2F1009A8"/>
    <w:rsid w:val="2F104835"/>
    <w:rsid w:val="2F104DB2"/>
    <w:rsid w:val="2F111112"/>
    <w:rsid w:val="2F1126CD"/>
    <w:rsid w:val="2F124686"/>
    <w:rsid w:val="2F126434"/>
    <w:rsid w:val="2F130D8B"/>
    <w:rsid w:val="2F131266"/>
    <w:rsid w:val="2F134480"/>
    <w:rsid w:val="2F154890"/>
    <w:rsid w:val="2F1568A5"/>
    <w:rsid w:val="2F161D5E"/>
    <w:rsid w:val="2F18148F"/>
    <w:rsid w:val="2F182A0B"/>
    <w:rsid w:val="2F184484"/>
    <w:rsid w:val="2F186C2F"/>
    <w:rsid w:val="2F191307"/>
    <w:rsid w:val="2F194C4D"/>
    <w:rsid w:val="2F1A0095"/>
    <w:rsid w:val="2F1A79DF"/>
    <w:rsid w:val="2F1D6C97"/>
    <w:rsid w:val="2F1D7387"/>
    <w:rsid w:val="2F1E38E0"/>
    <w:rsid w:val="2F1E3FF4"/>
    <w:rsid w:val="2F1F267D"/>
    <w:rsid w:val="2F1F2AC6"/>
    <w:rsid w:val="2F1F48F6"/>
    <w:rsid w:val="2F205D05"/>
    <w:rsid w:val="2F2167B5"/>
    <w:rsid w:val="2F225E22"/>
    <w:rsid w:val="2F232462"/>
    <w:rsid w:val="2F2354FC"/>
    <w:rsid w:val="2F236EC3"/>
    <w:rsid w:val="2F240205"/>
    <w:rsid w:val="2F24612C"/>
    <w:rsid w:val="2F260132"/>
    <w:rsid w:val="2F261EE0"/>
    <w:rsid w:val="2F262573"/>
    <w:rsid w:val="2F2657C2"/>
    <w:rsid w:val="2F266384"/>
    <w:rsid w:val="2F266D26"/>
    <w:rsid w:val="2F271480"/>
    <w:rsid w:val="2F27507A"/>
    <w:rsid w:val="2F285C58"/>
    <w:rsid w:val="2F2918D7"/>
    <w:rsid w:val="2F2A0437"/>
    <w:rsid w:val="2F2B5748"/>
    <w:rsid w:val="2F2B73C4"/>
    <w:rsid w:val="2F2C0BBF"/>
    <w:rsid w:val="2F2D1064"/>
    <w:rsid w:val="2F2D3EBD"/>
    <w:rsid w:val="2F2D46B4"/>
    <w:rsid w:val="2F2D7C17"/>
    <w:rsid w:val="2F2F3149"/>
    <w:rsid w:val="2F2F518F"/>
    <w:rsid w:val="2F304154"/>
    <w:rsid w:val="2F323655"/>
    <w:rsid w:val="2F326F0E"/>
    <w:rsid w:val="2F343679"/>
    <w:rsid w:val="2F364819"/>
    <w:rsid w:val="2F374105"/>
    <w:rsid w:val="2F38549F"/>
    <w:rsid w:val="2F3910DA"/>
    <w:rsid w:val="2F395EA6"/>
    <w:rsid w:val="2F3A15FF"/>
    <w:rsid w:val="2F3B228A"/>
    <w:rsid w:val="2F3C36CE"/>
    <w:rsid w:val="2F3D2334"/>
    <w:rsid w:val="2F3E2E04"/>
    <w:rsid w:val="2F3E4FAD"/>
    <w:rsid w:val="2F3E547B"/>
    <w:rsid w:val="2F3F132F"/>
    <w:rsid w:val="2F3F6898"/>
    <w:rsid w:val="2F3F79A2"/>
    <w:rsid w:val="2F4119F3"/>
    <w:rsid w:val="2F4132D2"/>
    <w:rsid w:val="2F4147FC"/>
    <w:rsid w:val="2F416424"/>
    <w:rsid w:val="2F420DF3"/>
    <w:rsid w:val="2F433DE5"/>
    <w:rsid w:val="2F437607"/>
    <w:rsid w:val="2F445B04"/>
    <w:rsid w:val="2F493EBA"/>
    <w:rsid w:val="2F496000"/>
    <w:rsid w:val="2F4A3E20"/>
    <w:rsid w:val="2F4A4835"/>
    <w:rsid w:val="2F4B0BC7"/>
    <w:rsid w:val="2F4B20C0"/>
    <w:rsid w:val="2F4C0D7F"/>
    <w:rsid w:val="2F4C711F"/>
    <w:rsid w:val="2F4E56C3"/>
    <w:rsid w:val="2F4F1437"/>
    <w:rsid w:val="2F4F23A8"/>
    <w:rsid w:val="2F5027AB"/>
    <w:rsid w:val="2F511A25"/>
    <w:rsid w:val="2F514D13"/>
    <w:rsid w:val="2F520B47"/>
    <w:rsid w:val="2F525275"/>
    <w:rsid w:val="2F527597"/>
    <w:rsid w:val="2F531033"/>
    <w:rsid w:val="2F531A25"/>
    <w:rsid w:val="2F5335CB"/>
    <w:rsid w:val="2F5443AB"/>
    <w:rsid w:val="2F546B5A"/>
    <w:rsid w:val="2F564BFC"/>
    <w:rsid w:val="2F566C69"/>
    <w:rsid w:val="2F5672E1"/>
    <w:rsid w:val="2F5743B1"/>
    <w:rsid w:val="2F5801D5"/>
    <w:rsid w:val="2F5909A8"/>
    <w:rsid w:val="2F5A6441"/>
    <w:rsid w:val="2F5B6DA4"/>
    <w:rsid w:val="2F5C739E"/>
    <w:rsid w:val="2F5D5106"/>
    <w:rsid w:val="2F5D603A"/>
    <w:rsid w:val="2F5E124F"/>
    <w:rsid w:val="2F5E2A83"/>
    <w:rsid w:val="2F602003"/>
    <w:rsid w:val="2F604EEA"/>
    <w:rsid w:val="2F613DE1"/>
    <w:rsid w:val="2F62173F"/>
    <w:rsid w:val="2F62709C"/>
    <w:rsid w:val="2F633134"/>
    <w:rsid w:val="2F634EE2"/>
    <w:rsid w:val="2F663062"/>
    <w:rsid w:val="2F672351"/>
    <w:rsid w:val="2F682C4E"/>
    <w:rsid w:val="2F693437"/>
    <w:rsid w:val="2F6963D1"/>
    <w:rsid w:val="2F6B563F"/>
    <w:rsid w:val="2F6B570B"/>
    <w:rsid w:val="2F6C08FF"/>
    <w:rsid w:val="2F6C79BF"/>
    <w:rsid w:val="2F6D03BB"/>
    <w:rsid w:val="2F6D5D61"/>
    <w:rsid w:val="2F6E59D0"/>
    <w:rsid w:val="2F6E6499"/>
    <w:rsid w:val="2F6F7D2B"/>
    <w:rsid w:val="2F7013AD"/>
    <w:rsid w:val="2F707A1E"/>
    <w:rsid w:val="2F710957"/>
    <w:rsid w:val="2F713AA3"/>
    <w:rsid w:val="2F714A05"/>
    <w:rsid w:val="2F724D0A"/>
    <w:rsid w:val="2F730082"/>
    <w:rsid w:val="2F733AC1"/>
    <w:rsid w:val="2F743BED"/>
    <w:rsid w:val="2F74690B"/>
    <w:rsid w:val="2F746B33"/>
    <w:rsid w:val="2F7539AC"/>
    <w:rsid w:val="2F7558C0"/>
    <w:rsid w:val="2F762FE0"/>
    <w:rsid w:val="2F764308"/>
    <w:rsid w:val="2F783239"/>
    <w:rsid w:val="2F79295A"/>
    <w:rsid w:val="2F7C473F"/>
    <w:rsid w:val="2F7E7F04"/>
    <w:rsid w:val="2F7F241F"/>
    <w:rsid w:val="2F7F5222"/>
    <w:rsid w:val="2F800669"/>
    <w:rsid w:val="2F803CD5"/>
    <w:rsid w:val="2F805A94"/>
    <w:rsid w:val="2F832755"/>
    <w:rsid w:val="2F8370DA"/>
    <w:rsid w:val="2F84126C"/>
    <w:rsid w:val="2F841A86"/>
    <w:rsid w:val="2F8428D7"/>
    <w:rsid w:val="2F860387"/>
    <w:rsid w:val="2F884949"/>
    <w:rsid w:val="2F88677C"/>
    <w:rsid w:val="2F890814"/>
    <w:rsid w:val="2F895641"/>
    <w:rsid w:val="2F895C9D"/>
    <w:rsid w:val="2F8A7728"/>
    <w:rsid w:val="2F8D1E6D"/>
    <w:rsid w:val="2F8D4DDC"/>
    <w:rsid w:val="2F8E53E7"/>
    <w:rsid w:val="2F8F041E"/>
    <w:rsid w:val="2F902A13"/>
    <w:rsid w:val="2F90389B"/>
    <w:rsid w:val="2F906C7A"/>
    <w:rsid w:val="2F91110A"/>
    <w:rsid w:val="2F911DBC"/>
    <w:rsid w:val="2F91498D"/>
    <w:rsid w:val="2F9206E9"/>
    <w:rsid w:val="2F921CB4"/>
    <w:rsid w:val="2F923F29"/>
    <w:rsid w:val="2F9243E4"/>
    <w:rsid w:val="2F9347C0"/>
    <w:rsid w:val="2F94321E"/>
    <w:rsid w:val="2F944261"/>
    <w:rsid w:val="2F950B15"/>
    <w:rsid w:val="2F950E14"/>
    <w:rsid w:val="2F953329"/>
    <w:rsid w:val="2F972DDE"/>
    <w:rsid w:val="2F972E04"/>
    <w:rsid w:val="2F973F3B"/>
    <w:rsid w:val="2F974B8C"/>
    <w:rsid w:val="2F977A79"/>
    <w:rsid w:val="2F984DBA"/>
    <w:rsid w:val="2F991EB7"/>
    <w:rsid w:val="2F9A7ED6"/>
    <w:rsid w:val="2F9B1C3B"/>
    <w:rsid w:val="2F9B512F"/>
    <w:rsid w:val="2F9B531A"/>
    <w:rsid w:val="2F9C21A2"/>
    <w:rsid w:val="2F9D4CE4"/>
    <w:rsid w:val="2F9D5C1A"/>
    <w:rsid w:val="2F9E5F1A"/>
    <w:rsid w:val="2F9E6EBB"/>
    <w:rsid w:val="2F9F017B"/>
    <w:rsid w:val="2FA01DDE"/>
    <w:rsid w:val="2FA0290D"/>
    <w:rsid w:val="2FA12725"/>
    <w:rsid w:val="2FA1787C"/>
    <w:rsid w:val="2FA572A9"/>
    <w:rsid w:val="2FA624B9"/>
    <w:rsid w:val="2FA7172F"/>
    <w:rsid w:val="2FA76AB4"/>
    <w:rsid w:val="2FA7723C"/>
    <w:rsid w:val="2FA774C5"/>
    <w:rsid w:val="2FA869C9"/>
    <w:rsid w:val="2FA93205"/>
    <w:rsid w:val="2FAA3A28"/>
    <w:rsid w:val="2FAB3251"/>
    <w:rsid w:val="2FAC3964"/>
    <w:rsid w:val="2FAC7D81"/>
    <w:rsid w:val="2FAD4EC0"/>
    <w:rsid w:val="2FAF1207"/>
    <w:rsid w:val="2FAF493E"/>
    <w:rsid w:val="2FAF6B4C"/>
    <w:rsid w:val="2FB02E6C"/>
    <w:rsid w:val="2FB03FCB"/>
    <w:rsid w:val="2FB04AF0"/>
    <w:rsid w:val="2FB10A68"/>
    <w:rsid w:val="2FB12B1B"/>
    <w:rsid w:val="2FB219C5"/>
    <w:rsid w:val="2FB22B40"/>
    <w:rsid w:val="2FB308E2"/>
    <w:rsid w:val="2FB433D1"/>
    <w:rsid w:val="2FB46BA8"/>
    <w:rsid w:val="2FB55799"/>
    <w:rsid w:val="2FB63264"/>
    <w:rsid w:val="2FB70D84"/>
    <w:rsid w:val="2FB7522E"/>
    <w:rsid w:val="2FB9108A"/>
    <w:rsid w:val="2FB95143"/>
    <w:rsid w:val="2FB97322"/>
    <w:rsid w:val="2FBA708E"/>
    <w:rsid w:val="2FBB1041"/>
    <w:rsid w:val="2FBB34B6"/>
    <w:rsid w:val="2FBB4753"/>
    <w:rsid w:val="2FBB5DEF"/>
    <w:rsid w:val="2FBC0969"/>
    <w:rsid w:val="2FBC3FF5"/>
    <w:rsid w:val="2FBD2DCF"/>
    <w:rsid w:val="2FC00EDD"/>
    <w:rsid w:val="2FC01099"/>
    <w:rsid w:val="2FC05A47"/>
    <w:rsid w:val="2FC11C09"/>
    <w:rsid w:val="2FC17E5A"/>
    <w:rsid w:val="2FC327FA"/>
    <w:rsid w:val="2FC33BD3"/>
    <w:rsid w:val="2FC411DA"/>
    <w:rsid w:val="2FC47F05"/>
    <w:rsid w:val="2FC666DF"/>
    <w:rsid w:val="2FC82636"/>
    <w:rsid w:val="2FC871FE"/>
    <w:rsid w:val="2FC8743B"/>
    <w:rsid w:val="2FCA3A18"/>
    <w:rsid w:val="2FCA3DB4"/>
    <w:rsid w:val="2FCB18CD"/>
    <w:rsid w:val="2FCC0FEE"/>
    <w:rsid w:val="2FCC5A99"/>
    <w:rsid w:val="2FCC5C90"/>
    <w:rsid w:val="2FCE0BB1"/>
    <w:rsid w:val="2FCE6E46"/>
    <w:rsid w:val="2FCE6F4A"/>
    <w:rsid w:val="2FCE6FF7"/>
    <w:rsid w:val="2FD02AB0"/>
    <w:rsid w:val="2FD03B33"/>
    <w:rsid w:val="2FD048BC"/>
    <w:rsid w:val="2FD065E6"/>
    <w:rsid w:val="2FD06DBD"/>
    <w:rsid w:val="2FD261BC"/>
    <w:rsid w:val="2FD302BA"/>
    <w:rsid w:val="2FD30F63"/>
    <w:rsid w:val="2FD453BF"/>
    <w:rsid w:val="2FD508DF"/>
    <w:rsid w:val="2FD628F4"/>
    <w:rsid w:val="2FD67D46"/>
    <w:rsid w:val="2FD7073E"/>
    <w:rsid w:val="2FD765F4"/>
    <w:rsid w:val="2FD832CE"/>
    <w:rsid w:val="2FD871F5"/>
    <w:rsid w:val="2FD94FA4"/>
    <w:rsid w:val="2FD96870"/>
    <w:rsid w:val="2FDB0BD4"/>
    <w:rsid w:val="2FDC4E1E"/>
    <w:rsid w:val="2FDD4C94"/>
    <w:rsid w:val="2FDD5843"/>
    <w:rsid w:val="2FDD6C14"/>
    <w:rsid w:val="2FDE6505"/>
    <w:rsid w:val="2FDF1CE5"/>
    <w:rsid w:val="2FDF3E52"/>
    <w:rsid w:val="2FE01942"/>
    <w:rsid w:val="2FE04785"/>
    <w:rsid w:val="2FE0712E"/>
    <w:rsid w:val="2FE13CD3"/>
    <w:rsid w:val="2FE222AB"/>
    <w:rsid w:val="2FE22CAA"/>
    <w:rsid w:val="2FE30682"/>
    <w:rsid w:val="2FE36023"/>
    <w:rsid w:val="2FE41FC2"/>
    <w:rsid w:val="2FE42DDF"/>
    <w:rsid w:val="2FE473DF"/>
    <w:rsid w:val="2FE56295"/>
    <w:rsid w:val="2FE60028"/>
    <w:rsid w:val="2FE60312"/>
    <w:rsid w:val="2FE64460"/>
    <w:rsid w:val="2FE6578C"/>
    <w:rsid w:val="2FE8385C"/>
    <w:rsid w:val="2FE839E1"/>
    <w:rsid w:val="2FE84CC2"/>
    <w:rsid w:val="2FE8680B"/>
    <w:rsid w:val="2FE8787E"/>
    <w:rsid w:val="2FE87BFB"/>
    <w:rsid w:val="2FEA07D6"/>
    <w:rsid w:val="2FEA087F"/>
    <w:rsid w:val="2FEA3BA5"/>
    <w:rsid w:val="2FEA4AB0"/>
    <w:rsid w:val="2FEA73B1"/>
    <w:rsid w:val="2FEC3129"/>
    <w:rsid w:val="2FEC58BD"/>
    <w:rsid w:val="2FED29FE"/>
    <w:rsid w:val="2FED611D"/>
    <w:rsid w:val="2FEE0FE6"/>
    <w:rsid w:val="2FEE33B0"/>
    <w:rsid w:val="2FEE50F3"/>
    <w:rsid w:val="2FEF145B"/>
    <w:rsid w:val="2FEF69BC"/>
    <w:rsid w:val="2FF03C3C"/>
    <w:rsid w:val="2FF04AEC"/>
    <w:rsid w:val="2FF23E5E"/>
    <w:rsid w:val="2FF24C30"/>
    <w:rsid w:val="2FF2567D"/>
    <w:rsid w:val="2FF3270A"/>
    <w:rsid w:val="2FF50A86"/>
    <w:rsid w:val="2FF54FED"/>
    <w:rsid w:val="2FF56FD6"/>
    <w:rsid w:val="2FF61A67"/>
    <w:rsid w:val="2FF7387C"/>
    <w:rsid w:val="2FF8112D"/>
    <w:rsid w:val="2FF81ACE"/>
    <w:rsid w:val="2FF91FEA"/>
    <w:rsid w:val="2FFB35CD"/>
    <w:rsid w:val="2FFD70E5"/>
    <w:rsid w:val="2FFD7705"/>
    <w:rsid w:val="2FFE103D"/>
    <w:rsid w:val="2FFF7A50"/>
    <w:rsid w:val="30000983"/>
    <w:rsid w:val="30003C42"/>
    <w:rsid w:val="30024F9F"/>
    <w:rsid w:val="300258D5"/>
    <w:rsid w:val="30030473"/>
    <w:rsid w:val="30040F43"/>
    <w:rsid w:val="30043D2C"/>
    <w:rsid w:val="30046F5B"/>
    <w:rsid w:val="30051EC4"/>
    <w:rsid w:val="30053A1A"/>
    <w:rsid w:val="300541EB"/>
    <w:rsid w:val="30071D11"/>
    <w:rsid w:val="30075BF1"/>
    <w:rsid w:val="30083F09"/>
    <w:rsid w:val="300A428E"/>
    <w:rsid w:val="300A4DAC"/>
    <w:rsid w:val="300A6A35"/>
    <w:rsid w:val="300B0609"/>
    <w:rsid w:val="300B196B"/>
    <w:rsid w:val="300B58AE"/>
    <w:rsid w:val="300D19BC"/>
    <w:rsid w:val="300D4E4E"/>
    <w:rsid w:val="300E12F2"/>
    <w:rsid w:val="300E213C"/>
    <w:rsid w:val="300E3741"/>
    <w:rsid w:val="300E39C6"/>
    <w:rsid w:val="301022DE"/>
    <w:rsid w:val="3011282A"/>
    <w:rsid w:val="30114E20"/>
    <w:rsid w:val="301211E5"/>
    <w:rsid w:val="30124150"/>
    <w:rsid w:val="30130E0C"/>
    <w:rsid w:val="30131636"/>
    <w:rsid w:val="301442E4"/>
    <w:rsid w:val="30152356"/>
    <w:rsid w:val="30164956"/>
    <w:rsid w:val="301654E2"/>
    <w:rsid w:val="301663F8"/>
    <w:rsid w:val="30171027"/>
    <w:rsid w:val="3018166B"/>
    <w:rsid w:val="30185F7A"/>
    <w:rsid w:val="301902EB"/>
    <w:rsid w:val="30191FAD"/>
    <w:rsid w:val="301A4BA2"/>
    <w:rsid w:val="301A4F53"/>
    <w:rsid w:val="301A6566"/>
    <w:rsid w:val="301B3A0F"/>
    <w:rsid w:val="301B4AA7"/>
    <w:rsid w:val="301B756B"/>
    <w:rsid w:val="301C22D1"/>
    <w:rsid w:val="301D5D15"/>
    <w:rsid w:val="301E2565"/>
    <w:rsid w:val="301E3E6C"/>
    <w:rsid w:val="301E705B"/>
    <w:rsid w:val="301F4ACC"/>
    <w:rsid w:val="30225BFB"/>
    <w:rsid w:val="30227655"/>
    <w:rsid w:val="30240B15"/>
    <w:rsid w:val="302428C3"/>
    <w:rsid w:val="30244283"/>
    <w:rsid w:val="30247567"/>
    <w:rsid w:val="302503F6"/>
    <w:rsid w:val="3025495C"/>
    <w:rsid w:val="30255E32"/>
    <w:rsid w:val="30266946"/>
    <w:rsid w:val="302724D1"/>
    <w:rsid w:val="30276672"/>
    <w:rsid w:val="30286B25"/>
    <w:rsid w:val="302A371E"/>
    <w:rsid w:val="302A7D1D"/>
    <w:rsid w:val="302C4058"/>
    <w:rsid w:val="302C41CA"/>
    <w:rsid w:val="302D1EDF"/>
    <w:rsid w:val="302E2B6E"/>
    <w:rsid w:val="302E54F0"/>
    <w:rsid w:val="302E7FB3"/>
    <w:rsid w:val="302F1268"/>
    <w:rsid w:val="302F43FD"/>
    <w:rsid w:val="30307212"/>
    <w:rsid w:val="303213D3"/>
    <w:rsid w:val="30327C90"/>
    <w:rsid w:val="30340BA6"/>
    <w:rsid w:val="303544CA"/>
    <w:rsid w:val="30354A4A"/>
    <w:rsid w:val="3036076D"/>
    <w:rsid w:val="3037191F"/>
    <w:rsid w:val="30383FC7"/>
    <w:rsid w:val="303A0B22"/>
    <w:rsid w:val="303A1918"/>
    <w:rsid w:val="303A52C1"/>
    <w:rsid w:val="303B0A63"/>
    <w:rsid w:val="303D075C"/>
    <w:rsid w:val="303E14AB"/>
    <w:rsid w:val="303F276E"/>
    <w:rsid w:val="303F698B"/>
    <w:rsid w:val="30400110"/>
    <w:rsid w:val="30403475"/>
    <w:rsid w:val="30417BB0"/>
    <w:rsid w:val="30422D49"/>
    <w:rsid w:val="30434DAB"/>
    <w:rsid w:val="30442252"/>
    <w:rsid w:val="30446915"/>
    <w:rsid w:val="304502E8"/>
    <w:rsid w:val="30481ABA"/>
    <w:rsid w:val="30487EF0"/>
    <w:rsid w:val="30495877"/>
    <w:rsid w:val="304A4118"/>
    <w:rsid w:val="304B0687"/>
    <w:rsid w:val="304B5A09"/>
    <w:rsid w:val="304D2759"/>
    <w:rsid w:val="304E3156"/>
    <w:rsid w:val="30512D18"/>
    <w:rsid w:val="30513AB6"/>
    <w:rsid w:val="30534F57"/>
    <w:rsid w:val="30542A7D"/>
    <w:rsid w:val="30552854"/>
    <w:rsid w:val="30571C89"/>
    <w:rsid w:val="30580BC9"/>
    <w:rsid w:val="30583B66"/>
    <w:rsid w:val="305853C6"/>
    <w:rsid w:val="30585A18"/>
    <w:rsid w:val="30586A11"/>
    <w:rsid w:val="305934E7"/>
    <w:rsid w:val="30596F34"/>
    <w:rsid w:val="305A4537"/>
    <w:rsid w:val="305A4ADC"/>
    <w:rsid w:val="305B1855"/>
    <w:rsid w:val="305B205D"/>
    <w:rsid w:val="305C5701"/>
    <w:rsid w:val="305D1227"/>
    <w:rsid w:val="305D6B15"/>
    <w:rsid w:val="305E7F1F"/>
    <w:rsid w:val="305F3787"/>
    <w:rsid w:val="305F3D4C"/>
    <w:rsid w:val="30601672"/>
    <w:rsid w:val="30605A9E"/>
    <w:rsid w:val="30607673"/>
    <w:rsid w:val="3061276B"/>
    <w:rsid w:val="30616357"/>
    <w:rsid w:val="30626253"/>
    <w:rsid w:val="306338CD"/>
    <w:rsid w:val="3064020D"/>
    <w:rsid w:val="306512C1"/>
    <w:rsid w:val="306528A6"/>
    <w:rsid w:val="30653C91"/>
    <w:rsid w:val="3066326A"/>
    <w:rsid w:val="3066568F"/>
    <w:rsid w:val="306660A8"/>
    <w:rsid w:val="306719A5"/>
    <w:rsid w:val="306733DE"/>
    <w:rsid w:val="306737BB"/>
    <w:rsid w:val="3067445F"/>
    <w:rsid w:val="3068609B"/>
    <w:rsid w:val="30695CE6"/>
    <w:rsid w:val="306B3D3A"/>
    <w:rsid w:val="306D4FAB"/>
    <w:rsid w:val="306D645B"/>
    <w:rsid w:val="306E2069"/>
    <w:rsid w:val="306E3B3E"/>
    <w:rsid w:val="30703D5A"/>
    <w:rsid w:val="307114CA"/>
    <w:rsid w:val="307134B9"/>
    <w:rsid w:val="307139F2"/>
    <w:rsid w:val="30715904"/>
    <w:rsid w:val="30717AD3"/>
    <w:rsid w:val="30734E92"/>
    <w:rsid w:val="3074433B"/>
    <w:rsid w:val="30756D88"/>
    <w:rsid w:val="307656CC"/>
    <w:rsid w:val="30767841"/>
    <w:rsid w:val="307760C6"/>
    <w:rsid w:val="30791649"/>
    <w:rsid w:val="307A24E3"/>
    <w:rsid w:val="307B5D17"/>
    <w:rsid w:val="307B6561"/>
    <w:rsid w:val="307C050E"/>
    <w:rsid w:val="307C26FF"/>
    <w:rsid w:val="307C3CAC"/>
    <w:rsid w:val="307D28C4"/>
    <w:rsid w:val="307D4255"/>
    <w:rsid w:val="307D4279"/>
    <w:rsid w:val="307E7AB5"/>
    <w:rsid w:val="307F20E7"/>
    <w:rsid w:val="307F3835"/>
    <w:rsid w:val="307F3F9D"/>
    <w:rsid w:val="308144B3"/>
    <w:rsid w:val="3082085A"/>
    <w:rsid w:val="30825A31"/>
    <w:rsid w:val="30847877"/>
    <w:rsid w:val="308662BC"/>
    <w:rsid w:val="308736B2"/>
    <w:rsid w:val="308A4AF2"/>
    <w:rsid w:val="308C3F97"/>
    <w:rsid w:val="308C5E61"/>
    <w:rsid w:val="308E5F8F"/>
    <w:rsid w:val="308F73E4"/>
    <w:rsid w:val="30905E8E"/>
    <w:rsid w:val="309061AB"/>
    <w:rsid w:val="30917D67"/>
    <w:rsid w:val="30923B9B"/>
    <w:rsid w:val="309262E8"/>
    <w:rsid w:val="3093185E"/>
    <w:rsid w:val="309402F6"/>
    <w:rsid w:val="30940ED9"/>
    <w:rsid w:val="30971598"/>
    <w:rsid w:val="30973731"/>
    <w:rsid w:val="309802F4"/>
    <w:rsid w:val="30980BB2"/>
    <w:rsid w:val="30983679"/>
    <w:rsid w:val="30990DE3"/>
    <w:rsid w:val="309B555F"/>
    <w:rsid w:val="309B6E9C"/>
    <w:rsid w:val="309B7CE9"/>
    <w:rsid w:val="309D5E04"/>
    <w:rsid w:val="309D6780"/>
    <w:rsid w:val="309E09BE"/>
    <w:rsid w:val="309E0EF3"/>
    <w:rsid w:val="309E21E4"/>
    <w:rsid w:val="309F1F4A"/>
    <w:rsid w:val="30A13F3A"/>
    <w:rsid w:val="30A2413D"/>
    <w:rsid w:val="30A26083"/>
    <w:rsid w:val="30A27A0A"/>
    <w:rsid w:val="30A331EB"/>
    <w:rsid w:val="30A371CE"/>
    <w:rsid w:val="30A4364B"/>
    <w:rsid w:val="30A47BDC"/>
    <w:rsid w:val="30A51EEF"/>
    <w:rsid w:val="30A54AB3"/>
    <w:rsid w:val="30A65A46"/>
    <w:rsid w:val="30A664DD"/>
    <w:rsid w:val="30A84B2A"/>
    <w:rsid w:val="30A85C2E"/>
    <w:rsid w:val="30A8720D"/>
    <w:rsid w:val="30AA269C"/>
    <w:rsid w:val="30AC28B9"/>
    <w:rsid w:val="30AE378A"/>
    <w:rsid w:val="30AE3B83"/>
    <w:rsid w:val="30AE52F9"/>
    <w:rsid w:val="30AE62CD"/>
    <w:rsid w:val="30B012FC"/>
    <w:rsid w:val="30B0234A"/>
    <w:rsid w:val="30B023A9"/>
    <w:rsid w:val="30B04157"/>
    <w:rsid w:val="30B14D28"/>
    <w:rsid w:val="30B14F2A"/>
    <w:rsid w:val="30B325F0"/>
    <w:rsid w:val="30B32F2D"/>
    <w:rsid w:val="30B33AF5"/>
    <w:rsid w:val="30B346C1"/>
    <w:rsid w:val="30B501BD"/>
    <w:rsid w:val="30B51C78"/>
    <w:rsid w:val="30B763E8"/>
    <w:rsid w:val="30B80E70"/>
    <w:rsid w:val="30B8300C"/>
    <w:rsid w:val="30B845BF"/>
    <w:rsid w:val="30B87533"/>
    <w:rsid w:val="30B91CD4"/>
    <w:rsid w:val="30B92C52"/>
    <w:rsid w:val="30B93CEA"/>
    <w:rsid w:val="30B95B09"/>
    <w:rsid w:val="30BC0D4E"/>
    <w:rsid w:val="30BC53DB"/>
    <w:rsid w:val="30BD3507"/>
    <w:rsid w:val="30BE6E3F"/>
    <w:rsid w:val="30BF7868"/>
    <w:rsid w:val="30BF7C2F"/>
    <w:rsid w:val="30C152C4"/>
    <w:rsid w:val="30C215C9"/>
    <w:rsid w:val="30C3065D"/>
    <w:rsid w:val="30C31654"/>
    <w:rsid w:val="30C45E9F"/>
    <w:rsid w:val="30C4739D"/>
    <w:rsid w:val="30C51027"/>
    <w:rsid w:val="30C5179E"/>
    <w:rsid w:val="30C51824"/>
    <w:rsid w:val="30C5408B"/>
    <w:rsid w:val="30C60ADD"/>
    <w:rsid w:val="30C6270F"/>
    <w:rsid w:val="30C636C9"/>
    <w:rsid w:val="30C65C15"/>
    <w:rsid w:val="30C80D0A"/>
    <w:rsid w:val="30CA4B30"/>
    <w:rsid w:val="30CB0F91"/>
    <w:rsid w:val="30CB3AF3"/>
    <w:rsid w:val="30CC0066"/>
    <w:rsid w:val="30CC1529"/>
    <w:rsid w:val="30CD0D3B"/>
    <w:rsid w:val="30CD0EB9"/>
    <w:rsid w:val="30CD408D"/>
    <w:rsid w:val="30CE10F3"/>
    <w:rsid w:val="30CE282F"/>
    <w:rsid w:val="30CF30A0"/>
    <w:rsid w:val="30CF5A25"/>
    <w:rsid w:val="30D02724"/>
    <w:rsid w:val="30D03DF8"/>
    <w:rsid w:val="30D07954"/>
    <w:rsid w:val="30D07BF5"/>
    <w:rsid w:val="30D13756"/>
    <w:rsid w:val="30D15E22"/>
    <w:rsid w:val="30D1774D"/>
    <w:rsid w:val="30D20675"/>
    <w:rsid w:val="30D21A4D"/>
    <w:rsid w:val="30D24BC0"/>
    <w:rsid w:val="30D254E5"/>
    <w:rsid w:val="30D32A99"/>
    <w:rsid w:val="30D361CF"/>
    <w:rsid w:val="30D45236"/>
    <w:rsid w:val="30D45532"/>
    <w:rsid w:val="30D50081"/>
    <w:rsid w:val="30D56520"/>
    <w:rsid w:val="30D75B88"/>
    <w:rsid w:val="30D75DEC"/>
    <w:rsid w:val="30D77936"/>
    <w:rsid w:val="30D84546"/>
    <w:rsid w:val="30D8545C"/>
    <w:rsid w:val="30D9131A"/>
    <w:rsid w:val="30DA0E13"/>
    <w:rsid w:val="30DA4270"/>
    <w:rsid w:val="30DA550F"/>
    <w:rsid w:val="30DB3C98"/>
    <w:rsid w:val="30DB7BA6"/>
    <w:rsid w:val="30DD29C5"/>
    <w:rsid w:val="30DE0915"/>
    <w:rsid w:val="30DE5A12"/>
    <w:rsid w:val="30DF587A"/>
    <w:rsid w:val="30DF67EA"/>
    <w:rsid w:val="30E0344C"/>
    <w:rsid w:val="30E07F39"/>
    <w:rsid w:val="30E56E1D"/>
    <w:rsid w:val="30E63904"/>
    <w:rsid w:val="30E83977"/>
    <w:rsid w:val="30E94677"/>
    <w:rsid w:val="30E94D1A"/>
    <w:rsid w:val="30EA7AEF"/>
    <w:rsid w:val="30EC5519"/>
    <w:rsid w:val="30ED2A56"/>
    <w:rsid w:val="30ED2BD7"/>
    <w:rsid w:val="30ED7D6E"/>
    <w:rsid w:val="30EE1E74"/>
    <w:rsid w:val="30EF029F"/>
    <w:rsid w:val="30F15647"/>
    <w:rsid w:val="30F24841"/>
    <w:rsid w:val="30F438B1"/>
    <w:rsid w:val="30F4734C"/>
    <w:rsid w:val="30F524B2"/>
    <w:rsid w:val="30F563A3"/>
    <w:rsid w:val="30F60ACC"/>
    <w:rsid w:val="30F62400"/>
    <w:rsid w:val="30F63400"/>
    <w:rsid w:val="30F73B34"/>
    <w:rsid w:val="30F91BDF"/>
    <w:rsid w:val="30F9378A"/>
    <w:rsid w:val="30FA2B9B"/>
    <w:rsid w:val="30FA7AC8"/>
    <w:rsid w:val="30FB03CD"/>
    <w:rsid w:val="30FB2EEB"/>
    <w:rsid w:val="30FC1658"/>
    <w:rsid w:val="30FC77D0"/>
    <w:rsid w:val="30FD4720"/>
    <w:rsid w:val="30FD6997"/>
    <w:rsid w:val="31001598"/>
    <w:rsid w:val="31011AC6"/>
    <w:rsid w:val="31022BC0"/>
    <w:rsid w:val="31042A05"/>
    <w:rsid w:val="31043397"/>
    <w:rsid w:val="31053723"/>
    <w:rsid w:val="31054C99"/>
    <w:rsid w:val="310648E3"/>
    <w:rsid w:val="31065004"/>
    <w:rsid w:val="31073125"/>
    <w:rsid w:val="31090EED"/>
    <w:rsid w:val="3109332D"/>
    <w:rsid w:val="310A0147"/>
    <w:rsid w:val="310A2D5E"/>
    <w:rsid w:val="310A4EAC"/>
    <w:rsid w:val="310A5760"/>
    <w:rsid w:val="310A7BE1"/>
    <w:rsid w:val="310B2EBC"/>
    <w:rsid w:val="310B68DC"/>
    <w:rsid w:val="310B73C6"/>
    <w:rsid w:val="310B7B70"/>
    <w:rsid w:val="310E10FF"/>
    <w:rsid w:val="310E4945"/>
    <w:rsid w:val="310E6F3E"/>
    <w:rsid w:val="310F0CCC"/>
    <w:rsid w:val="310F488E"/>
    <w:rsid w:val="31113F41"/>
    <w:rsid w:val="31123F86"/>
    <w:rsid w:val="31124E12"/>
    <w:rsid w:val="31125B17"/>
    <w:rsid w:val="31130DDD"/>
    <w:rsid w:val="31133004"/>
    <w:rsid w:val="311522E2"/>
    <w:rsid w:val="31153C04"/>
    <w:rsid w:val="3115515C"/>
    <w:rsid w:val="31174B96"/>
    <w:rsid w:val="31184A16"/>
    <w:rsid w:val="311856DB"/>
    <w:rsid w:val="31190BC9"/>
    <w:rsid w:val="31196A18"/>
    <w:rsid w:val="311A2E3A"/>
    <w:rsid w:val="311B065C"/>
    <w:rsid w:val="311C17EC"/>
    <w:rsid w:val="311C43B5"/>
    <w:rsid w:val="311C4F15"/>
    <w:rsid w:val="311C5EBE"/>
    <w:rsid w:val="311E2ED7"/>
    <w:rsid w:val="311E5564"/>
    <w:rsid w:val="311F281A"/>
    <w:rsid w:val="311F4983"/>
    <w:rsid w:val="311F7866"/>
    <w:rsid w:val="312003FA"/>
    <w:rsid w:val="312073E5"/>
    <w:rsid w:val="312124DE"/>
    <w:rsid w:val="31212FD2"/>
    <w:rsid w:val="31213292"/>
    <w:rsid w:val="312132A7"/>
    <w:rsid w:val="312211A0"/>
    <w:rsid w:val="312238C0"/>
    <w:rsid w:val="31227B38"/>
    <w:rsid w:val="31231CFF"/>
    <w:rsid w:val="31265840"/>
    <w:rsid w:val="31283994"/>
    <w:rsid w:val="3128681F"/>
    <w:rsid w:val="3129198A"/>
    <w:rsid w:val="312A215B"/>
    <w:rsid w:val="312B7D1F"/>
    <w:rsid w:val="312D1C4B"/>
    <w:rsid w:val="312E4A61"/>
    <w:rsid w:val="312E5CBF"/>
    <w:rsid w:val="312E7AB5"/>
    <w:rsid w:val="312F0E6B"/>
    <w:rsid w:val="312F6AE2"/>
    <w:rsid w:val="312F7772"/>
    <w:rsid w:val="313124FD"/>
    <w:rsid w:val="31325BEE"/>
    <w:rsid w:val="313308E4"/>
    <w:rsid w:val="31337D03"/>
    <w:rsid w:val="31344D88"/>
    <w:rsid w:val="31347910"/>
    <w:rsid w:val="31350AB8"/>
    <w:rsid w:val="31353788"/>
    <w:rsid w:val="313745C4"/>
    <w:rsid w:val="31376109"/>
    <w:rsid w:val="3138414C"/>
    <w:rsid w:val="3139227A"/>
    <w:rsid w:val="313A0FFB"/>
    <w:rsid w:val="313A26E0"/>
    <w:rsid w:val="313A7EC4"/>
    <w:rsid w:val="313B332E"/>
    <w:rsid w:val="313B4C03"/>
    <w:rsid w:val="313C7AD4"/>
    <w:rsid w:val="313E1763"/>
    <w:rsid w:val="313E7F40"/>
    <w:rsid w:val="313F171F"/>
    <w:rsid w:val="313F5CC0"/>
    <w:rsid w:val="314007C3"/>
    <w:rsid w:val="31405FDF"/>
    <w:rsid w:val="314060A9"/>
    <w:rsid w:val="31413001"/>
    <w:rsid w:val="31427A09"/>
    <w:rsid w:val="3143699F"/>
    <w:rsid w:val="314455AC"/>
    <w:rsid w:val="31456C2F"/>
    <w:rsid w:val="314609C3"/>
    <w:rsid w:val="31460B41"/>
    <w:rsid w:val="314614CD"/>
    <w:rsid w:val="31466869"/>
    <w:rsid w:val="3146721C"/>
    <w:rsid w:val="31473779"/>
    <w:rsid w:val="31482884"/>
    <w:rsid w:val="31483588"/>
    <w:rsid w:val="314863D5"/>
    <w:rsid w:val="314A45AB"/>
    <w:rsid w:val="314E571E"/>
    <w:rsid w:val="314E773E"/>
    <w:rsid w:val="314F2349"/>
    <w:rsid w:val="31517599"/>
    <w:rsid w:val="31532D34"/>
    <w:rsid w:val="315511C9"/>
    <w:rsid w:val="315578E9"/>
    <w:rsid w:val="315619EE"/>
    <w:rsid w:val="31562BE6"/>
    <w:rsid w:val="3156773F"/>
    <w:rsid w:val="31590E37"/>
    <w:rsid w:val="31596939"/>
    <w:rsid w:val="31597A2B"/>
    <w:rsid w:val="315A01AE"/>
    <w:rsid w:val="315A0567"/>
    <w:rsid w:val="315B1BDE"/>
    <w:rsid w:val="315B3021"/>
    <w:rsid w:val="315B4CF8"/>
    <w:rsid w:val="315B75F1"/>
    <w:rsid w:val="315C449C"/>
    <w:rsid w:val="315C7BBC"/>
    <w:rsid w:val="315D1E99"/>
    <w:rsid w:val="315F176D"/>
    <w:rsid w:val="3160518F"/>
    <w:rsid w:val="3161362F"/>
    <w:rsid w:val="316136A3"/>
    <w:rsid w:val="316311C9"/>
    <w:rsid w:val="31631DCE"/>
    <w:rsid w:val="316373E3"/>
    <w:rsid w:val="31645289"/>
    <w:rsid w:val="316711D8"/>
    <w:rsid w:val="31674F95"/>
    <w:rsid w:val="31676A65"/>
    <w:rsid w:val="316839C1"/>
    <w:rsid w:val="31692F7E"/>
    <w:rsid w:val="316E4C55"/>
    <w:rsid w:val="316F536E"/>
    <w:rsid w:val="316F693C"/>
    <w:rsid w:val="31710B92"/>
    <w:rsid w:val="317126F6"/>
    <w:rsid w:val="31730988"/>
    <w:rsid w:val="31745184"/>
    <w:rsid w:val="31747BCA"/>
    <w:rsid w:val="31752992"/>
    <w:rsid w:val="317606F9"/>
    <w:rsid w:val="317623A9"/>
    <w:rsid w:val="31762540"/>
    <w:rsid w:val="317655F8"/>
    <w:rsid w:val="317672EA"/>
    <w:rsid w:val="317936B1"/>
    <w:rsid w:val="31796EC9"/>
    <w:rsid w:val="317973A7"/>
    <w:rsid w:val="317A2722"/>
    <w:rsid w:val="317A4765"/>
    <w:rsid w:val="317B4CCC"/>
    <w:rsid w:val="317C56D4"/>
    <w:rsid w:val="317D5FC3"/>
    <w:rsid w:val="317E1AF7"/>
    <w:rsid w:val="317E24A7"/>
    <w:rsid w:val="317E466C"/>
    <w:rsid w:val="317E742D"/>
    <w:rsid w:val="317F5B10"/>
    <w:rsid w:val="3180395A"/>
    <w:rsid w:val="31807D0D"/>
    <w:rsid w:val="31816960"/>
    <w:rsid w:val="318252F5"/>
    <w:rsid w:val="318309B3"/>
    <w:rsid w:val="3183455B"/>
    <w:rsid w:val="31836E42"/>
    <w:rsid w:val="31841229"/>
    <w:rsid w:val="31866890"/>
    <w:rsid w:val="318677AD"/>
    <w:rsid w:val="31871F0B"/>
    <w:rsid w:val="3187380E"/>
    <w:rsid w:val="318918EA"/>
    <w:rsid w:val="318A6B45"/>
    <w:rsid w:val="318B24CE"/>
    <w:rsid w:val="318B6CD1"/>
    <w:rsid w:val="318C26DD"/>
    <w:rsid w:val="318D002B"/>
    <w:rsid w:val="318E457B"/>
    <w:rsid w:val="318F2988"/>
    <w:rsid w:val="318F3BDF"/>
    <w:rsid w:val="318F793F"/>
    <w:rsid w:val="31903CA4"/>
    <w:rsid w:val="3190493D"/>
    <w:rsid w:val="319063BC"/>
    <w:rsid w:val="3191506E"/>
    <w:rsid w:val="31927D00"/>
    <w:rsid w:val="319442D8"/>
    <w:rsid w:val="31952DBE"/>
    <w:rsid w:val="3195606B"/>
    <w:rsid w:val="31962506"/>
    <w:rsid w:val="319660C3"/>
    <w:rsid w:val="319660CE"/>
    <w:rsid w:val="3196684B"/>
    <w:rsid w:val="31971E98"/>
    <w:rsid w:val="31986EF1"/>
    <w:rsid w:val="31992092"/>
    <w:rsid w:val="31993324"/>
    <w:rsid w:val="31995AE5"/>
    <w:rsid w:val="31997F48"/>
    <w:rsid w:val="319A15E1"/>
    <w:rsid w:val="319A4165"/>
    <w:rsid w:val="319B16F0"/>
    <w:rsid w:val="319B2863"/>
    <w:rsid w:val="319B575E"/>
    <w:rsid w:val="319C5ADC"/>
    <w:rsid w:val="319D5EE9"/>
    <w:rsid w:val="319E104B"/>
    <w:rsid w:val="319E2755"/>
    <w:rsid w:val="319F1377"/>
    <w:rsid w:val="31A00552"/>
    <w:rsid w:val="31A041CB"/>
    <w:rsid w:val="31A10FB0"/>
    <w:rsid w:val="31A252BC"/>
    <w:rsid w:val="31A30E4F"/>
    <w:rsid w:val="31A40DB4"/>
    <w:rsid w:val="31A4255F"/>
    <w:rsid w:val="31A43719"/>
    <w:rsid w:val="31A55DBC"/>
    <w:rsid w:val="31A60657"/>
    <w:rsid w:val="31A62937"/>
    <w:rsid w:val="31A672C2"/>
    <w:rsid w:val="31A75B75"/>
    <w:rsid w:val="31A83080"/>
    <w:rsid w:val="31A91A55"/>
    <w:rsid w:val="31AB2B70"/>
    <w:rsid w:val="31AB7E01"/>
    <w:rsid w:val="31AC6300"/>
    <w:rsid w:val="31AE70DE"/>
    <w:rsid w:val="31AE7380"/>
    <w:rsid w:val="31AE7C11"/>
    <w:rsid w:val="31AE7D45"/>
    <w:rsid w:val="31AF5F03"/>
    <w:rsid w:val="31B04B21"/>
    <w:rsid w:val="31B13A5C"/>
    <w:rsid w:val="31B14374"/>
    <w:rsid w:val="31B1462B"/>
    <w:rsid w:val="31B22413"/>
    <w:rsid w:val="31B3478A"/>
    <w:rsid w:val="31B3606A"/>
    <w:rsid w:val="31B47AC8"/>
    <w:rsid w:val="31B5541B"/>
    <w:rsid w:val="31B65F19"/>
    <w:rsid w:val="31B73AA0"/>
    <w:rsid w:val="31B8121F"/>
    <w:rsid w:val="31B82709"/>
    <w:rsid w:val="31B83C18"/>
    <w:rsid w:val="31B85B99"/>
    <w:rsid w:val="31B9576F"/>
    <w:rsid w:val="31BA3CFE"/>
    <w:rsid w:val="31BA62CD"/>
    <w:rsid w:val="31BA6C2B"/>
    <w:rsid w:val="31BB0665"/>
    <w:rsid w:val="31BB7257"/>
    <w:rsid w:val="31BC1E6F"/>
    <w:rsid w:val="31BC57BA"/>
    <w:rsid w:val="31BE17DE"/>
    <w:rsid w:val="31BE694A"/>
    <w:rsid w:val="31BF6EE7"/>
    <w:rsid w:val="31C06124"/>
    <w:rsid w:val="31C119B4"/>
    <w:rsid w:val="31C14142"/>
    <w:rsid w:val="31C17B49"/>
    <w:rsid w:val="31C205E6"/>
    <w:rsid w:val="31C21686"/>
    <w:rsid w:val="31C2378E"/>
    <w:rsid w:val="31C278AC"/>
    <w:rsid w:val="31C369BE"/>
    <w:rsid w:val="31C434A4"/>
    <w:rsid w:val="31C51E84"/>
    <w:rsid w:val="31C73C9D"/>
    <w:rsid w:val="31C92A22"/>
    <w:rsid w:val="31CB40E9"/>
    <w:rsid w:val="31CB6A58"/>
    <w:rsid w:val="31CC4293"/>
    <w:rsid w:val="31CD75EC"/>
    <w:rsid w:val="31CE3079"/>
    <w:rsid w:val="31CF76D3"/>
    <w:rsid w:val="31D01690"/>
    <w:rsid w:val="31D04FB7"/>
    <w:rsid w:val="31D05482"/>
    <w:rsid w:val="31D05A76"/>
    <w:rsid w:val="31D10829"/>
    <w:rsid w:val="31D2179B"/>
    <w:rsid w:val="31D21E87"/>
    <w:rsid w:val="31D244F6"/>
    <w:rsid w:val="31D245A1"/>
    <w:rsid w:val="31D6795B"/>
    <w:rsid w:val="31D67BED"/>
    <w:rsid w:val="31D85273"/>
    <w:rsid w:val="31D942A8"/>
    <w:rsid w:val="31D94B8C"/>
    <w:rsid w:val="31D96112"/>
    <w:rsid w:val="31DA40B6"/>
    <w:rsid w:val="31DC0002"/>
    <w:rsid w:val="31DC46C6"/>
    <w:rsid w:val="31DC48A8"/>
    <w:rsid w:val="31DD3C3D"/>
    <w:rsid w:val="31DD611C"/>
    <w:rsid w:val="31DE779C"/>
    <w:rsid w:val="31DF1A4D"/>
    <w:rsid w:val="31E00A83"/>
    <w:rsid w:val="31E066A8"/>
    <w:rsid w:val="31E13D9A"/>
    <w:rsid w:val="31E160A6"/>
    <w:rsid w:val="31E30152"/>
    <w:rsid w:val="31E41E2A"/>
    <w:rsid w:val="31E43767"/>
    <w:rsid w:val="31E437CC"/>
    <w:rsid w:val="31E65111"/>
    <w:rsid w:val="31E7797A"/>
    <w:rsid w:val="31E842BF"/>
    <w:rsid w:val="31E9304B"/>
    <w:rsid w:val="31EA27E1"/>
    <w:rsid w:val="31EA4BE9"/>
    <w:rsid w:val="31ED0783"/>
    <w:rsid w:val="31EF0B82"/>
    <w:rsid w:val="31EF1A70"/>
    <w:rsid w:val="31EF30F9"/>
    <w:rsid w:val="31EF446B"/>
    <w:rsid w:val="31F00FA4"/>
    <w:rsid w:val="31F0125B"/>
    <w:rsid w:val="31F018FC"/>
    <w:rsid w:val="31F06CD1"/>
    <w:rsid w:val="31F07640"/>
    <w:rsid w:val="31F12C79"/>
    <w:rsid w:val="31F14A27"/>
    <w:rsid w:val="31F165C7"/>
    <w:rsid w:val="31F276EF"/>
    <w:rsid w:val="31F369F1"/>
    <w:rsid w:val="31F37890"/>
    <w:rsid w:val="31F42CAC"/>
    <w:rsid w:val="31F44517"/>
    <w:rsid w:val="31F45A02"/>
    <w:rsid w:val="31F46410"/>
    <w:rsid w:val="31F46F90"/>
    <w:rsid w:val="31F56542"/>
    <w:rsid w:val="31F641DA"/>
    <w:rsid w:val="31F6746B"/>
    <w:rsid w:val="31F85884"/>
    <w:rsid w:val="31F91B2E"/>
    <w:rsid w:val="31FA2348"/>
    <w:rsid w:val="31FA3226"/>
    <w:rsid w:val="31FA55A9"/>
    <w:rsid w:val="31FB51B5"/>
    <w:rsid w:val="31FB7654"/>
    <w:rsid w:val="31FF7748"/>
    <w:rsid w:val="32001DF3"/>
    <w:rsid w:val="32002EBC"/>
    <w:rsid w:val="32032EA8"/>
    <w:rsid w:val="320408EB"/>
    <w:rsid w:val="32086601"/>
    <w:rsid w:val="32096215"/>
    <w:rsid w:val="320A3D3B"/>
    <w:rsid w:val="320A61DE"/>
    <w:rsid w:val="320B72F9"/>
    <w:rsid w:val="320D0AC2"/>
    <w:rsid w:val="320E2754"/>
    <w:rsid w:val="321017B5"/>
    <w:rsid w:val="32106257"/>
    <w:rsid w:val="3212499D"/>
    <w:rsid w:val="32126564"/>
    <w:rsid w:val="32127033"/>
    <w:rsid w:val="32131E48"/>
    <w:rsid w:val="32136C0D"/>
    <w:rsid w:val="32143537"/>
    <w:rsid w:val="32145599"/>
    <w:rsid w:val="321558C2"/>
    <w:rsid w:val="32157D93"/>
    <w:rsid w:val="32163D42"/>
    <w:rsid w:val="32167EC9"/>
    <w:rsid w:val="32173C60"/>
    <w:rsid w:val="32177347"/>
    <w:rsid w:val="321831E5"/>
    <w:rsid w:val="32194959"/>
    <w:rsid w:val="321C462A"/>
    <w:rsid w:val="321C741D"/>
    <w:rsid w:val="321D716A"/>
    <w:rsid w:val="321E1D2A"/>
    <w:rsid w:val="321E4FEA"/>
    <w:rsid w:val="321E56E7"/>
    <w:rsid w:val="321E7B5A"/>
    <w:rsid w:val="32211457"/>
    <w:rsid w:val="32214BE6"/>
    <w:rsid w:val="32215645"/>
    <w:rsid w:val="32217D5B"/>
    <w:rsid w:val="32221084"/>
    <w:rsid w:val="32225ABD"/>
    <w:rsid w:val="32225CAB"/>
    <w:rsid w:val="32236174"/>
    <w:rsid w:val="32237B46"/>
    <w:rsid w:val="32245017"/>
    <w:rsid w:val="32250B75"/>
    <w:rsid w:val="32252923"/>
    <w:rsid w:val="32260A90"/>
    <w:rsid w:val="32273F13"/>
    <w:rsid w:val="32276FCB"/>
    <w:rsid w:val="32296E45"/>
    <w:rsid w:val="322A15AB"/>
    <w:rsid w:val="322A388F"/>
    <w:rsid w:val="322C0F21"/>
    <w:rsid w:val="322C5176"/>
    <w:rsid w:val="322C68D6"/>
    <w:rsid w:val="322D13ED"/>
    <w:rsid w:val="322D309B"/>
    <w:rsid w:val="322E04E5"/>
    <w:rsid w:val="322E1087"/>
    <w:rsid w:val="322E4681"/>
    <w:rsid w:val="322E7A04"/>
    <w:rsid w:val="32315313"/>
    <w:rsid w:val="32315B73"/>
    <w:rsid w:val="32324116"/>
    <w:rsid w:val="32324E0A"/>
    <w:rsid w:val="32326B68"/>
    <w:rsid w:val="3234448B"/>
    <w:rsid w:val="32352291"/>
    <w:rsid w:val="32353C89"/>
    <w:rsid w:val="3235642E"/>
    <w:rsid w:val="32363C74"/>
    <w:rsid w:val="32366D55"/>
    <w:rsid w:val="32382902"/>
    <w:rsid w:val="32387E06"/>
    <w:rsid w:val="323B3805"/>
    <w:rsid w:val="323E2437"/>
    <w:rsid w:val="323E6FE9"/>
    <w:rsid w:val="323F40BD"/>
    <w:rsid w:val="32400B34"/>
    <w:rsid w:val="32417616"/>
    <w:rsid w:val="32426DB9"/>
    <w:rsid w:val="32431A19"/>
    <w:rsid w:val="324324BC"/>
    <w:rsid w:val="32432CFF"/>
    <w:rsid w:val="3243368F"/>
    <w:rsid w:val="32452FC5"/>
    <w:rsid w:val="32454D73"/>
    <w:rsid w:val="32455D37"/>
    <w:rsid w:val="32456B21"/>
    <w:rsid w:val="324575BF"/>
    <w:rsid w:val="324729ED"/>
    <w:rsid w:val="324801AE"/>
    <w:rsid w:val="32482650"/>
    <w:rsid w:val="32485F2A"/>
    <w:rsid w:val="32496B8D"/>
    <w:rsid w:val="324A1876"/>
    <w:rsid w:val="324A1D9B"/>
    <w:rsid w:val="324A2389"/>
    <w:rsid w:val="324A2A1F"/>
    <w:rsid w:val="324B500E"/>
    <w:rsid w:val="324C0B73"/>
    <w:rsid w:val="324C45DB"/>
    <w:rsid w:val="324D199D"/>
    <w:rsid w:val="324F22AD"/>
    <w:rsid w:val="324F4C62"/>
    <w:rsid w:val="324F5BF1"/>
    <w:rsid w:val="324F79A0"/>
    <w:rsid w:val="32504B1A"/>
    <w:rsid w:val="32507735"/>
    <w:rsid w:val="32512037"/>
    <w:rsid w:val="3251505F"/>
    <w:rsid w:val="32544C17"/>
    <w:rsid w:val="3255039C"/>
    <w:rsid w:val="32560053"/>
    <w:rsid w:val="32580455"/>
    <w:rsid w:val="325A081E"/>
    <w:rsid w:val="325A2027"/>
    <w:rsid w:val="325B15CB"/>
    <w:rsid w:val="325B36F4"/>
    <w:rsid w:val="325B71B7"/>
    <w:rsid w:val="325C702F"/>
    <w:rsid w:val="325D05D9"/>
    <w:rsid w:val="325D3E6B"/>
    <w:rsid w:val="325E058D"/>
    <w:rsid w:val="325E38FB"/>
    <w:rsid w:val="325F2C1A"/>
    <w:rsid w:val="325F43D6"/>
    <w:rsid w:val="32600E45"/>
    <w:rsid w:val="32601838"/>
    <w:rsid w:val="32601D36"/>
    <w:rsid w:val="32604142"/>
    <w:rsid w:val="32606415"/>
    <w:rsid w:val="32607DFF"/>
    <w:rsid w:val="326107F7"/>
    <w:rsid w:val="326113DC"/>
    <w:rsid w:val="326260EE"/>
    <w:rsid w:val="326276D3"/>
    <w:rsid w:val="32630CC9"/>
    <w:rsid w:val="326310CA"/>
    <w:rsid w:val="32652A67"/>
    <w:rsid w:val="32656C12"/>
    <w:rsid w:val="32664F75"/>
    <w:rsid w:val="3268280F"/>
    <w:rsid w:val="32691B21"/>
    <w:rsid w:val="32691DF9"/>
    <w:rsid w:val="326C39EA"/>
    <w:rsid w:val="326D0936"/>
    <w:rsid w:val="326D0E41"/>
    <w:rsid w:val="326E77B3"/>
    <w:rsid w:val="326E7E26"/>
    <w:rsid w:val="326F2E16"/>
    <w:rsid w:val="326F66B5"/>
    <w:rsid w:val="3270308D"/>
    <w:rsid w:val="32703A82"/>
    <w:rsid w:val="327049C6"/>
    <w:rsid w:val="32710E43"/>
    <w:rsid w:val="327159B5"/>
    <w:rsid w:val="3273318C"/>
    <w:rsid w:val="32743EB6"/>
    <w:rsid w:val="3275099C"/>
    <w:rsid w:val="32751D2E"/>
    <w:rsid w:val="327550E7"/>
    <w:rsid w:val="32757ADC"/>
    <w:rsid w:val="32763024"/>
    <w:rsid w:val="32763D35"/>
    <w:rsid w:val="327935B5"/>
    <w:rsid w:val="3279767C"/>
    <w:rsid w:val="327A5649"/>
    <w:rsid w:val="327B0795"/>
    <w:rsid w:val="327B202D"/>
    <w:rsid w:val="327B3945"/>
    <w:rsid w:val="327C3E69"/>
    <w:rsid w:val="327E12F0"/>
    <w:rsid w:val="327E448F"/>
    <w:rsid w:val="327F3529"/>
    <w:rsid w:val="327F7AF5"/>
    <w:rsid w:val="32800704"/>
    <w:rsid w:val="328136CD"/>
    <w:rsid w:val="32814517"/>
    <w:rsid w:val="32815060"/>
    <w:rsid w:val="328178C4"/>
    <w:rsid w:val="3282000A"/>
    <w:rsid w:val="3283190D"/>
    <w:rsid w:val="328363A6"/>
    <w:rsid w:val="328424A2"/>
    <w:rsid w:val="328540F0"/>
    <w:rsid w:val="3285629B"/>
    <w:rsid w:val="328616A9"/>
    <w:rsid w:val="32874605"/>
    <w:rsid w:val="32880456"/>
    <w:rsid w:val="32880989"/>
    <w:rsid w:val="32892941"/>
    <w:rsid w:val="32895ECB"/>
    <w:rsid w:val="328A38C9"/>
    <w:rsid w:val="328A42E7"/>
    <w:rsid w:val="328A4D47"/>
    <w:rsid w:val="328A6323"/>
    <w:rsid w:val="328B26D9"/>
    <w:rsid w:val="328B3A18"/>
    <w:rsid w:val="328C7DE5"/>
    <w:rsid w:val="328D14A0"/>
    <w:rsid w:val="328D6415"/>
    <w:rsid w:val="328E6F28"/>
    <w:rsid w:val="32901EBC"/>
    <w:rsid w:val="32904240"/>
    <w:rsid w:val="32907AE1"/>
    <w:rsid w:val="32907E5C"/>
    <w:rsid w:val="32915209"/>
    <w:rsid w:val="32915CC0"/>
    <w:rsid w:val="32916FAB"/>
    <w:rsid w:val="32917FB8"/>
    <w:rsid w:val="32923AFD"/>
    <w:rsid w:val="329329CA"/>
    <w:rsid w:val="32936D23"/>
    <w:rsid w:val="32941177"/>
    <w:rsid w:val="32943082"/>
    <w:rsid w:val="32957AA8"/>
    <w:rsid w:val="329735D1"/>
    <w:rsid w:val="329877D5"/>
    <w:rsid w:val="32987EF2"/>
    <w:rsid w:val="329A2493"/>
    <w:rsid w:val="329A3A56"/>
    <w:rsid w:val="329B2CF9"/>
    <w:rsid w:val="329C0824"/>
    <w:rsid w:val="329C6E3C"/>
    <w:rsid w:val="329D7161"/>
    <w:rsid w:val="329E6876"/>
    <w:rsid w:val="329F26D5"/>
    <w:rsid w:val="32A058E3"/>
    <w:rsid w:val="32A10529"/>
    <w:rsid w:val="32A115A7"/>
    <w:rsid w:val="32A12F3A"/>
    <w:rsid w:val="32A14E17"/>
    <w:rsid w:val="32A23F73"/>
    <w:rsid w:val="32A33401"/>
    <w:rsid w:val="32A3404E"/>
    <w:rsid w:val="32A41A99"/>
    <w:rsid w:val="32A446AD"/>
    <w:rsid w:val="32A466D4"/>
    <w:rsid w:val="32A47A21"/>
    <w:rsid w:val="32A745C5"/>
    <w:rsid w:val="32A771A8"/>
    <w:rsid w:val="32A8492C"/>
    <w:rsid w:val="32A90421"/>
    <w:rsid w:val="32A921C3"/>
    <w:rsid w:val="32A94485"/>
    <w:rsid w:val="32A977CE"/>
    <w:rsid w:val="32AB400A"/>
    <w:rsid w:val="32AC0031"/>
    <w:rsid w:val="32AC142F"/>
    <w:rsid w:val="32AC2A5C"/>
    <w:rsid w:val="32AC3575"/>
    <w:rsid w:val="32AF5853"/>
    <w:rsid w:val="32B06589"/>
    <w:rsid w:val="32B06690"/>
    <w:rsid w:val="32B078FE"/>
    <w:rsid w:val="32B23977"/>
    <w:rsid w:val="32B278AB"/>
    <w:rsid w:val="32B32574"/>
    <w:rsid w:val="32B469FB"/>
    <w:rsid w:val="32B47418"/>
    <w:rsid w:val="32B52754"/>
    <w:rsid w:val="32B617CD"/>
    <w:rsid w:val="32B70786"/>
    <w:rsid w:val="32B7097B"/>
    <w:rsid w:val="32B76FA2"/>
    <w:rsid w:val="32B819E9"/>
    <w:rsid w:val="32B82FAC"/>
    <w:rsid w:val="32BA5B38"/>
    <w:rsid w:val="32BB67FE"/>
    <w:rsid w:val="32BB6A1A"/>
    <w:rsid w:val="32BC11D7"/>
    <w:rsid w:val="32BC3B54"/>
    <w:rsid w:val="32BC6F09"/>
    <w:rsid w:val="32BD3CE6"/>
    <w:rsid w:val="32BD4D86"/>
    <w:rsid w:val="32BE0695"/>
    <w:rsid w:val="32BE1AC5"/>
    <w:rsid w:val="32BF0685"/>
    <w:rsid w:val="32BF09BE"/>
    <w:rsid w:val="32C00FDA"/>
    <w:rsid w:val="32C23D7F"/>
    <w:rsid w:val="32C24615"/>
    <w:rsid w:val="32C26CD8"/>
    <w:rsid w:val="32C31F12"/>
    <w:rsid w:val="32C47056"/>
    <w:rsid w:val="32C54D36"/>
    <w:rsid w:val="32C70573"/>
    <w:rsid w:val="32C81BBF"/>
    <w:rsid w:val="32C9004E"/>
    <w:rsid w:val="32C96F7F"/>
    <w:rsid w:val="32C97752"/>
    <w:rsid w:val="32CA12BA"/>
    <w:rsid w:val="32CB587E"/>
    <w:rsid w:val="32CB5B7D"/>
    <w:rsid w:val="32CB6CB7"/>
    <w:rsid w:val="32CC1417"/>
    <w:rsid w:val="32CC45AD"/>
    <w:rsid w:val="32CC6C43"/>
    <w:rsid w:val="32CD1523"/>
    <w:rsid w:val="32CD4AB1"/>
    <w:rsid w:val="32CE1B26"/>
    <w:rsid w:val="32CE6B16"/>
    <w:rsid w:val="32CE7F08"/>
    <w:rsid w:val="32CF7EF3"/>
    <w:rsid w:val="32D0288E"/>
    <w:rsid w:val="32D03E37"/>
    <w:rsid w:val="32D04000"/>
    <w:rsid w:val="32D10B45"/>
    <w:rsid w:val="32D12F38"/>
    <w:rsid w:val="32D1359A"/>
    <w:rsid w:val="32D1414B"/>
    <w:rsid w:val="32D15497"/>
    <w:rsid w:val="32D305D1"/>
    <w:rsid w:val="32D36780"/>
    <w:rsid w:val="32D372FC"/>
    <w:rsid w:val="32D46FF4"/>
    <w:rsid w:val="32D5621D"/>
    <w:rsid w:val="32D60D3B"/>
    <w:rsid w:val="32D6618F"/>
    <w:rsid w:val="32D679BF"/>
    <w:rsid w:val="32D700C1"/>
    <w:rsid w:val="32D73A98"/>
    <w:rsid w:val="32D8353D"/>
    <w:rsid w:val="32DB0E83"/>
    <w:rsid w:val="32DB7C3A"/>
    <w:rsid w:val="32DC1068"/>
    <w:rsid w:val="32DC79F0"/>
    <w:rsid w:val="32DD1509"/>
    <w:rsid w:val="32DF0935"/>
    <w:rsid w:val="32E13584"/>
    <w:rsid w:val="32E16C9E"/>
    <w:rsid w:val="32E20814"/>
    <w:rsid w:val="32E20925"/>
    <w:rsid w:val="32E33440"/>
    <w:rsid w:val="32E36F59"/>
    <w:rsid w:val="32E4499E"/>
    <w:rsid w:val="32E45E34"/>
    <w:rsid w:val="32E8276F"/>
    <w:rsid w:val="32E84A7C"/>
    <w:rsid w:val="32E95C5F"/>
    <w:rsid w:val="32EA3892"/>
    <w:rsid w:val="32EB1476"/>
    <w:rsid w:val="32EB6247"/>
    <w:rsid w:val="32EC215B"/>
    <w:rsid w:val="32EC64DC"/>
    <w:rsid w:val="32ED01EB"/>
    <w:rsid w:val="32ED5589"/>
    <w:rsid w:val="32EE62B0"/>
    <w:rsid w:val="32EE71B8"/>
    <w:rsid w:val="32EF34B3"/>
    <w:rsid w:val="32EF53D2"/>
    <w:rsid w:val="32F02A29"/>
    <w:rsid w:val="32F03341"/>
    <w:rsid w:val="32F04332"/>
    <w:rsid w:val="32F05DE8"/>
    <w:rsid w:val="32F267A9"/>
    <w:rsid w:val="32F347CF"/>
    <w:rsid w:val="32F36E95"/>
    <w:rsid w:val="32F40B8A"/>
    <w:rsid w:val="32F40CF8"/>
    <w:rsid w:val="32F522F5"/>
    <w:rsid w:val="32F63493"/>
    <w:rsid w:val="32F74AF5"/>
    <w:rsid w:val="32F771F0"/>
    <w:rsid w:val="32F82279"/>
    <w:rsid w:val="32F91E95"/>
    <w:rsid w:val="32F920E3"/>
    <w:rsid w:val="32FA378F"/>
    <w:rsid w:val="32FA790B"/>
    <w:rsid w:val="32FB5E31"/>
    <w:rsid w:val="32FB7B08"/>
    <w:rsid w:val="32FD26A6"/>
    <w:rsid w:val="32FD70A9"/>
    <w:rsid w:val="32FE0F8F"/>
    <w:rsid w:val="32FE389F"/>
    <w:rsid w:val="32FE6A4B"/>
    <w:rsid w:val="32FE7CFB"/>
    <w:rsid w:val="32FF69F4"/>
    <w:rsid w:val="330115DA"/>
    <w:rsid w:val="33011A86"/>
    <w:rsid w:val="3301400C"/>
    <w:rsid w:val="3301513E"/>
    <w:rsid w:val="3302287F"/>
    <w:rsid w:val="33024479"/>
    <w:rsid w:val="33034F04"/>
    <w:rsid w:val="330405D6"/>
    <w:rsid w:val="33071207"/>
    <w:rsid w:val="33082236"/>
    <w:rsid w:val="33087100"/>
    <w:rsid w:val="33094007"/>
    <w:rsid w:val="3309726A"/>
    <w:rsid w:val="330A17CB"/>
    <w:rsid w:val="330B3B07"/>
    <w:rsid w:val="330B6836"/>
    <w:rsid w:val="330C0FF5"/>
    <w:rsid w:val="330C3079"/>
    <w:rsid w:val="330C763F"/>
    <w:rsid w:val="330E3E4F"/>
    <w:rsid w:val="330E78F3"/>
    <w:rsid w:val="330F03F2"/>
    <w:rsid w:val="330F6909"/>
    <w:rsid w:val="33105381"/>
    <w:rsid w:val="33110113"/>
    <w:rsid w:val="33110B43"/>
    <w:rsid w:val="331130DB"/>
    <w:rsid w:val="33122EA7"/>
    <w:rsid w:val="331271E5"/>
    <w:rsid w:val="33134A22"/>
    <w:rsid w:val="33136607"/>
    <w:rsid w:val="33160928"/>
    <w:rsid w:val="3317134F"/>
    <w:rsid w:val="33176593"/>
    <w:rsid w:val="3317670F"/>
    <w:rsid w:val="331844EF"/>
    <w:rsid w:val="331A1597"/>
    <w:rsid w:val="331A1847"/>
    <w:rsid w:val="331A29D6"/>
    <w:rsid w:val="331A3451"/>
    <w:rsid w:val="331A47AA"/>
    <w:rsid w:val="331B54AE"/>
    <w:rsid w:val="331B57EB"/>
    <w:rsid w:val="331C01E4"/>
    <w:rsid w:val="331C0C03"/>
    <w:rsid w:val="331E49CF"/>
    <w:rsid w:val="332029EC"/>
    <w:rsid w:val="33202E6E"/>
    <w:rsid w:val="33215BC8"/>
    <w:rsid w:val="33220459"/>
    <w:rsid w:val="33223089"/>
    <w:rsid w:val="33227A1F"/>
    <w:rsid w:val="33231A83"/>
    <w:rsid w:val="33246A6E"/>
    <w:rsid w:val="33257AFD"/>
    <w:rsid w:val="33264547"/>
    <w:rsid w:val="3326572E"/>
    <w:rsid w:val="33275901"/>
    <w:rsid w:val="3329008C"/>
    <w:rsid w:val="33291F9F"/>
    <w:rsid w:val="33293075"/>
    <w:rsid w:val="33296443"/>
    <w:rsid w:val="332A4E1C"/>
    <w:rsid w:val="332A54DF"/>
    <w:rsid w:val="332A6241"/>
    <w:rsid w:val="332B0CB1"/>
    <w:rsid w:val="332B2381"/>
    <w:rsid w:val="332B24E9"/>
    <w:rsid w:val="332C0764"/>
    <w:rsid w:val="332D607C"/>
    <w:rsid w:val="332D7440"/>
    <w:rsid w:val="332E160F"/>
    <w:rsid w:val="332E33C7"/>
    <w:rsid w:val="332F15ED"/>
    <w:rsid w:val="333007C9"/>
    <w:rsid w:val="333015F2"/>
    <w:rsid w:val="33302AB8"/>
    <w:rsid w:val="33302AD7"/>
    <w:rsid w:val="33303530"/>
    <w:rsid w:val="33306148"/>
    <w:rsid w:val="33316F3D"/>
    <w:rsid w:val="333170A5"/>
    <w:rsid w:val="333247F6"/>
    <w:rsid w:val="3332654C"/>
    <w:rsid w:val="3335545E"/>
    <w:rsid w:val="3336791A"/>
    <w:rsid w:val="33374984"/>
    <w:rsid w:val="33380434"/>
    <w:rsid w:val="33384493"/>
    <w:rsid w:val="3338771F"/>
    <w:rsid w:val="33390CE8"/>
    <w:rsid w:val="33390D3B"/>
    <w:rsid w:val="333918D5"/>
    <w:rsid w:val="333A14AD"/>
    <w:rsid w:val="333A16B6"/>
    <w:rsid w:val="333A6F2D"/>
    <w:rsid w:val="333B61E5"/>
    <w:rsid w:val="333C64C1"/>
    <w:rsid w:val="333C7F24"/>
    <w:rsid w:val="333E40AB"/>
    <w:rsid w:val="333F60CC"/>
    <w:rsid w:val="33405EC6"/>
    <w:rsid w:val="33414B41"/>
    <w:rsid w:val="33421DB3"/>
    <w:rsid w:val="334343D9"/>
    <w:rsid w:val="33434B22"/>
    <w:rsid w:val="334448B4"/>
    <w:rsid w:val="334448D6"/>
    <w:rsid w:val="33445162"/>
    <w:rsid w:val="33461F3D"/>
    <w:rsid w:val="33490893"/>
    <w:rsid w:val="33490926"/>
    <w:rsid w:val="33492A68"/>
    <w:rsid w:val="334943EF"/>
    <w:rsid w:val="334A37DC"/>
    <w:rsid w:val="334A7557"/>
    <w:rsid w:val="334A77E5"/>
    <w:rsid w:val="334B6320"/>
    <w:rsid w:val="334C71AE"/>
    <w:rsid w:val="334E6356"/>
    <w:rsid w:val="334E7C57"/>
    <w:rsid w:val="334F058B"/>
    <w:rsid w:val="334F422D"/>
    <w:rsid w:val="334F69FB"/>
    <w:rsid w:val="33501C21"/>
    <w:rsid w:val="33501E5D"/>
    <w:rsid w:val="335030A3"/>
    <w:rsid w:val="335159EE"/>
    <w:rsid w:val="33521BDC"/>
    <w:rsid w:val="33522D84"/>
    <w:rsid w:val="33523117"/>
    <w:rsid w:val="3353421E"/>
    <w:rsid w:val="33546673"/>
    <w:rsid w:val="33557C16"/>
    <w:rsid w:val="33563720"/>
    <w:rsid w:val="33572166"/>
    <w:rsid w:val="33572452"/>
    <w:rsid w:val="33581701"/>
    <w:rsid w:val="33595424"/>
    <w:rsid w:val="33595868"/>
    <w:rsid w:val="335A484E"/>
    <w:rsid w:val="335A547D"/>
    <w:rsid w:val="335C5069"/>
    <w:rsid w:val="335D3108"/>
    <w:rsid w:val="33605575"/>
    <w:rsid w:val="33611AEF"/>
    <w:rsid w:val="336122CF"/>
    <w:rsid w:val="336158F6"/>
    <w:rsid w:val="336265CE"/>
    <w:rsid w:val="33631954"/>
    <w:rsid w:val="33631ED1"/>
    <w:rsid w:val="336441CB"/>
    <w:rsid w:val="336448E5"/>
    <w:rsid w:val="3365368F"/>
    <w:rsid w:val="33655E0F"/>
    <w:rsid w:val="33660456"/>
    <w:rsid w:val="33661025"/>
    <w:rsid w:val="33663C35"/>
    <w:rsid w:val="3366539D"/>
    <w:rsid w:val="33665F97"/>
    <w:rsid w:val="336A42A8"/>
    <w:rsid w:val="336B6A5B"/>
    <w:rsid w:val="336D741C"/>
    <w:rsid w:val="336F46CB"/>
    <w:rsid w:val="33713745"/>
    <w:rsid w:val="3371497A"/>
    <w:rsid w:val="33714B08"/>
    <w:rsid w:val="33716622"/>
    <w:rsid w:val="33723946"/>
    <w:rsid w:val="33725F60"/>
    <w:rsid w:val="33730D22"/>
    <w:rsid w:val="337376BE"/>
    <w:rsid w:val="337422FD"/>
    <w:rsid w:val="33747061"/>
    <w:rsid w:val="33751199"/>
    <w:rsid w:val="33752F9F"/>
    <w:rsid w:val="33755FE9"/>
    <w:rsid w:val="3378770B"/>
    <w:rsid w:val="337900C3"/>
    <w:rsid w:val="33792F65"/>
    <w:rsid w:val="337931C3"/>
    <w:rsid w:val="33795DA1"/>
    <w:rsid w:val="337960BD"/>
    <w:rsid w:val="337A55C0"/>
    <w:rsid w:val="337C372C"/>
    <w:rsid w:val="337F2D55"/>
    <w:rsid w:val="3381464E"/>
    <w:rsid w:val="33814A32"/>
    <w:rsid w:val="33821C9C"/>
    <w:rsid w:val="33836C5A"/>
    <w:rsid w:val="33837A05"/>
    <w:rsid w:val="338618CC"/>
    <w:rsid w:val="33863C2A"/>
    <w:rsid w:val="33865643"/>
    <w:rsid w:val="33872D43"/>
    <w:rsid w:val="338754BD"/>
    <w:rsid w:val="33886DEB"/>
    <w:rsid w:val="338907ED"/>
    <w:rsid w:val="338A5133"/>
    <w:rsid w:val="338A662B"/>
    <w:rsid w:val="338B1C61"/>
    <w:rsid w:val="338B376C"/>
    <w:rsid w:val="338D64EF"/>
    <w:rsid w:val="339018EE"/>
    <w:rsid w:val="33911087"/>
    <w:rsid w:val="33925325"/>
    <w:rsid w:val="3392544A"/>
    <w:rsid w:val="33931C90"/>
    <w:rsid w:val="33934A8F"/>
    <w:rsid w:val="33944A27"/>
    <w:rsid w:val="3395254A"/>
    <w:rsid w:val="33956C7B"/>
    <w:rsid w:val="339657D2"/>
    <w:rsid w:val="33970CD2"/>
    <w:rsid w:val="339732A4"/>
    <w:rsid w:val="33985793"/>
    <w:rsid w:val="339935C8"/>
    <w:rsid w:val="33995376"/>
    <w:rsid w:val="339A2CDD"/>
    <w:rsid w:val="339A4184"/>
    <w:rsid w:val="339A7724"/>
    <w:rsid w:val="339B7340"/>
    <w:rsid w:val="339C1875"/>
    <w:rsid w:val="339E007A"/>
    <w:rsid w:val="339E47CD"/>
    <w:rsid w:val="339F19D0"/>
    <w:rsid w:val="33A14E8B"/>
    <w:rsid w:val="33A23C26"/>
    <w:rsid w:val="33A27F40"/>
    <w:rsid w:val="33A37A8A"/>
    <w:rsid w:val="33A40FA7"/>
    <w:rsid w:val="33A425FC"/>
    <w:rsid w:val="33A47D8E"/>
    <w:rsid w:val="33A52438"/>
    <w:rsid w:val="33A65AE6"/>
    <w:rsid w:val="33A721F4"/>
    <w:rsid w:val="33A72B20"/>
    <w:rsid w:val="33A77646"/>
    <w:rsid w:val="33A8483A"/>
    <w:rsid w:val="33A972F5"/>
    <w:rsid w:val="33AA0F4E"/>
    <w:rsid w:val="33AA12CE"/>
    <w:rsid w:val="33AB04A2"/>
    <w:rsid w:val="33AC5AD1"/>
    <w:rsid w:val="33AE4637"/>
    <w:rsid w:val="33AF403A"/>
    <w:rsid w:val="33AF4B9A"/>
    <w:rsid w:val="33B026C0"/>
    <w:rsid w:val="33B04BF7"/>
    <w:rsid w:val="33B057E3"/>
    <w:rsid w:val="33B1049A"/>
    <w:rsid w:val="33B1641E"/>
    <w:rsid w:val="33B16983"/>
    <w:rsid w:val="33B20E60"/>
    <w:rsid w:val="33B311AA"/>
    <w:rsid w:val="33B3529D"/>
    <w:rsid w:val="33B41F5F"/>
    <w:rsid w:val="33B43430"/>
    <w:rsid w:val="33B513F0"/>
    <w:rsid w:val="33B51A84"/>
    <w:rsid w:val="33B64925"/>
    <w:rsid w:val="33B670A7"/>
    <w:rsid w:val="33B769AF"/>
    <w:rsid w:val="33B81192"/>
    <w:rsid w:val="33B830B8"/>
    <w:rsid w:val="33B96552"/>
    <w:rsid w:val="33BA52ED"/>
    <w:rsid w:val="33BC1310"/>
    <w:rsid w:val="33BC611F"/>
    <w:rsid w:val="33BD57D9"/>
    <w:rsid w:val="33BE6B8B"/>
    <w:rsid w:val="33BF3BC8"/>
    <w:rsid w:val="33BF6C69"/>
    <w:rsid w:val="33C1667B"/>
    <w:rsid w:val="33C50534"/>
    <w:rsid w:val="33C543BD"/>
    <w:rsid w:val="33C576F1"/>
    <w:rsid w:val="33C75133"/>
    <w:rsid w:val="33C861DB"/>
    <w:rsid w:val="33C934E3"/>
    <w:rsid w:val="33C97AF7"/>
    <w:rsid w:val="33CB33B6"/>
    <w:rsid w:val="33CB58BD"/>
    <w:rsid w:val="33CB5D8A"/>
    <w:rsid w:val="33CB64A0"/>
    <w:rsid w:val="33CC7C48"/>
    <w:rsid w:val="33CD5020"/>
    <w:rsid w:val="33CE4B30"/>
    <w:rsid w:val="33CF3557"/>
    <w:rsid w:val="33CF53D3"/>
    <w:rsid w:val="33D04B10"/>
    <w:rsid w:val="33D17FCE"/>
    <w:rsid w:val="33D26ADA"/>
    <w:rsid w:val="33D30311"/>
    <w:rsid w:val="33D32DF4"/>
    <w:rsid w:val="33D4015C"/>
    <w:rsid w:val="33D42476"/>
    <w:rsid w:val="33D452AA"/>
    <w:rsid w:val="33D462E0"/>
    <w:rsid w:val="33D46F08"/>
    <w:rsid w:val="33D55F30"/>
    <w:rsid w:val="33D56BC6"/>
    <w:rsid w:val="33D6176C"/>
    <w:rsid w:val="33D62126"/>
    <w:rsid w:val="33D70141"/>
    <w:rsid w:val="33D8389B"/>
    <w:rsid w:val="33D852A4"/>
    <w:rsid w:val="33D934D4"/>
    <w:rsid w:val="33D9593B"/>
    <w:rsid w:val="33DA36C2"/>
    <w:rsid w:val="33DA548E"/>
    <w:rsid w:val="33DC3ACF"/>
    <w:rsid w:val="33DC584C"/>
    <w:rsid w:val="33E0318C"/>
    <w:rsid w:val="33E115C7"/>
    <w:rsid w:val="33E12879"/>
    <w:rsid w:val="33E15564"/>
    <w:rsid w:val="33E32226"/>
    <w:rsid w:val="33E45B7D"/>
    <w:rsid w:val="33E505BB"/>
    <w:rsid w:val="33E52369"/>
    <w:rsid w:val="33E55B90"/>
    <w:rsid w:val="33E774AE"/>
    <w:rsid w:val="33E83900"/>
    <w:rsid w:val="33E90C0F"/>
    <w:rsid w:val="33E948F3"/>
    <w:rsid w:val="33E966A5"/>
    <w:rsid w:val="33EB330D"/>
    <w:rsid w:val="33EC787F"/>
    <w:rsid w:val="33ED4CCA"/>
    <w:rsid w:val="33EE0BD5"/>
    <w:rsid w:val="33EE6425"/>
    <w:rsid w:val="33EF07FB"/>
    <w:rsid w:val="33EF31E8"/>
    <w:rsid w:val="33EF4A11"/>
    <w:rsid w:val="33EF5F4F"/>
    <w:rsid w:val="33F01BCB"/>
    <w:rsid w:val="33F02ACD"/>
    <w:rsid w:val="33F06363"/>
    <w:rsid w:val="33F16FF6"/>
    <w:rsid w:val="33F25EAA"/>
    <w:rsid w:val="33F35330"/>
    <w:rsid w:val="33F4698B"/>
    <w:rsid w:val="33F52433"/>
    <w:rsid w:val="33F56325"/>
    <w:rsid w:val="33F566D9"/>
    <w:rsid w:val="33F66D4D"/>
    <w:rsid w:val="33F702EF"/>
    <w:rsid w:val="33F7209D"/>
    <w:rsid w:val="33F7717A"/>
    <w:rsid w:val="33F840DF"/>
    <w:rsid w:val="33F87A58"/>
    <w:rsid w:val="33FA2B2F"/>
    <w:rsid w:val="33FA5A5A"/>
    <w:rsid w:val="33FB1B8D"/>
    <w:rsid w:val="33FB585A"/>
    <w:rsid w:val="33FC0AE5"/>
    <w:rsid w:val="33FC5BC9"/>
    <w:rsid w:val="33FC76B3"/>
    <w:rsid w:val="33FD33C5"/>
    <w:rsid w:val="33FE093E"/>
    <w:rsid w:val="33FE2F6A"/>
    <w:rsid w:val="33FF3953"/>
    <w:rsid w:val="33FF5F40"/>
    <w:rsid w:val="33FF696C"/>
    <w:rsid w:val="33FF7791"/>
    <w:rsid w:val="34000F51"/>
    <w:rsid w:val="3400165C"/>
    <w:rsid w:val="34023EEC"/>
    <w:rsid w:val="34025849"/>
    <w:rsid w:val="340268A2"/>
    <w:rsid w:val="34027C3F"/>
    <w:rsid w:val="3404139C"/>
    <w:rsid w:val="34050C5E"/>
    <w:rsid w:val="34051700"/>
    <w:rsid w:val="34056867"/>
    <w:rsid w:val="340622E0"/>
    <w:rsid w:val="340647B9"/>
    <w:rsid w:val="34065948"/>
    <w:rsid w:val="34073117"/>
    <w:rsid w:val="34073E91"/>
    <w:rsid w:val="34076784"/>
    <w:rsid w:val="340812DE"/>
    <w:rsid w:val="340837F0"/>
    <w:rsid w:val="34091C4D"/>
    <w:rsid w:val="340A4964"/>
    <w:rsid w:val="340B0B33"/>
    <w:rsid w:val="340B47DF"/>
    <w:rsid w:val="340C4962"/>
    <w:rsid w:val="340C55C1"/>
    <w:rsid w:val="340D06C2"/>
    <w:rsid w:val="340D3972"/>
    <w:rsid w:val="340E07E5"/>
    <w:rsid w:val="340F216A"/>
    <w:rsid w:val="340F4BF8"/>
    <w:rsid w:val="340F5638"/>
    <w:rsid w:val="341036FE"/>
    <w:rsid w:val="34112694"/>
    <w:rsid w:val="34121BF1"/>
    <w:rsid w:val="34123FA9"/>
    <w:rsid w:val="341307E8"/>
    <w:rsid w:val="341313F2"/>
    <w:rsid w:val="34134B7D"/>
    <w:rsid w:val="34136664"/>
    <w:rsid w:val="341408B9"/>
    <w:rsid w:val="34142F77"/>
    <w:rsid w:val="34160A52"/>
    <w:rsid w:val="34161FDC"/>
    <w:rsid w:val="3418084C"/>
    <w:rsid w:val="3419013B"/>
    <w:rsid w:val="341911B2"/>
    <w:rsid w:val="34196E9E"/>
    <w:rsid w:val="341B1B9D"/>
    <w:rsid w:val="341B63D9"/>
    <w:rsid w:val="341B6D3C"/>
    <w:rsid w:val="341C41F2"/>
    <w:rsid w:val="341C7D31"/>
    <w:rsid w:val="341D364B"/>
    <w:rsid w:val="341D57DB"/>
    <w:rsid w:val="341F30CD"/>
    <w:rsid w:val="341F4EFA"/>
    <w:rsid w:val="34203F89"/>
    <w:rsid w:val="34204A7E"/>
    <w:rsid w:val="34205DBC"/>
    <w:rsid w:val="34207607"/>
    <w:rsid w:val="34210FE7"/>
    <w:rsid w:val="342157CF"/>
    <w:rsid w:val="34216A9E"/>
    <w:rsid w:val="3422128C"/>
    <w:rsid w:val="34223076"/>
    <w:rsid w:val="34226C1D"/>
    <w:rsid w:val="3422714C"/>
    <w:rsid w:val="342310E4"/>
    <w:rsid w:val="34235BF7"/>
    <w:rsid w:val="34237214"/>
    <w:rsid w:val="34237336"/>
    <w:rsid w:val="342420DD"/>
    <w:rsid w:val="34245FBB"/>
    <w:rsid w:val="34253333"/>
    <w:rsid w:val="34260809"/>
    <w:rsid w:val="34264730"/>
    <w:rsid w:val="34271721"/>
    <w:rsid w:val="34273D32"/>
    <w:rsid w:val="342A4220"/>
    <w:rsid w:val="342B3E71"/>
    <w:rsid w:val="342B5703"/>
    <w:rsid w:val="342C301B"/>
    <w:rsid w:val="342C6516"/>
    <w:rsid w:val="342D5ABF"/>
    <w:rsid w:val="342E571B"/>
    <w:rsid w:val="342E67C0"/>
    <w:rsid w:val="342E6B39"/>
    <w:rsid w:val="342F12EA"/>
    <w:rsid w:val="342F477E"/>
    <w:rsid w:val="34306827"/>
    <w:rsid w:val="34306A4C"/>
    <w:rsid w:val="3432631B"/>
    <w:rsid w:val="34350851"/>
    <w:rsid w:val="343527C6"/>
    <w:rsid w:val="343540C1"/>
    <w:rsid w:val="34355EEC"/>
    <w:rsid w:val="34373A8F"/>
    <w:rsid w:val="343A2A35"/>
    <w:rsid w:val="343B122F"/>
    <w:rsid w:val="343B50BA"/>
    <w:rsid w:val="343E790F"/>
    <w:rsid w:val="343E7B4C"/>
    <w:rsid w:val="343F1AB8"/>
    <w:rsid w:val="343F59E5"/>
    <w:rsid w:val="343F7D3D"/>
    <w:rsid w:val="34400BA3"/>
    <w:rsid w:val="34407CAD"/>
    <w:rsid w:val="34417936"/>
    <w:rsid w:val="34424367"/>
    <w:rsid w:val="34425158"/>
    <w:rsid w:val="344277BC"/>
    <w:rsid w:val="34435BB6"/>
    <w:rsid w:val="344363B2"/>
    <w:rsid w:val="344420DD"/>
    <w:rsid w:val="34443542"/>
    <w:rsid w:val="34455662"/>
    <w:rsid w:val="34465607"/>
    <w:rsid w:val="34465748"/>
    <w:rsid w:val="34485450"/>
    <w:rsid w:val="3449659A"/>
    <w:rsid w:val="344A72F5"/>
    <w:rsid w:val="344B5BDD"/>
    <w:rsid w:val="344E070B"/>
    <w:rsid w:val="344F4802"/>
    <w:rsid w:val="34501CFF"/>
    <w:rsid w:val="34510D07"/>
    <w:rsid w:val="34516FBA"/>
    <w:rsid w:val="34517831"/>
    <w:rsid w:val="34527775"/>
    <w:rsid w:val="345353D5"/>
    <w:rsid w:val="34544A90"/>
    <w:rsid w:val="34546D5F"/>
    <w:rsid w:val="34547D28"/>
    <w:rsid w:val="34565768"/>
    <w:rsid w:val="34573FFE"/>
    <w:rsid w:val="34574699"/>
    <w:rsid w:val="34594155"/>
    <w:rsid w:val="345943B5"/>
    <w:rsid w:val="345C1EAB"/>
    <w:rsid w:val="345C6FA6"/>
    <w:rsid w:val="345C7FC5"/>
    <w:rsid w:val="345D00B8"/>
    <w:rsid w:val="345D2E98"/>
    <w:rsid w:val="345D5B0D"/>
    <w:rsid w:val="345F6EAF"/>
    <w:rsid w:val="346040E6"/>
    <w:rsid w:val="346164CE"/>
    <w:rsid w:val="346304CE"/>
    <w:rsid w:val="3463469C"/>
    <w:rsid w:val="34637172"/>
    <w:rsid w:val="34670FD0"/>
    <w:rsid w:val="3467692F"/>
    <w:rsid w:val="34677222"/>
    <w:rsid w:val="346831E7"/>
    <w:rsid w:val="3468735D"/>
    <w:rsid w:val="34695BBC"/>
    <w:rsid w:val="34697018"/>
    <w:rsid w:val="346C48D4"/>
    <w:rsid w:val="346C4DEB"/>
    <w:rsid w:val="346D0EDE"/>
    <w:rsid w:val="346E05B1"/>
    <w:rsid w:val="346F085F"/>
    <w:rsid w:val="346F78A6"/>
    <w:rsid w:val="34712160"/>
    <w:rsid w:val="347303D3"/>
    <w:rsid w:val="3473104E"/>
    <w:rsid w:val="34740178"/>
    <w:rsid w:val="347440B5"/>
    <w:rsid w:val="34750A95"/>
    <w:rsid w:val="347764D7"/>
    <w:rsid w:val="34790000"/>
    <w:rsid w:val="34790D04"/>
    <w:rsid w:val="34792841"/>
    <w:rsid w:val="3479381D"/>
    <w:rsid w:val="34793EF0"/>
    <w:rsid w:val="347A7915"/>
    <w:rsid w:val="347B0B65"/>
    <w:rsid w:val="347B2917"/>
    <w:rsid w:val="347B4917"/>
    <w:rsid w:val="347C0614"/>
    <w:rsid w:val="347D1F39"/>
    <w:rsid w:val="347D2EAB"/>
    <w:rsid w:val="34801E58"/>
    <w:rsid w:val="348022C0"/>
    <w:rsid w:val="34810E85"/>
    <w:rsid w:val="3481181D"/>
    <w:rsid w:val="34820DBE"/>
    <w:rsid w:val="34821F10"/>
    <w:rsid w:val="348278B1"/>
    <w:rsid w:val="348313C3"/>
    <w:rsid w:val="34832F39"/>
    <w:rsid w:val="3484268B"/>
    <w:rsid w:val="348466E9"/>
    <w:rsid w:val="34852185"/>
    <w:rsid w:val="34854D79"/>
    <w:rsid w:val="34856DA1"/>
    <w:rsid w:val="3487087B"/>
    <w:rsid w:val="348A1090"/>
    <w:rsid w:val="348C1E64"/>
    <w:rsid w:val="348E44D7"/>
    <w:rsid w:val="348F10FF"/>
    <w:rsid w:val="348F32D8"/>
    <w:rsid w:val="3491604D"/>
    <w:rsid w:val="349232BA"/>
    <w:rsid w:val="349264D8"/>
    <w:rsid w:val="34970E80"/>
    <w:rsid w:val="34983106"/>
    <w:rsid w:val="349A1100"/>
    <w:rsid w:val="349B511E"/>
    <w:rsid w:val="349E653C"/>
    <w:rsid w:val="349E6C09"/>
    <w:rsid w:val="349F531F"/>
    <w:rsid w:val="34A02734"/>
    <w:rsid w:val="34A04DDB"/>
    <w:rsid w:val="34A22009"/>
    <w:rsid w:val="34A26096"/>
    <w:rsid w:val="34A302D1"/>
    <w:rsid w:val="34A36469"/>
    <w:rsid w:val="34A74831"/>
    <w:rsid w:val="34A825F9"/>
    <w:rsid w:val="34A8429C"/>
    <w:rsid w:val="34A87B90"/>
    <w:rsid w:val="34A92B42"/>
    <w:rsid w:val="34A94A3B"/>
    <w:rsid w:val="34A94D8D"/>
    <w:rsid w:val="34AA5361"/>
    <w:rsid w:val="34AA6CA9"/>
    <w:rsid w:val="34AB30B1"/>
    <w:rsid w:val="34AB3C61"/>
    <w:rsid w:val="34AB4E8C"/>
    <w:rsid w:val="34AC5F82"/>
    <w:rsid w:val="34AD34E4"/>
    <w:rsid w:val="34AE499D"/>
    <w:rsid w:val="34AE6BFF"/>
    <w:rsid w:val="34B00BC9"/>
    <w:rsid w:val="34B0467B"/>
    <w:rsid w:val="34B13CB8"/>
    <w:rsid w:val="34B25E1C"/>
    <w:rsid w:val="34B30567"/>
    <w:rsid w:val="34B328FD"/>
    <w:rsid w:val="34B41D3C"/>
    <w:rsid w:val="34B57F48"/>
    <w:rsid w:val="34B608DE"/>
    <w:rsid w:val="34B65E4F"/>
    <w:rsid w:val="34B66F6C"/>
    <w:rsid w:val="34B858B5"/>
    <w:rsid w:val="34B91D91"/>
    <w:rsid w:val="34B94FEE"/>
    <w:rsid w:val="34BA0CA2"/>
    <w:rsid w:val="34BA2110"/>
    <w:rsid w:val="34BA457F"/>
    <w:rsid w:val="34BA7517"/>
    <w:rsid w:val="34BB5C72"/>
    <w:rsid w:val="34BB6924"/>
    <w:rsid w:val="34BC14C9"/>
    <w:rsid w:val="34BC1EC5"/>
    <w:rsid w:val="34BC4B44"/>
    <w:rsid w:val="34BC66EF"/>
    <w:rsid w:val="34BD5094"/>
    <w:rsid w:val="34BD763A"/>
    <w:rsid w:val="34BF01D4"/>
    <w:rsid w:val="34C268E2"/>
    <w:rsid w:val="34C4476B"/>
    <w:rsid w:val="34C50739"/>
    <w:rsid w:val="34C5161C"/>
    <w:rsid w:val="34C60101"/>
    <w:rsid w:val="34C627D4"/>
    <w:rsid w:val="34C628F3"/>
    <w:rsid w:val="34C661E7"/>
    <w:rsid w:val="34C67163"/>
    <w:rsid w:val="34C7560C"/>
    <w:rsid w:val="34C75D3D"/>
    <w:rsid w:val="34C76CAC"/>
    <w:rsid w:val="34C82960"/>
    <w:rsid w:val="34C85673"/>
    <w:rsid w:val="34C9001B"/>
    <w:rsid w:val="34CC4008"/>
    <w:rsid w:val="34CC4DC2"/>
    <w:rsid w:val="34CD579B"/>
    <w:rsid w:val="34CE45EB"/>
    <w:rsid w:val="34D04DC8"/>
    <w:rsid w:val="34D12E7F"/>
    <w:rsid w:val="34D23966"/>
    <w:rsid w:val="34D5438B"/>
    <w:rsid w:val="34D56606"/>
    <w:rsid w:val="34D61609"/>
    <w:rsid w:val="34D65C5C"/>
    <w:rsid w:val="34D670AE"/>
    <w:rsid w:val="34D86E04"/>
    <w:rsid w:val="34DA16F4"/>
    <w:rsid w:val="34DB19BE"/>
    <w:rsid w:val="34DB29A0"/>
    <w:rsid w:val="34DB5C7F"/>
    <w:rsid w:val="34DB6D6E"/>
    <w:rsid w:val="34DB7534"/>
    <w:rsid w:val="34DF0095"/>
    <w:rsid w:val="34E0231B"/>
    <w:rsid w:val="34E054EE"/>
    <w:rsid w:val="34E05C7F"/>
    <w:rsid w:val="34E20818"/>
    <w:rsid w:val="34E20B4C"/>
    <w:rsid w:val="34E20EC7"/>
    <w:rsid w:val="34E22007"/>
    <w:rsid w:val="34E2301E"/>
    <w:rsid w:val="34E24AFB"/>
    <w:rsid w:val="34E268CB"/>
    <w:rsid w:val="34E30A14"/>
    <w:rsid w:val="34E45C07"/>
    <w:rsid w:val="34E569A2"/>
    <w:rsid w:val="34E72F6C"/>
    <w:rsid w:val="34E87D1C"/>
    <w:rsid w:val="34E93910"/>
    <w:rsid w:val="34E97C37"/>
    <w:rsid w:val="34EA242E"/>
    <w:rsid w:val="34EB5AA1"/>
    <w:rsid w:val="34EC3BCC"/>
    <w:rsid w:val="34EC5908"/>
    <w:rsid w:val="34ED3780"/>
    <w:rsid w:val="34ED539A"/>
    <w:rsid w:val="34ED64D5"/>
    <w:rsid w:val="34EE293C"/>
    <w:rsid w:val="34EE6733"/>
    <w:rsid w:val="34F00B88"/>
    <w:rsid w:val="34F364B7"/>
    <w:rsid w:val="34F42B9B"/>
    <w:rsid w:val="34F4400C"/>
    <w:rsid w:val="34F551C2"/>
    <w:rsid w:val="34F6133E"/>
    <w:rsid w:val="34F7201F"/>
    <w:rsid w:val="34F753B5"/>
    <w:rsid w:val="34F82570"/>
    <w:rsid w:val="34F867B5"/>
    <w:rsid w:val="34F87F04"/>
    <w:rsid w:val="34FA4844"/>
    <w:rsid w:val="34FB1F2C"/>
    <w:rsid w:val="34FB667B"/>
    <w:rsid w:val="34FB7AAE"/>
    <w:rsid w:val="34FC6629"/>
    <w:rsid w:val="34FC76DE"/>
    <w:rsid w:val="34FD0098"/>
    <w:rsid w:val="34FD123F"/>
    <w:rsid w:val="34FE27C0"/>
    <w:rsid w:val="34FE2B51"/>
    <w:rsid w:val="34FE4881"/>
    <w:rsid w:val="34FE57B5"/>
    <w:rsid w:val="34FE7F67"/>
    <w:rsid w:val="34FF119A"/>
    <w:rsid w:val="34FF39B2"/>
    <w:rsid w:val="34FF774A"/>
    <w:rsid w:val="350009AC"/>
    <w:rsid w:val="350071FF"/>
    <w:rsid w:val="35015CD2"/>
    <w:rsid w:val="350324C6"/>
    <w:rsid w:val="35032E12"/>
    <w:rsid w:val="35033F2A"/>
    <w:rsid w:val="350406C1"/>
    <w:rsid w:val="35040F69"/>
    <w:rsid w:val="35041261"/>
    <w:rsid w:val="350420CE"/>
    <w:rsid w:val="350422DF"/>
    <w:rsid w:val="350525E2"/>
    <w:rsid w:val="350535BC"/>
    <w:rsid w:val="35062F61"/>
    <w:rsid w:val="350715B1"/>
    <w:rsid w:val="35072D1F"/>
    <w:rsid w:val="350779E6"/>
    <w:rsid w:val="35084251"/>
    <w:rsid w:val="350848E9"/>
    <w:rsid w:val="350B22A4"/>
    <w:rsid w:val="350B49CD"/>
    <w:rsid w:val="350C3926"/>
    <w:rsid w:val="350C5CD9"/>
    <w:rsid w:val="350E0038"/>
    <w:rsid w:val="350E3961"/>
    <w:rsid w:val="350E60B0"/>
    <w:rsid w:val="350F596E"/>
    <w:rsid w:val="35103416"/>
    <w:rsid w:val="3511105F"/>
    <w:rsid w:val="35113872"/>
    <w:rsid w:val="35137027"/>
    <w:rsid w:val="351373EC"/>
    <w:rsid w:val="35152A79"/>
    <w:rsid w:val="35172D44"/>
    <w:rsid w:val="35174CFE"/>
    <w:rsid w:val="3518051D"/>
    <w:rsid w:val="3518572C"/>
    <w:rsid w:val="351902E0"/>
    <w:rsid w:val="35193479"/>
    <w:rsid w:val="35196602"/>
    <w:rsid w:val="351B3146"/>
    <w:rsid w:val="351B590C"/>
    <w:rsid w:val="351D1A6D"/>
    <w:rsid w:val="351E2AC5"/>
    <w:rsid w:val="3520281E"/>
    <w:rsid w:val="35205FD8"/>
    <w:rsid w:val="35212E2D"/>
    <w:rsid w:val="35217E24"/>
    <w:rsid w:val="3523502A"/>
    <w:rsid w:val="3524080F"/>
    <w:rsid w:val="352411D5"/>
    <w:rsid w:val="352463CC"/>
    <w:rsid w:val="35260D5F"/>
    <w:rsid w:val="35266EDB"/>
    <w:rsid w:val="35282F0D"/>
    <w:rsid w:val="35287CD5"/>
    <w:rsid w:val="352973E7"/>
    <w:rsid w:val="352C04E1"/>
    <w:rsid w:val="352C2B82"/>
    <w:rsid w:val="352D662B"/>
    <w:rsid w:val="352F4E5B"/>
    <w:rsid w:val="352F7C8F"/>
    <w:rsid w:val="35316BA1"/>
    <w:rsid w:val="353313C9"/>
    <w:rsid w:val="353335A8"/>
    <w:rsid w:val="353451D8"/>
    <w:rsid w:val="35347AC7"/>
    <w:rsid w:val="35357A3E"/>
    <w:rsid w:val="35374C5F"/>
    <w:rsid w:val="3538611C"/>
    <w:rsid w:val="35386E11"/>
    <w:rsid w:val="35392129"/>
    <w:rsid w:val="353B76D6"/>
    <w:rsid w:val="353C4D85"/>
    <w:rsid w:val="353C6936"/>
    <w:rsid w:val="353D499B"/>
    <w:rsid w:val="353D5549"/>
    <w:rsid w:val="353D62D1"/>
    <w:rsid w:val="353E5964"/>
    <w:rsid w:val="353E77B3"/>
    <w:rsid w:val="35400618"/>
    <w:rsid w:val="35400CFF"/>
    <w:rsid w:val="35421061"/>
    <w:rsid w:val="354210AB"/>
    <w:rsid w:val="354322AC"/>
    <w:rsid w:val="35432D6C"/>
    <w:rsid w:val="35447327"/>
    <w:rsid w:val="354506F2"/>
    <w:rsid w:val="35451D0B"/>
    <w:rsid w:val="3546508A"/>
    <w:rsid w:val="35480556"/>
    <w:rsid w:val="3548235F"/>
    <w:rsid w:val="35485368"/>
    <w:rsid w:val="354A0A90"/>
    <w:rsid w:val="354A1E5A"/>
    <w:rsid w:val="354A46FA"/>
    <w:rsid w:val="354B444E"/>
    <w:rsid w:val="354C30B8"/>
    <w:rsid w:val="354D049D"/>
    <w:rsid w:val="354D1D3D"/>
    <w:rsid w:val="354D7439"/>
    <w:rsid w:val="354D7CD9"/>
    <w:rsid w:val="354F4D6B"/>
    <w:rsid w:val="354F5B11"/>
    <w:rsid w:val="35511E69"/>
    <w:rsid w:val="35512113"/>
    <w:rsid w:val="35521C81"/>
    <w:rsid w:val="35541719"/>
    <w:rsid w:val="35553359"/>
    <w:rsid w:val="355572ED"/>
    <w:rsid w:val="35557622"/>
    <w:rsid w:val="3556631F"/>
    <w:rsid w:val="355754E9"/>
    <w:rsid w:val="35577435"/>
    <w:rsid w:val="3559105A"/>
    <w:rsid w:val="3559324D"/>
    <w:rsid w:val="355B2FCB"/>
    <w:rsid w:val="355C5AB3"/>
    <w:rsid w:val="355C665B"/>
    <w:rsid w:val="355D01F0"/>
    <w:rsid w:val="355D751B"/>
    <w:rsid w:val="355E4769"/>
    <w:rsid w:val="355F439E"/>
    <w:rsid w:val="35602A24"/>
    <w:rsid w:val="356208F4"/>
    <w:rsid w:val="35623920"/>
    <w:rsid w:val="3562636F"/>
    <w:rsid w:val="35630703"/>
    <w:rsid w:val="35637D8C"/>
    <w:rsid w:val="35640B61"/>
    <w:rsid w:val="35643670"/>
    <w:rsid w:val="35645510"/>
    <w:rsid w:val="356526B2"/>
    <w:rsid w:val="35672F27"/>
    <w:rsid w:val="356830A9"/>
    <w:rsid w:val="35683252"/>
    <w:rsid w:val="3569521C"/>
    <w:rsid w:val="35695279"/>
    <w:rsid w:val="35695E72"/>
    <w:rsid w:val="356960CA"/>
    <w:rsid w:val="35696FCA"/>
    <w:rsid w:val="356A122E"/>
    <w:rsid w:val="356A72E8"/>
    <w:rsid w:val="356B23A6"/>
    <w:rsid w:val="356B3BC1"/>
    <w:rsid w:val="356C2CFE"/>
    <w:rsid w:val="356C4366"/>
    <w:rsid w:val="356C7DA6"/>
    <w:rsid w:val="356D0868"/>
    <w:rsid w:val="356D29E5"/>
    <w:rsid w:val="356E638F"/>
    <w:rsid w:val="356F14F8"/>
    <w:rsid w:val="356F3369"/>
    <w:rsid w:val="356F33DA"/>
    <w:rsid w:val="356F73BF"/>
    <w:rsid w:val="35700359"/>
    <w:rsid w:val="35716893"/>
    <w:rsid w:val="35724B19"/>
    <w:rsid w:val="35725E7F"/>
    <w:rsid w:val="35726F5A"/>
    <w:rsid w:val="35727C2D"/>
    <w:rsid w:val="35753BC1"/>
    <w:rsid w:val="3575771D"/>
    <w:rsid w:val="35765888"/>
    <w:rsid w:val="3576787D"/>
    <w:rsid w:val="35771E61"/>
    <w:rsid w:val="3577606A"/>
    <w:rsid w:val="35796153"/>
    <w:rsid w:val="357A2F85"/>
    <w:rsid w:val="357B2164"/>
    <w:rsid w:val="357B4E27"/>
    <w:rsid w:val="357B58D9"/>
    <w:rsid w:val="357B78A7"/>
    <w:rsid w:val="357C7723"/>
    <w:rsid w:val="357D5F0F"/>
    <w:rsid w:val="357F0CD9"/>
    <w:rsid w:val="357F54C0"/>
    <w:rsid w:val="35803758"/>
    <w:rsid w:val="35815E16"/>
    <w:rsid w:val="35816156"/>
    <w:rsid w:val="35843D34"/>
    <w:rsid w:val="35877E06"/>
    <w:rsid w:val="35885D52"/>
    <w:rsid w:val="35891125"/>
    <w:rsid w:val="35893C06"/>
    <w:rsid w:val="358A764F"/>
    <w:rsid w:val="358B5193"/>
    <w:rsid w:val="358C5FA8"/>
    <w:rsid w:val="358D08B4"/>
    <w:rsid w:val="358D27C7"/>
    <w:rsid w:val="358F4D4F"/>
    <w:rsid w:val="358F78CC"/>
    <w:rsid w:val="35901A73"/>
    <w:rsid w:val="35902BA0"/>
    <w:rsid w:val="3590650E"/>
    <w:rsid w:val="35915B04"/>
    <w:rsid w:val="3592064F"/>
    <w:rsid w:val="359608D5"/>
    <w:rsid w:val="35962AB6"/>
    <w:rsid w:val="359C26E3"/>
    <w:rsid w:val="359D044F"/>
    <w:rsid w:val="359D1B3C"/>
    <w:rsid w:val="359E4EC6"/>
    <w:rsid w:val="359F3438"/>
    <w:rsid w:val="35A123C6"/>
    <w:rsid w:val="35A17A0D"/>
    <w:rsid w:val="35A214FE"/>
    <w:rsid w:val="35A21B04"/>
    <w:rsid w:val="35A27608"/>
    <w:rsid w:val="35A33881"/>
    <w:rsid w:val="35A353A2"/>
    <w:rsid w:val="35A35958"/>
    <w:rsid w:val="35A40E99"/>
    <w:rsid w:val="35A60BB2"/>
    <w:rsid w:val="35A61254"/>
    <w:rsid w:val="35A61FCC"/>
    <w:rsid w:val="35A63772"/>
    <w:rsid w:val="35A9181E"/>
    <w:rsid w:val="35A973C7"/>
    <w:rsid w:val="35A974FE"/>
    <w:rsid w:val="35AB3040"/>
    <w:rsid w:val="35AB75E3"/>
    <w:rsid w:val="35AC3F28"/>
    <w:rsid w:val="35AC3F99"/>
    <w:rsid w:val="35AC6479"/>
    <w:rsid w:val="35AD6EB7"/>
    <w:rsid w:val="35AE5C63"/>
    <w:rsid w:val="35AF22C3"/>
    <w:rsid w:val="35B01B43"/>
    <w:rsid w:val="35B05499"/>
    <w:rsid w:val="35B1383E"/>
    <w:rsid w:val="35B20971"/>
    <w:rsid w:val="35B2251A"/>
    <w:rsid w:val="35B37715"/>
    <w:rsid w:val="35B427C1"/>
    <w:rsid w:val="35B53B86"/>
    <w:rsid w:val="35B85373"/>
    <w:rsid w:val="35B935D0"/>
    <w:rsid w:val="35B93AAE"/>
    <w:rsid w:val="35B95440"/>
    <w:rsid w:val="35BA1818"/>
    <w:rsid w:val="35BA4666"/>
    <w:rsid w:val="35BB1575"/>
    <w:rsid w:val="35BB7A10"/>
    <w:rsid w:val="35BC0907"/>
    <w:rsid w:val="35BC53C9"/>
    <w:rsid w:val="35BD1563"/>
    <w:rsid w:val="35BE29BF"/>
    <w:rsid w:val="35C00616"/>
    <w:rsid w:val="35C052EA"/>
    <w:rsid w:val="35C07BE1"/>
    <w:rsid w:val="35C15DF1"/>
    <w:rsid w:val="35C23D27"/>
    <w:rsid w:val="35C36C7C"/>
    <w:rsid w:val="35C408FE"/>
    <w:rsid w:val="35C54200"/>
    <w:rsid w:val="35C54F98"/>
    <w:rsid w:val="35C618CA"/>
    <w:rsid w:val="35C62D64"/>
    <w:rsid w:val="35C75E43"/>
    <w:rsid w:val="35C92674"/>
    <w:rsid w:val="35C929DE"/>
    <w:rsid w:val="35CA0AFF"/>
    <w:rsid w:val="35CB721C"/>
    <w:rsid w:val="35CC3248"/>
    <w:rsid w:val="35CC5041"/>
    <w:rsid w:val="35CD4458"/>
    <w:rsid w:val="35CE0913"/>
    <w:rsid w:val="35CF6E3C"/>
    <w:rsid w:val="35D14489"/>
    <w:rsid w:val="35D1573B"/>
    <w:rsid w:val="35D176E8"/>
    <w:rsid w:val="35D22CE1"/>
    <w:rsid w:val="35D23CD1"/>
    <w:rsid w:val="35D24B6F"/>
    <w:rsid w:val="35D54660"/>
    <w:rsid w:val="35D63EB0"/>
    <w:rsid w:val="35DA34B7"/>
    <w:rsid w:val="35DA5BCC"/>
    <w:rsid w:val="35DA5E0B"/>
    <w:rsid w:val="35DB1105"/>
    <w:rsid w:val="35DE1B86"/>
    <w:rsid w:val="35DE68EB"/>
    <w:rsid w:val="35E120F0"/>
    <w:rsid w:val="35E12977"/>
    <w:rsid w:val="35E425B5"/>
    <w:rsid w:val="35E67AD9"/>
    <w:rsid w:val="35E70325"/>
    <w:rsid w:val="35E84EB3"/>
    <w:rsid w:val="35EB02EA"/>
    <w:rsid w:val="35EB401C"/>
    <w:rsid w:val="35EC3017"/>
    <w:rsid w:val="35ED6387"/>
    <w:rsid w:val="35ED7A71"/>
    <w:rsid w:val="35EE13D3"/>
    <w:rsid w:val="35EE3C29"/>
    <w:rsid w:val="35EF3DF5"/>
    <w:rsid w:val="35EF6DAA"/>
    <w:rsid w:val="35EF7DA0"/>
    <w:rsid w:val="35F042E3"/>
    <w:rsid w:val="35F0505E"/>
    <w:rsid w:val="35F15135"/>
    <w:rsid w:val="35F22C3E"/>
    <w:rsid w:val="35F358CB"/>
    <w:rsid w:val="35F3708D"/>
    <w:rsid w:val="35F423C8"/>
    <w:rsid w:val="35F44AE6"/>
    <w:rsid w:val="35F52189"/>
    <w:rsid w:val="35F55514"/>
    <w:rsid w:val="35F56A39"/>
    <w:rsid w:val="35F62237"/>
    <w:rsid w:val="35F637C4"/>
    <w:rsid w:val="35F729E5"/>
    <w:rsid w:val="35F7792E"/>
    <w:rsid w:val="35F86203"/>
    <w:rsid w:val="35F92099"/>
    <w:rsid w:val="35F9357F"/>
    <w:rsid w:val="35FA35B7"/>
    <w:rsid w:val="35FA4D99"/>
    <w:rsid w:val="35FB2E5A"/>
    <w:rsid w:val="35FB583E"/>
    <w:rsid w:val="35FC3901"/>
    <w:rsid w:val="35FC7E3E"/>
    <w:rsid w:val="35FD505D"/>
    <w:rsid w:val="35FE3614"/>
    <w:rsid w:val="36005345"/>
    <w:rsid w:val="36010FB1"/>
    <w:rsid w:val="36011217"/>
    <w:rsid w:val="36030431"/>
    <w:rsid w:val="360307F1"/>
    <w:rsid w:val="36040D6F"/>
    <w:rsid w:val="36046357"/>
    <w:rsid w:val="36052FD1"/>
    <w:rsid w:val="36053676"/>
    <w:rsid w:val="36057D40"/>
    <w:rsid w:val="36060747"/>
    <w:rsid w:val="3606180E"/>
    <w:rsid w:val="36065815"/>
    <w:rsid w:val="36066915"/>
    <w:rsid w:val="36074328"/>
    <w:rsid w:val="36074A7F"/>
    <w:rsid w:val="36074C05"/>
    <w:rsid w:val="36087656"/>
    <w:rsid w:val="360A098E"/>
    <w:rsid w:val="360A5AD5"/>
    <w:rsid w:val="360A5F70"/>
    <w:rsid w:val="360A67BB"/>
    <w:rsid w:val="360B1C45"/>
    <w:rsid w:val="360E7D59"/>
    <w:rsid w:val="360F3EB9"/>
    <w:rsid w:val="360F4D09"/>
    <w:rsid w:val="360F7513"/>
    <w:rsid w:val="36103826"/>
    <w:rsid w:val="36107446"/>
    <w:rsid w:val="36122DEB"/>
    <w:rsid w:val="361246E6"/>
    <w:rsid w:val="36127922"/>
    <w:rsid w:val="361332FF"/>
    <w:rsid w:val="3616081F"/>
    <w:rsid w:val="36160F00"/>
    <w:rsid w:val="36162CAE"/>
    <w:rsid w:val="361741F4"/>
    <w:rsid w:val="36174A36"/>
    <w:rsid w:val="36175970"/>
    <w:rsid w:val="361775BC"/>
    <w:rsid w:val="361909F0"/>
    <w:rsid w:val="36193279"/>
    <w:rsid w:val="36197C2F"/>
    <w:rsid w:val="361A3DDB"/>
    <w:rsid w:val="361A6E66"/>
    <w:rsid w:val="361B0941"/>
    <w:rsid w:val="361C228F"/>
    <w:rsid w:val="361D185A"/>
    <w:rsid w:val="361E6268"/>
    <w:rsid w:val="36201A3D"/>
    <w:rsid w:val="36207238"/>
    <w:rsid w:val="36213DFF"/>
    <w:rsid w:val="362248F3"/>
    <w:rsid w:val="36225A50"/>
    <w:rsid w:val="36233BDD"/>
    <w:rsid w:val="362353CB"/>
    <w:rsid w:val="36237C06"/>
    <w:rsid w:val="36257BE2"/>
    <w:rsid w:val="362604DA"/>
    <w:rsid w:val="36272082"/>
    <w:rsid w:val="362778D1"/>
    <w:rsid w:val="36281361"/>
    <w:rsid w:val="3628183A"/>
    <w:rsid w:val="36292253"/>
    <w:rsid w:val="362B577D"/>
    <w:rsid w:val="362C30A1"/>
    <w:rsid w:val="362C6903"/>
    <w:rsid w:val="362C728E"/>
    <w:rsid w:val="362D5F0F"/>
    <w:rsid w:val="362E7A13"/>
    <w:rsid w:val="36305E35"/>
    <w:rsid w:val="363065F7"/>
    <w:rsid w:val="36310AE8"/>
    <w:rsid w:val="36310B5F"/>
    <w:rsid w:val="3632258C"/>
    <w:rsid w:val="363236E6"/>
    <w:rsid w:val="36336171"/>
    <w:rsid w:val="36340F17"/>
    <w:rsid w:val="3636284E"/>
    <w:rsid w:val="363904AC"/>
    <w:rsid w:val="363A3D32"/>
    <w:rsid w:val="363C2747"/>
    <w:rsid w:val="363C48B7"/>
    <w:rsid w:val="363D4075"/>
    <w:rsid w:val="363D4F7A"/>
    <w:rsid w:val="363E5DD3"/>
    <w:rsid w:val="36401AD9"/>
    <w:rsid w:val="364077D1"/>
    <w:rsid w:val="36407D2B"/>
    <w:rsid w:val="36430F88"/>
    <w:rsid w:val="364341BD"/>
    <w:rsid w:val="36435AB2"/>
    <w:rsid w:val="36445BB9"/>
    <w:rsid w:val="36450A49"/>
    <w:rsid w:val="36461C53"/>
    <w:rsid w:val="36486334"/>
    <w:rsid w:val="364863AC"/>
    <w:rsid w:val="36490860"/>
    <w:rsid w:val="3649221A"/>
    <w:rsid w:val="36492A4D"/>
    <w:rsid w:val="36494248"/>
    <w:rsid w:val="364A1ADC"/>
    <w:rsid w:val="364C13F0"/>
    <w:rsid w:val="364C2BB9"/>
    <w:rsid w:val="364E1A1B"/>
    <w:rsid w:val="364E5100"/>
    <w:rsid w:val="364F6DCA"/>
    <w:rsid w:val="364F71E1"/>
    <w:rsid w:val="36511F38"/>
    <w:rsid w:val="36530D9D"/>
    <w:rsid w:val="36542A66"/>
    <w:rsid w:val="365470E8"/>
    <w:rsid w:val="36562AF9"/>
    <w:rsid w:val="365714D7"/>
    <w:rsid w:val="36573519"/>
    <w:rsid w:val="36575C5C"/>
    <w:rsid w:val="365807A4"/>
    <w:rsid w:val="3658344B"/>
    <w:rsid w:val="365A2781"/>
    <w:rsid w:val="365A6A5E"/>
    <w:rsid w:val="365A7D10"/>
    <w:rsid w:val="365B2911"/>
    <w:rsid w:val="365B6913"/>
    <w:rsid w:val="365C268B"/>
    <w:rsid w:val="365C285B"/>
    <w:rsid w:val="365C5C7B"/>
    <w:rsid w:val="365E6AF0"/>
    <w:rsid w:val="365F1C73"/>
    <w:rsid w:val="365F6894"/>
    <w:rsid w:val="36603F29"/>
    <w:rsid w:val="36613DE1"/>
    <w:rsid w:val="36615762"/>
    <w:rsid w:val="36617F9C"/>
    <w:rsid w:val="36630A9F"/>
    <w:rsid w:val="36631F96"/>
    <w:rsid w:val="3663543F"/>
    <w:rsid w:val="36636FE9"/>
    <w:rsid w:val="3664515C"/>
    <w:rsid w:val="36665F5D"/>
    <w:rsid w:val="3666645F"/>
    <w:rsid w:val="36680DFA"/>
    <w:rsid w:val="366831EC"/>
    <w:rsid w:val="36683AAC"/>
    <w:rsid w:val="36684461"/>
    <w:rsid w:val="366B5748"/>
    <w:rsid w:val="366B5EDA"/>
    <w:rsid w:val="366C15B3"/>
    <w:rsid w:val="366D0B7D"/>
    <w:rsid w:val="366D5CE0"/>
    <w:rsid w:val="366E3101"/>
    <w:rsid w:val="366F50C7"/>
    <w:rsid w:val="36702FD5"/>
    <w:rsid w:val="36710518"/>
    <w:rsid w:val="36712B58"/>
    <w:rsid w:val="36716136"/>
    <w:rsid w:val="36723C5D"/>
    <w:rsid w:val="36732BCF"/>
    <w:rsid w:val="367372E3"/>
    <w:rsid w:val="36747466"/>
    <w:rsid w:val="3677172D"/>
    <w:rsid w:val="367735B1"/>
    <w:rsid w:val="36780C72"/>
    <w:rsid w:val="36797BFD"/>
    <w:rsid w:val="367A2DC1"/>
    <w:rsid w:val="367A6F3B"/>
    <w:rsid w:val="367B5344"/>
    <w:rsid w:val="367C2E83"/>
    <w:rsid w:val="367C34AA"/>
    <w:rsid w:val="367C4A9C"/>
    <w:rsid w:val="367C4ADB"/>
    <w:rsid w:val="367D4D6D"/>
    <w:rsid w:val="367E65C1"/>
    <w:rsid w:val="367F28A4"/>
    <w:rsid w:val="367F3118"/>
    <w:rsid w:val="367F72CB"/>
    <w:rsid w:val="3680080C"/>
    <w:rsid w:val="368060EE"/>
    <w:rsid w:val="3681152A"/>
    <w:rsid w:val="36815AA2"/>
    <w:rsid w:val="36826A0E"/>
    <w:rsid w:val="368377DF"/>
    <w:rsid w:val="3684230E"/>
    <w:rsid w:val="36862834"/>
    <w:rsid w:val="36893D49"/>
    <w:rsid w:val="368A2FDD"/>
    <w:rsid w:val="368A4B4C"/>
    <w:rsid w:val="368A71F8"/>
    <w:rsid w:val="368B5E0B"/>
    <w:rsid w:val="368C18A4"/>
    <w:rsid w:val="368C4D1E"/>
    <w:rsid w:val="368C5843"/>
    <w:rsid w:val="368E123B"/>
    <w:rsid w:val="368E2E80"/>
    <w:rsid w:val="368E31A7"/>
    <w:rsid w:val="36901ADC"/>
    <w:rsid w:val="36901C61"/>
    <w:rsid w:val="36914A2B"/>
    <w:rsid w:val="36923549"/>
    <w:rsid w:val="36933874"/>
    <w:rsid w:val="369342FF"/>
    <w:rsid w:val="36940077"/>
    <w:rsid w:val="36941227"/>
    <w:rsid w:val="3694591B"/>
    <w:rsid w:val="36962041"/>
    <w:rsid w:val="3698769C"/>
    <w:rsid w:val="36996EBE"/>
    <w:rsid w:val="369A1099"/>
    <w:rsid w:val="369A5257"/>
    <w:rsid w:val="369B0ED9"/>
    <w:rsid w:val="369B1541"/>
    <w:rsid w:val="369B5287"/>
    <w:rsid w:val="369C440D"/>
    <w:rsid w:val="369D0375"/>
    <w:rsid w:val="369E0C1F"/>
    <w:rsid w:val="369F6FC3"/>
    <w:rsid w:val="36A011EB"/>
    <w:rsid w:val="36A13D31"/>
    <w:rsid w:val="36A1493B"/>
    <w:rsid w:val="36A16AB3"/>
    <w:rsid w:val="36A20A49"/>
    <w:rsid w:val="36A21DFD"/>
    <w:rsid w:val="36A25E99"/>
    <w:rsid w:val="36A30D41"/>
    <w:rsid w:val="36A335F1"/>
    <w:rsid w:val="36A4435D"/>
    <w:rsid w:val="36A4475E"/>
    <w:rsid w:val="36A4601E"/>
    <w:rsid w:val="36A466B6"/>
    <w:rsid w:val="36A468E5"/>
    <w:rsid w:val="36A47195"/>
    <w:rsid w:val="36A52284"/>
    <w:rsid w:val="36A723C2"/>
    <w:rsid w:val="36A73F0A"/>
    <w:rsid w:val="36A92D96"/>
    <w:rsid w:val="36AA1BA4"/>
    <w:rsid w:val="36AB5819"/>
    <w:rsid w:val="36AC2A75"/>
    <w:rsid w:val="36AE37D4"/>
    <w:rsid w:val="36AE433B"/>
    <w:rsid w:val="36AF3103"/>
    <w:rsid w:val="36B00B53"/>
    <w:rsid w:val="36B205FF"/>
    <w:rsid w:val="36B23B78"/>
    <w:rsid w:val="36B3154C"/>
    <w:rsid w:val="36B31C26"/>
    <w:rsid w:val="36B424C7"/>
    <w:rsid w:val="36B52C84"/>
    <w:rsid w:val="36B61AC2"/>
    <w:rsid w:val="36B6461D"/>
    <w:rsid w:val="36B66BCB"/>
    <w:rsid w:val="36B75FBF"/>
    <w:rsid w:val="36B81FB7"/>
    <w:rsid w:val="36B83DE8"/>
    <w:rsid w:val="36B87CCB"/>
    <w:rsid w:val="36BA3BAA"/>
    <w:rsid w:val="36BA3D31"/>
    <w:rsid w:val="36BB1B5C"/>
    <w:rsid w:val="36BC09D6"/>
    <w:rsid w:val="36BC78D9"/>
    <w:rsid w:val="36BD0C45"/>
    <w:rsid w:val="36BD19ED"/>
    <w:rsid w:val="36BD5820"/>
    <w:rsid w:val="36BF55EA"/>
    <w:rsid w:val="36BF76FF"/>
    <w:rsid w:val="36BF7DA4"/>
    <w:rsid w:val="36C00174"/>
    <w:rsid w:val="36C26992"/>
    <w:rsid w:val="36C26F24"/>
    <w:rsid w:val="36C344B8"/>
    <w:rsid w:val="36C41F09"/>
    <w:rsid w:val="36C52756"/>
    <w:rsid w:val="36C5420C"/>
    <w:rsid w:val="36C56482"/>
    <w:rsid w:val="36C6077F"/>
    <w:rsid w:val="36C61936"/>
    <w:rsid w:val="36C63BC0"/>
    <w:rsid w:val="36C7044C"/>
    <w:rsid w:val="36C869A9"/>
    <w:rsid w:val="36C95F18"/>
    <w:rsid w:val="36C95F72"/>
    <w:rsid w:val="36C97A64"/>
    <w:rsid w:val="36CA5810"/>
    <w:rsid w:val="36CB14ED"/>
    <w:rsid w:val="36CB53E3"/>
    <w:rsid w:val="36CC23AE"/>
    <w:rsid w:val="36CD1936"/>
    <w:rsid w:val="36CD3F40"/>
    <w:rsid w:val="36CF02B4"/>
    <w:rsid w:val="36CF281E"/>
    <w:rsid w:val="36D018D9"/>
    <w:rsid w:val="36D278BC"/>
    <w:rsid w:val="36D42991"/>
    <w:rsid w:val="36D4313E"/>
    <w:rsid w:val="36D51C66"/>
    <w:rsid w:val="36D617AE"/>
    <w:rsid w:val="36D61881"/>
    <w:rsid w:val="36D65108"/>
    <w:rsid w:val="36D665A2"/>
    <w:rsid w:val="36D77E55"/>
    <w:rsid w:val="36D83A68"/>
    <w:rsid w:val="36D843B3"/>
    <w:rsid w:val="36D86195"/>
    <w:rsid w:val="36D861B6"/>
    <w:rsid w:val="36D9587A"/>
    <w:rsid w:val="36DA075E"/>
    <w:rsid w:val="36DA1F2E"/>
    <w:rsid w:val="36DA4CBE"/>
    <w:rsid w:val="36DA67BC"/>
    <w:rsid w:val="36DB7C3A"/>
    <w:rsid w:val="36DC09A8"/>
    <w:rsid w:val="36DC1557"/>
    <w:rsid w:val="36DE3F2B"/>
    <w:rsid w:val="36DE4FA7"/>
    <w:rsid w:val="36E0506A"/>
    <w:rsid w:val="36E075C0"/>
    <w:rsid w:val="36E22B83"/>
    <w:rsid w:val="36E23743"/>
    <w:rsid w:val="36E24D6B"/>
    <w:rsid w:val="36E44B48"/>
    <w:rsid w:val="36E670F8"/>
    <w:rsid w:val="36E732F5"/>
    <w:rsid w:val="36E8128E"/>
    <w:rsid w:val="36E85390"/>
    <w:rsid w:val="36E87DF4"/>
    <w:rsid w:val="36EA0568"/>
    <w:rsid w:val="36EB313E"/>
    <w:rsid w:val="36EC09FF"/>
    <w:rsid w:val="36EC1002"/>
    <w:rsid w:val="36EC7D25"/>
    <w:rsid w:val="36ED7533"/>
    <w:rsid w:val="36EE2BAD"/>
    <w:rsid w:val="36EE5616"/>
    <w:rsid w:val="36F11025"/>
    <w:rsid w:val="36F14000"/>
    <w:rsid w:val="36F2780E"/>
    <w:rsid w:val="36F40B16"/>
    <w:rsid w:val="36F4146E"/>
    <w:rsid w:val="36F45565"/>
    <w:rsid w:val="36F461D7"/>
    <w:rsid w:val="36F51668"/>
    <w:rsid w:val="36F56BFC"/>
    <w:rsid w:val="36F727C5"/>
    <w:rsid w:val="36F90584"/>
    <w:rsid w:val="36F95BAA"/>
    <w:rsid w:val="36FA2093"/>
    <w:rsid w:val="36FB5F12"/>
    <w:rsid w:val="36FB69A4"/>
    <w:rsid w:val="36FD2684"/>
    <w:rsid w:val="36FD384D"/>
    <w:rsid w:val="36FE03E7"/>
    <w:rsid w:val="36FF649E"/>
    <w:rsid w:val="3701395E"/>
    <w:rsid w:val="37017D0B"/>
    <w:rsid w:val="370203A6"/>
    <w:rsid w:val="370336B9"/>
    <w:rsid w:val="370459E3"/>
    <w:rsid w:val="37061527"/>
    <w:rsid w:val="370838BC"/>
    <w:rsid w:val="37083F2D"/>
    <w:rsid w:val="370914CC"/>
    <w:rsid w:val="370945C1"/>
    <w:rsid w:val="3709770D"/>
    <w:rsid w:val="370A0339"/>
    <w:rsid w:val="370A73E6"/>
    <w:rsid w:val="370B2AD8"/>
    <w:rsid w:val="370B7515"/>
    <w:rsid w:val="370C4E09"/>
    <w:rsid w:val="370C5A9D"/>
    <w:rsid w:val="370D0E17"/>
    <w:rsid w:val="370D3628"/>
    <w:rsid w:val="370D7DD7"/>
    <w:rsid w:val="370F0FC4"/>
    <w:rsid w:val="370F6192"/>
    <w:rsid w:val="37105C0F"/>
    <w:rsid w:val="37113761"/>
    <w:rsid w:val="37116504"/>
    <w:rsid w:val="37121AEC"/>
    <w:rsid w:val="37130230"/>
    <w:rsid w:val="37135596"/>
    <w:rsid w:val="37136642"/>
    <w:rsid w:val="37151119"/>
    <w:rsid w:val="37152F66"/>
    <w:rsid w:val="3716483A"/>
    <w:rsid w:val="371649C0"/>
    <w:rsid w:val="37166CDE"/>
    <w:rsid w:val="37175449"/>
    <w:rsid w:val="371829F7"/>
    <w:rsid w:val="37182A56"/>
    <w:rsid w:val="371843D8"/>
    <w:rsid w:val="371939A5"/>
    <w:rsid w:val="371941D2"/>
    <w:rsid w:val="37196CDC"/>
    <w:rsid w:val="37197F7D"/>
    <w:rsid w:val="371C3939"/>
    <w:rsid w:val="371D1594"/>
    <w:rsid w:val="371D1E1A"/>
    <w:rsid w:val="371F5089"/>
    <w:rsid w:val="37215636"/>
    <w:rsid w:val="37215DAE"/>
    <w:rsid w:val="37224778"/>
    <w:rsid w:val="37225876"/>
    <w:rsid w:val="37241E32"/>
    <w:rsid w:val="37243096"/>
    <w:rsid w:val="37264630"/>
    <w:rsid w:val="37266931"/>
    <w:rsid w:val="372676EE"/>
    <w:rsid w:val="37277746"/>
    <w:rsid w:val="37296970"/>
    <w:rsid w:val="37296A11"/>
    <w:rsid w:val="372B229B"/>
    <w:rsid w:val="372B2789"/>
    <w:rsid w:val="372C4030"/>
    <w:rsid w:val="372D0645"/>
    <w:rsid w:val="372E0276"/>
    <w:rsid w:val="372E206C"/>
    <w:rsid w:val="372E7C30"/>
    <w:rsid w:val="372E7E9B"/>
    <w:rsid w:val="372F7EB5"/>
    <w:rsid w:val="37321D6A"/>
    <w:rsid w:val="373303C1"/>
    <w:rsid w:val="37332CA0"/>
    <w:rsid w:val="37340AF7"/>
    <w:rsid w:val="37342108"/>
    <w:rsid w:val="37343517"/>
    <w:rsid w:val="3735277C"/>
    <w:rsid w:val="37353608"/>
    <w:rsid w:val="37370BAF"/>
    <w:rsid w:val="37376CC2"/>
    <w:rsid w:val="3738264A"/>
    <w:rsid w:val="373830F8"/>
    <w:rsid w:val="37393AE7"/>
    <w:rsid w:val="373C24D0"/>
    <w:rsid w:val="373D63C5"/>
    <w:rsid w:val="37400F61"/>
    <w:rsid w:val="37407074"/>
    <w:rsid w:val="374376E2"/>
    <w:rsid w:val="37441A9D"/>
    <w:rsid w:val="3745548B"/>
    <w:rsid w:val="3746636E"/>
    <w:rsid w:val="37467BE1"/>
    <w:rsid w:val="3747191A"/>
    <w:rsid w:val="374774CE"/>
    <w:rsid w:val="374866F6"/>
    <w:rsid w:val="37494952"/>
    <w:rsid w:val="374971DB"/>
    <w:rsid w:val="374A5526"/>
    <w:rsid w:val="374A5A5C"/>
    <w:rsid w:val="374B3469"/>
    <w:rsid w:val="374C4166"/>
    <w:rsid w:val="374D4C61"/>
    <w:rsid w:val="374E239E"/>
    <w:rsid w:val="374E6478"/>
    <w:rsid w:val="374F156F"/>
    <w:rsid w:val="374F1751"/>
    <w:rsid w:val="374F3F98"/>
    <w:rsid w:val="3751127F"/>
    <w:rsid w:val="37522798"/>
    <w:rsid w:val="375262E3"/>
    <w:rsid w:val="37531CE0"/>
    <w:rsid w:val="37532A4E"/>
    <w:rsid w:val="37536AF3"/>
    <w:rsid w:val="37543FE1"/>
    <w:rsid w:val="37551C2D"/>
    <w:rsid w:val="37561EBF"/>
    <w:rsid w:val="3757500E"/>
    <w:rsid w:val="37576E4F"/>
    <w:rsid w:val="37581047"/>
    <w:rsid w:val="375A6BCB"/>
    <w:rsid w:val="375C10BD"/>
    <w:rsid w:val="375C1FD6"/>
    <w:rsid w:val="375D15CD"/>
    <w:rsid w:val="375E15F4"/>
    <w:rsid w:val="375E5659"/>
    <w:rsid w:val="375F2AE6"/>
    <w:rsid w:val="37602D37"/>
    <w:rsid w:val="37607F59"/>
    <w:rsid w:val="37620175"/>
    <w:rsid w:val="37625F23"/>
    <w:rsid w:val="37646AB9"/>
    <w:rsid w:val="37652EC4"/>
    <w:rsid w:val="37681C26"/>
    <w:rsid w:val="37684E74"/>
    <w:rsid w:val="376867AB"/>
    <w:rsid w:val="37693B77"/>
    <w:rsid w:val="376B4503"/>
    <w:rsid w:val="376B5AE8"/>
    <w:rsid w:val="376B67C5"/>
    <w:rsid w:val="376C160B"/>
    <w:rsid w:val="376C1FD7"/>
    <w:rsid w:val="376C7B87"/>
    <w:rsid w:val="376D2028"/>
    <w:rsid w:val="376D4904"/>
    <w:rsid w:val="376E2B0E"/>
    <w:rsid w:val="376F25E6"/>
    <w:rsid w:val="37704640"/>
    <w:rsid w:val="37710326"/>
    <w:rsid w:val="37713757"/>
    <w:rsid w:val="37721963"/>
    <w:rsid w:val="377260CD"/>
    <w:rsid w:val="37730541"/>
    <w:rsid w:val="37736785"/>
    <w:rsid w:val="377374A0"/>
    <w:rsid w:val="377459C8"/>
    <w:rsid w:val="377519B3"/>
    <w:rsid w:val="37753A04"/>
    <w:rsid w:val="37757132"/>
    <w:rsid w:val="37762164"/>
    <w:rsid w:val="37765AA1"/>
    <w:rsid w:val="377736A6"/>
    <w:rsid w:val="377736C0"/>
    <w:rsid w:val="37773A9F"/>
    <w:rsid w:val="377C4957"/>
    <w:rsid w:val="377C501B"/>
    <w:rsid w:val="377D043D"/>
    <w:rsid w:val="377D1925"/>
    <w:rsid w:val="377D5464"/>
    <w:rsid w:val="377E4FAF"/>
    <w:rsid w:val="377F6FB1"/>
    <w:rsid w:val="37817DBD"/>
    <w:rsid w:val="3784543E"/>
    <w:rsid w:val="37862F75"/>
    <w:rsid w:val="37864EE5"/>
    <w:rsid w:val="37873A2F"/>
    <w:rsid w:val="378815D4"/>
    <w:rsid w:val="37887101"/>
    <w:rsid w:val="37893186"/>
    <w:rsid w:val="37895702"/>
    <w:rsid w:val="378C1ED8"/>
    <w:rsid w:val="378C60F3"/>
    <w:rsid w:val="378C69AC"/>
    <w:rsid w:val="378D0380"/>
    <w:rsid w:val="378E58F0"/>
    <w:rsid w:val="378E6C36"/>
    <w:rsid w:val="378F5969"/>
    <w:rsid w:val="37937D20"/>
    <w:rsid w:val="379453B8"/>
    <w:rsid w:val="379467EE"/>
    <w:rsid w:val="3795623B"/>
    <w:rsid w:val="379645D9"/>
    <w:rsid w:val="37980CF6"/>
    <w:rsid w:val="3798138B"/>
    <w:rsid w:val="379911B9"/>
    <w:rsid w:val="379A1801"/>
    <w:rsid w:val="379A790F"/>
    <w:rsid w:val="379B49DE"/>
    <w:rsid w:val="379C5435"/>
    <w:rsid w:val="379D2A8C"/>
    <w:rsid w:val="379E4675"/>
    <w:rsid w:val="379E4AB3"/>
    <w:rsid w:val="379F06A1"/>
    <w:rsid w:val="379F21AA"/>
    <w:rsid w:val="379F27F3"/>
    <w:rsid w:val="37A16684"/>
    <w:rsid w:val="37A53EFF"/>
    <w:rsid w:val="37A647F6"/>
    <w:rsid w:val="37A7515D"/>
    <w:rsid w:val="37A76B65"/>
    <w:rsid w:val="37A80209"/>
    <w:rsid w:val="37A83DDA"/>
    <w:rsid w:val="37A87AE3"/>
    <w:rsid w:val="37A95DA4"/>
    <w:rsid w:val="37AC619F"/>
    <w:rsid w:val="37AD2E8A"/>
    <w:rsid w:val="37AE3B24"/>
    <w:rsid w:val="37AE3F90"/>
    <w:rsid w:val="37AE6A66"/>
    <w:rsid w:val="37AF02CF"/>
    <w:rsid w:val="37AF3EFB"/>
    <w:rsid w:val="37B05C56"/>
    <w:rsid w:val="37B207B5"/>
    <w:rsid w:val="37B32E86"/>
    <w:rsid w:val="37B330A1"/>
    <w:rsid w:val="37B36771"/>
    <w:rsid w:val="37B51345"/>
    <w:rsid w:val="37B704C1"/>
    <w:rsid w:val="37B7351B"/>
    <w:rsid w:val="37BC1699"/>
    <w:rsid w:val="37BC7FF8"/>
    <w:rsid w:val="37BD704F"/>
    <w:rsid w:val="37BE129D"/>
    <w:rsid w:val="37BE1457"/>
    <w:rsid w:val="37BE29FD"/>
    <w:rsid w:val="37BF6F5F"/>
    <w:rsid w:val="37C02FEE"/>
    <w:rsid w:val="37C12946"/>
    <w:rsid w:val="37C14304"/>
    <w:rsid w:val="37C175FA"/>
    <w:rsid w:val="37C20DF1"/>
    <w:rsid w:val="37C2473F"/>
    <w:rsid w:val="37C24DD6"/>
    <w:rsid w:val="37C26FAB"/>
    <w:rsid w:val="37C32558"/>
    <w:rsid w:val="37C32629"/>
    <w:rsid w:val="37C3284E"/>
    <w:rsid w:val="37C40972"/>
    <w:rsid w:val="37C453A8"/>
    <w:rsid w:val="37C51E88"/>
    <w:rsid w:val="37C661FD"/>
    <w:rsid w:val="37C71594"/>
    <w:rsid w:val="37C77AC6"/>
    <w:rsid w:val="37C956F2"/>
    <w:rsid w:val="37CA40E8"/>
    <w:rsid w:val="37CC1C72"/>
    <w:rsid w:val="37CD175A"/>
    <w:rsid w:val="37CD34EE"/>
    <w:rsid w:val="37CD69A4"/>
    <w:rsid w:val="37CE4E76"/>
    <w:rsid w:val="37CE6CEE"/>
    <w:rsid w:val="37D00F61"/>
    <w:rsid w:val="37D01714"/>
    <w:rsid w:val="37D13A1C"/>
    <w:rsid w:val="37D144CC"/>
    <w:rsid w:val="37D237DB"/>
    <w:rsid w:val="37D3572B"/>
    <w:rsid w:val="37D41523"/>
    <w:rsid w:val="37D415B2"/>
    <w:rsid w:val="37D4403E"/>
    <w:rsid w:val="37D44D0C"/>
    <w:rsid w:val="37D4728E"/>
    <w:rsid w:val="37D52D2F"/>
    <w:rsid w:val="37D535D3"/>
    <w:rsid w:val="37D545F8"/>
    <w:rsid w:val="37D657F3"/>
    <w:rsid w:val="37D72911"/>
    <w:rsid w:val="37D83F93"/>
    <w:rsid w:val="37D90437"/>
    <w:rsid w:val="37D91B36"/>
    <w:rsid w:val="37DA4D71"/>
    <w:rsid w:val="37DB1A53"/>
    <w:rsid w:val="37DD5A4E"/>
    <w:rsid w:val="37DF5322"/>
    <w:rsid w:val="37E00298"/>
    <w:rsid w:val="37E12BD5"/>
    <w:rsid w:val="37E22DB7"/>
    <w:rsid w:val="37E22FE1"/>
    <w:rsid w:val="37E25A49"/>
    <w:rsid w:val="37E402B3"/>
    <w:rsid w:val="37E4079F"/>
    <w:rsid w:val="37E55368"/>
    <w:rsid w:val="37E568E8"/>
    <w:rsid w:val="37E615B1"/>
    <w:rsid w:val="37E638DB"/>
    <w:rsid w:val="37E64902"/>
    <w:rsid w:val="37E80C10"/>
    <w:rsid w:val="37E8483E"/>
    <w:rsid w:val="37E85459"/>
    <w:rsid w:val="37E857EC"/>
    <w:rsid w:val="37E94BF6"/>
    <w:rsid w:val="37EA2644"/>
    <w:rsid w:val="37EA7BB0"/>
    <w:rsid w:val="37EC40FE"/>
    <w:rsid w:val="37EC4B73"/>
    <w:rsid w:val="37ED1188"/>
    <w:rsid w:val="37EE6DEC"/>
    <w:rsid w:val="37F04CBB"/>
    <w:rsid w:val="37F12DDF"/>
    <w:rsid w:val="37F133F5"/>
    <w:rsid w:val="37F214F9"/>
    <w:rsid w:val="37F330E7"/>
    <w:rsid w:val="37F36A7F"/>
    <w:rsid w:val="37F43457"/>
    <w:rsid w:val="37F4450D"/>
    <w:rsid w:val="37F46573"/>
    <w:rsid w:val="37F60FE9"/>
    <w:rsid w:val="37F61B5C"/>
    <w:rsid w:val="37F61E14"/>
    <w:rsid w:val="37F766E0"/>
    <w:rsid w:val="37F77A04"/>
    <w:rsid w:val="37F841D1"/>
    <w:rsid w:val="37F963E3"/>
    <w:rsid w:val="37FA202F"/>
    <w:rsid w:val="37FA25CF"/>
    <w:rsid w:val="37FA2A25"/>
    <w:rsid w:val="37FA6504"/>
    <w:rsid w:val="37FC4126"/>
    <w:rsid w:val="37FC474B"/>
    <w:rsid w:val="37FC56A4"/>
    <w:rsid w:val="37FE3DAD"/>
    <w:rsid w:val="37FF09E1"/>
    <w:rsid w:val="37FF11A1"/>
    <w:rsid w:val="37FF4F3B"/>
    <w:rsid w:val="37FF5ED0"/>
    <w:rsid w:val="38002A97"/>
    <w:rsid w:val="38006913"/>
    <w:rsid w:val="38012CA6"/>
    <w:rsid w:val="38015DB8"/>
    <w:rsid w:val="38016E3C"/>
    <w:rsid w:val="38023C3D"/>
    <w:rsid w:val="380253FC"/>
    <w:rsid w:val="38025B32"/>
    <w:rsid w:val="38031C51"/>
    <w:rsid w:val="380422E5"/>
    <w:rsid w:val="380454D5"/>
    <w:rsid w:val="380724D4"/>
    <w:rsid w:val="380745A8"/>
    <w:rsid w:val="38080D1C"/>
    <w:rsid w:val="380A0674"/>
    <w:rsid w:val="380A6843"/>
    <w:rsid w:val="380A6C6B"/>
    <w:rsid w:val="380E47C1"/>
    <w:rsid w:val="380F20AB"/>
    <w:rsid w:val="38112EB7"/>
    <w:rsid w:val="381319CF"/>
    <w:rsid w:val="38137B64"/>
    <w:rsid w:val="381417FE"/>
    <w:rsid w:val="38143507"/>
    <w:rsid w:val="3814696F"/>
    <w:rsid w:val="38150487"/>
    <w:rsid w:val="3816120D"/>
    <w:rsid w:val="38163439"/>
    <w:rsid w:val="38172D0E"/>
    <w:rsid w:val="38175E46"/>
    <w:rsid w:val="38180ACA"/>
    <w:rsid w:val="3818343F"/>
    <w:rsid w:val="38196A86"/>
    <w:rsid w:val="381A1F07"/>
    <w:rsid w:val="381A45FF"/>
    <w:rsid w:val="381A4EAB"/>
    <w:rsid w:val="38202DFD"/>
    <w:rsid w:val="38204D8E"/>
    <w:rsid w:val="38205161"/>
    <w:rsid w:val="38207D33"/>
    <w:rsid w:val="38257597"/>
    <w:rsid w:val="38257A48"/>
    <w:rsid w:val="38286CC9"/>
    <w:rsid w:val="3829763F"/>
    <w:rsid w:val="382A4840"/>
    <w:rsid w:val="382B0347"/>
    <w:rsid w:val="382B4B2E"/>
    <w:rsid w:val="382D672D"/>
    <w:rsid w:val="38300B21"/>
    <w:rsid w:val="38325586"/>
    <w:rsid w:val="38327A91"/>
    <w:rsid w:val="383342F5"/>
    <w:rsid w:val="383355A0"/>
    <w:rsid w:val="38336E80"/>
    <w:rsid w:val="38341B11"/>
    <w:rsid w:val="38343275"/>
    <w:rsid w:val="3835384F"/>
    <w:rsid w:val="38360A5C"/>
    <w:rsid w:val="38361688"/>
    <w:rsid w:val="38367638"/>
    <w:rsid w:val="383729BD"/>
    <w:rsid w:val="3838336F"/>
    <w:rsid w:val="38390ED6"/>
    <w:rsid w:val="383A69FC"/>
    <w:rsid w:val="383B04F4"/>
    <w:rsid w:val="383B62E8"/>
    <w:rsid w:val="383B7E47"/>
    <w:rsid w:val="383D19AE"/>
    <w:rsid w:val="383D2FAF"/>
    <w:rsid w:val="383D3075"/>
    <w:rsid w:val="383F2718"/>
    <w:rsid w:val="383F499B"/>
    <w:rsid w:val="38424E28"/>
    <w:rsid w:val="384533B7"/>
    <w:rsid w:val="38455388"/>
    <w:rsid w:val="38470B1A"/>
    <w:rsid w:val="38475E58"/>
    <w:rsid w:val="38490FD2"/>
    <w:rsid w:val="384966DC"/>
    <w:rsid w:val="384B354A"/>
    <w:rsid w:val="384C203E"/>
    <w:rsid w:val="384D3DA8"/>
    <w:rsid w:val="384F2476"/>
    <w:rsid w:val="385044BE"/>
    <w:rsid w:val="38511E70"/>
    <w:rsid w:val="3851621F"/>
    <w:rsid w:val="38520936"/>
    <w:rsid w:val="38523D46"/>
    <w:rsid w:val="385321A1"/>
    <w:rsid w:val="385353FE"/>
    <w:rsid w:val="38545666"/>
    <w:rsid w:val="38550242"/>
    <w:rsid w:val="385641A8"/>
    <w:rsid w:val="385719C9"/>
    <w:rsid w:val="38575800"/>
    <w:rsid w:val="385822C4"/>
    <w:rsid w:val="38582C02"/>
    <w:rsid w:val="385924A3"/>
    <w:rsid w:val="385A0D9B"/>
    <w:rsid w:val="385B709E"/>
    <w:rsid w:val="385E4201"/>
    <w:rsid w:val="38604563"/>
    <w:rsid w:val="386125D0"/>
    <w:rsid w:val="38613748"/>
    <w:rsid w:val="38621389"/>
    <w:rsid w:val="38663405"/>
    <w:rsid w:val="38670992"/>
    <w:rsid w:val="38681530"/>
    <w:rsid w:val="38685B4A"/>
    <w:rsid w:val="386A4252"/>
    <w:rsid w:val="386A5533"/>
    <w:rsid w:val="386B0176"/>
    <w:rsid w:val="386B6361"/>
    <w:rsid w:val="386C4DD4"/>
    <w:rsid w:val="386C7F93"/>
    <w:rsid w:val="386D02B5"/>
    <w:rsid w:val="386D0C61"/>
    <w:rsid w:val="386E0F57"/>
    <w:rsid w:val="386E373F"/>
    <w:rsid w:val="38700130"/>
    <w:rsid w:val="38703DE3"/>
    <w:rsid w:val="3870709A"/>
    <w:rsid w:val="38712880"/>
    <w:rsid w:val="3871483A"/>
    <w:rsid w:val="38714CB8"/>
    <w:rsid w:val="387278BA"/>
    <w:rsid w:val="38730DA8"/>
    <w:rsid w:val="387313FA"/>
    <w:rsid w:val="38737E89"/>
    <w:rsid w:val="38740453"/>
    <w:rsid w:val="38741F0E"/>
    <w:rsid w:val="3874244B"/>
    <w:rsid w:val="387452EC"/>
    <w:rsid w:val="387502E8"/>
    <w:rsid w:val="387512E9"/>
    <w:rsid w:val="38763ED8"/>
    <w:rsid w:val="3877062A"/>
    <w:rsid w:val="38771243"/>
    <w:rsid w:val="387719FE"/>
    <w:rsid w:val="38791610"/>
    <w:rsid w:val="387936C4"/>
    <w:rsid w:val="387973A5"/>
    <w:rsid w:val="387A1915"/>
    <w:rsid w:val="387A6293"/>
    <w:rsid w:val="387B7CAD"/>
    <w:rsid w:val="387C4814"/>
    <w:rsid w:val="387C6A88"/>
    <w:rsid w:val="387D0F92"/>
    <w:rsid w:val="387E5815"/>
    <w:rsid w:val="387F3E0B"/>
    <w:rsid w:val="38804D57"/>
    <w:rsid w:val="3880737C"/>
    <w:rsid w:val="38820FC4"/>
    <w:rsid w:val="3882287D"/>
    <w:rsid w:val="3882410B"/>
    <w:rsid w:val="38831852"/>
    <w:rsid w:val="38836BF8"/>
    <w:rsid w:val="38841601"/>
    <w:rsid w:val="388468B1"/>
    <w:rsid w:val="38863871"/>
    <w:rsid w:val="3886751A"/>
    <w:rsid w:val="3886773D"/>
    <w:rsid w:val="38871C41"/>
    <w:rsid w:val="38873661"/>
    <w:rsid w:val="38875FF8"/>
    <w:rsid w:val="38877957"/>
    <w:rsid w:val="38897735"/>
    <w:rsid w:val="388A1F8A"/>
    <w:rsid w:val="388A201F"/>
    <w:rsid w:val="388A42AC"/>
    <w:rsid w:val="388A4D91"/>
    <w:rsid w:val="388B7B2C"/>
    <w:rsid w:val="388C12CE"/>
    <w:rsid w:val="388C759E"/>
    <w:rsid w:val="388D041F"/>
    <w:rsid w:val="388D140A"/>
    <w:rsid w:val="388E0019"/>
    <w:rsid w:val="388E1903"/>
    <w:rsid w:val="388E2AF1"/>
    <w:rsid w:val="388E6FFE"/>
    <w:rsid w:val="388F002C"/>
    <w:rsid w:val="388F2CA4"/>
    <w:rsid w:val="388F3388"/>
    <w:rsid w:val="3890409C"/>
    <w:rsid w:val="38916378"/>
    <w:rsid w:val="38921C79"/>
    <w:rsid w:val="38935666"/>
    <w:rsid w:val="3894435E"/>
    <w:rsid w:val="38964330"/>
    <w:rsid w:val="389706FB"/>
    <w:rsid w:val="38971D55"/>
    <w:rsid w:val="38983C36"/>
    <w:rsid w:val="38983D44"/>
    <w:rsid w:val="38985BEB"/>
    <w:rsid w:val="38991974"/>
    <w:rsid w:val="389A3DC6"/>
    <w:rsid w:val="389A553C"/>
    <w:rsid w:val="389B56ED"/>
    <w:rsid w:val="389C3213"/>
    <w:rsid w:val="389C7CF3"/>
    <w:rsid w:val="389E6DEE"/>
    <w:rsid w:val="389F4470"/>
    <w:rsid w:val="38A0696D"/>
    <w:rsid w:val="38A0725E"/>
    <w:rsid w:val="38A074E8"/>
    <w:rsid w:val="38A1431F"/>
    <w:rsid w:val="38A1653E"/>
    <w:rsid w:val="38A1665C"/>
    <w:rsid w:val="38A17DF7"/>
    <w:rsid w:val="38A2146E"/>
    <w:rsid w:val="38A22DB6"/>
    <w:rsid w:val="38A23437"/>
    <w:rsid w:val="38A62BCF"/>
    <w:rsid w:val="38A65E3F"/>
    <w:rsid w:val="38A81BB8"/>
    <w:rsid w:val="38A85143"/>
    <w:rsid w:val="38A905AC"/>
    <w:rsid w:val="38AA2AF1"/>
    <w:rsid w:val="38AB1071"/>
    <w:rsid w:val="38AC461D"/>
    <w:rsid w:val="38AD5420"/>
    <w:rsid w:val="38AD73DB"/>
    <w:rsid w:val="38AF5FD1"/>
    <w:rsid w:val="38AF69CC"/>
    <w:rsid w:val="38B02373"/>
    <w:rsid w:val="38B04C5E"/>
    <w:rsid w:val="38B04DE6"/>
    <w:rsid w:val="38B059AF"/>
    <w:rsid w:val="38B07E6C"/>
    <w:rsid w:val="38B201AB"/>
    <w:rsid w:val="38B22046"/>
    <w:rsid w:val="38B302F9"/>
    <w:rsid w:val="38B62526"/>
    <w:rsid w:val="38B75103"/>
    <w:rsid w:val="38B81017"/>
    <w:rsid w:val="38B82C9F"/>
    <w:rsid w:val="38B8579A"/>
    <w:rsid w:val="38B85DC6"/>
    <w:rsid w:val="38B863F8"/>
    <w:rsid w:val="38BA221A"/>
    <w:rsid w:val="38BA69AF"/>
    <w:rsid w:val="38BB468E"/>
    <w:rsid w:val="38BC16AF"/>
    <w:rsid w:val="38BD0E96"/>
    <w:rsid w:val="38BD38B5"/>
    <w:rsid w:val="38BD4C7D"/>
    <w:rsid w:val="38BD6CF4"/>
    <w:rsid w:val="38BE07E1"/>
    <w:rsid w:val="38C04D8B"/>
    <w:rsid w:val="38C23579"/>
    <w:rsid w:val="38C33D58"/>
    <w:rsid w:val="38C34C43"/>
    <w:rsid w:val="38C35EBE"/>
    <w:rsid w:val="38C40DB2"/>
    <w:rsid w:val="38C41A58"/>
    <w:rsid w:val="38C473A0"/>
    <w:rsid w:val="38C61F6A"/>
    <w:rsid w:val="38C63934"/>
    <w:rsid w:val="38C65992"/>
    <w:rsid w:val="38C73354"/>
    <w:rsid w:val="38C8225A"/>
    <w:rsid w:val="38C84E8F"/>
    <w:rsid w:val="38C97430"/>
    <w:rsid w:val="38CA7E9D"/>
    <w:rsid w:val="38CC1654"/>
    <w:rsid w:val="38CC1D4A"/>
    <w:rsid w:val="38CC3A8D"/>
    <w:rsid w:val="38CC58A6"/>
    <w:rsid w:val="38CD535F"/>
    <w:rsid w:val="38CD7599"/>
    <w:rsid w:val="38CE2D0D"/>
    <w:rsid w:val="38CF0211"/>
    <w:rsid w:val="38CF2BFD"/>
    <w:rsid w:val="38CF7007"/>
    <w:rsid w:val="38CF7493"/>
    <w:rsid w:val="38D10DC2"/>
    <w:rsid w:val="38D155B2"/>
    <w:rsid w:val="38D16792"/>
    <w:rsid w:val="38D2416E"/>
    <w:rsid w:val="38D5676B"/>
    <w:rsid w:val="38D57418"/>
    <w:rsid w:val="38D64BEE"/>
    <w:rsid w:val="38D72FFB"/>
    <w:rsid w:val="38D932F3"/>
    <w:rsid w:val="38D94B84"/>
    <w:rsid w:val="38DA3AD5"/>
    <w:rsid w:val="38DB7001"/>
    <w:rsid w:val="38DD7C7E"/>
    <w:rsid w:val="38DF7CCF"/>
    <w:rsid w:val="38E0190C"/>
    <w:rsid w:val="38E06914"/>
    <w:rsid w:val="38E16588"/>
    <w:rsid w:val="38E21359"/>
    <w:rsid w:val="38E250CA"/>
    <w:rsid w:val="38E34C0D"/>
    <w:rsid w:val="38E3642D"/>
    <w:rsid w:val="38E408CA"/>
    <w:rsid w:val="38E41866"/>
    <w:rsid w:val="38E41A7B"/>
    <w:rsid w:val="38E47BB0"/>
    <w:rsid w:val="38E5182D"/>
    <w:rsid w:val="38E53AD0"/>
    <w:rsid w:val="38E54BBA"/>
    <w:rsid w:val="38E6232B"/>
    <w:rsid w:val="38E7481E"/>
    <w:rsid w:val="38E74F7A"/>
    <w:rsid w:val="38E77AEF"/>
    <w:rsid w:val="38E82DD7"/>
    <w:rsid w:val="38E832A8"/>
    <w:rsid w:val="38E920B8"/>
    <w:rsid w:val="38E9376D"/>
    <w:rsid w:val="38E95AFB"/>
    <w:rsid w:val="38EA2262"/>
    <w:rsid w:val="38EB00DF"/>
    <w:rsid w:val="38EC7E15"/>
    <w:rsid w:val="38ED6753"/>
    <w:rsid w:val="38ED6D78"/>
    <w:rsid w:val="38EF77E6"/>
    <w:rsid w:val="38F02CC4"/>
    <w:rsid w:val="38F06D8E"/>
    <w:rsid w:val="38F12CD3"/>
    <w:rsid w:val="38F1461C"/>
    <w:rsid w:val="38F17D66"/>
    <w:rsid w:val="38F4218C"/>
    <w:rsid w:val="38F43F9A"/>
    <w:rsid w:val="38F8045A"/>
    <w:rsid w:val="38F82B3F"/>
    <w:rsid w:val="38F94775"/>
    <w:rsid w:val="38FA44DE"/>
    <w:rsid w:val="38FA7297"/>
    <w:rsid w:val="38FA778D"/>
    <w:rsid w:val="38FB10C2"/>
    <w:rsid w:val="38FB130B"/>
    <w:rsid w:val="38FC0752"/>
    <w:rsid w:val="38FF1349"/>
    <w:rsid w:val="38FF284B"/>
    <w:rsid w:val="38FF5379"/>
    <w:rsid w:val="39012BD1"/>
    <w:rsid w:val="3902561E"/>
    <w:rsid w:val="39025CC9"/>
    <w:rsid w:val="39030F3F"/>
    <w:rsid w:val="39032C7F"/>
    <w:rsid w:val="39036724"/>
    <w:rsid w:val="390414E4"/>
    <w:rsid w:val="39050DB8"/>
    <w:rsid w:val="3905377C"/>
    <w:rsid w:val="39054554"/>
    <w:rsid w:val="39061ECE"/>
    <w:rsid w:val="39065D1C"/>
    <w:rsid w:val="39073C73"/>
    <w:rsid w:val="39087172"/>
    <w:rsid w:val="390A0C11"/>
    <w:rsid w:val="390B41CA"/>
    <w:rsid w:val="390B4C38"/>
    <w:rsid w:val="390B5C54"/>
    <w:rsid w:val="390C08FB"/>
    <w:rsid w:val="390C5000"/>
    <w:rsid w:val="390E2362"/>
    <w:rsid w:val="390E43FF"/>
    <w:rsid w:val="390E5BA1"/>
    <w:rsid w:val="390F5200"/>
    <w:rsid w:val="390F7975"/>
    <w:rsid w:val="3911359A"/>
    <w:rsid w:val="391157F8"/>
    <w:rsid w:val="391162B2"/>
    <w:rsid w:val="39122E24"/>
    <w:rsid w:val="39126D9F"/>
    <w:rsid w:val="3915008D"/>
    <w:rsid w:val="39180AEB"/>
    <w:rsid w:val="391817E0"/>
    <w:rsid w:val="39182C57"/>
    <w:rsid w:val="39186D60"/>
    <w:rsid w:val="39194863"/>
    <w:rsid w:val="391A325A"/>
    <w:rsid w:val="391A33B7"/>
    <w:rsid w:val="391B044F"/>
    <w:rsid w:val="391B30EE"/>
    <w:rsid w:val="391D0389"/>
    <w:rsid w:val="39200FD4"/>
    <w:rsid w:val="39227C60"/>
    <w:rsid w:val="392411F9"/>
    <w:rsid w:val="39253DDB"/>
    <w:rsid w:val="39260474"/>
    <w:rsid w:val="39285E70"/>
    <w:rsid w:val="392971ED"/>
    <w:rsid w:val="392A565E"/>
    <w:rsid w:val="392B0F2B"/>
    <w:rsid w:val="392B2513"/>
    <w:rsid w:val="392C07CD"/>
    <w:rsid w:val="392C18C2"/>
    <w:rsid w:val="392C35B9"/>
    <w:rsid w:val="392C4597"/>
    <w:rsid w:val="392C5ACA"/>
    <w:rsid w:val="392D24D9"/>
    <w:rsid w:val="392D38B5"/>
    <w:rsid w:val="392E26EE"/>
    <w:rsid w:val="392E349F"/>
    <w:rsid w:val="392E6816"/>
    <w:rsid w:val="392E79F8"/>
    <w:rsid w:val="392F06A5"/>
    <w:rsid w:val="392F0AE3"/>
    <w:rsid w:val="392F65A1"/>
    <w:rsid w:val="3930237F"/>
    <w:rsid w:val="39305210"/>
    <w:rsid w:val="39314B16"/>
    <w:rsid w:val="3931515B"/>
    <w:rsid w:val="39325651"/>
    <w:rsid w:val="393330D3"/>
    <w:rsid w:val="393618B9"/>
    <w:rsid w:val="39364035"/>
    <w:rsid w:val="39364236"/>
    <w:rsid w:val="39371FB0"/>
    <w:rsid w:val="39394185"/>
    <w:rsid w:val="393A261F"/>
    <w:rsid w:val="393B473C"/>
    <w:rsid w:val="393B6790"/>
    <w:rsid w:val="393C5B93"/>
    <w:rsid w:val="393C7266"/>
    <w:rsid w:val="393D0F86"/>
    <w:rsid w:val="393D16FC"/>
    <w:rsid w:val="393D40CC"/>
    <w:rsid w:val="393D55C6"/>
    <w:rsid w:val="393E0439"/>
    <w:rsid w:val="393F251C"/>
    <w:rsid w:val="393F3722"/>
    <w:rsid w:val="393F3A4C"/>
    <w:rsid w:val="39404BA7"/>
    <w:rsid w:val="394144E6"/>
    <w:rsid w:val="39433198"/>
    <w:rsid w:val="394336F2"/>
    <w:rsid w:val="39464C00"/>
    <w:rsid w:val="39481987"/>
    <w:rsid w:val="39491F03"/>
    <w:rsid w:val="394928B3"/>
    <w:rsid w:val="39495149"/>
    <w:rsid w:val="394B3186"/>
    <w:rsid w:val="394B5386"/>
    <w:rsid w:val="394C106E"/>
    <w:rsid w:val="394C69E7"/>
    <w:rsid w:val="394F1D9F"/>
    <w:rsid w:val="39500DF8"/>
    <w:rsid w:val="39504729"/>
    <w:rsid w:val="395051AB"/>
    <w:rsid w:val="39511147"/>
    <w:rsid w:val="39520385"/>
    <w:rsid w:val="39520D41"/>
    <w:rsid w:val="39527070"/>
    <w:rsid w:val="39534219"/>
    <w:rsid w:val="39540AB4"/>
    <w:rsid w:val="39560FE5"/>
    <w:rsid w:val="395654A1"/>
    <w:rsid w:val="39572FD0"/>
    <w:rsid w:val="39583FDA"/>
    <w:rsid w:val="3958646F"/>
    <w:rsid w:val="39587C48"/>
    <w:rsid w:val="39597A46"/>
    <w:rsid w:val="395A5994"/>
    <w:rsid w:val="395A62E0"/>
    <w:rsid w:val="395C2DF8"/>
    <w:rsid w:val="395C6F5A"/>
    <w:rsid w:val="395D051F"/>
    <w:rsid w:val="395D125B"/>
    <w:rsid w:val="395D29A2"/>
    <w:rsid w:val="395D57E6"/>
    <w:rsid w:val="395F2BBE"/>
    <w:rsid w:val="395F6B4C"/>
    <w:rsid w:val="3960257B"/>
    <w:rsid w:val="396146A7"/>
    <w:rsid w:val="39617B47"/>
    <w:rsid w:val="39624079"/>
    <w:rsid w:val="39633898"/>
    <w:rsid w:val="396414E8"/>
    <w:rsid w:val="39641750"/>
    <w:rsid w:val="39656602"/>
    <w:rsid w:val="396804A5"/>
    <w:rsid w:val="3968691A"/>
    <w:rsid w:val="39687817"/>
    <w:rsid w:val="39693A3D"/>
    <w:rsid w:val="396A28D1"/>
    <w:rsid w:val="396A5059"/>
    <w:rsid w:val="396A50BF"/>
    <w:rsid w:val="396A6BF0"/>
    <w:rsid w:val="396C2487"/>
    <w:rsid w:val="396C5922"/>
    <w:rsid w:val="396C675D"/>
    <w:rsid w:val="396C7C64"/>
    <w:rsid w:val="396C7F6E"/>
    <w:rsid w:val="396E2E01"/>
    <w:rsid w:val="396E4BAF"/>
    <w:rsid w:val="396E5440"/>
    <w:rsid w:val="396E7AF5"/>
    <w:rsid w:val="396F270A"/>
    <w:rsid w:val="396F422D"/>
    <w:rsid w:val="396F4D09"/>
    <w:rsid w:val="39715DC5"/>
    <w:rsid w:val="397216A7"/>
    <w:rsid w:val="39755F3E"/>
    <w:rsid w:val="39773F20"/>
    <w:rsid w:val="39787CF9"/>
    <w:rsid w:val="397945AE"/>
    <w:rsid w:val="39797F39"/>
    <w:rsid w:val="397A17A6"/>
    <w:rsid w:val="397B51DC"/>
    <w:rsid w:val="397B72CC"/>
    <w:rsid w:val="397C0E0F"/>
    <w:rsid w:val="397F54FD"/>
    <w:rsid w:val="397F6CAC"/>
    <w:rsid w:val="39804C10"/>
    <w:rsid w:val="39830A43"/>
    <w:rsid w:val="39831452"/>
    <w:rsid w:val="39842625"/>
    <w:rsid w:val="39861B63"/>
    <w:rsid w:val="39871519"/>
    <w:rsid w:val="39871E79"/>
    <w:rsid w:val="39882264"/>
    <w:rsid w:val="398825BD"/>
    <w:rsid w:val="39882A88"/>
    <w:rsid w:val="39893CD5"/>
    <w:rsid w:val="398A2329"/>
    <w:rsid w:val="398A256A"/>
    <w:rsid w:val="398B3128"/>
    <w:rsid w:val="398C62BA"/>
    <w:rsid w:val="398D772B"/>
    <w:rsid w:val="398E4191"/>
    <w:rsid w:val="398E4745"/>
    <w:rsid w:val="398F4581"/>
    <w:rsid w:val="398F539F"/>
    <w:rsid w:val="398F5FB5"/>
    <w:rsid w:val="3990381C"/>
    <w:rsid w:val="3991089E"/>
    <w:rsid w:val="399158FC"/>
    <w:rsid w:val="39946B4F"/>
    <w:rsid w:val="399544BB"/>
    <w:rsid w:val="39965B73"/>
    <w:rsid w:val="399666D1"/>
    <w:rsid w:val="39976672"/>
    <w:rsid w:val="3997766F"/>
    <w:rsid w:val="399964A2"/>
    <w:rsid w:val="399A7755"/>
    <w:rsid w:val="399B1B61"/>
    <w:rsid w:val="399B3975"/>
    <w:rsid w:val="399D1962"/>
    <w:rsid w:val="399D2977"/>
    <w:rsid w:val="399D36E6"/>
    <w:rsid w:val="399D6DB5"/>
    <w:rsid w:val="399E1134"/>
    <w:rsid w:val="399F120C"/>
    <w:rsid w:val="39A02A8E"/>
    <w:rsid w:val="39A2173F"/>
    <w:rsid w:val="39A22AAB"/>
    <w:rsid w:val="39A23B6D"/>
    <w:rsid w:val="39A24697"/>
    <w:rsid w:val="39A3219C"/>
    <w:rsid w:val="39A33427"/>
    <w:rsid w:val="39A52030"/>
    <w:rsid w:val="39A607ED"/>
    <w:rsid w:val="39A624AA"/>
    <w:rsid w:val="39A70784"/>
    <w:rsid w:val="39A75836"/>
    <w:rsid w:val="39A805F2"/>
    <w:rsid w:val="39A84565"/>
    <w:rsid w:val="39A84A7C"/>
    <w:rsid w:val="39A863EB"/>
    <w:rsid w:val="39A9281A"/>
    <w:rsid w:val="39A9644C"/>
    <w:rsid w:val="39A96A60"/>
    <w:rsid w:val="39AA053B"/>
    <w:rsid w:val="39AA0566"/>
    <w:rsid w:val="39AD63A0"/>
    <w:rsid w:val="39AF523A"/>
    <w:rsid w:val="39AF5F6B"/>
    <w:rsid w:val="39B0282C"/>
    <w:rsid w:val="39B03C91"/>
    <w:rsid w:val="39B0459E"/>
    <w:rsid w:val="39B1140B"/>
    <w:rsid w:val="39B24D19"/>
    <w:rsid w:val="39B267A3"/>
    <w:rsid w:val="39B3406D"/>
    <w:rsid w:val="39B343B1"/>
    <w:rsid w:val="39B373EB"/>
    <w:rsid w:val="39B5156C"/>
    <w:rsid w:val="39B53EE5"/>
    <w:rsid w:val="39B74B6E"/>
    <w:rsid w:val="39B77D21"/>
    <w:rsid w:val="39B77E39"/>
    <w:rsid w:val="39B8635B"/>
    <w:rsid w:val="39B90B3D"/>
    <w:rsid w:val="39B92F14"/>
    <w:rsid w:val="39BC21EA"/>
    <w:rsid w:val="39BC25B5"/>
    <w:rsid w:val="39BC5EE0"/>
    <w:rsid w:val="39BD1693"/>
    <w:rsid w:val="39BD4473"/>
    <w:rsid w:val="39BE3666"/>
    <w:rsid w:val="39BE5D5A"/>
    <w:rsid w:val="39C04D03"/>
    <w:rsid w:val="39C1531E"/>
    <w:rsid w:val="39C25E73"/>
    <w:rsid w:val="39C27529"/>
    <w:rsid w:val="39C331CB"/>
    <w:rsid w:val="39C33FDC"/>
    <w:rsid w:val="39C42A21"/>
    <w:rsid w:val="39C57DD1"/>
    <w:rsid w:val="39C600BB"/>
    <w:rsid w:val="39C84B6D"/>
    <w:rsid w:val="39C901C4"/>
    <w:rsid w:val="39C90F59"/>
    <w:rsid w:val="39C946A2"/>
    <w:rsid w:val="39CA52C1"/>
    <w:rsid w:val="39CB08C3"/>
    <w:rsid w:val="39CB346E"/>
    <w:rsid w:val="39CC2246"/>
    <w:rsid w:val="39CC22E6"/>
    <w:rsid w:val="39CD027D"/>
    <w:rsid w:val="39CD0FCF"/>
    <w:rsid w:val="39CD5D7A"/>
    <w:rsid w:val="39CD5E80"/>
    <w:rsid w:val="39CD766D"/>
    <w:rsid w:val="39CE43E0"/>
    <w:rsid w:val="39CE4897"/>
    <w:rsid w:val="39CE5F19"/>
    <w:rsid w:val="39CF50B4"/>
    <w:rsid w:val="39D22F05"/>
    <w:rsid w:val="39D24A78"/>
    <w:rsid w:val="39D25C82"/>
    <w:rsid w:val="39D27A1C"/>
    <w:rsid w:val="39D30EF7"/>
    <w:rsid w:val="39D3651F"/>
    <w:rsid w:val="39D467FD"/>
    <w:rsid w:val="39D55C47"/>
    <w:rsid w:val="39D56716"/>
    <w:rsid w:val="39D602A0"/>
    <w:rsid w:val="39D94169"/>
    <w:rsid w:val="39D94C7A"/>
    <w:rsid w:val="39DA0781"/>
    <w:rsid w:val="39DA2A58"/>
    <w:rsid w:val="39DB5205"/>
    <w:rsid w:val="39DD244A"/>
    <w:rsid w:val="39DD26FE"/>
    <w:rsid w:val="39DD7DD2"/>
    <w:rsid w:val="39DF41CF"/>
    <w:rsid w:val="39E065D2"/>
    <w:rsid w:val="39E10B51"/>
    <w:rsid w:val="39E135D3"/>
    <w:rsid w:val="39E330D2"/>
    <w:rsid w:val="39E33BBF"/>
    <w:rsid w:val="39E37F9A"/>
    <w:rsid w:val="39E42A90"/>
    <w:rsid w:val="39E45B52"/>
    <w:rsid w:val="39E4772D"/>
    <w:rsid w:val="39E47C8A"/>
    <w:rsid w:val="39E5250A"/>
    <w:rsid w:val="39E54C39"/>
    <w:rsid w:val="39E64858"/>
    <w:rsid w:val="39E708B4"/>
    <w:rsid w:val="39E85C1E"/>
    <w:rsid w:val="39E934DC"/>
    <w:rsid w:val="39EB26A4"/>
    <w:rsid w:val="39EC027C"/>
    <w:rsid w:val="39EC4568"/>
    <w:rsid w:val="39EF114E"/>
    <w:rsid w:val="39EF2F96"/>
    <w:rsid w:val="39EF3730"/>
    <w:rsid w:val="39F0468C"/>
    <w:rsid w:val="39F344A7"/>
    <w:rsid w:val="39F500D6"/>
    <w:rsid w:val="39F50E2C"/>
    <w:rsid w:val="39F52AEB"/>
    <w:rsid w:val="39F52E51"/>
    <w:rsid w:val="39F56FE3"/>
    <w:rsid w:val="39F7141A"/>
    <w:rsid w:val="39F71FB2"/>
    <w:rsid w:val="39F725D9"/>
    <w:rsid w:val="39F726E6"/>
    <w:rsid w:val="39F76DFF"/>
    <w:rsid w:val="39F92D25"/>
    <w:rsid w:val="39FB5445"/>
    <w:rsid w:val="39FC06C9"/>
    <w:rsid w:val="39FC69F5"/>
    <w:rsid w:val="39FD7F1D"/>
    <w:rsid w:val="39FE1DA1"/>
    <w:rsid w:val="39FF1CFC"/>
    <w:rsid w:val="39FF7EFD"/>
    <w:rsid w:val="3A011E27"/>
    <w:rsid w:val="3A0440D2"/>
    <w:rsid w:val="3A064B2B"/>
    <w:rsid w:val="3A084B51"/>
    <w:rsid w:val="3A09473E"/>
    <w:rsid w:val="3A095FE4"/>
    <w:rsid w:val="3A0A1EBE"/>
    <w:rsid w:val="3A0B6FE4"/>
    <w:rsid w:val="3A0E01B0"/>
    <w:rsid w:val="3A0E53E2"/>
    <w:rsid w:val="3A0F624A"/>
    <w:rsid w:val="3A1061A5"/>
    <w:rsid w:val="3A111DA8"/>
    <w:rsid w:val="3A127C30"/>
    <w:rsid w:val="3A170283"/>
    <w:rsid w:val="3A1707D2"/>
    <w:rsid w:val="3A1712A2"/>
    <w:rsid w:val="3A17245E"/>
    <w:rsid w:val="3A175EAD"/>
    <w:rsid w:val="3A181DCC"/>
    <w:rsid w:val="3A194AAD"/>
    <w:rsid w:val="3A1A3BFF"/>
    <w:rsid w:val="3A1A6AE5"/>
    <w:rsid w:val="3A1B7194"/>
    <w:rsid w:val="3A1C1E87"/>
    <w:rsid w:val="3A1D1EE7"/>
    <w:rsid w:val="3A1D6B46"/>
    <w:rsid w:val="3A1E15C1"/>
    <w:rsid w:val="3A1F348A"/>
    <w:rsid w:val="3A1F61A0"/>
    <w:rsid w:val="3A203FE5"/>
    <w:rsid w:val="3A21622C"/>
    <w:rsid w:val="3A217E73"/>
    <w:rsid w:val="3A22133D"/>
    <w:rsid w:val="3A2238BA"/>
    <w:rsid w:val="3A23277D"/>
    <w:rsid w:val="3A23599A"/>
    <w:rsid w:val="3A24276B"/>
    <w:rsid w:val="3A261DC0"/>
    <w:rsid w:val="3A26689D"/>
    <w:rsid w:val="3A274104"/>
    <w:rsid w:val="3A27632A"/>
    <w:rsid w:val="3A286138"/>
    <w:rsid w:val="3A2875D5"/>
    <w:rsid w:val="3A2A00F8"/>
    <w:rsid w:val="3A2A2B20"/>
    <w:rsid w:val="3A2B1E78"/>
    <w:rsid w:val="3A2B237D"/>
    <w:rsid w:val="3A2D2A23"/>
    <w:rsid w:val="3A2E68EE"/>
    <w:rsid w:val="3A30455A"/>
    <w:rsid w:val="3A304AC6"/>
    <w:rsid w:val="3A305B3B"/>
    <w:rsid w:val="3A311B44"/>
    <w:rsid w:val="3A321C12"/>
    <w:rsid w:val="3A331038"/>
    <w:rsid w:val="3A336AF2"/>
    <w:rsid w:val="3A341F3C"/>
    <w:rsid w:val="3A343373"/>
    <w:rsid w:val="3A34541F"/>
    <w:rsid w:val="3A347666"/>
    <w:rsid w:val="3A352C3B"/>
    <w:rsid w:val="3A354915"/>
    <w:rsid w:val="3A35531E"/>
    <w:rsid w:val="3A3557F7"/>
    <w:rsid w:val="3A3624BA"/>
    <w:rsid w:val="3A37184F"/>
    <w:rsid w:val="3A375DDF"/>
    <w:rsid w:val="3A39023E"/>
    <w:rsid w:val="3A3B1377"/>
    <w:rsid w:val="3A3B2666"/>
    <w:rsid w:val="3A3B3AE3"/>
    <w:rsid w:val="3A3C61D2"/>
    <w:rsid w:val="3A3C7C37"/>
    <w:rsid w:val="3A3E73F2"/>
    <w:rsid w:val="3A3F5AA3"/>
    <w:rsid w:val="3A3F654C"/>
    <w:rsid w:val="3A3F77F4"/>
    <w:rsid w:val="3A400616"/>
    <w:rsid w:val="3A40736F"/>
    <w:rsid w:val="3A4127BE"/>
    <w:rsid w:val="3A414072"/>
    <w:rsid w:val="3A415561"/>
    <w:rsid w:val="3A422F6F"/>
    <w:rsid w:val="3A432F17"/>
    <w:rsid w:val="3A435481"/>
    <w:rsid w:val="3A443902"/>
    <w:rsid w:val="3A447D37"/>
    <w:rsid w:val="3A451DB4"/>
    <w:rsid w:val="3A4553FC"/>
    <w:rsid w:val="3A461688"/>
    <w:rsid w:val="3A462A03"/>
    <w:rsid w:val="3A46761D"/>
    <w:rsid w:val="3A485400"/>
    <w:rsid w:val="3A490E23"/>
    <w:rsid w:val="3A4923D1"/>
    <w:rsid w:val="3A4A012B"/>
    <w:rsid w:val="3A4B5D3A"/>
    <w:rsid w:val="3A4B7697"/>
    <w:rsid w:val="3A4D1B50"/>
    <w:rsid w:val="3A4D1FBF"/>
    <w:rsid w:val="3A4E2F2F"/>
    <w:rsid w:val="3A4E6AE9"/>
    <w:rsid w:val="3A4F678F"/>
    <w:rsid w:val="3A5016A5"/>
    <w:rsid w:val="3A5053FA"/>
    <w:rsid w:val="3A512573"/>
    <w:rsid w:val="3A51267C"/>
    <w:rsid w:val="3A517415"/>
    <w:rsid w:val="3A532800"/>
    <w:rsid w:val="3A534EB2"/>
    <w:rsid w:val="3A534F95"/>
    <w:rsid w:val="3A56221F"/>
    <w:rsid w:val="3A5726C8"/>
    <w:rsid w:val="3A590E27"/>
    <w:rsid w:val="3A5913BB"/>
    <w:rsid w:val="3A5937BD"/>
    <w:rsid w:val="3A59760D"/>
    <w:rsid w:val="3A5A1425"/>
    <w:rsid w:val="3A5A5641"/>
    <w:rsid w:val="3A5A5F28"/>
    <w:rsid w:val="3A5B1BDA"/>
    <w:rsid w:val="3A5E26DB"/>
    <w:rsid w:val="3A5E650F"/>
    <w:rsid w:val="3A5F0404"/>
    <w:rsid w:val="3A5F3A1F"/>
    <w:rsid w:val="3A5F444E"/>
    <w:rsid w:val="3A60682E"/>
    <w:rsid w:val="3A606C0C"/>
    <w:rsid w:val="3A613F18"/>
    <w:rsid w:val="3A615CF4"/>
    <w:rsid w:val="3A6271E6"/>
    <w:rsid w:val="3A627476"/>
    <w:rsid w:val="3A6277F8"/>
    <w:rsid w:val="3A6438F4"/>
    <w:rsid w:val="3A647D60"/>
    <w:rsid w:val="3A651FCE"/>
    <w:rsid w:val="3A655AA9"/>
    <w:rsid w:val="3A655FB2"/>
    <w:rsid w:val="3A6915F1"/>
    <w:rsid w:val="3A693BCA"/>
    <w:rsid w:val="3A693FB0"/>
    <w:rsid w:val="3A6A35C8"/>
    <w:rsid w:val="3A6A4B1A"/>
    <w:rsid w:val="3A6A7593"/>
    <w:rsid w:val="3A6B2252"/>
    <w:rsid w:val="3A6B5D8F"/>
    <w:rsid w:val="3A6B6B40"/>
    <w:rsid w:val="3A6C0536"/>
    <w:rsid w:val="3A6C413F"/>
    <w:rsid w:val="3A6C54CE"/>
    <w:rsid w:val="3A6D4E67"/>
    <w:rsid w:val="3A6F4F90"/>
    <w:rsid w:val="3A7063AD"/>
    <w:rsid w:val="3A706698"/>
    <w:rsid w:val="3A714F0A"/>
    <w:rsid w:val="3A7171E1"/>
    <w:rsid w:val="3A734CD9"/>
    <w:rsid w:val="3A744447"/>
    <w:rsid w:val="3A760293"/>
    <w:rsid w:val="3A791A5E"/>
    <w:rsid w:val="3A794B4B"/>
    <w:rsid w:val="3A796379"/>
    <w:rsid w:val="3A7972E6"/>
    <w:rsid w:val="3A7A5315"/>
    <w:rsid w:val="3A7A7FD9"/>
    <w:rsid w:val="3A7B1078"/>
    <w:rsid w:val="3A7B73AB"/>
    <w:rsid w:val="3A7C4549"/>
    <w:rsid w:val="3A7D2182"/>
    <w:rsid w:val="3A7F366D"/>
    <w:rsid w:val="3A8005C7"/>
    <w:rsid w:val="3A8008B4"/>
    <w:rsid w:val="3A80103E"/>
    <w:rsid w:val="3A8060F7"/>
    <w:rsid w:val="3A806F03"/>
    <w:rsid w:val="3A81625C"/>
    <w:rsid w:val="3A820F1D"/>
    <w:rsid w:val="3A832677"/>
    <w:rsid w:val="3A8343F8"/>
    <w:rsid w:val="3A8371B6"/>
    <w:rsid w:val="3A8421D1"/>
    <w:rsid w:val="3A84686A"/>
    <w:rsid w:val="3A84717F"/>
    <w:rsid w:val="3A854DFF"/>
    <w:rsid w:val="3A861A44"/>
    <w:rsid w:val="3A861AC1"/>
    <w:rsid w:val="3A872856"/>
    <w:rsid w:val="3A88522E"/>
    <w:rsid w:val="3A89155A"/>
    <w:rsid w:val="3A896195"/>
    <w:rsid w:val="3A8A661D"/>
    <w:rsid w:val="3A8A77C7"/>
    <w:rsid w:val="3A8B153D"/>
    <w:rsid w:val="3A8B353F"/>
    <w:rsid w:val="3A8B3D9F"/>
    <w:rsid w:val="3A8B611B"/>
    <w:rsid w:val="3A8D34C0"/>
    <w:rsid w:val="3A8D5509"/>
    <w:rsid w:val="3A8E18B2"/>
    <w:rsid w:val="3A8F302F"/>
    <w:rsid w:val="3A8F3A46"/>
    <w:rsid w:val="3A8F3C23"/>
    <w:rsid w:val="3A9037E0"/>
    <w:rsid w:val="3A913650"/>
    <w:rsid w:val="3A917828"/>
    <w:rsid w:val="3A926364"/>
    <w:rsid w:val="3A9269E7"/>
    <w:rsid w:val="3A941057"/>
    <w:rsid w:val="3A9574F3"/>
    <w:rsid w:val="3A974082"/>
    <w:rsid w:val="3A974676"/>
    <w:rsid w:val="3A980E73"/>
    <w:rsid w:val="3A9A4B81"/>
    <w:rsid w:val="3A9A629F"/>
    <w:rsid w:val="3A9B3D72"/>
    <w:rsid w:val="3A9C53AF"/>
    <w:rsid w:val="3A9C59E4"/>
    <w:rsid w:val="3A9D265B"/>
    <w:rsid w:val="3A9E1D72"/>
    <w:rsid w:val="3A9F1D00"/>
    <w:rsid w:val="3AA07A73"/>
    <w:rsid w:val="3AA208B9"/>
    <w:rsid w:val="3AA264E9"/>
    <w:rsid w:val="3AA30083"/>
    <w:rsid w:val="3AA3079E"/>
    <w:rsid w:val="3AA50161"/>
    <w:rsid w:val="3AA53954"/>
    <w:rsid w:val="3AA72BBA"/>
    <w:rsid w:val="3AA72BF3"/>
    <w:rsid w:val="3AA7481D"/>
    <w:rsid w:val="3AA76B33"/>
    <w:rsid w:val="3AA80421"/>
    <w:rsid w:val="3AA84C6A"/>
    <w:rsid w:val="3AA92294"/>
    <w:rsid w:val="3AA937CE"/>
    <w:rsid w:val="3AAA2FF5"/>
    <w:rsid w:val="3AAA330E"/>
    <w:rsid w:val="3AAA7E69"/>
    <w:rsid w:val="3AAB5A42"/>
    <w:rsid w:val="3AAD0AAC"/>
    <w:rsid w:val="3AAE6056"/>
    <w:rsid w:val="3AAF1923"/>
    <w:rsid w:val="3AB076C9"/>
    <w:rsid w:val="3AB12212"/>
    <w:rsid w:val="3AB1274D"/>
    <w:rsid w:val="3AB16931"/>
    <w:rsid w:val="3AB26B1D"/>
    <w:rsid w:val="3AB30E44"/>
    <w:rsid w:val="3AB500A0"/>
    <w:rsid w:val="3AB57F4E"/>
    <w:rsid w:val="3AB6680E"/>
    <w:rsid w:val="3AB67613"/>
    <w:rsid w:val="3AB742BD"/>
    <w:rsid w:val="3AB756D6"/>
    <w:rsid w:val="3AB814CD"/>
    <w:rsid w:val="3AB865D7"/>
    <w:rsid w:val="3AB94CB9"/>
    <w:rsid w:val="3ABA01E1"/>
    <w:rsid w:val="3ABA6E10"/>
    <w:rsid w:val="3ABD1DF1"/>
    <w:rsid w:val="3ABF0814"/>
    <w:rsid w:val="3ABF22AD"/>
    <w:rsid w:val="3AC0687D"/>
    <w:rsid w:val="3AC0768C"/>
    <w:rsid w:val="3AC15543"/>
    <w:rsid w:val="3AC21656"/>
    <w:rsid w:val="3AC26A9E"/>
    <w:rsid w:val="3AC26FDB"/>
    <w:rsid w:val="3AC31057"/>
    <w:rsid w:val="3AC31729"/>
    <w:rsid w:val="3AC37AC8"/>
    <w:rsid w:val="3AC37F79"/>
    <w:rsid w:val="3AC41873"/>
    <w:rsid w:val="3AC473B9"/>
    <w:rsid w:val="3AC51937"/>
    <w:rsid w:val="3AC5596B"/>
    <w:rsid w:val="3AC70B80"/>
    <w:rsid w:val="3AC75CB5"/>
    <w:rsid w:val="3AC802EF"/>
    <w:rsid w:val="3AC83F8C"/>
    <w:rsid w:val="3AC87203"/>
    <w:rsid w:val="3AC91136"/>
    <w:rsid w:val="3AC9252D"/>
    <w:rsid w:val="3AC950EC"/>
    <w:rsid w:val="3AC96F6F"/>
    <w:rsid w:val="3ACA41FD"/>
    <w:rsid w:val="3ACB0163"/>
    <w:rsid w:val="3ACB0C21"/>
    <w:rsid w:val="3ACB26E4"/>
    <w:rsid w:val="3ACB2B17"/>
    <w:rsid w:val="3ACB2F69"/>
    <w:rsid w:val="3ACC5F1B"/>
    <w:rsid w:val="3ACD0200"/>
    <w:rsid w:val="3ACE2322"/>
    <w:rsid w:val="3ACE7BB5"/>
    <w:rsid w:val="3AD00993"/>
    <w:rsid w:val="3AD01F55"/>
    <w:rsid w:val="3AD14E00"/>
    <w:rsid w:val="3AD22654"/>
    <w:rsid w:val="3AD31E39"/>
    <w:rsid w:val="3AD44EE6"/>
    <w:rsid w:val="3AD53A07"/>
    <w:rsid w:val="3AD56380"/>
    <w:rsid w:val="3AD61B8E"/>
    <w:rsid w:val="3AD62A0C"/>
    <w:rsid w:val="3AD66EB0"/>
    <w:rsid w:val="3AD74461"/>
    <w:rsid w:val="3AD819E4"/>
    <w:rsid w:val="3AD83758"/>
    <w:rsid w:val="3AD939ED"/>
    <w:rsid w:val="3AD94B78"/>
    <w:rsid w:val="3ADA1814"/>
    <w:rsid w:val="3ADB2101"/>
    <w:rsid w:val="3ADB2718"/>
    <w:rsid w:val="3ADC721E"/>
    <w:rsid w:val="3ADD4053"/>
    <w:rsid w:val="3ADD4C82"/>
    <w:rsid w:val="3ADE30CF"/>
    <w:rsid w:val="3ADE7B13"/>
    <w:rsid w:val="3AE02F20"/>
    <w:rsid w:val="3AE16FC9"/>
    <w:rsid w:val="3AE35766"/>
    <w:rsid w:val="3AE57546"/>
    <w:rsid w:val="3AE84B95"/>
    <w:rsid w:val="3AE91D59"/>
    <w:rsid w:val="3AE97570"/>
    <w:rsid w:val="3AEB03C3"/>
    <w:rsid w:val="3AEC1ABC"/>
    <w:rsid w:val="3AEC6340"/>
    <w:rsid w:val="3AED36B0"/>
    <w:rsid w:val="3AEF5DC1"/>
    <w:rsid w:val="3AF018D2"/>
    <w:rsid w:val="3AF27F23"/>
    <w:rsid w:val="3AF32F39"/>
    <w:rsid w:val="3AF609C1"/>
    <w:rsid w:val="3AF61EDC"/>
    <w:rsid w:val="3AF64C56"/>
    <w:rsid w:val="3AF70579"/>
    <w:rsid w:val="3AF7075A"/>
    <w:rsid w:val="3AF8064C"/>
    <w:rsid w:val="3AF82D2C"/>
    <w:rsid w:val="3AF97B60"/>
    <w:rsid w:val="3AFA0DF0"/>
    <w:rsid w:val="3AFB0FA6"/>
    <w:rsid w:val="3AFB2473"/>
    <w:rsid w:val="3AFB3F3C"/>
    <w:rsid w:val="3AFB73A9"/>
    <w:rsid w:val="3AFC52A7"/>
    <w:rsid w:val="3AFD2F47"/>
    <w:rsid w:val="3AFD348D"/>
    <w:rsid w:val="3AFD5AE8"/>
    <w:rsid w:val="3AFE387A"/>
    <w:rsid w:val="3AFF6407"/>
    <w:rsid w:val="3AFF7B26"/>
    <w:rsid w:val="3B0003BE"/>
    <w:rsid w:val="3B0150F2"/>
    <w:rsid w:val="3B021B0C"/>
    <w:rsid w:val="3B0227A0"/>
    <w:rsid w:val="3B0237ED"/>
    <w:rsid w:val="3B031573"/>
    <w:rsid w:val="3B041E79"/>
    <w:rsid w:val="3B05727F"/>
    <w:rsid w:val="3B057D0F"/>
    <w:rsid w:val="3B063330"/>
    <w:rsid w:val="3B065A58"/>
    <w:rsid w:val="3B071428"/>
    <w:rsid w:val="3B071493"/>
    <w:rsid w:val="3B08077E"/>
    <w:rsid w:val="3B081687"/>
    <w:rsid w:val="3B091405"/>
    <w:rsid w:val="3B094CBE"/>
    <w:rsid w:val="3B0C4680"/>
    <w:rsid w:val="3B0C481F"/>
    <w:rsid w:val="3B0D4E78"/>
    <w:rsid w:val="3B0E35B9"/>
    <w:rsid w:val="3B0E4915"/>
    <w:rsid w:val="3B0E6CD4"/>
    <w:rsid w:val="3B0F0EC4"/>
    <w:rsid w:val="3B0F3D8E"/>
    <w:rsid w:val="3B0F6D5D"/>
    <w:rsid w:val="3B130286"/>
    <w:rsid w:val="3B134DE1"/>
    <w:rsid w:val="3B135613"/>
    <w:rsid w:val="3B136075"/>
    <w:rsid w:val="3B141786"/>
    <w:rsid w:val="3B1420DC"/>
    <w:rsid w:val="3B143534"/>
    <w:rsid w:val="3B146EC5"/>
    <w:rsid w:val="3B151DA3"/>
    <w:rsid w:val="3B162E81"/>
    <w:rsid w:val="3B16452F"/>
    <w:rsid w:val="3B1720BE"/>
    <w:rsid w:val="3B173341"/>
    <w:rsid w:val="3B1735A9"/>
    <w:rsid w:val="3B174005"/>
    <w:rsid w:val="3B181246"/>
    <w:rsid w:val="3B182225"/>
    <w:rsid w:val="3B182811"/>
    <w:rsid w:val="3B190B4B"/>
    <w:rsid w:val="3B19335F"/>
    <w:rsid w:val="3B1B530D"/>
    <w:rsid w:val="3B1B7823"/>
    <w:rsid w:val="3B1C4441"/>
    <w:rsid w:val="3B1C69EE"/>
    <w:rsid w:val="3B1D2B2E"/>
    <w:rsid w:val="3B1F2473"/>
    <w:rsid w:val="3B20085A"/>
    <w:rsid w:val="3B204171"/>
    <w:rsid w:val="3B206839"/>
    <w:rsid w:val="3B215782"/>
    <w:rsid w:val="3B220AEA"/>
    <w:rsid w:val="3B221632"/>
    <w:rsid w:val="3B2218F3"/>
    <w:rsid w:val="3B2318A6"/>
    <w:rsid w:val="3B2408F8"/>
    <w:rsid w:val="3B247C1B"/>
    <w:rsid w:val="3B266695"/>
    <w:rsid w:val="3B266B9E"/>
    <w:rsid w:val="3B2714BA"/>
    <w:rsid w:val="3B27745B"/>
    <w:rsid w:val="3B277B82"/>
    <w:rsid w:val="3B296002"/>
    <w:rsid w:val="3B2976F5"/>
    <w:rsid w:val="3B2A0025"/>
    <w:rsid w:val="3B2B01F3"/>
    <w:rsid w:val="3B2B592A"/>
    <w:rsid w:val="3B2B7EB1"/>
    <w:rsid w:val="3B2C73A6"/>
    <w:rsid w:val="3B2E2848"/>
    <w:rsid w:val="3B2E7848"/>
    <w:rsid w:val="3B2F1111"/>
    <w:rsid w:val="3B300983"/>
    <w:rsid w:val="3B312F46"/>
    <w:rsid w:val="3B322A7A"/>
    <w:rsid w:val="3B324F3C"/>
    <w:rsid w:val="3B325189"/>
    <w:rsid w:val="3B330450"/>
    <w:rsid w:val="3B331C0C"/>
    <w:rsid w:val="3B3334E3"/>
    <w:rsid w:val="3B3360B0"/>
    <w:rsid w:val="3B3442E2"/>
    <w:rsid w:val="3B3518E2"/>
    <w:rsid w:val="3B356024"/>
    <w:rsid w:val="3B363734"/>
    <w:rsid w:val="3B374678"/>
    <w:rsid w:val="3B3763D1"/>
    <w:rsid w:val="3B3833A9"/>
    <w:rsid w:val="3B3903DC"/>
    <w:rsid w:val="3B3911ED"/>
    <w:rsid w:val="3B395D65"/>
    <w:rsid w:val="3B396421"/>
    <w:rsid w:val="3B3A2FD8"/>
    <w:rsid w:val="3B3D603B"/>
    <w:rsid w:val="3B3E04E6"/>
    <w:rsid w:val="3B3F1A96"/>
    <w:rsid w:val="3B401014"/>
    <w:rsid w:val="3B4031A6"/>
    <w:rsid w:val="3B406C80"/>
    <w:rsid w:val="3B416606"/>
    <w:rsid w:val="3B427552"/>
    <w:rsid w:val="3B4325CE"/>
    <w:rsid w:val="3B433FC5"/>
    <w:rsid w:val="3B4459D7"/>
    <w:rsid w:val="3B454020"/>
    <w:rsid w:val="3B4605FB"/>
    <w:rsid w:val="3B461B7C"/>
    <w:rsid w:val="3B4721DE"/>
    <w:rsid w:val="3B486A4A"/>
    <w:rsid w:val="3B4A51A8"/>
    <w:rsid w:val="3B4B6F81"/>
    <w:rsid w:val="3B4D5186"/>
    <w:rsid w:val="3B4E00D3"/>
    <w:rsid w:val="3B4F413C"/>
    <w:rsid w:val="3B5070A0"/>
    <w:rsid w:val="3B517414"/>
    <w:rsid w:val="3B522FDE"/>
    <w:rsid w:val="3B527BAD"/>
    <w:rsid w:val="3B53405D"/>
    <w:rsid w:val="3B535F17"/>
    <w:rsid w:val="3B540607"/>
    <w:rsid w:val="3B556027"/>
    <w:rsid w:val="3B571D54"/>
    <w:rsid w:val="3B575B0D"/>
    <w:rsid w:val="3B582C7C"/>
    <w:rsid w:val="3B590236"/>
    <w:rsid w:val="3B5953EB"/>
    <w:rsid w:val="3B5A5594"/>
    <w:rsid w:val="3B5B1A73"/>
    <w:rsid w:val="3B5B2AC3"/>
    <w:rsid w:val="3B5B5607"/>
    <w:rsid w:val="3B5B608A"/>
    <w:rsid w:val="3B5B73B5"/>
    <w:rsid w:val="3B5C11F3"/>
    <w:rsid w:val="3B5D718D"/>
    <w:rsid w:val="3B5E10C5"/>
    <w:rsid w:val="3B5E64C8"/>
    <w:rsid w:val="3B5F60B3"/>
    <w:rsid w:val="3B5F694D"/>
    <w:rsid w:val="3B6000E8"/>
    <w:rsid w:val="3B602018"/>
    <w:rsid w:val="3B6030DC"/>
    <w:rsid w:val="3B6074C4"/>
    <w:rsid w:val="3B611C17"/>
    <w:rsid w:val="3B623169"/>
    <w:rsid w:val="3B625D71"/>
    <w:rsid w:val="3B63549C"/>
    <w:rsid w:val="3B635567"/>
    <w:rsid w:val="3B636CF2"/>
    <w:rsid w:val="3B63740A"/>
    <w:rsid w:val="3B64373D"/>
    <w:rsid w:val="3B656BCD"/>
    <w:rsid w:val="3B6641AA"/>
    <w:rsid w:val="3B6653A1"/>
    <w:rsid w:val="3B672905"/>
    <w:rsid w:val="3B676E45"/>
    <w:rsid w:val="3B6906F7"/>
    <w:rsid w:val="3B697D24"/>
    <w:rsid w:val="3B6A2639"/>
    <w:rsid w:val="3B6A5A63"/>
    <w:rsid w:val="3B6C3370"/>
    <w:rsid w:val="3B6C4DB0"/>
    <w:rsid w:val="3B6E34BE"/>
    <w:rsid w:val="3B6E73CD"/>
    <w:rsid w:val="3B702638"/>
    <w:rsid w:val="3B705B51"/>
    <w:rsid w:val="3B713FED"/>
    <w:rsid w:val="3B7442D3"/>
    <w:rsid w:val="3B750CE3"/>
    <w:rsid w:val="3B7566C9"/>
    <w:rsid w:val="3B763CAD"/>
    <w:rsid w:val="3B7A3831"/>
    <w:rsid w:val="3B7A751C"/>
    <w:rsid w:val="3B7B0563"/>
    <w:rsid w:val="3B7B0E8F"/>
    <w:rsid w:val="3B7B539D"/>
    <w:rsid w:val="3B7B7106"/>
    <w:rsid w:val="3B7B78DB"/>
    <w:rsid w:val="3B7C1772"/>
    <w:rsid w:val="3B7C3B0C"/>
    <w:rsid w:val="3B7C3C46"/>
    <w:rsid w:val="3B7C575C"/>
    <w:rsid w:val="3B7C659E"/>
    <w:rsid w:val="3B7F4A29"/>
    <w:rsid w:val="3B7F7254"/>
    <w:rsid w:val="3B7F7878"/>
    <w:rsid w:val="3B80015F"/>
    <w:rsid w:val="3B804F38"/>
    <w:rsid w:val="3B810BBA"/>
    <w:rsid w:val="3B81470D"/>
    <w:rsid w:val="3B8209E4"/>
    <w:rsid w:val="3B830043"/>
    <w:rsid w:val="3B83192B"/>
    <w:rsid w:val="3B837FF7"/>
    <w:rsid w:val="3B842468"/>
    <w:rsid w:val="3B8561E0"/>
    <w:rsid w:val="3B87051C"/>
    <w:rsid w:val="3B8718C9"/>
    <w:rsid w:val="3B873FDB"/>
    <w:rsid w:val="3B8817F2"/>
    <w:rsid w:val="3B89175E"/>
    <w:rsid w:val="3B895CD0"/>
    <w:rsid w:val="3B8A1716"/>
    <w:rsid w:val="3B8A184B"/>
    <w:rsid w:val="3B8B0E9F"/>
    <w:rsid w:val="3B8B282F"/>
    <w:rsid w:val="3B8C3A12"/>
    <w:rsid w:val="3B8E30D9"/>
    <w:rsid w:val="3B8E32E7"/>
    <w:rsid w:val="3B8F440C"/>
    <w:rsid w:val="3B914282"/>
    <w:rsid w:val="3B940235"/>
    <w:rsid w:val="3B9557DF"/>
    <w:rsid w:val="3B9630B1"/>
    <w:rsid w:val="3B96315A"/>
    <w:rsid w:val="3B975037"/>
    <w:rsid w:val="3B993EA8"/>
    <w:rsid w:val="3B99661C"/>
    <w:rsid w:val="3B9C35D4"/>
    <w:rsid w:val="3B9C3FA1"/>
    <w:rsid w:val="3B9C4873"/>
    <w:rsid w:val="3B9C4E9E"/>
    <w:rsid w:val="3B9C6430"/>
    <w:rsid w:val="3B9D0507"/>
    <w:rsid w:val="3B9D2DB0"/>
    <w:rsid w:val="3B9E62AC"/>
    <w:rsid w:val="3B9F547B"/>
    <w:rsid w:val="3BA05F2A"/>
    <w:rsid w:val="3BA1100F"/>
    <w:rsid w:val="3BA17A3E"/>
    <w:rsid w:val="3BA27A73"/>
    <w:rsid w:val="3BA36271"/>
    <w:rsid w:val="3BA40D5C"/>
    <w:rsid w:val="3BA46CC8"/>
    <w:rsid w:val="3BA50630"/>
    <w:rsid w:val="3BA67C8D"/>
    <w:rsid w:val="3BA945C4"/>
    <w:rsid w:val="3BAA3213"/>
    <w:rsid w:val="3BAB3E99"/>
    <w:rsid w:val="3BAB4F4B"/>
    <w:rsid w:val="3BAB5CA3"/>
    <w:rsid w:val="3BAB7972"/>
    <w:rsid w:val="3BAC6C1F"/>
    <w:rsid w:val="3BAD140E"/>
    <w:rsid w:val="3BAE0BE3"/>
    <w:rsid w:val="3BAE2C90"/>
    <w:rsid w:val="3BAE32ED"/>
    <w:rsid w:val="3BAE3AF7"/>
    <w:rsid w:val="3BAF44AE"/>
    <w:rsid w:val="3BAF7DE8"/>
    <w:rsid w:val="3BB03B58"/>
    <w:rsid w:val="3BB03E89"/>
    <w:rsid w:val="3BB06FF2"/>
    <w:rsid w:val="3BB13204"/>
    <w:rsid w:val="3BB25E44"/>
    <w:rsid w:val="3BB371F1"/>
    <w:rsid w:val="3BB413CC"/>
    <w:rsid w:val="3BB56A09"/>
    <w:rsid w:val="3BB645EB"/>
    <w:rsid w:val="3BB71250"/>
    <w:rsid w:val="3BB7355B"/>
    <w:rsid w:val="3BB80364"/>
    <w:rsid w:val="3BB84807"/>
    <w:rsid w:val="3BB865B6"/>
    <w:rsid w:val="3BB920E2"/>
    <w:rsid w:val="3BB9735A"/>
    <w:rsid w:val="3BBB266D"/>
    <w:rsid w:val="3BBB61F5"/>
    <w:rsid w:val="3BBD50FF"/>
    <w:rsid w:val="3BBD6848"/>
    <w:rsid w:val="3BBF6B43"/>
    <w:rsid w:val="3BC011B7"/>
    <w:rsid w:val="3BC0302D"/>
    <w:rsid w:val="3BC12505"/>
    <w:rsid w:val="3BC154C6"/>
    <w:rsid w:val="3BC21E3F"/>
    <w:rsid w:val="3BC307F3"/>
    <w:rsid w:val="3BC33D23"/>
    <w:rsid w:val="3BC437A7"/>
    <w:rsid w:val="3BC44F5A"/>
    <w:rsid w:val="3BC46D08"/>
    <w:rsid w:val="3BC6640D"/>
    <w:rsid w:val="3BC6673E"/>
    <w:rsid w:val="3BC71D31"/>
    <w:rsid w:val="3BC80364"/>
    <w:rsid w:val="3BC804D9"/>
    <w:rsid w:val="3BC9431F"/>
    <w:rsid w:val="3BC95088"/>
    <w:rsid w:val="3BC9545E"/>
    <w:rsid w:val="3BC978A1"/>
    <w:rsid w:val="3BCA4B63"/>
    <w:rsid w:val="3BCB7DC1"/>
    <w:rsid w:val="3BCD0D8C"/>
    <w:rsid w:val="3BCE376E"/>
    <w:rsid w:val="3BCE68C3"/>
    <w:rsid w:val="3BD020FB"/>
    <w:rsid w:val="3BD06913"/>
    <w:rsid w:val="3BD11425"/>
    <w:rsid w:val="3BD213A0"/>
    <w:rsid w:val="3BD315E2"/>
    <w:rsid w:val="3BD376F2"/>
    <w:rsid w:val="3BD51F6C"/>
    <w:rsid w:val="3BD623AD"/>
    <w:rsid w:val="3BD74C8E"/>
    <w:rsid w:val="3BDA5B95"/>
    <w:rsid w:val="3BDB4111"/>
    <w:rsid w:val="3BDB7553"/>
    <w:rsid w:val="3BDC0B1B"/>
    <w:rsid w:val="3BDC5EF7"/>
    <w:rsid w:val="3BDC61A7"/>
    <w:rsid w:val="3BDD7DED"/>
    <w:rsid w:val="3BDE22A4"/>
    <w:rsid w:val="3BDE7738"/>
    <w:rsid w:val="3BDF3901"/>
    <w:rsid w:val="3BDF7FE6"/>
    <w:rsid w:val="3BE01154"/>
    <w:rsid w:val="3BE11DA1"/>
    <w:rsid w:val="3BE21111"/>
    <w:rsid w:val="3BE26A3C"/>
    <w:rsid w:val="3BE52EAA"/>
    <w:rsid w:val="3BE54950"/>
    <w:rsid w:val="3BE5768C"/>
    <w:rsid w:val="3BE61375"/>
    <w:rsid w:val="3BE640C5"/>
    <w:rsid w:val="3BE7257A"/>
    <w:rsid w:val="3BE82523"/>
    <w:rsid w:val="3BE93EDE"/>
    <w:rsid w:val="3BEC5690"/>
    <w:rsid w:val="3BEC778C"/>
    <w:rsid w:val="3BED4A31"/>
    <w:rsid w:val="3BEE11EF"/>
    <w:rsid w:val="3BEE1FD4"/>
    <w:rsid w:val="3BEE2789"/>
    <w:rsid w:val="3BEE5019"/>
    <w:rsid w:val="3BF01611"/>
    <w:rsid w:val="3BF07261"/>
    <w:rsid w:val="3BF110A2"/>
    <w:rsid w:val="3BF13876"/>
    <w:rsid w:val="3BF20F2D"/>
    <w:rsid w:val="3BF21AC7"/>
    <w:rsid w:val="3BF47456"/>
    <w:rsid w:val="3BF63677"/>
    <w:rsid w:val="3BF71BF8"/>
    <w:rsid w:val="3BF87CCA"/>
    <w:rsid w:val="3BFA1E11"/>
    <w:rsid w:val="3BFA5DC5"/>
    <w:rsid w:val="3BFB3F1A"/>
    <w:rsid w:val="3BFC5062"/>
    <w:rsid w:val="3BFC591D"/>
    <w:rsid w:val="3BFD26A6"/>
    <w:rsid w:val="3BFD7530"/>
    <w:rsid w:val="3BFE0DB7"/>
    <w:rsid w:val="3BFE2600"/>
    <w:rsid w:val="3BFE77A0"/>
    <w:rsid w:val="3BFF06C7"/>
    <w:rsid w:val="3BFF1BB0"/>
    <w:rsid w:val="3BFF1F27"/>
    <w:rsid w:val="3BFF5DC1"/>
    <w:rsid w:val="3C011B7F"/>
    <w:rsid w:val="3C014B0A"/>
    <w:rsid w:val="3C026139"/>
    <w:rsid w:val="3C0307C2"/>
    <w:rsid w:val="3C034FCA"/>
    <w:rsid w:val="3C0356E6"/>
    <w:rsid w:val="3C0401BA"/>
    <w:rsid w:val="3C052377"/>
    <w:rsid w:val="3C0531A8"/>
    <w:rsid w:val="3C06291E"/>
    <w:rsid w:val="3C065C66"/>
    <w:rsid w:val="3C074E47"/>
    <w:rsid w:val="3C081C27"/>
    <w:rsid w:val="3C08263E"/>
    <w:rsid w:val="3C08441A"/>
    <w:rsid w:val="3C085B82"/>
    <w:rsid w:val="3C094DE6"/>
    <w:rsid w:val="3C0A10B1"/>
    <w:rsid w:val="3C0A3FE8"/>
    <w:rsid w:val="3C0A62BC"/>
    <w:rsid w:val="3C0A65B6"/>
    <w:rsid w:val="3C0D4232"/>
    <w:rsid w:val="3C0D452D"/>
    <w:rsid w:val="3C0E6D23"/>
    <w:rsid w:val="3C0E7877"/>
    <w:rsid w:val="3C0F2797"/>
    <w:rsid w:val="3C103FD8"/>
    <w:rsid w:val="3C105604"/>
    <w:rsid w:val="3C105682"/>
    <w:rsid w:val="3C1057C0"/>
    <w:rsid w:val="3C1135DB"/>
    <w:rsid w:val="3C115673"/>
    <w:rsid w:val="3C123954"/>
    <w:rsid w:val="3C125A73"/>
    <w:rsid w:val="3C131A3E"/>
    <w:rsid w:val="3C132650"/>
    <w:rsid w:val="3C144002"/>
    <w:rsid w:val="3C150B5C"/>
    <w:rsid w:val="3C176D92"/>
    <w:rsid w:val="3C17787E"/>
    <w:rsid w:val="3C182D02"/>
    <w:rsid w:val="3C186796"/>
    <w:rsid w:val="3C1A0E55"/>
    <w:rsid w:val="3C1A3DBA"/>
    <w:rsid w:val="3C1A5799"/>
    <w:rsid w:val="3C1B789D"/>
    <w:rsid w:val="3C1D28C0"/>
    <w:rsid w:val="3C1D2973"/>
    <w:rsid w:val="3C1E1B48"/>
    <w:rsid w:val="3C1E61B9"/>
    <w:rsid w:val="3C2003CD"/>
    <w:rsid w:val="3C2019E3"/>
    <w:rsid w:val="3C210515"/>
    <w:rsid w:val="3C242C88"/>
    <w:rsid w:val="3C262651"/>
    <w:rsid w:val="3C2647E2"/>
    <w:rsid w:val="3C265C15"/>
    <w:rsid w:val="3C272FA6"/>
    <w:rsid w:val="3C27405D"/>
    <w:rsid w:val="3C280697"/>
    <w:rsid w:val="3C283EE7"/>
    <w:rsid w:val="3C296BBC"/>
    <w:rsid w:val="3C2979A9"/>
    <w:rsid w:val="3C2B1813"/>
    <w:rsid w:val="3C2C3F73"/>
    <w:rsid w:val="3C2D0D52"/>
    <w:rsid w:val="3C2D2B00"/>
    <w:rsid w:val="3C2E6878"/>
    <w:rsid w:val="3C2F6E1E"/>
    <w:rsid w:val="3C301089"/>
    <w:rsid w:val="3C30439E"/>
    <w:rsid w:val="3C305AC0"/>
    <w:rsid w:val="3C3074D8"/>
    <w:rsid w:val="3C3148A8"/>
    <w:rsid w:val="3C3230AB"/>
    <w:rsid w:val="3C323556"/>
    <w:rsid w:val="3C334B45"/>
    <w:rsid w:val="3C347002"/>
    <w:rsid w:val="3C35191C"/>
    <w:rsid w:val="3C354958"/>
    <w:rsid w:val="3C355E58"/>
    <w:rsid w:val="3C355FA3"/>
    <w:rsid w:val="3C365A97"/>
    <w:rsid w:val="3C366065"/>
    <w:rsid w:val="3C371BD0"/>
    <w:rsid w:val="3C3723B9"/>
    <w:rsid w:val="3C3928EC"/>
    <w:rsid w:val="3C3B55A9"/>
    <w:rsid w:val="3C3B65FE"/>
    <w:rsid w:val="3C3B7DAE"/>
    <w:rsid w:val="3C3C5882"/>
    <w:rsid w:val="3C3E05FB"/>
    <w:rsid w:val="3C3E0628"/>
    <w:rsid w:val="3C3E3D5C"/>
    <w:rsid w:val="3C3F2F88"/>
    <w:rsid w:val="3C426591"/>
    <w:rsid w:val="3C437D2E"/>
    <w:rsid w:val="3C44609B"/>
    <w:rsid w:val="3C4472D5"/>
    <w:rsid w:val="3C447D62"/>
    <w:rsid w:val="3C452A09"/>
    <w:rsid w:val="3C455140"/>
    <w:rsid w:val="3C45750D"/>
    <w:rsid w:val="3C464E2D"/>
    <w:rsid w:val="3C477133"/>
    <w:rsid w:val="3C481FF0"/>
    <w:rsid w:val="3C483E5C"/>
    <w:rsid w:val="3C484908"/>
    <w:rsid w:val="3C487939"/>
    <w:rsid w:val="3C4A142A"/>
    <w:rsid w:val="3C4A2668"/>
    <w:rsid w:val="3C4A5420"/>
    <w:rsid w:val="3C4B567C"/>
    <w:rsid w:val="3C4B7798"/>
    <w:rsid w:val="3C4C132E"/>
    <w:rsid w:val="3C4C13FF"/>
    <w:rsid w:val="3C4C170C"/>
    <w:rsid w:val="3C4C43ED"/>
    <w:rsid w:val="3C4D3F3F"/>
    <w:rsid w:val="3C4D5E72"/>
    <w:rsid w:val="3C4F2EE0"/>
    <w:rsid w:val="3C4F5BAE"/>
    <w:rsid w:val="3C4F64BA"/>
    <w:rsid w:val="3C505D24"/>
    <w:rsid w:val="3C5140EB"/>
    <w:rsid w:val="3C522D8D"/>
    <w:rsid w:val="3C523011"/>
    <w:rsid w:val="3C524DF5"/>
    <w:rsid w:val="3C5305BC"/>
    <w:rsid w:val="3C530F79"/>
    <w:rsid w:val="3C55699F"/>
    <w:rsid w:val="3C563686"/>
    <w:rsid w:val="3C563789"/>
    <w:rsid w:val="3C564607"/>
    <w:rsid w:val="3C574FD5"/>
    <w:rsid w:val="3C581DE2"/>
    <w:rsid w:val="3C591C0A"/>
    <w:rsid w:val="3C596B3D"/>
    <w:rsid w:val="3C5A36E4"/>
    <w:rsid w:val="3C5B6C00"/>
    <w:rsid w:val="3C5D35A1"/>
    <w:rsid w:val="3C5D79A7"/>
    <w:rsid w:val="3C5E60EB"/>
    <w:rsid w:val="3C610B51"/>
    <w:rsid w:val="3C610E84"/>
    <w:rsid w:val="3C6129FE"/>
    <w:rsid w:val="3C62141A"/>
    <w:rsid w:val="3C6258B2"/>
    <w:rsid w:val="3C6345C4"/>
    <w:rsid w:val="3C64022C"/>
    <w:rsid w:val="3C642BDD"/>
    <w:rsid w:val="3C6458B9"/>
    <w:rsid w:val="3C650735"/>
    <w:rsid w:val="3C666012"/>
    <w:rsid w:val="3C670A7D"/>
    <w:rsid w:val="3C672B37"/>
    <w:rsid w:val="3C6747F7"/>
    <w:rsid w:val="3C676166"/>
    <w:rsid w:val="3C68717A"/>
    <w:rsid w:val="3C6A1FA0"/>
    <w:rsid w:val="3C6A2F4F"/>
    <w:rsid w:val="3C6A3C45"/>
    <w:rsid w:val="3C6A7FDD"/>
    <w:rsid w:val="3C6B53DE"/>
    <w:rsid w:val="3C6C3B81"/>
    <w:rsid w:val="3C6D14F0"/>
    <w:rsid w:val="3C6E753D"/>
    <w:rsid w:val="3C6F086C"/>
    <w:rsid w:val="3C6F5374"/>
    <w:rsid w:val="3C6F6279"/>
    <w:rsid w:val="3C706E90"/>
    <w:rsid w:val="3C7110D9"/>
    <w:rsid w:val="3C712097"/>
    <w:rsid w:val="3C713184"/>
    <w:rsid w:val="3C717800"/>
    <w:rsid w:val="3C717EA4"/>
    <w:rsid w:val="3C72753C"/>
    <w:rsid w:val="3C74390C"/>
    <w:rsid w:val="3C744AC4"/>
    <w:rsid w:val="3C750759"/>
    <w:rsid w:val="3C7765EB"/>
    <w:rsid w:val="3C776BC5"/>
    <w:rsid w:val="3C777E35"/>
    <w:rsid w:val="3C782D92"/>
    <w:rsid w:val="3C784DF5"/>
    <w:rsid w:val="3C7921E9"/>
    <w:rsid w:val="3C792A52"/>
    <w:rsid w:val="3C793F6A"/>
    <w:rsid w:val="3C796F7E"/>
    <w:rsid w:val="3C797AF3"/>
    <w:rsid w:val="3C7B7669"/>
    <w:rsid w:val="3C7C1C1C"/>
    <w:rsid w:val="3C7D3838"/>
    <w:rsid w:val="3C7F2AE6"/>
    <w:rsid w:val="3C7F3D51"/>
    <w:rsid w:val="3C801C76"/>
    <w:rsid w:val="3C8144DF"/>
    <w:rsid w:val="3C8169FD"/>
    <w:rsid w:val="3C832E6E"/>
    <w:rsid w:val="3C841AAF"/>
    <w:rsid w:val="3C857EF1"/>
    <w:rsid w:val="3C870A3E"/>
    <w:rsid w:val="3C870DD1"/>
    <w:rsid w:val="3C881BE5"/>
    <w:rsid w:val="3C882BAE"/>
    <w:rsid w:val="3C883401"/>
    <w:rsid w:val="3C887C2E"/>
    <w:rsid w:val="3C89042C"/>
    <w:rsid w:val="3C89551E"/>
    <w:rsid w:val="3C8A01B4"/>
    <w:rsid w:val="3C8A3A9A"/>
    <w:rsid w:val="3C8A763E"/>
    <w:rsid w:val="3C8D17F0"/>
    <w:rsid w:val="3C8D1A82"/>
    <w:rsid w:val="3C8D7A42"/>
    <w:rsid w:val="3C8E1234"/>
    <w:rsid w:val="3C8E2983"/>
    <w:rsid w:val="3C8E2AA2"/>
    <w:rsid w:val="3C8E2BB7"/>
    <w:rsid w:val="3C8E6BF6"/>
    <w:rsid w:val="3C905B6A"/>
    <w:rsid w:val="3C907A3B"/>
    <w:rsid w:val="3C9219BD"/>
    <w:rsid w:val="3C9233DC"/>
    <w:rsid w:val="3C926E07"/>
    <w:rsid w:val="3C932321"/>
    <w:rsid w:val="3C9573FD"/>
    <w:rsid w:val="3C960A82"/>
    <w:rsid w:val="3C962583"/>
    <w:rsid w:val="3C9778E4"/>
    <w:rsid w:val="3C990A4A"/>
    <w:rsid w:val="3C9A4205"/>
    <w:rsid w:val="3C9B28DC"/>
    <w:rsid w:val="3C9C7C85"/>
    <w:rsid w:val="3C9D4755"/>
    <w:rsid w:val="3C9E3D4D"/>
    <w:rsid w:val="3C9E4BD6"/>
    <w:rsid w:val="3C9E57AB"/>
    <w:rsid w:val="3C9F0B3A"/>
    <w:rsid w:val="3C9F0BE2"/>
    <w:rsid w:val="3C9F2E82"/>
    <w:rsid w:val="3C9F3997"/>
    <w:rsid w:val="3CA17128"/>
    <w:rsid w:val="3CA23502"/>
    <w:rsid w:val="3CA26E3B"/>
    <w:rsid w:val="3CA347C1"/>
    <w:rsid w:val="3CA40511"/>
    <w:rsid w:val="3CA408E8"/>
    <w:rsid w:val="3CA40FCE"/>
    <w:rsid w:val="3CA43A06"/>
    <w:rsid w:val="3CA70D07"/>
    <w:rsid w:val="3CA8515B"/>
    <w:rsid w:val="3CA961A8"/>
    <w:rsid w:val="3CAA41EB"/>
    <w:rsid w:val="3CAC116A"/>
    <w:rsid w:val="3CAC2F04"/>
    <w:rsid w:val="3CAC3D44"/>
    <w:rsid w:val="3CAC42B0"/>
    <w:rsid w:val="3CAD1A48"/>
    <w:rsid w:val="3CAD38E8"/>
    <w:rsid w:val="3CAD59EE"/>
    <w:rsid w:val="3CAE092F"/>
    <w:rsid w:val="3CAE3DC1"/>
    <w:rsid w:val="3CAF51C5"/>
    <w:rsid w:val="3CAF6D2D"/>
    <w:rsid w:val="3CB054DF"/>
    <w:rsid w:val="3CB05596"/>
    <w:rsid w:val="3CB07865"/>
    <w:rsid w:val="3CB11983"/>
    <w:rsid w:val="3CB13A0B"/>
    <w:rsid w:val="3CB16DDF"/>
    <w:rsid w:val="3CB21E02"/>
    <w:rsid w:val="3CB274A9"/>
    <w:rsid w:val="3CB33E85"/>
    <w:rsid w:val="3CB342AD"/>
    <w:rsid w:val="3CB36129"/>
    <w:rsid w:val="3CB44FCF"/>
    <w:rsid w:val="3CB4724D"/>
    <w:rsid w:val="3CB53AEC"/>
    <w:rsid w:val="3CB55BAF"/>
    <w:rsid w:val="3CB60D47"/>
    <w:rsid w:val="3CB77B32"/>
    <w:rsid w:val="3CB8475C"/>
    <w:rsid w:val="3CB854DD"/>
    <w:rsid w:val="3CB85C51"/>
    <w:rsid w:val="3CB866A2"/>
    <w:rsid w:val="3CB925E5"/>
    <w:rsid w:val="3CBA2EC7"/>
    <w:rsid w:val="3CBA6921"/>
    <w:rsid w:val="3CBB635D"/>
    <w:rsid w:val="3CBC1429"/>
    <w:rsid w:val="3CBC3E83"/>
    <w:rsid w:val="3CBC5804"/>
    <w:rsid w:val="3CBE19AA"/>
    <w:rsid w:val="3CBF0830"/>
    <w:rsid w:val="3CBF26CF"/>
    <w:rsid w:val="3CBF7ECA"/>
    <w:rsid w:val="3CC0163A"/>
    <w:rsid w:val="3CC0391D"/>
    <w:rsid w:val="3CC2015B"/>
    <w:rsid w:val="3CC3646B"/>
    <w:rsid w:val="3CC534AA"/>
    <w:rsid w:val="3CC55319"/>
    <w:rsid w:val="3CC5640B"/>
    <w:rsid w:val="3CC60AF0"/>
    <w:rsid w:val="3CC61A27"/>
    <w:rsid w:val="3CC64D02"/>
    <w:rsid w:val="3CC74EA0"/>
    <w:rsid w:val="3CC81EAB"/>
    <w:rsid w:val="3CC8668F"/>
    <w:rsid w:val="3CC927A4"/>
    <w:rsid w:val="3CCA65A0"/>
    <w:rsid w:val="3CCB1742"/>
    <w:rsid w:val="3CCC647A"/>
    <w:rsid w:val="3CCC7B57"/>
    <w:rsid w:val="3CCD628A"/>
    <w:rsid w:val="3CCE3F07"/>
    <w:rsid w:val="3CCF1553"/>
    <w:rsid w:val="3CD05CB3"/>
    <w:rsid w:val="3CD074AF"/>
    <w:rsid w:val="3CD07C91"/>
    <w:rsid w:val="3CD14DF4"/>
    <w:rsid w:val="3CD15B81"/>
    <w:rsid w:val="3CD23028"/>
    <w:rsid w:val="3CD23CE0"/>
    <w:rsid w:val="3CD251B2"/>
    <w:rsid w:val="3CD26DBA"/>
    <w:rsid w:val="3CD411CD"/>
    <w:rsid w:val="3CD434A6"/>
    <w:rsid w:val="3CD62109"/>
    <w:rsid w:val="3CD66E21"/>
    <w:rsid w:val="3CD71CA8"/>
    <w:rsid w:val="3CD85E3C"/>
    <w:rsid w:val="3CD876A4"/>
    <w:rsid w:val="3CDA245A"/>
    <w:rsid w:val="3CDA2F19"/>
    <w:rsid w:val="3CDC0AA0"/>
    <w:rsid w:val="3CDE204C"/>
    <w:rsid w:val="3CDE208A"/>
    <w:rsid w:val="3CDE3EFD"/>
    <w:rsid w:val="3CDE7ACA"/>
    <w:rsid w:val="3CDF675B"/>
    <w:rsid w:val="3CE0039A"/>
    <w:rsid w:val="3CE0217E"/>
    <w:rsid w:val="3CE04B50"/>
    <w:rsid w:val="3CE0622C"/>
    <w:rsid w:val="3CE15CCF"/>
    <w:rsid w:val="3CE21B3C"/>
    <w:rsid w:val="3CE22CF5"/>
    <w:rsid w:val="3CE44B74"/>
    <w:rsid w:val="3CE52040"/>
    <w:rsid w:val="3CE65A19"/>
    <w:rsid w:val="3CE704B1"/>
    <w:rsid w:val="3CE80975"/>
    <w:rsid w:val="3CE81D5B"/>
    <w:rsid w:val="3CE839E4"/>
    <w:rsid w:val="3CE84A9B"/>
    <w:rsid w:val="3CE84C4C"/>
    <w:rsid w:val="3CE871BE"/>
    <w:rsid w:val="3CE96290"/>
    <w:rsid w:val="3CEA1D7D"/>
    <w:rsid w:val="3CEB4389"/>
    <w:rsid w:val="3CEC29BB"/>
    <w:rsid w:val="3CEC3355"/>
    <w:rsid w:val="3CEE7211"/>
    <w:rsid w:val="3CEF3B0F"/>
    <w:rsid w:val="3CF03B2D"/>
    <w:rsid w:val="3CF05B38"/>
    <w:rsid w:val="3CF10946"/>
    <w:rsid w:val="3CF11D7F"/>
    <w:rsid w:val="3CF1208A"/>
    <w:rsid w:val="3CF25AF7"/>
    <w:rsid w:val="3CF25BBE"/>
    <w:rsid w:val="3CF409AE"/>
    <w:rsid w:val="3CF44FE5"/>
    <w:rsid w:val="3CF50FDB"/>
    <w:rsid w:val="3CF51078"/>
    <w:rsid w:val="3CF51725"/>
    <w:rsid w:val="3CF567B7"/>
    <w:rsid w:val="3CF67D4A"/>
    <w:rsid w:val="3CF70EC6"/>
    <w:rsid w:val="3CF8074B"/>
    <w:rsid w:val="3CF80E6E"/>
    <w:rsid w:val="3CF817B0"/>
    <w:rsid w:val="3CF81937"/>
    <w:rsid w:val="3CF87E18"/>
    <w:rsid w:val="3CF94EA2"/>
    <w:rsid w:val="3CFA35DB"/>
    <w:rsid w:val="3CFB13B5"/>
    <w:rsid w:val="3CFB2554"/>
    <w:rsid w:val="3CFC008A"/>
    <w:rsid w:val="3CFC0724"/>
    <w:rsid w:val="3CFD2C8D"/>
    <w:rsid w:val="3CFD4D32"/>
    <w:rsid w:val="3CFE2D71"/>
    <w:rsid w:val="3CFF2C7A"/>
    <w:rsid w:val="3CFF3351"/>
    <w:rsid w:val="3D000332"/>
    <w:rsid w:val="3D002EFD"/>
    <w:rsid w:val="3D0158E4"/>
    <w:rsid w:val="3D0302AD"/>
    <w:rsid w:val="3D030567"/>
    <w:rsid w:val="3D033E45"/>
    <w:rsid w:val="3D0516BF"/>
    <w:rsid w:val="3D0575D8"/>
    <w:rsid w:val="3D0661C7"/>
    <w:rsid w:val="3D0857F0"/>
    <w:rsid w:val="3D086D1D"/>
    <w:rsid w:val="3D0870C9"/>
    <w:rsid w:val="3D0A4BEF"/>
    <w:rsid w:val="3D0A6670"/>
    <w:rsid w:val="3D0C0967"/>
    <w:rsid w:val="3D0E36FE"/>
    <w:rsid w:val="3D1001F6"/>
    <w:rsid w:val="3D11423E"/>
    <w:rsid w:val="3D11701F"/>
    <w:rsid w:val="3D1177B1"/>
    <w:rsid w:val="3D122A36"/>
    <w:rsid w:val="3D150E6F"/>
    <w:rsid w:val="3D151FB1"/>
    <w:rsid w:val="3D1723CD"/>
    <w:rsid w:val="3D172A9B"/>
    <w:rsid w:val="3D183232"/>
    <w:rsid w:val="3D1837B0"/>
    <w:rsid w:val="3D1846B2"/>
    <w:rsid w:val="3D1862DD"/>
    <w:rsid w:val="3D19370D"/>
    <w:rsid w:val="3D194E9B"/>
    <w:rsid w:val="3D1B2EEC"/>
    <w:rsid w:val="3D1B60D8"/>
    <w:rsid w:val="3D1B6F59"/>
    <w:rsid w:val="3D1C04AC"/>
    <w:rsid w:val="3D1C318D"/>
    <w:rsid w:val="3D1C7452"/>
    <w:rsid w:val="3D1D5EF5"/>
    <w:rsid w:val="3D1D73C4"/>
    <w:rsid w:val="3D1E06B7"/>
    <w:rsid w:val="3D1E6BF4"/>
    <w:rsid w:val="3D202664"/>
    <w:rsid w:val="3D2137A5"/>
    <w:rsid w:val="3D222E1B"/>
    <w:rsid w:val="3D223A6C"/>
    <w:rsid w:val="3D251A29"/>
    <w:rsid w:val="3D285922"/>
    <w:rsid w:val="3D2940E9"/>
    <w:rsid w:val="3D297280"/>
    <w:rsid w:val="3D2B79DA"/>
    <w:rsid w:val="3D2C2DB7"/>
    <w:rsid w:val="3D2C725B"/>
    <w:rsid w:val="3D2E05EE"/>
    <w:rsid w:val="3D2F50FA"/>
    <w:rsid w:val="3D3078AD"/>
    <w:rsid w:val="3D310115"/>
    <w:rsid w:val="3D326901"/>
    <w:rsid w:val="3D335CBA"/>
    <w:rsid w:val="3D335DE1"/>
    <w:rsid w:val="3D343A9F"/>
    <w:rsid w:val="3D344F5E"/>
    <w:rsid w:val="3D363C36"/>
    <w:rsid w:val="3D373E26"/>
    <w:rsid w:val="3D374844"/>
    <w:rsid w:val="3D374B94"/>
    <w:rsid w:val="3D374ED8"/>
    <w:rsid w:val="3D380180"/>
    <w:rsid w:val="3D382EA1"/>
    <w:rsid w:val="3D385C00"/>
    <w:rsid w:val="3D393726"/>
    <w:rsid w:val="3D397254"/>
    <w:rsid w:val="3D3B124C"/>
    <w:rsid w:val="3D3B2FFA"/>
    <w:rsid w:val="3D3C3672"/>
    <w:rsid w:val="3D3C3C36"/>
    <w:rsid w:val="3D3D137B"/>
    <w:rsid w:val="3D3D76E6"/>
    <w:rsid w:val="3D3F3CFE"/>
    <w:rsid w:val="3D3F6F8E"/>
    <w:rsid w:val="3D4033AC"/>
    <w:rsid w:val="3D404871"/>
    <w:rsid w:val="3D412786"/>
    <w:rsid w:val="3D42082D"/>
    <w:rsid w:val="3D4251B8"/>
    <w:rsid w:val="3D426F25"/>
    <w:rsid w:val="3D430803"/>
    <w:rsid w:val="3D431DAC"/>
    <w:rsid w:val="3D4367CD"/>
    <w:rsid w:val="3D44257C"/>
    <w:rsid w:val="3D4445A5"/>
    <w:rsid w:val="3D444FC0"/>
    <w:rsid w:val="3D4514A0"/>
    <w:rsid w:val="3D454C73"/>
    <w:rsid w:val="3D467381"/>
    <w:rsid w:val="3D470AAE"/>
    <w:rsid w:val="3D4839A0"/>
    <w:rsid w:val="3D48488E"/>
    <w:rsid w:val="3D4A4DC9"/>
    <w:rsid w:val="3D4C2794"/>
    <w:rsid w:val="3D4C331B"/>
    <w:rsid w:val="3D4D01AD"/>
    <w:rsid w:val="3D4D666A"/>
    <w:rsid w:val="3D4E6440"/>
    <w:rsid w:val="3D4E7E17"/>
    <w:rsid w:val="3D4F3E72"/>
    <w:rsid w:val="3D501A02"/>
    <w:rsid w:val="3D507D8E"/>
    <w:rsid w:val="3D512EA0"/>
    <w:rsid w:val="3D516460"/>
    <w:rsid w:val="3D525315"/>
    <w:rsid w:val="3D533EF5"/>
    <w:rsid w:val="3D540560"/>
    <w:rsid w:val="3D555C1C"/>
    <w:rsid w:val="3D561631"/>
    <w:rsid w:val="3D566FBC"/>
    <w:rsid w:val="3D573869"/>
    <w:rsid w:val="3D57592C"/>
    <w:rsid w:val="3D5860BD"/>
    <w:rsid w:val="3D5A1C03"/>
    <w:rsid w:val="3D5A45B9"/>
    <w:rsid w:val="3D5B28BE"/>
    <w:rsid w:val="3D5B369C"/>
    <w:rsid w:val="3D5D0991"/>
    <w:rsid w:val="3D5D46AE"/>
    <w:rsid w:val="3D5F318D"/>
    <w:rsid w:val="3D5F6116"/>
    <w:rsid w:val="3D5F7680"/>
    <w:rsid w:val="3D604EC2"/>
    <w:rsid w:val="3D610453"/>
    <w:rsid w:val="3D612323"/>
    <w:rsid w:val="3D62359C"/>
    <w:rsid w:val="3D643ED3"/>
    <w:rsid w:val="3D652359"/>
    <w:rsid w:val="3D662D0D"/>
    <w:rsid w:val="3D67063B"/>
    <w:rsid w:val="3D6748C4"/>
    <w:rsid w:val="3D676218"/>
    <w:rsid w:val="3D680F8D"/>
    <w:rsid w:val="3D687B67"/>
    <w:rsid w:val="3D6922C9"/>
    <w:rsid w:val="3D6B0AB4"/>
    <w:rsid w:val="3D6C54F3"/>
    <w:rsid w:val="3D6C7087"/>
    <w:rsid w:val="3D6D0D62"/>
    <w:rsid w:val="3D6E28AD"/>
    <w:rsid w:val="3D6E2BFC"/>
    <w:rsid w:val="3D6E606C"/>
    <w:rsid w:val="3D6E6311"/>
    <w:rsid w:val="3D6F33E4"/>
    <w:rsid w:val="3D703EB3"/>
    <w:rsid w:val="3D7070C4"/>
    <w:rsid w:val="3D7108F6"/>
    <w:rsid w:val="3D723631"/>
    <w:rsid w:val="3D732813"/>
    <w:rsid w:val="3D7347B5"/>
    <w:rsid w:val="3D73620C"/>
    <w:rsid w:val="3D736C38"/>
    <w:rsid w:val="3D741BE2"/>
    <w:rsid w:val="3D74475E"/>
    <w:rsid w:val="3D7448BB"/>
    <w:rsid w:val="3D750458"/>
    <w:rsid w:val="3D7567AB"/>
    <w:rsid w:val="3D77741E"/>
    <w:rsid w:val="3D7A3255"/>
    <w:rsid w:val="3D7B75D1"/>
    <w:rsid w:val="3D7D07D3"/>
    <w:rsid w:val="3D7D07E5"/>
    <w:rsid w:val="3D7D3613"/>
    <w:rsid w:val="3D7D38EE"/>
    <w:rsid w:val="3D7D58BA"/>
    <w:rsid w:val="3D7F0347"/>
    <w:rsid w:val="3D7F47F1"/>
    <w:rsid w:val="3D7F55DD"/>
    <w:rsid w:val="3D803C6E"/>
    <w:rsid w:val="3D8171E8"/>
    <w:rsid w:val="3D8175A7"/>
    <w:rsid w:val="3D821D4C"/>
    <w:rsid w:val="3D8247E3"/>
    <w:rsid w:val="3D824EFF"/>
    <w:rsid w:val="3D826D9C"/>
    <w:rsid w:val="3D8271B6"/>
    <w:rsid w:val="3D83160D"/>
    <w:rsid w:val="3D831EC9"/>
    <w:rsid w:val="3D833531"/>
    <w:rsid w:val="3D83484F"/>
    <w:rsid w:val="3D8348E9"/>
    <w:rsid w:val="3D851761"/>
    <w:rsid w:val="3D852F90"/>
    <w:rsid w:val="3D86780A"/>
    <w:rsid w:val="3D8734B0"/>
    <w:rsid w:val="3D877815"/>
    <w:rsid w:val="3D8849AF"/>
    <w:rsid w:val="3D886418"/>
    <w:rsid w:val="3D890483"/>
    <w:rsid w:val="3D89792F"/>
    <w:rsid w:val="3D8A0F3D"/>
    <w:rsid w:val="3D8C024C"/>
    <w:rsid w:val="3D8D1C0D"/>
    <w:rsid w:val="3D8D637F"/>
    <w:rsid w:val="3D8E5820"/>
    <w:rsid w:val="3D8F1E68"/>
    <w:rsid w:val="3D8F225B"/>
    <w:rsid w:val="3D8F3346"/>
    <w:rsid w:val="3D8F4878"/>
    <w:rsid w:val="3D90216B"/>
    <w:rsid w:val="3D914F44"/>
    <w:rsid w:val="3D943DC3"/>
    <w:rsid w:val="3D955105"/>
    <w:rsid w:val="3D955FF6"/>
    <w:rsid w:val="3D98669F"/>
    <w:rsid w:val="3D9A0E49"/>
    <w:rsid w:val="3D9B1CEB"/>
    <w:rsid w:val="3D9C0C2C"/>
    <w:rsid w:val="3D9C3BF0"/>
    <w:rsid w:val="3D9C79E9"/>
    <w:rsid w:val="3D9E2896"/>
    <w:rsid w:val="3D9F0A5B"/>
    <w:rsid w:val="3D9F11B7"/>
    <w:rsid w:val="3D9F2864"/>
    <w:rsid w:val="3D9F726E"/>
    <w:rsid w:val="3DA10F22"/>
    <w:rsid w:val="3DA133D1"/>
    <w:rsid w:val="3DA307D6"/>
    <w:rsid w:val="3DA3291E"/>
    <w:rsid w:val="3DA34482"/>
    <w:rsid w:val="3DA449AA"/>
    <w:rsid w:val="3DA5068F"/>
    <w:rsid w:val="3DA542A8"/>
    <w:rsid w:val="3DA768E2"/>
    <w:rsid w:val="3DA962CF"/>
    <w:rsid w:val="3DA96C30"/>
    <w:rsid w:val="3DAB3BD0"/>
    <w:rsid w:val="3DAB4ECD"/>
    <w:rsid w:val="3DAC3EBB"/>
    <w:rsid w:val="3DAD363C"/>
    <w:rsid w:val="3DAD6FDE"/>
    <w:rsid w:val="3DAE1D47"/>
    <w:rsid w:val="3DAE2B5D"/>
    <w:rsid w:val="3DAE71F0"/>
    <w:rsid w:val="3DAF3E6B"/>
    <w:rsid w:val="3DAF56DC"/>
    <w:rsid w:val="3DB048CE"/>
    <w:rsid w:val="3DB14F79"/>
    <w:rsid w:val="3DB15C3E"/>
    <w:rsid w:val="3DB16B4F"/>
    <w:rsid w:val="3DB16E20"/>
    <w:rsid w:val="3DB17876"/>
    <w:rsid w:val="3DB34221"/>
    <w:rsid w:val="3DB36AE6"/>
    <w:rsid w:val="3DB42DAD"/>
    <w:rsid w:val="3DB47D9C"/>
    <w:rsid w:val="3DB51516"/>
    <w:rsid w:val="3DB530C6"/>
    <w:rsid w:val="3DB57251"/>
    <w:rsid w:val="3DB679A9"/>
    <w:rsid w:val="3DB67BD8"/>
    <w:rsid w:val="3DB84D62"/>
    <w:rsid w:val="3DB84F41"/>
    <w:rsid w:val="3DB86D41"/>
    <w:rsid w:val="3DB959D7"/>
    <w:rsid w:val="3DBA03C3"/>
    <w:rsid w:val="3DBA5BEF"/>
    <w:rsid w:val="3DBB00AA"/>
    <w:rsid w:val="3DBD4411"/>
    <w:rsid w:val="3DBD6C3E"/>
    <w:rsid w:val="3DBE42A3"/>
    <w:rsid w:val="3DBE5021"/>
    <w:rsid w:val="3DBF4F37"/>
    <w:rsid w:val="3DC04C86"/>
    <w:rsid w:val="3DC07228"/>
    <w:rsid w:val="3DC16281"/>
    <w:rsid w:val="3DC206BF"/>
    <w:rsid w:val="3DC2205B"/>
    <w:rsid w:val="3DC236E7"/>
    <w:rsid w:val="3DC2772F"/>
    <w:rsid w:val="3DC34676"/>
    <w:rsid w:val="3DC515EA"/>
    <w:rsid w:val="3DC52EBA"/>
    <w:rsid w:val="3DC718DA"/>
    <w:rsid w:val="3DC72AE0"/>
    <w:rsid w:val="3DC81898"/>
    <w:rsid w:val="3DCC2201"/>
    <w:rsid w:val="3DCC6668"/>
    <w:rsid w:val="3DCD4AD1"/>
    <w:rsid w:val="3DCE0301"/>
    <w:rsid w:val="3DCE1CEF"/>
    <w:rsid w:val="3DCE20C0"/>
    <w:rsid w:val="3DCE78C8"/>
    <w:rsid w:val="3DD07BB8"/>
    <w:rsid w:val="3DD17A5E"/>
    <w:rsid w:val="3DD21BFC"/>
    <w:rsid w:val="3DD36602"/>
    <w:rsid w:val="3DD369B1"/>
    <w:rsid w:val="3DD514F6"/>
    <w:rsid w:val="3DD566A9"/>
    <w:rsid w:val="3DD61DCD"/>
    <w:rsid w:val="3DD62D1F"/>
    <w:rsid w:val="3DD8636C"/>
    <w:rsid w:val="3DD863C0"/>
    <w:rsid w:val="3DD92DF0"/>
    <w:rsid w:val="3DD965D2"/>
    <w:rsid w:val="3DD97378"/>
    <w:rsid w:val="3DDB5E5D"/>
    <w:rsid w:val="3DDB6FD1"/>
    <w:rsid w:val="3DDD171A"/>
    <w:rsid w:val="3DDD61C5"/>
    <w:rsid w:val="3DDF2F59"/>
    <w:rsid w:val="3DDF60FD"/>
    <w:rsid w:val="3DE010A7"/>
    <w:rsid w:val="3DE02C72"/>
    <w:rsid w:val="3DE04B87"/>
    <w:rsid w:val="3DE10046"/>
    <w:rsid w:val="3DE21D4D"/>
    <w:rsid w:val="3DE23DBE"/>
    <w:rsid w:val="3DE315F4"/>
    <w:rsid w:val="3DE316E3"/>
    <w:rsid w:val="3DE43FE4"/>
    <w:rsid w:val="3DE454DE"/>
    <w:rsid w:val="3DE47B36"/>
    <w:rsid w:val="3DE565EA"/>
    <w:rsid w:val="3DE713D4"/>
    <w:rsid w:val="3DE82D58"/>
    <w:rsid w:val="3DE8709F"/>
    <w:rsid w:val="3DEA6325"/>
    <w:rsid w:val="3DEC2C83"/>
    <w:rsid w:val="3DEC5AE1"/>
    <w:rsid w:val="3DED43AD"/>
    <w:rsid w:val="3DED79AD"/>
    <w:rsid w:val="3DEE020A"/>
    <w:rsid w:val="3DEE1C62"/>
    <w:rsid w:val="3DF005F4"/>
    <w:rsid w:val="3DF036DC"/>
    <w:rsid w:val="3DF23A85"/>
    <w:rsid w:val="3DF35EE1"/>
    <w:rsid w:val="3DF45E4D"/>
    <w:rsid w:val="3DF80EEB"/>
    <w:rsid w:val="3DF97ECE"/>
    <w:rsid w:val="3DFC7E61"/>
    <w:rsid w:val="3E012496"/>
    <w:rsid w:val="3E017F15"/>
    <w:rsid w:val="3E027FBC"/>
    <w:rsid w:val="3E0323BF"/>
    <w:rsid w:val="3E0323E0"/>
    <w:rsid w:val="3E043B88"/>
    <w:rsid w:val="3E0443BA"/>
    <w:rsid w:val="3E0549C9"/>
    <w:rsid w:val="3E063608"/>
    <w:rsid w:val="3E072F00"/>
    <w:rsid w:val="3E07521B"/>
    <w:rsid w:val="3E0819E3"/>
    <w:rsid w:val="3E082CDF"/>
    <w:rsid w:val="3E086A3F"/>
    <w:rsid w:val="3E0A2F64"/>
    <w:rsid w:val="3E0A7B2B"/>
    <w:rsid w:val="3E0D034D"/>
    <w:rsid w:val="3E0F15DB"/>
    <w:rsid w:val="3E0F2894"/>
    <w:rsid w:val="3E101F1F"/>
    <w:rsid w:val="3E11727E"/>
    <w:rsid w:val="3E1178D1"/>
    <w:rsid w:val="3E120035"/>
    <w:rsid w:val="3E1201FF"/>
    <w:rsid w:val="3E120EBC"/>
    <w:rsid w:val="3E122031"/>
    <w:rsid w:val="3E127287"/>
    <w:rsid w:val="3E13020D"/>
    <w:rsid w:val="3E134666"/>
    <w:rsid w:val="3E13526F"/>
    <w:rsid w:val="3E135D25"/>
    <w:rsid w:val="3E13637D"/>
    <w:rsid w:val="3E1467F8"/>
    <w:rsid w:val="3E180E72"/>
    <w:rsid w:val="3E182E44"/>
    <w:rsid w:val="3E18333B"/>
    <w:rsid w:val="3E184EBB"/>
    <w:rsid w:val="3E1875AB"/>
    <w:rsid w:val="3E194C3C"/>
    <w:rsid w:val="3E1A1C45"/>
    <w:rsid w:val="3E1A2799"/>
    <w:rsid w:val="3E1A6B5A"/>
    <w:rsid w:val="3E1C6390"/>
    <w:rsid w:val="3E1C6928"/>
    <w:rsid w:val="3E1D0557"/>
    <w:rsid w:val="3E1D70EE"/>
    <w:rsid w:val="3E1E5372"/>
    <w:rsid w:val="3E1E54B8"/>
    <w:rsid w:val="3E1F0B6E"/>
    <w:rsid w:val="3E1F5F0C"/>
    <w:rsid w:val="3E1F7567"/>
    <w:rsid w:val="3E205479"/>
    <w:rsid w:val="3E212645"/>
    <w:rsid w:val="3E2133A2"/>
    <w:rsid w:val="3E217E36"/>
    <w:rsid w:val="3E222C05"/>
    <w:rsid w:val="3E225A0E"/>
    <w:rsid w:val="3E227410"/>
    <w:rsid w:val="3E232B48"/>
    <w:rsid w:val="3E237F21"/>
    <w:rsid w:val="3E242943"/>
    <w:rsid w:val="3E24501A"/>
    <w:rsid w:val="3E2468A9"/>
    <w:rsid w:val="3E261EFC"/>
    <w:rsid w:val="3E2735E7"/>
    <w:rsid w:val="3E274D1B"/>
    <w:rsid w:val="3E2770E7"/>
    <w:rsid w:val="3E29203F"/>
    <w:rsid w:val="3E297E46"/>
    <w:rsid w:val="3E2A0F57"/>
    <w:rsid w:val="3E2A7B5B"/>
    <w:rsid w:val="3E2A7F37"/>
    <w:rsid w:val="3E2B608E"/>
    <w:rsid w:val="3E2C3569"/>
    <w:rsid w:val="3E2C3DB8"/>
    <w:rsid w:val="3E2C450A"/>
    <w:rsid w:val="3E2F3B47"/>
    <w:rsid w:val="3E2F7C08"/>
    <w:rsid w:val="3E2F7C94"/>
    <w:rsid w:val="3E3110D4"/>
    <w:rsid w:val="3E313427"/>
    <w:rsid w:val="3E32006F"/>
    <w:rsid w:val="3E331488"/>
    <w:rsid w:val="3E342482"/>
    <w:rsid w:val="3E354532"/>
    <w:rsid w:val="3E3578B8"/>
    <w:rsid w:val="3E367A3C"/>
    <w:rsid w:val="3E370A30"/>
    <w:rsid w:val="3E3762B7"/>
    <w:rsid w:val="3E376F5D"/>
    <w:rsid w:val="3E3861F8"/>
    <w:rsid w:val="3E3A1139"/>
    <w:rsid w:val="3E3A4712"/>
    <w:rsid w:val="3E3A74AB"/>
    <w:rsid w:val="3E3B5E30"/>
    <w:rsid w:val="3E3C3D57"/>
    <w:rsid w:val="3E3C7054"/>
    <w:rsid w:val="3E3E52C9"/>
    <w:rsid w:val="3E417C25"/>
    <w:rsid w:val="3E424BC6"/>
    <w:rsid w:val="3E426EF4"/>
    <w:rsid w:val="3E4356B8"/>
    <w:rsid w:val="3E43602C"/>
    <w:rsid w:val="3E43689D"/>
    <w:rsid w:val="3E436FED"/>
    <w:rsid w:val="3E440322"/>
    <w:rsid w:val="3E450514"/>
    <w:rsid w:val="3E46377C"/>
    <w:rsid w:val="3E463E53"/>
    <w:rsid w:val="3E477565"/>
    <w:rsid w:val="3E4827C7"/>
    <w:rsid w:val="3E49386E"/>
    <w:rsid w:val="3E4A14F8"/>
    <w:rsid w:val="3E4A2CBA"/>
    <w:rsid w:val="3E4A3CD3"/>
    <w:rsid w:val="3E4A7D6B"/>
    <w:rsid w:val="3E4B07F2"/>
    <w:rsid w:val="3E4B1569"/>
    <w:rsid w:val="3E4B2C42"/>
    <w:rsid w:val="3E4C0A86"/>
    <w:rsid w:val="3E4C0C00"/>
    <w:rsid w:val="3E4C63BB"/>
    <w:rsid w:val="3E4D1237"/>
    <w:rsid w:val="3E4D5817"/>
    <w:rsid w:val="3E4E51EA"/>
    <w:rsid w:val="3E4F0F8A"/>
    <w:rsid w:val="3E4F3163"/>
    <w:rsid w:val="3E4F77A3"/>
    <w:rsid w:val="3E4F797E"/>
    <w:rsid w:val="3E503879"/>
    <w:rsid w:val="3E520CF0"/>
    <w:rsid w:val="3E52318A"/>
    <w:rsid w:val="3E523C16"/>
    <w:rsid w:val="3E530103"/>
    <w:rsid w:val="3E530817"/>
    <w:rsid w:val="3E53145E"/>
    <w:rsid w:val="3E5423CB"/>
    <w:rsid w:val="3E543F99"/>
    <w:rsid w:val="3E544CCE"/>
    <w:rsid w:val="3E57193C"/>
    <w:rsid w:val="3E5A62EC"/>
    <w:rsid w:val="3E5C0964"/>
    <w:rsid w:val="3E5D0B25"/>
    <w:rsid w:val="3E5F1511"/>
    <w:rsid w:val="3E5F3946"/>
    <w:rsid w:val="3E601161"/>
    <w:rsid w:val="3E614CE2"/>
    <w:rsid w:val="3E615055"/>
    <w:rsid w:val="3E617C95"/>
    <w:rsid w:val="3E63354D"/>
    <w:rsid w:val="3E640B9F"/>
    <w:rsid w:val="3E646418"/>
    <w:rsid w:val="3E6541AC"/>
    <w:rsid w:val="3E66679D"/>
    <w:rsid w:val="3E67726D"/>
    <w:rsid w:val="3E687BAD"/>
    <w:rsid w:val="3E693467"/>
    <w:rsid w:val="3E696981"/>
    <w:rsid w:val="3E6A20BD"/>
    <w:rsid w:val="3E6A43A1"/>
    <w:rsid w:val="3E6C72BB"/>
    <w:rsid w:val="3E6E1417"/>
    <w:rsid w:val="3E6E6014"/>
    <w:rsid w:val="3E6F2EFB"/>
    <w:rsid w:val="3E6F2F98"/>
    <w:rsid w:val="3E6F38A3"/>
    <w:rsid w:val="3E6F4836"/>
    <w:rsid w:val="3E7049A9"/>
    <w:rsid w:val="3E706594"/>
    <w:rsid w:val="3E7204BE"/>
    <w:rsid w:val="3E7229DF"/>
    <w:rsid w:val="3E72676B"/>
    <w:rsid w:val="3E745A74"/>
    <w:rsid w:val="3E7502D3"/>
    <w:rsid w:val="3E751C13"/>
    <w:rsid w:val="3E761AC3"/>
    <w:rsid w:val="3E766A3A"/>
    <w:rsid w:val="3E7814E8"/>
    <w:rsid w:val="3E78202C"/>
    <w:rsid w:val="3E792BFB"/>
    <w:rsid w:val="3E7A723D"/>
    <w:rsid w:val="3E7A7B84"/>
    <w:rsid w:val="3E7B5333"/>
    <w:rsid w:val="3E7B79FC"/>
    <w:rsid w:val="3E7C239F"/>
    <w:rsid w:val="3E7C257E"/>
    <w:rsid w:val="3E7E630F"/>
    <w:rsid w:val="3E8048A1"/>
    <w:rsid w:val="3E8135D7"/>
    <w:rsid w:val="3E8176FB"/>
    <w:rsid w:val="3E820DFD"/>
    <w:rsid w:val="3E831592"/>
    <w:rsid w:val="3E831594"/>
    <w:rsid w:val="3E83494C"/>
    <w:rsid w:val="3E835072"/>
    <w:rsid w:val="3E8410BA"/>
    <w:rsid w:val="3E842247"/>
    <w:rsid w:val="3E846C23"/>
    <w:rsid w:val="3E873A37"/>
    <w:rsid w:val="3E891D2A"/>
    <w:rsid w:val="3E8A18A8"/>
    <w:rsid w:val="3E8A6BC9"/>
    <w:rsid w:val="3E8B10C6"/>
    <w:rsid w:val="3E8D6120"/>
    <w:rsid w:val="3E8E01C0"/>
    <w:rsid w:val="3E8E35FE"/>
    <w:rsid w:val="3E8E6E9C"/>
    <w:rsid w:val="3E8F1CED"/>
    <w:rsid w:val="3E8F79ED"/>
    <w:rsid w:val="3E9055C8"/>
    <w:rsid w:val="3E90619A"/>
    <w:rsid w:val="3E907376"/>
    <w:rsid w:val="3E936B07"/>
    <w:rsid w:val="3E937BFD"/>
    <w:rsid w:val="3E94068F"/>
    <w:rsid w:val="3E94184F"/>
    <w:rsid w:val="3E942F46"/>
    <w:rsid w:val="3E9560B7"/>
    <w:rsid w:val="3E962109"/>
    <w:rsid w:val="3E9745BD"/>
    <w:rsid w:val="3E977521"/>
    <w:rsid w:val="3E9826A8"/>
    <w:rsid w:val="3E984C33"/>
    <w:rsid w:val="3E9857CA"/>
    <w:rsid w:val="3E986179"/>
    <w:rsid w:val="3E990D91"/>
    <w:rsid w:val="3E99624B"/>
    <w:rsid w:val="3E9A0752"/>
    <w:rsid w:val="3E9A3275"/>
    <w:rsid w:val="3E9B175D"/>
    <w:rsid w:val="3E9B3854"/>
    <w:rsid w:val="3E9B45E4"/>
    <w:rsid w:val="3E9C2BA0"/>
    <w:rsid w:val="3E9C586D"/>
    <w:rsid w:val="3E9E19B0"/>
    <w:rsid w:val="3E9E1CF6"/>
    <w:rsid w:val="3E9E3D74"/>
    <w:rsid w:val="3E9F114B"/>
    <w:rsid w:val="3E9F580B"/>
    <w:rsid w:val="3EA02DFC"/>
    <w:rsid w:val="3EA046A3"/>
    <w:rsid w:val="3EA070A4"/>
    <w:rsid w:val="3EA11583"/>
    <w:rsid w:val="3EA1349D"/>
    <w:rsid w:val="3EA31443"/>
    <w:rsid w:val="3EA34620"/>
    <w:rsid w:val="3EA63C21"/>
    <w:rsid w:val="3EA654D5"/>
    <w:rsid w:val="3EA723C8"/>
    <w:rsid w:val="3EA84E11"/>
    <w:rsid w:val="3EA91123"/>
    <w:rsid w:val="3EA93779"/>
    <w:rsid w:val="3EAA0467"/>
    <w:rsid w:val="3EAA5F37"/>
    <w:rsid w:val="3EAA6B19"/>
    <w:rsid w:val="3EAB1FF3"/>
    <w:rsid w:val="3EAB29D6"/>
    <w:rsid w:val="3EAB458C"/>
    <w:rsid w:val="3EAD3A2C"/>
    <w:rsid w:val="3EAD5DC7"/>
    <w:rsid w:val="3EAD7552"/>
    <w:rsid w:val="3EB04EFD"/>
    <w:rsid w:val="3EB06E78"/>
    <w:rsid w:val="3EB135A4"/>
    <w:rsid w:val="3EB147FE"/>
    <w:rsid w:val="3EB4103A"/>
    <w:rsid w:val="3EB43064"/>
    <w:rsid w:val="3EB44D35"/>
    <w:rsid w:val="3EB47508"/>
    <w:rsid w:val="3EB5064C"/>
    <w:rsid w:val="3EB53B83"/>
    <w:rsid w:val="3EB574D3"/>
    <w:rsid w:val="3EB6576A"/>
    <w:rsid w:val="3EB72B54"/>
    <w:rsid w:val="3EB77744"/>
    <w:rsid w:val="3EB83623"/>
    <w:rsid w:val="3EB903A3"/>
    <w:rsid w:val="3EB94594"/>
    <w:rsid w:val="3EB94B1E"/>
    <w:rsid w:val="3EB97C4F"/>
    <w:rsid w:val="3EBA2AE0"/>
    <w:rsid w:val="3EBB6BD8"/>
    <w:rsid w:val="3EBE7224"/>
    <w:rsid w:val="3EBF704A"/>
    <w:rsid w:val="3EBF7C5B"/>
    <w:rsid w:val="3EC02953"/>
    <w:rsid w:val="3EC03D67"/>
    <w:rsid w:val="3EC05ED9"/>
    <w:rsid w:val="3EC06668"/>
    <w:rsid w:val="3EC06DAE"/>
    <w:rsid w:val="3EC10D2A"/>
    <w:rsid w:val="3EC1233F"/>
    <w:rsid w:val="3EC139D3"/>
    <w:rsid w:val="3EC13A3E"/>
    <w:rsid w:val="3EC219EB"/>
    <w:rsid w:val="3EC3033B"/>
    <w:rsid w:val="3EC36BA6"/>
    <w:rsid w:val="3EC45203"/>
    <w:rsid w:val="3EC46BDA"/>
    <w:rsid w:val="3EC51303"/>
    <w:rsid w:val="3EC61005"/>
    <w:rsid w:val="3EC83F5E"/>
    <w:rsid w:val="3EC8699B"/>
    <w:rsid w:val="3EC97650"/>
    <w:rsid w:val="3ECA1BCF"/>
    <w:rsid w:val="3ECA2888"/>
    <w:rsid w:val="3ECA6D2C"/>
    <w:rsid w:val="3ECB45CE"/>
    <w:rsid w:val="3ECB4937"/>
    <w:rsid w:val="3ECB7CB8"/>
    <w:rsid w:val="3ECC3927"/>
    <w:rsid w:val="3ECC67C1"/>
    <w:rsid w:val="3ECE5D97"/>
    <w:rsid w:val="3ECF014B"/>
    <w:rsid w:val="3ED03C16"/>
    <w:rsid w:val="3ED07293"/>
    <w:rsid w:val="3ED07A2C"/>
    <w:rsid w:val="3ED2246F"/>
    <w:rsid w:val="3ED26CFC"/>
    <w:rsid w:val="3ED43681"/>
    <w:rsid w:val="3ED43706"/>
    <w:rsid w:val="3ED54040"/>
    <w:rsid w:val="3ED54AF6"/>
    <w:rsid w:val="3ED55600"/>
    <w:rsid w:val="3ED5590E"/>
    <w:rsid w:val="3ED55A26"/>
    <w:rsid w:val="3ED67F0B"/>
    <w:rsid w:val="3ED746ED"/>
    <w:rsid w:val="3ED76239"/>
    <w:rsid w:val="3ED82DD3"/>
    <w:rsid w:val="3ED8314B"/>
    <w:rsid w:val="3ED93A82"/>
    <w:rsid w:val="3ED96F6F"/>
    <w:rsid w:val="3EDA0523"/>
    <w:rsid w:val="3EDA0712"/>
    <w:rsid w:val="3EDB1677"/>
    <w:rsid w:val="3EDD0DB1"/>
    <w:rsid w:val="3EDE27D7"/>
    <w:rsid w:val="3EDF1C0F"/>
    <w:rsid w:val="3EDF616A"/>
    <w:rsid w:val="3EDF6589"/>
    <w:rsid w:val="3EE0172F"/>
    <w:rsid w:val="3EE021DB"/>
    <w:rsid w:val="3EE07BF9"/>
    <w:rsid w:val="3EE07C99"/>
    <w:rsid w:val="3EE07C9B"/>
    <w:rsid w:val="3EE17BE3"/>
    <w:rsid w:val="3EE22B7B"/>
    <w:rsid w:val="3EE33949"/>
    <w:rsid w:val="3EE45D2D"/>
    <w:rsid w:val="3EE51F7D"/>
    <w:rsid w:val="3EE536BA"/>
    <w:rsid w:val="3EE54DD3"/>
    <w:rsid w:val="3EE576C2"/>
    <w:rsid w:val="3EE6168C"/>
    <w:rsid w:val="3EE61A25"/>
    <w:rsid w:val="3EE90100"/>
    <w:rsid w:val="3EEA3F42"/>
    <w:rsid w:val="3EEA53F2"/>
    <w:rsid w:val="3EEB2B09"/>
    <w:rsid w:val="3EEC2EC6"/>
    <w:rsid w:val="3EEC3F2E"/>
    <w:rsid w:val="3EEC45C8"/>
    <w:rsid w:val="3EEC6CA2"/>
    <w:rsid w:val="3EED04BF"/>
    <w:rsid w:val="3EED2026"/>
    <w:rsid w:val="3EEE26ED"/>
    <w:rsid w:val="3EF01CB9"/>
    <w:rsid w:val="3EF0259C"/>
    <w:rsid w:val="3EF04142"/>
    <w:rsid w:val="3EF0768E"/>
    <w:rsid w:val="3EF07835"/>
    <w:rsid w:val="3EF148BA"/>
    <w:rsid w:val="3EF23AFC"/>
    <w:rsid w:val="3EF53030"/>
    <w:rsid w:val="3EF6077D"/>
    <w:rsid w:val="3EF60EAA"/>
    <w:rsid w:val="3EF75647"/>
    <w:rsid w:val="3EF773F5"/>
    <w:rsid w:val="3EF84EA8"/>
    <w:rsid w:val="3EF8749B"/>
    <w:rsid w:val="3EF87DAD"/>
    <w:rsid w:val="3EF94F1B"/>
    <w:rsid w:val="3EF96381"/>
    <w:rsid w:val="3EFA29B8"/>
    <w:rsid w:val="3EFA4019"/>
    <w:rsid w:val="3EFA7F72"/>
    <w:rsid w:val="3EFB3AA3"/>
    <w:rsid w:val="3EFC4A0B"/>
    <w:rsid w:val="3EFD3336"/>
    <w:rsid w:val="3EFE0783"/>
    <w:rsid w:val="3EFE1374"/>
    <w:rsid w:val="3EFE64C4"/>
    <w:rsid w:val="3EFE7A1E"/>
    <w:rsid w:val="3EFF31BF"/>
    <w:rsid w:val="3EFF3695"/>
    <w:rsid w:val="3EFF59A5"/>
    <w:rsid w:val="3F0032B9"/>
    <w:rsid w:val="3F005D48"/>
    <w:rsid w:val="3F010273"/>
    <w:rsid w:val="3F022D70"/>
    <w:rsid w:val="3F025D83"/>
    <w:rsid w:val="3F0279E8"/>
    <w:rsid w:val="3F030720"/>
    <w:rsid w:val="3F037A27"/>
    <w:rsid w:val="3F046402"/>
    <w:rsid w:val="3F07582B"/>
    <w:rsid w:val="3F084E9A"/>
    <w:rsid w:val="3F095D69"/>
    <w:rsid w:val="3F0A711B"/>
    <w:rsid w:val="3F0A7DA7"/>
    <w:rsid w:val="3F0B0E30"/>
    <w:rsid w:val="3F0B44DE"/>
    <w:rsid w:val="3F0B5FE8"/>
    <w:rsid w:val="3F0D398C"/>
    <w:rsid w:val="3F0D6C18"/>
    <w:rsid w:val="3F0E45D9"/>
    <w:rsid w:val="3F0F253D"/>
    <w:rsid w:val="3F0F473E"/>
    <w:rsid w:val="3F104FAC"/>
    <w:rsid w:val="3F105DFF"/>
    <w:rsid w:val="3F10721A"/>
    <w:rsid w:val="3F122457"/>
    <w:rsid w:val="3F125591"/>
    <w:rsid w:val="3F1439AE"/>
    <w:rsid w:val="3F1714FE"/>
    <w:rsid w:val="3F1812C3"/>
    <w:rsid w:val="3F185AAD"/>
    <w:rsid w:val="3F187A57"/>
    <w:rsid w:val="3F191FEB"/>
    <w:rsid w:val="3F192FB5"/>
    <w:rsid w:val="3F1955BD"/>
    <w:rsid w:val="3F195930"/>
    <w:rsid w:val="3F19643D"/>
    <w:rsid w:val="3F1A23FC"/>
    <w:rsid w:val="3F1A3F59"/>
    <w:rsid w:val="3F1B102E"/>
    <w:rsid w:val="3F1B1335"/>
    <w:rsid w:val="3F1B46AB"/>
    <w:rsid w:val="3F1C58E1"/>
    <w:rsid w:val="3F1D0D3F"/>
    <w:rsid w:val="3F1E3507"/>
    <w:rsid w:val="3F1E4AD5"/>
    <w:rsid w:val="3F20000C"/>
    <w:rsid w:val="3F2112DD"/>
    <w:rsid w:val="3F214472"/>
    <w:rsid w:val="3F2314D9"/>
    <w:rsid w:val="3F231BD2"/>
    <w:rsid w:val="3F23260D"/>
    <w:rsid w:val="3F241595"/>
    <w:rsid w:val="3F246A8E"/>
    <w:rsid w:val="3F25021C"/>
    <w:rsid w:val="3F2521B4"/>
    <w:rsid w:val="3F253F62"/>
    <w:rsid w:val="3F2630BD"/>
    <w:rsid w:val="3F275F2C"/>
    <w:rsid w:val="3F282059"/>
    <w:rsid w:val="3F286817"/>
    <w:rsid w:val="3F2943AB"/>
    <w:rsid w:val="3F297E5C"/>
    <w:rsid w:val="3F2A1578"/>
    <w:rsid w:val="3F2A5329"/>
    <w:rsid w:val="3F2A5A1C"/>
    <w:rsid w:val="3F2B2D95"/>
    <w:rsid w:val="3F2C1BEE"/>
    <w:rsid w:val="3F2C753E"/>
    <w:rsid w:val="3F2E1404"/>
    <w:rsid w:val="3F302144"/>
    <w:rsid w:val="3F307693"/>
    <w:rsid w:val="3F31191C"/>
    <w:rsid w:val="3F3232A2"/>
    <w:rsid w:val="3F330D58"/>
    <w:rsid w:val="3F3348D1"/>
    <w:rsid w:val="3F3745BD"/>
    <w:rsid w:val="3F381B3A"/>
    <w:rsid w:val="3F381EE7"/>
    <w:rsid w:val="3F387406"/>
    <w:rsid w:val="3F3971B6"/>
    <w:rsid w:val="3F3A1C1E"/>
    <w:rsid w:val="3F3B16A8"/>
    <w:rsid w:val="3F3B5533"/>
    <w:rsid w:val="3F3C03C4"/>
    <w:rsid w:val="3F3C1EFA"/>
    <w:rsid w:val="3F3C6F38"/>
    <w:rsid w:val="3F3D17DD"/>
    <w:rsid w:val="3F3D7B91"/>
    <w:rsid w:val="3F400D9C"/>
    <w:rsid w:val="3F415EF7"/>
    <w:rsid w:val="3F4173A4"/>
    <w:rsid w:val="3F425B43"/>
    <w:rsid w:val="3F444E9C"/>
    <w:rsid w:val="3F446ADE"/>
    <w:rsid w:val="3F4546CD"/>
    <w:rsid w:val="3F45580A"/>
    <w:rsid w:val="3F46763A"/>
    <w:rsid w:val="3F4843F7"/>
    <w:rsid w:val="3F4851E2"/>
    <w:rsid w:val="3F494332"/>
    <w:rsid w:val="3F4978CC"/>
    <w:rsid w:val="3F4B25C9"/>
    <w:rsid w:val="3F4B3C74"/>
    <w:rsid w:val="3F4B634C"/>
    <w:rsid w:val="3F4D2603"/>
    <w:rsid w:val="3F4D2D6C"/>
    <w:rsid w:val="3F4E33ED"/>
    <w:rsid w:val="3F4F3CE9"/>
    <w:rsid w:val="3F507EBB"/>
    <w:rsid w:val="3F516B05"/>
    <w:rsid w:val="3F5256F3"/>
    <w:rsid w:val="3F546F83"/>
    <w:rsid w:val="3F55184B"/>
    <w:rsid w:val="3F551B85"/>
    <w:rsid w:val="3F5605BF"/>
    <w:rsid w:val="3F5728C1"/>
    <w:rsid w:val="3F5851A8"/>
    <w:rsid w:val="3F5A4973"/>
    <w:rsid w:val="3F5B1D40"/>
    <w:rsid w:val="3F5C6FC6"/>
    <w:rsid w:val="3F5D14B1"/>
    <w:rsid w:val="3F5D1D68"/>
    <w:rsid w:val="3F5F2E57"/>
    <w:rsid w:val="3F607233"/>
    <w:rsid w:val="3F6103FE"/>
    <w:rsid w:val="3F61173D"/>
    <w:rsid w:val="3F6132F2"/>
    <w:rsid w:val="3F615018"/>
    <w:rsid w:val="3F615F9A"/>
    <w:rsid w:val="3F640E5A"/>
    <w:rsid w:val="3F6420B0"/>
    <w:rsid w:val="3F656A54"/>
    <w:rsid w:val="3F662BEF"/>
    <w:rsid w:val="3F664DAB"/>
    <w:rsid w:val="3F666CB9"/>
    <w:rsid w:val="3F676354"/>
    <w:rsid w:val="3F680C52"/>
    <w:rsid w:val="3F6830E8"/>
    <w:rsid w:val="3F6843A4"/>
    <w:rsid w:val="3F684B91"/>
    <w:rsid w:val="3F685AAB"/>
    <w:rsid w:val="3F6B5E24"/>
    <w:rsid w:val="3F6C3775"/>
    <w:rsid w:val="3F6C58E7"/>
    <w:rsid w:val="3F6C73AC"/>
    <w:rsid w:val="3F6D783F"/>
    <w:rsid w:val="3F6E732E"/>
    <w:rsid w:val="3F6F62F1"/>
    <w:rsid w:val="3F7069A9"/>
    <w:rsid w:val="3F7075A8"/>
    <w:rsid w:val="3F710F55"/>
    <w:rsid w:val="3F726523"/>
    <w:rsid w:val="3F736D6E"/>
    <w:rsid w:val="3F741F6B"/>
    <w:rsid w:val="3F755B23"/>
    <w:rsid w:val="3F756F75"/>
    <w:rsid w:val="3F761BA5"/>
    <w:rsid w:val="3F762246"/>
    <w:rsid w:val="3F766CA5"/>
    <w:rsid w:val="3F770420"/>
    <w:rsid w:val="3F775056"/>
    <w:rsid w:val="3F776974"/>
    <w:rsid w:val="3F7828BD"/>
    <w:rsid w:val="3F783B62"/>
    <w:rsid w:val="3F790295"/>
    <w:rsid w:val="3F79089D"/>
    <w:rsid w:val="3F7939A4"/>
    <w:rsid w:val="3F79605C"/>
    <w:rsid w:val="3F7970D4"/>
    <w:rsid w:val="3F7C4114"/>
    <w:rsid w:val="3F7C5149"/>
    <w:rsid w:val="3F7D78FA"/>
    <w:rsid w:val="3F7E0579"/>
    <w:rsid w:val="3F7E131D"/>
    <w:rsid w:val="3F82238B"/>
    <w:rsid w:val="3F823497"/>
    <w:rsid w:val="3F83178C"/>
    <w:rsid w:val="3F83414E"/>
    <w:rsid w:val="3F835B6B"/>
    <w:rsid w:val="3F842C46"/>
    <w:rsid w:val="3F843EFD"/>
    <w:rsid w:val="3F853159"/>
    <w:rsid w:val="3F855A6D"/>
    <w:rsid w:val="3F861558"/>
    <w:rsid w:val="3F87539E"/>
    <w:rsid w:val="3F876585"/>
    <w:rsid w:val="3F876C99"/>
    <w:rsid w:val="3F884460"/>
    <w:rsid w:val="3F8A0269"/>
    <w:rsid w:val="3F8A6E6C"/>
    <w:rsid w:val="3F8B1854"/>
    <w:rsid w:val="3F8B34BE"/>
    <w:rsid w:val="3F8C106D"/>
    <w:rsid w:val="3F8E584C"/>
    <w:rsid w:val="3F8E6043"/>
    <w:rsid w:val="3F8F4FDF"/>
    <w:rsid w:val="3F8F75F0"/>
    <w:rsid w:val="3F941B41"/>
    <w:rsid w:val="3F945165"/>
    <w:rsid w:val="3F961F70"/>
    <w:rsid w:val="3F962BCC"/>
    <w:rsid w:val="3F9860EA"/>
    <w:rsid w:val="3F990220"/>
    <w:rsid w:val="3F991D9A"/>
    <w:rsid w:val="3F993DB6"/>
    <w:rsid w:val="3F994B4B"/>
    <w:rsid w:val="3F9A75EA"/>
    <w:rsid w:val="3F9C76D7"/>
    <w:rsid w:val="3F9D25E1"/>
    <w:rsid w:val="3F9D3E9B"/>
    <w:rsid w:val="3F9D4995"/>
    <w:rsid w:val="3F9F27C2"/>
    <w:rsid w:val="3FA02F67"/>
    <w:rsid w:val="3FA05310"/>
    <w:rsid w:val="3FA07A8C"/>
    <w:rsid w:val="3FA167BE"/>
    <w:rsid w:val="3FA36D96"/>
    <w:rsid w:val="3FA40226"/>
    <w:rsid w:val="3FA409A7"/>
    <w:rsid w:val="3FA443F7"/>
    <w:rsid w:val="3FA605EB"/>
    <w:rsid w:val="3FA70E1B"/>
    <w:rsid w:val="3FA81422"/>
    <w:rsid w:val="3FA8161E"/>
    <w:rsid w:val="3FA825B7"/>
    <w:rsid w:val="3FA86214"/>
    <w:rsid w:val="3FA94B93"/>
    <w:rsid w:val="3FA96941"/>
    <w:rsid w:val="3FAB1B83"/>
    <w:rsid w:val="3FAC4683"/>
    <w:rsid w:val="3FAD6DE1"/>
    <w:rsid w:val="3FAE2B17"/>
    <w:rsid w:val="3FAF0E9F"/>
    <w:rsid w:val="3FAF705E"/>
    <w:rsid w:val="3FB03A4C"/>
    <w:rsid w:val="3FB075D3"/>
    <w:rsid w:val="3FB07FFA"/>
    <w:rsid w:val="3FB1220D"/>
    <w:rsid w:val="3FB13A48"/>
    <w:rsid w:val="3FB22748"/>
    <w:rsid w:val="3FB40875"/>
    <w:rsid w:val="3FB524F5"/>
    <w:rsid w:val="3FB62E0C"/>
    <w:rsid w:val="3FB65415"/>
    <w:rsid w:val="3FB7023A"/>
    <w:rsid w:val="3FB70770"/>
    <w:rsid w:val="3FB84DD6"/>
    <w:rsid w:val="3FBA07EE"/>
    <w:rsid w:val="3FBA11A3"/>
    <w:rsid w:val="3FBA2BAA"/>
    <w:rsid w:val="3FBC2866"/>
    <w:rsid w:val="3FBC591E"/>
    <w:rsid w:val="3FBD063E"/>
    <w:rsid w:val="3FBD1171"/>
    <w:rsid w:val="3FBD5717"/>
    <w:rsid w:val="3FBE0347"/>
    <w:rsid w:val="3FBE0840"/>
    <w:rsid w:val="3FBE2898"/>
    <w:rsid w:val="3FBE61D5"/>
    <w:rsid w:val="3FBE7ABC"/>
    <w:rsid w:val="3FBF05D4"/>
    <w:rsid w:val="3FBF346F"/>
    <w:rsid w:val="3FC040CD"/>
    <w:rsid w:val="3FC14601"/>
    <w:rsid w:val="3FC22E6C"/>
    <w:rsid w:val="3FC242F5"/>
    <w:rsid w:val="3FC25C55"/>
    <w:rsid w:val="3FC27573"/>
    <w:rsid w:val="3FC27A03"/>
    <w:rsid w:val="3FC30596"/>
    <w:rsid w:val="3FC35D1F"/>
    <w:rsid w:val="3FC43344"/>
    <w:rsid w:val="3FC538A5"/>
    <w:rsid w:val="3FC706E7"/>
    <w:rsid w:val="3FC84A83"/>
    <w:rsid w:val="3FC90D91"/>
    <w:rsid w:val="3FC931AC"/>
    <w:rsid w:val="3FCA1B5C"/>
    <w:rsid w:val="3FCB0346"/>
    <w:rsid w:val="3FCB2D5B"/>
    <w:rsid w:val="3FCC6FA7"/>
    <w:rsid w:val="3FCD1282"/>
    <w:rsid w:val="3FCD7A84"/>
    <w:rsid w:val="3FCF0CC7"/>
    <w:rsid w:val="3FD016CF"/>
    <w:rsid w:val="3FD02E10"/>
    <w:rsid w:val="3FD10B14"/>
    <w:rsid w:val="3FD10D49"/>
    <w:rsid w:val="3FD1356F"/>
    <w:rsid w:val="3FD17951"/>
    <w:rsid w:val="3FD20B1B"/>
    <w:rsid w:val="3FD23571"/>
    <w:rsid w:val="3FD3040C"/>
    <w:rsid w:val="3FD61700"/>
    <w:rsid w:val="3FD74D97"/>
    <w:rsid w:val="3FD820CB"/>
    <w:rsid w:val="3FD967DA"/>
    <w:rsid w:val="3FDA353E"/>
    <w:rsid w:val="3FDB1DDF"/>
    <w:rsid w:val="3FDB2063"/>
    <w:rsid w:val="3FDC3625"/>
    <w:rsid w:val="3FDC7453"/>
    <w:rsid w:val="3FDD138D"/>
    <w:rsid w:val="3FDD670B"/>
    <w:rsid w:val="3FDE5007"/>
    <w:rsid w:val="3FDE6B5D"/>
    <w:rsid w:val="3FDF28E6"/>
    <w:rsid w:val="3FE0432D"/>
    <w:rsid w:val="3FE1075D"/>
    <w:rsid w:val="3FE15B87"/>
    <w:rsid w:val="3FE179BE"/>
    <w:rsid w:val="3FE205B4"/>
    <w:rsid w:val="3FE21E53"/>
    <w:rsid w:val="3FE4207C"/>
    <w:rsid w:val="3FE511EB"/>
    <w:rsid w:val="3FE71762"/>
    <w:rsid w:val="3FE740F4"/>
    <w:rsid w:val="3FE756BB"/>
    <w:rsid w:val="3FE760FB"/>
    <w:rsid w:val="3FE82C3C"/>
    <w:rsid w:val="3FE87B15"/>
    <w:rsid w:val="3FE9018C"/>
    <w:rsid w:val="3FE97E67"/>
    <w:rsid w:val="3FEA5D65"/>
    <w:rsid w:val="3FEB4045"/>
    <w:rsid w:val="3FEB51AC"/>
    <w:rsid w:val="3FEB5955"/>
    <w:rsid w:val="3FEB6680"/>
    <w:rsid w:val="3FEB7DCD"/>
    <w:rsid w:val="3FEC5C58"/>
    <w:rsid w:val="3FED5F8F"/>
    <w:rsid w:val="3FEE0036"/>
    <w:rsid w:val="3FEE178B"/>
    <w:rsid w:val="3FF10071"/>
    <w:rsid w:val="3FF11A54"/>
    <w:rsid w:val="3FF1235F"/>
    <w:rsid w:val="3FF245F3"/>
    <w:rsid w:val="3FF3580C"/>
    <w:rsid w:val="3FF35E0E"/>
    <w:rsid w:val="3FF36950"/>
    <w:rsid w:val="3FF53860"/>
    <w:rsid w:val="3FF53F62"/>
    <w:rsid w:val="3FF54CA4"/>
    <w:rsid w:val="3FF5605D"/>
    <w:rsid w:val="3FF56F7D"/>
    <w:rsid w:val="3FF637E3"/>
    <w:rsid w:val="3FF70A9B"/>
    <w:rsid w:val="3FF8100B"/>
    <w:rsid w:val="3FF87294"/>
    <w:rsid w:val="3FFA1F8C"/>
    <w:rsid w:val="3FFB2A92"/>
    <w:rsid w:val="3FFC4972"/>
    <w:rsid w:val="3FFC694A"/>
    <w:rsid w:val="3FFC73F9"/>
    <w:rsid w:val="3FFD4EDF"/>
    <w:rsid w:val="3FFD5B5B"/>
    <w:rsid w:val="3FFE5002"/>
    <w:rsid w:val="40002AE0"/>
    <w:rsid w:val="400128B1"/>
    <w:rsid w:val="40020CF4"/>
    <w:rsid w:val="4002362B"/>
    <w:rsid w:val="400718BA"/>
    <w:rsid w:val="40073668"/>
    <w:rsid w:val="40077B0C"/>
    <w:rsid w:val="400804D1"/>
    <w:rsid w:val="4008462D"/>
    <w:rsid w:val="40084B0B"/>
    <w:rsid w:val="40084FE2"/>
    <w:rsid w:val="40095F04"/>
    <w:rsid w:val="400A0BDA"/>
    <w:rsid w:val="400B332E"/>
    <w:rsid w:val="400C07A8"/>
    <w:rsid w:val="400C2201"/>
    <w:rsid w:val="400C2AA0"/>
    <w:rsid w:val="400C497A"/>
    <w:rsid w:val="400D3374"/>
    <w:rsid w:val="400D525B"/>
    <w:rsid w:val="400D54DB"/>
    <w:rsid w:val="400E39C0"/>
    <w:rsid w:val="400E49F6"/>
    <w:rsid w:val="400F353D"/>
    <w:rsid w:val="400F49F9"/>
    <w:rsid w:val="400F6B22"/>
    <w:rsid w:val="40104E53"/>
    <w:rsid w:val="401239C3"/>
    <w:rsid w:val="401239E9"/>
    <w:rsid w:val="4013114D"/>
    <w:rsid w:val="4014361C"/>
    <w:rsid w:val="401579F8"/>
    <w:rsid w:val="40166203"/>
    <w:rsid w:val="40171ED9"/>
    <w:rsid w:val="40176848"/>
    <w:rsid w:val="4018361A"/>
    <w:rsid w:val="40185450"/>
    <w:rsid w:val="40192526"/>
    <w:rsid w:val="401A7CB1"/>
    <w:rsid w:val="401B11C3"/>
    <w:rsid w:val="401B7113"/>
    <w:rsid w:val="401C5065"/>
    <w:rsid w:val="401C6D2E"/>
    <w:rsid w:val="401D25DA"/>
    <w:rsid w:val="401E7B44"/>
    <w:rsid w:val="401E7C2F"/>
    <w:rsid w:val="40204B2E"/>
    <w:rsid w:val="4021376A"/>
    <w:rsid w:val="40221D9B"/>
    <w:rsid w:val="40222C18"/>
    <w:rsid w:val="4023319A"/>
    <w:rsid w:val="40235625"/>
    <w:rsid w:val="40235EC8"/>
    <w:rsid w:val="40241345"/>
    <w:rsid w:val="40243ABE"/>
    <w:rsid w:val="4025430E"/>
    <w:rsid w:val="402661E4"/>
    <w:rsid w:val="40270979"/>
    <w:rsid w:val="40280E2E"/>
    <w:rsid w:val="40290788"/>
    <w:rsid w:val="402916C7"/>
    <w:rsid w:val="40292BA4"/>
    <w:rsid w:val="402B22B9"/>
    <w:rsid w:val="402B78EE"/>
    <w:rsid w:val="402C3C7D"/>
    <w:rsid w:val="402D07D0"/>
    <w:rsid w:val="402D22F7"/>
    <w:rsid w:val="402D47FF"/>
    <w:rsid w:val="402F2998"/>
    <w:rsid w:val="403105C2"/>
    <w:rsid w:val="403145AA"/>
    <w:rsid w:val="40316677"/>
    <w:rsid w:val="403176FB"/>
    <w:rsid w:val="40317F27"/>
    <w:rsid w:val="403232D8"/>
    <w:rsid w:val="40327319"/>
    <w:rsid w:val="40334775"/>
    <w:rsid w:val="40334DAD"/>
    <w:rsid w:val="40343B61"/>
    <w:rsid w:val="40357678"/>
    <w:rsid w:val="4037302B"/>
    <w:rsid w:val="40383DA2"/>
    <w:rsid w:val="40386350"/>
    <w:rsid w:val="403873C0"/>
    <w:rsid w:val="403905A8"/>
    <w:rsid w:val="40390C1D"/>
    <w:rsid w:val="403A37EC"/>
    <w:rsid w:val="403B16C0"/>
    <w:rsid w:val="403B1FC4"/>
    <w:rsid w:val="403C03AD"/>
    <w:rsid w:val="403C2F4C"/>
    <w:rsid w:val="403C3640"/>
    <w:rsid w:val="403C4F42"/>
    <w:rsid w:val="403C75C2"/>
    <w:rsid w:val="403D54E9"/>
    <w:rsid w:val="403E7FA2"/>
    <w:rsid w:val="403F5761"/>
    <w:rsid w:val="404046DF"/>
    <w:rsid w:val="40410AF5"/>
    <w:rsid w:val="40416CF9"/>
    <w:rsid w:val="40424ECA"/>
    <w:rsid w:val="40430CC1"/>
    <w:rsid w:val="4043728E"/>
    <w:rsid w:val="404408BB"/>
    <w:rsid w:val="40442B0E"/>
    <w:rsid w:val="40442E79"/>
    <w:rsid w:val="40443D78"/>
    <w:rsid w:val="40451F74"/>
    <w:rsid w:val="4045291D"/>
    <w:rsid w:val="404571AC"/>
    <w:rsid w:val="4047578D"/>
    <w:rsid w:val="40476494"/>
    <w:rsid w:val="40481C0E"/>
    <w:rsid w:val="4048209A"/>
    <w:rsid w:val="40483F25"/>
    <w:rsid w:val="404916FA"/>
    <w:rsid w:val="4049295D"/>
    <w:rsid w:val="404A11A6"/>
    <w:rsid w:val="404A7F3B"/>
    <w:rsid w:val="404B3E9C"/>
    <w:rsid w:val="404B79F8"/>
    <w:rsid w:val="404C30FB"/>
    <w:rsid w:val="404C49C9"/>
    <w:rsid w:val="404C4E87"/>
    <w:rsid w:val="404C65D6"/>
    <w:rsid w:val="404D33A1"/>
    <w:rsid w:val="404D5BC1"/>
    <w:rsid w:val="404D6255"/>
    <w:rsid w:val="404E371D"/>
    <w:rsid w:val="404E7C3E"/>
    <w:rsid w:val="405014B2"/>
    <w:rsid w:val="40504D37"/>
    <w:rsid w:val="40521A68"/>
    <w:rsid w:val="40523970"/>
    <w:rsid w:val="40534269"/>
    <w:rsid w:val="405512CE"/>
    <w:rsid w:val="40563C91"/>
    <w:rsid w:val="40582115"/>
    <w:rsid w:val="40582AFB"/>
    <w:rsid w:val="40590F56"/>
    <w:rsid w:val="40591050"/>
    <w:rsid w:val="40597B27"/>
    <w:rsid w:val="405A24CA"/>
    <w:rsid w:val="405A296D"/>
    <w:rsid w:val="405A5E8D"/>
    <w:rsid w:val="405A6FFA"/>
    <w:rsid w:val="405B6B47"/>
    <w:rsid w:val="405C110C"/>
    <w:rsid w:val="405C2506"/>
    <w:rsid w:val="405E0A05"/>
    <w:rsid w:val="405F61EC"/>
    <w:rsid w:val="40604C24"/>
    <w:rsid w:val="406145E3"/>
    <w:rsid w:val="4061571E"/>
    <w:rsid w:val="40623EA8"/>
    <w:rsid w:val="40625EFB"/>
    <w:rsid w:val="40631A3C"/>
    <w:rsid w:val="40642234"/>
    <w:rsid w:val="40656904"/>
    <w:rsid w:val="40664832"/>
    <w:rsid w:val="406746B6"/>
    <w:rsid w:val="40677669"/>
    <w:rsid w:val="40680F44"/>
    <w:rsid w:val="40681DCF"/>
    <w:rsid w:val="406879EA"/>
    <w:rsid w:val="40692B27"/>
    <w:rsid w:val="406A3428"/>
    <w:rsid w:val="406B5CCA"/>
    <w:rsid w:val="406D7287"/>
    <w:rsid w:val="406E4DB5"/>
    <w:rsid w:val="406E618B"/>
    <w:rsid w:val="406F2DBE"/>
    <w:rsid w:val="407026DC"/>
    <w:rsid w:val="40704ADD"/>
    <w:rsid w:val="40710417"/>
    <w:rsid w:val="40710BD8"/>
    <w:rsid w:val="40714920"/>
    <w:rsid w:val="40714F85"/>
    <w:rsid w:val="40720453"/>
    <w:rsid w:val="40721AD3"/>
    <w:rsid w:val="407229DB"/>
    <w:rsid w:val="40724D60"/>
    <w:rsid w:val="40730317"/>
    <w:rsid w:val="40732746"/>
    <w:rsid w:val="40741440"/>
    <w:rsid w:val="40752485"/>
    <w:rsid w:val="407525F7"/>
    <w:rsid w:val="40772ACD"/>
    <w:rsid w:val="40786313"/>
    <w:rsid w:val="407940A2"/>
    <w:rsid w:val="407A00A9"/>
    <w:rsid w:val="407A1E59"/>
    <w:rsid w:val="407A29C8"/>
    <w:rsid w:val="407A6407"/>
    <w:rsid w:val="407B5324"/>
    <w:rsid w:val="407B75ED"/>
    <w:rsid w:val="407C65EE"/>
    <w:rsid w:val="407E028A"/>
    <w:rsid w:val="407E0E69"/>
    <w:rsid w:val="407E1085"/>
    <w:rsid w:val="407E6D8D"/>
    <w:rsid w:val="407E7DCE"/>
    <w:rsid w:val="407F1347"/>
    <w:rsid w:val="4080127B"/>
    <w:rsid w:val="40803E93"/>
    <w:rsid w:val="40805F5D"/>
    <w:rsid w:val="408151CD"/>
    <w:rsid w:val="408172A3"/>
    <w:rsid w:val="40821C39"/>
    <w:rsid w:val="408228DD"/>
    <w:rsid w:val="4082474B"/>
    <w:rsid w:val="40825A5F"/>
    <w:rsid w:val="40835E7A"/>
    <w:rsid w:val="40841EC0"/>
    <w:rsid w:val="408544EF"/>
    <w:rsid w:val="4086767E"/>
    <w:rsid w:val="4087588A"/>
    <w:rsid w:val="40877D9A"/>
    <w:rsid w:val="40887114"/>
    <w:rsid w:val="40896881"/>
    <w:rsid w:val="408A49C4"/>
    <w:rsid w:val="408B6F3B"/>
    <w:rsid w:val="408D0011"/>
    <w:rsid w:val="408D67A1"/>
    <w:rsid w:val="408E19AD"/>
    <w:rsid w:val="408E5B37"/>
    <w:rsid w:val="408E78C6"/>
    <w:rsid w:val="408F60DD"/>
    <w:rsid w:val="408F7080"/>
    <w:rsid w:val="40901934"/>
    <w:rsid w:val="40904455"/>
    <w:rsid w:val="409052C3"/>
    <w:rsid w:val="40907533"/>
    <w:rsid w:val="409114DF"/>
    <w:rsid w:val="40926BF5"/>
    <w:rsid w:val="40926FED"/>
    <w:rsid w:val="4093557B"/>
    <w:rsid w:val="40943C94"/>
    <w:rsid w:val="4094643A"/>
    <w:rsid w:val="40956EC5"/>
    <w:rsid w:val="40957390"/>
    <w:rsid w:val="40965933"/>
    <w:rsid w:val="40966849"/>
    <w:rsid w:val="40967BB7"/>
    <w:rsid w:val="40970E8F"/>
    <w:rsid w:val="40971A57"/>
    <w:rsid w:val="40971AEA"/>
    <w:rsid w:val="40975D28"/>
    <w:rsid w:val="409865FD"/>
    <w:rsid w:val="409A17EE"/>
    <w:rsid w:val="409A20DF"/>
    <w:rsid w:val="409A4382"/>
    <w:rsid w:val="409C5773"/>
    <w:rsid w:val="409C7E4F"/>
    <w:rsid w:val="409D41E1"/>
    <w:rsid w:val="409D5D7A"/>
    <w:rsid w:val="409D6F2D"/>
    <w:rsid w:val="409F5174"/>
    <w:rsid w:val="40A06C0C"/>
    <w:rsid w:val="40A12CFD"/>
    <w:rsid w:val="40A20840"/>
    <w:rsid w:val="40A225E2"/>
    <w:rsid w:val="40A3171B"/>
    <w:rsid w:val="40A3775D"/>
    <w:rsid w:val="40A45F3E"/>
    <w:rsid w:val="40A56901"/>
    <w:rsid w:val="40A610FA"/>
    <w:rsid w:val="40A739EE"/>
    <w:rsid w:val="40A80D51"/>
    <w:rsid w:val="40A83FCA"/>
    <w:rsid w:val="40A85E09"/>
    <w:rsid w:val="40A92696"/>
    <w:rsid w:val="40A94AB9"/>
    <w:rsid w:val="40AB493B"/>
    <w:rsid w:val="40AC3F0E"/>
    <w:rsid w:val="40AC727C"/>
    <w:rsid w:val="40AD06B3"/>
    <w:rsid w:val="40AD420F"/>
    <w:rsid w:val="40AE386B"/>
    <w:rsid w:val="40AF440C"/>
    <w:rsid w:val="40B05FDC"/>
    <w:rsid w:val="40B07757"/>
    <w:rsid w:val="40B125E4"/>
    <w:rsid w:val="40B12607"/>
    <w:rsid w:val="40B13E91"/>
    <w:rsid w:val="40B15D4A"/>
    <w:rsid w:val="40B24B41"/>
    <w:rsid w:val="40B304F6"/>
    <w:rsid w:val="40B41B1D"/>
    <w:rsid w:val="40B4246F"/>
    <w:rsid w:val="40B43A2A"/>
    <w:rsid w:val="40B43B69"/>
    <w:rsid w:val="40B50519"/>
    <w:rsid w:val="40B557B9"/>
    <w:rsid w:val="40B61ED6"/>
    <w:rsid w:val="40B6407D"/>
    <w:rsid w:val="40B66922"/>
    <w:rsid w:val="40B670FD"/>
    <w:rsid w:val="40B726F9"/>
    <w:rsid w:val="40B757A6"/>
    <w:rsid w:val="40B805CC"/>
    <w:rsid w:val="40B90E06"/>
    <w:rsid w:val="40B918F0"/>
    <w:rsid w:val="40B92B26"/>
    <w:rsid w:val="40BA0A6D"/>
    <w:rsid w:val="40BA552E"/>
    <w:rsid w:val="40BB0707"/>
    <w:rsid w:val="40BB093A"/>
    <w:rsid w:val="40BD02A6"/>
    <w:rsid w:val="40BD6B9A"/>
    <w:rsid w:val="40BE56B0"/>
    <w:rsid w:val="40BE7B91"/>
    <w:rsid w:val="40BF290A"/>
    <w:rsid w:val="40BF787C"/>
    <w:rsid w:val="40C033FE"/>
    <w:rsid w:val="40C25547"/>
    <w:rsid w:val="40C32277"/>
    <w:rsid w:val="40C42186"/>
    <w:rsid w:val="40C63869"/>
    <w:rsid w:val="40C96B6F"/>
    <w:rsid w:val="40CA4664"/>
    <w:rsid w:val="40CB4B32"/>
    <w:rsid w:val="40CB6D8B"/>
    <w:rsid w:val="40CC2EE9"/>
    <w:rsid w:val="40CC335C"/>
    <w:rsid w:val="40CC6992"/>
    <w:rsid w:val="40CD0507"/>
    <w:rsid w:val="40CE3CDF"/>
    <w:rsid w:val="40CE75CC"/>
    <w:rsid w:val="40CF0079"/>
    <w:rsid w:val="40CF30AF"/>
    <w:rsid w:val="40CF7597"/>
    <w:rsid w:val="40D021FB"/>
    <w:rsid w:val="40D12517"/>
    <w:rsid w:val="40D17204"/>
    <w:rsid w:val="40D21EC7"/>
    <w:rsid w:val="40D22BF8"/>
    <w:rsid w:val="40D2343E"/>
    <w:rsid w:val="40D352CC"/>
    <w:rsid w:val="40D41D68"/>
    <w:rsid w:val="40D43E92"/>
    <w:rsid w:val="40D5361F"/>
    <w:rsid w:val="40D553C0"/>
    <w:rsid w:val="40D642A1"/>
    <w:rsid w:val="40D7128C"/>
    <w:rsid w:val="40D713A1"/>
    <w:rsid w:val="40D73171"/>
    <w:rsid w:val="40D81790"/>
    <w:rsid w:val="40D836D3"/>
    <w:rsid w:val="40D87D29"/>
    <w:rsid w:val="40DA6FCE"/>
    <w:rsid w:val="40DC2329"/>
    <w:rsid w:val="40DC2D46"/>
    <w:rsid w:val="40DE0DA7"/>
    <w:rsid w:val="40DE2E12"/>
    <w:rsid w:val="40DE6FEB"/>
    <w:rsid w:val="40DF607B"/>
    <w:rsid w:val="40E031CB"/>
    <w:rsid w:val="40E1656B"/>
    <w:rsid w:val="40E1657E"/>
    <w:rsid w:val="40E25515"/>
    <w:rsid w:val="40E33423"/>
    <w:rsid w:val="40E34D43"/>
    <w:rsid w:val="40E36C71"/>
    <w:rsid w:val="40E40D73"/>
    <w:rsid w:val="40E4396E"/>
    <w:rsid w:val="40E470BD"/>
    <w:rsid w:val="40E50EE7"/>
    <w:rsid w:val="40E52D58"/>
    <w:rsid w:val="40E81D5D"/>
    <w:rsid w:val="40E85247"/>
    <w:rsid w:val="40E93684"/>
    <w:rsid w:val="40EA0A50"/>
    <w:rsid w:val="40EA2AA5"/>
    <w:rsid w:val="40EA4658"/>
    <w:rsid w:val="40EA6569"/>
    <w:rsid w:val="40EA6A21"/>
    <w:rsid w:val="40EB15FC"/>
    <w:rsid w:val="40EC40B9"/>
    <w:rsid w:val="40ED3404"/>
    <w:rsid w:val="40EE4818"/>
    <w:rsid w:val="40EF3576"/>
    <w:rsid w:val="40EF7681"/>
    <w:rsid w:val="40EF7EDF"/>
    <w:rsid w:val="40F01CFC"/>
    <w:rsid w:val="40F05357"/>
    <w:rsid w:val="40F12CE4"/>
    <w:rsid w:val="40F17ABA"/>
    <w:rsid w:val="40F25C5F"/>
    <w:rsid w:val="40F26FCB"/>
    <w:rsid w:val="40F465F9"/>
    <w:rsid w:val="40F71908"/>
    <w:rsid w:val="40F77BCC"/>
    <w:rsid w:val="40F91B1F"/>
    <w:rsid w:val="40F92284"/>
    <w:rsid w:val="40F955F3"/>
    <w:rsid w:val="40FA2316"/>
    <w:rsid w:val="40FA2DAF"/>
    <w:rsid w:val="40FB3C97"/>
    <w:rsid w:val="40FB3DD0"/>
    <w:rsid w:val="40FC3D5B"/>
    <w:rsid w:val="40FC5334"/>
    <w:rsid w:val="40FD4EC5"/>
    <w:rsid w:val="40FD7C32"/>
    <w:rsid w:val="40FE3386"/>
    <w:rsid w:val="40FE6014"/>
    <w:rsid w:val="40FE6483"/>
    <w:rsid w:val="4101619B"/>
    <w:rsid w:val="410255EC"/>
    <w:rsid w:val="41032081"/>
    <w:rsid w:val="410339BD"/>
    <w:rsid w:val="410405AC"/>
    <w:rsid w:val="41042A50"/>
    <w:rsid w:val="41045CB7"/>
    <w:rsid w:val="4106265B"/>
    <w:rsid w:val="4106547E"/>
    <w:rsid w:val="410858E9"/>
    <w:rsid w:val="41090277"/>
    <w:rsid w:val="41093909"/>
    <w:rsid w:val="410979F9"/>
    <w:rsid w:val="410A0DA0"/>
    <w:rsid w:val="410B39E6"/>
    <w:rsid w:val="410E04AB"/>
    <w:rsid w:val="410E4A79"/>
    <w:rsid w:val="410F0266"/>
    <w:rsid w:val="411055BA"/>
    <w:rsid w:val="41107DBB"/>
    <w:rsid w:val="41114E07"/>
    <w:rsid w:val="41123B00"/>
    <w:rsid w:val="4113044C"/>
    <w:rsid w:val="41132E9C"/>
    <w:rsid w:val="41137D3E"/>
    <w:rsid w:val="41151DB4"/>
    <w:rsid w:val="41155126"/>
    <w:rsid w:val="41160629"/>
    <w:rsid w:val="411623EB"/>
    <w:rsid w:val="41175B2C"/>
    <w:rsid w:val="41181516"/>
    <w:rsid w:val="41182BB4"/>
    <w:rsid w:val="41190F99"/>
    <w:rsid w:val="411A2E5E"/>
    <w:rsid w:val="411A36EE"/>
    <w:rsid w:val="411A71CF"/>
    <w:rsid w:val="411B1E86"/>
    <w:rsid w:val="411C1395"/>
    <w:rsid w:val="411C4D55"/>
    <w:rsid w:val="411D4D64"/>
    <w:rsid w:val="411E13EE"/>
    <w:rsid w:val="411E35A9"/>
    <w:rsid w:val="411E6EBB"/>
    <w:rsid w:val="411F713B"/>
    <w:rsid w:val="41201408"/>
    <w:rsid w:val="41204DAD"/>
    <w:rsid w:val="4120529E"/>
    <w:rsid w:val="41214E90"/>
    <w:rsid w:val="41220941"/>
    <w:rsid w:val="41226D0B"/>
    <w:rsid w:val="41230AE5"/>
    <w:rsid w:val="4124010F"/>
    <w:rsid w:val="41250739"/>
    <w:rsid w:val="41256F75"/>
    <w:rsid w:val="41260497"/>
    <w:rsid w:val="41265D6F"/>
    <w:rsid w:val="41287B9B"/>
    <w:rsid w:val="41290E41"/>
    <w:rsid w:val="41291581"/>
    <w:rsid w:val="41292BE0"/>
    <w:rsid w:val="4129651D"/>
    <w:rsid w:val="412C4E6B"/>
    <w:rsid w:val="412C6C96"/>
    <w:rsid w:val="412D17EF"/>
    <w:rsid w:val="412D5350"/>
    <w:rsid w:val="412E1041"/>
    <w:rsid w:val="412E4859"/>
    <w:rsid w:val="412F2FF6"/>
    <w:rsid w:val="412F3029"/>
    <w:rsid w:val="41300B97"/>
    <w:rsid w:val="41311700"/>
    <w:rsid w:val="41313092"/>
    <w:rsid w:val="41320308"/>
    <w:rsid w:val="41322827"/>
    <w:rsid w:val="41330DE9"/>
    <w:rsid w:val="41331144"/>
    <w:rsid w:val="41335A72"/>
    <w:rsid w:val="41344372"/>
    <w:rsid w:val="4134614B"/>
    <w:rsid w:val="41350C19"/>
    <w:rsid w:val="41351500"/>
    <w:rsid w:val="413724C2"/>
    <w:rsid w:val="41373522"/>
    <w:rsid w:val="41373707"/>
    <w:rsid w:val="4137529E"/>
    <w:rsid w:val="41377F7D"/>
    <w:rsid w:val="41386AF7"/>
    <w:rsid w:val="41386CE3"/>
    <w:rsid w:val="41391F47"/>
    <w:rsid w:val="413938A1"/>
    <w:rsid w:val="413942E4"/>
    <w:rsid w:val="413955EC"/>
    <w:rsid w:val="413A0D77"/>
    <w:rsid w:val="413B1762"/>
    <w:rsid w:val="413C029C"/>
    <w:rsid w:val="41402BB1"/>
    <w:rsid w:val="414032D5"/>
    <w:rsid w:val="4140470D"/>
    <w:rsid w:val="41414D4F"/>
    <w:rsid w:val="41423DF9"/>
    <w:rsid w:val="41436921"/>
    <w:rsid w:val="41440C31"/>
    <w:rsid w:val="414526E5"/>
    <w:rsid w:val="414563EB"/>
    <w:rsid w:val="4146427B"/>
    <w:rsid w:val="41484800"/>
    <w:rsid w:val="41491295"/>
    <w:rsid w:val="4149648B"/>
    <w:rsid w:val="414A5A5F"/>
    <w:rsid w:val="414B0BCD"/>
    <w:rsid w:val="414B5B51"/>
    <w:rsid w:val="414D208D"/>
    <w:rsid w:val="414D3354"/>
    <w:rsid w:val="414D369B"/>
    <w:rsid w:val="414F52C6"/>
    <w:rsid w:val="41507D35"/>
    <w:rsid w:val="415143B0"/>
    <w:rsid w:val="41534169"/>
    <w:rsid w:val="41534CC5"/>
    <w:rsid w:val="4154466B"/>
    <w:rsid w:val="41553572"/>
    <w:rsid w:val="41567547"/>
    <w:rsid w:val="415812E3"/>
    <w:rsid w:val="41586871"/>
    <w:rsid w:val="4159020A"/>
    <w:rsid w:val="415A6787"/>
    <w:rsid w:val="415B3C6B"/>
    <w:rsid w:val="415B61C8"/>
    <w:rsid w:val="41612E65"/>
    <w:rsid w:val="41614658"/>
    <w:rsid w:val="41614F75"/>
    <w:rsid w:val="41634054"/>
    <w:rsid w:val="41644B6B"/>
    <w:rsid w:val="41650077"/>
    <w:rsid w:val="416549D1"/>
    <w:rsid w:val="416550EE"/>
    <w:rsid w:val="41656C54"/>
    <w:rsid w:val="41667E4C"/>
    <w:rsid w:val="41670862"/>
    <w:rsid w:val="41672713"/>
    <w:rsid w:val="41676BED"/>
    <w:rsid w:val="41683878"/>
    <w:rsid w:val="41694BB4"/>
    <w:rsid w:val="416A62BF"/>
    <w:rsid w:val="416B0F81"/>
    <w:rsid w:val="416B488B"/>
    <w:rsid w:val="416B5F49"/>
    <w:rsid w:val="416B7C26"/>
    <w:rsid w:val="416C5720"/>
    <w:rsid w:val="416E6A25"/>
    <w:rsid w:val="417069A3"/>
    <w:rsid w:val="417073F5"/>
    <w:rsid w:val="41711EF6"/>
    <w:rsid w:val="417129EE"/>
    <w:rsid w:val="4171762C"/>
    <w:rsid w:val="417213AE"/>
    <w:rsid w:val="417221DA"/>
    <w:rsid w:val="417420F6"/>
    <w:rsid w:val="41743B29"/>
    <w:rsid w:val="41746F74"/>
    <w:rsid w:val="41747406"/>
    <w:rsid w:val="41756AF9"/>
    <w:rsid w:val="41763EB4"/>
    <w:rsid w:val="41772BF2"/>
    <w:rsid w:val="41775EF1"/>
    <w:rsid w:val="41782A6F"/>
    <w:rsid w:val="41786443"/>
    <w:rsid w:val="41797C87"/>
    <w:rsid w:val="417A0440"/>
    <w:rsid w:val="417A6018"/>
    <w:rsid w:val="417C6D9C"/>
    <w:rsid w:val="417D1F14"/>
    <w:rsid w:val="417D2EE9"/>
    <w:rsid w:val="417E0350"/>
    <w:rsid w:val="417E0676"/>
    <w:rsid w:val="417E776C"/>
    <w:rsid w:val="417E7BE7"/>
    <w:rsid w:val="417F306E"/>
    <w:rsid w:val="417F3366"/>
    <w:rsid w:val="417F70A0"/>
    <w:rsid w:val="41802004"/>
    <w:rsid w:val="41807B75"/>
    <w:rsid w:val="41810971"/>
    <w:rsid w:val="418140A7"/>
    <w:rsid w:val="418155DC"/>
    <w:rsid w:val="418238EE"/>
    <w:rsid w:val="418249C0"/>
    <w:rsid w:val="41831F2E"/>
    <w:rsid w:val="41834B46"/>
    <w:rsid w:val="418420DC"/>
    <w:rsid w:val="41852DBE"/>
    <w:rsid w:val="4185518C"/>
    <w:rsid w:val="41862C24"/>
    <w:rsid w:val="418658E9"/>
    <w:rsid w:val="41866131"/>
    <w:rsid w:val="41873DBF"/>
    <w:rsid w:val="4187695C"/>
    <w:rsid w:val="41877150"/>
    <w:rsid w:val="418832BA"/>
    <w:rsid w:val="41890258"/>
    <w:rsid w:val="41892FDE"/>
    <w:rsid w:val="418A6FF6"/>
    <w:rsid w:val="418A797B"/>
    <w:rsid w:val="418B0FD6"/>
    <w:rsid w:val="418B66F4"/>
    <w:rsid w:val="418C5E02"/>
    <w:rsid w:val="418C6615"/>
    <w:rsid w:val="418E091F"/>
    <w:rsid w:val="419046CA"/>
    <w:rsid w:val="419158DF"/>
    <w:rsid w:val="41921545"/>
    <w:rsid w:val="41923405"/>
    <w:rsid w:val="41923A15"/>
    <w:rsid w:val="41933C1F"/>
    <w:rsid w:val="41935FB4"/>
    <w:rsid w:val="41951C42"/>
    <w:rsid w:val="41953C4C"/>
    <w:rsid w:val="41987257"/>
    <w:rsid w:val="419A2BF3"/>
    <w:rsid w:val="419A5EC4"/>
    <w:rsid w:val="419A6449"/>
    <w:rsid w:val="419B2A22"/>
    <w:rsid w:val="419B675D"/>
    <w:rsid w:val="419B6885"/>
    <w:rsid w:val="419B71CE"/>
    <w:rsid w:val="419F0228"/>
    <w:rsid w:val="41A2328C"/>
    <w:rsid w:val="41A272ED"/>
    <w:rsid w:val="41A27AEC"/>
    <w:rsid w:val="41A3297C"/>
    <w:rsid w:val="41A34E21"/>
    <w:rsid w:val="41A40239"/>
    <w:rsid w:val="41A43AA9"/>
    <w:rsid w:val="41A51612"/>
    <w:rsid w:val="41A73799"/>
    <w:rsid w:val="41A766FE"/>
    <w:rsid w:val="41A83AEB"/>
    <w:rsid w:val="41A855A4"/>
    <w:rsid w:val="41AA2E44"/>
    <w:rsid w:val="41AA5E15"/>
    <w:rsid w:val="41AC3413"/>
    <w:rsid w:val="41AD023F"/>
    <w:rsid w:val="41AD6AA0"/>
    <w:rsid w:val="41AE6491"/>
    <w:rsid w:val="41AF25FD"/>
    <w:rsid w:val="41B1645F"/>
    <w:rsid w:val="41B2255D"/>
    <w:rsid w:val="41B234DD"/>
    <w:rsid w:val="41B262C7"/>
    <w:rsid w:val="41B371EE"/>
    <w:rsid w:val="41B40B09"/>
    <w:rsid w:val="41B415CD"/>
    <w:rsid w:val="41B503F1"/>
    <w:rsid w:val="41B50466"/>
    <w:rsid w:val="41B57924"/>
    <w:rsid w:val="41B63B6B"/>
    <w:rsid w:val="41B80C81"/>
    <w:rsid w:val="41B810F2"/>
    <w:rsid w:val="41B82E6B"/>
    <w:rsid w:val="41B83F4A"/>
    <w:rsid w:val="41B967CC"/>
    <w:rsid w:val="41BA1496"/>
    <w:rsid w:val="41BA178A"/>
    <w:rsid w:val="41BA1F18"/>
    <w:rsid w:val="41BA427C"/>
    <w:rsid w:val="41BB6AF9"/>
    <w:rsid w:val="41BB7217"/>
    <w:rsid w:val="41BF2A80"/>
    <w:rsid w:val="41BF5686"/>
    <w:rsid w:val="41BF7FFA"/>
    <w:rsid w:val="41C03C6A"/>
    <w:rsid w:val="41C13F18"/>
    <w:rsid w:val="41C1613E"/>
    <w:rsid w:val="41C22E46"/>
    <w:rsid w:val="41C61A17"/>
    <w:rsid w:val="41C70C4C"/>
    <w:rsid w:val="41C7316A"/>
    <w:rsid w:val="41C75E79"/>
    <w:rsid w:val="41C84ABF"/>
    <w:rsid w:val="41C928B9"/>
    <w:rsid w:val="41CA31D7"/>
    <w:rsid w:val="41CA4BBE"/>
    <w:rsid w:val="41CB4006"/>
    <w:rsid w:val="41CB6E86"/>
    <w:rsid w:val="41CC4C4D"/>
    <w:rsid w:val="41CD5F46"/>
    <w:rsid w:val="41CE1D85"/>
    <w:rsid w:val="41CE50EA"/>
    <w:rsid w:val="41CF248B"/>
    <w:rsid w:val="41CF49D6"/>
    <w:rsid w:val="41D012B9"/>
    <w:rsid w:val="41D028AB"/>
    <w:rsid w:val="41D1174A"/>
    <w:rsid w:val="41D1346C"/>
    <w:rsid w:val="41D13F2D"/>
    <w:rsid w:val="41D15E43"/>
    <w:rsid w:val="41D21581"/>
    <w:rsid w:val="41D31EAF"/>
    <w:rsid w:val="41D37CA5"/>
    <w:rsid w:val="41D57EC1"/>
    <w:rsid w:val="41D6290D"/>
    <w:rsid w:val="41D728AB"/>
    <w:rsid w:val="41D7307D"/>
    <w:rsid w:val="41D735B6"/>
    <w:rsid w:val="41D963B0"/>
    <w:rsid w:val="41DA3C27"/>
    <w:rsid w:val="41DA6975"/>
    <w:rsid w:val="41DB70C6"/>
    <w:rsid w:val="41DC22BD"/>
    <w:rsid w:val="41DC6334"/>
    <w:rsid w:val="41DE4E48"/>
    <w:rsid w:val="41DF0085"/>
    <w:rsid w:val="41E114ED"/>
    <w:rsid w:val="41E12FA2"/>
    <w:rsid w:val="41E17D4C"/>
    <w:rsid w:val="41E20B0A"/>
    <w:rsid w:val="41E211DD"/>
    <w:rsid w:val="41E23DF0"/>
    <w:rsid w:val="41E2613A"/>
    <w:rsid w:val="41E265B3"/>
    <w:rsid w:val="41E369F0"/>
    <w:rsid w:val="41E62C76"/>
    <w:rsid w:val="41E6745C"/>
    <w:rsid w:val="41E70617"/>
    <w:rsid w:val="41E74495"/>
    <w:rsid w:val="41E746D5"/>
    <w:rsid w:val="41E77BF5"/>
    <w:rsid w:val="41E92AAA"/>
    <w:rsid w:val="41E9396D"/>
    <w:rsid w:val="41E9477C"/>
    <w:rsid w:val="41EC320C"/>
    <w:rsid w:val="41EC5C76"/>
    <w:rsid w:val="41EE5C9F"/>
    <w:rsid w:val="41EE6277"/>
    <w:rsid w:val="41F06AA9"/>
    <w:rsid w:val="41F15EC5"/>
    <w:rsid w:val="41F21D83"/>
    <w:rsid w:val="41F32730"/>
    <w:rsid w:val="41F35C3D"/>
    <w:rsid w:val="41F51012"/>
    <w:rsid w:val="41F53D55"/>
    <w:rsid w:val="41F61BE6"/>
    <w:rsid w:val="41F67E38"/>
    <w:rsid w:val="41F70BB4"/>
    <w:rsid w:val="41F72CD4"/>
    <w:rsid w:val="41F744F5"/>
    <w:rsid w:val="41F75931"/>
    <w:rsid w:val="41F7722B"/>
    <w:rsid w:val="41F8770C"/>
    <w:rsid w:val="41F9330A"/>
    <w:rsid w:val="41FA2C04"/>
    <w:rsid w:val="41FB0E6C"/>
    <w:rsid w:val="41FB1D75"/>
    <w:rsid w:val="41FB6284"/>
    <w:rsid w:val="41FB71FC"/>
    <w:rsid w:val="41FC7BEE"/>
    <w:rsid w:val="41FD0E5B"/>
    <w:rsid w:val="41FD11C6"/>
    <w:rsid w:val="41FD33B1"/>
    <w:rsid w:val="41FF0E4B"/>
    <w:rsid w:val="41FF35DA"/>
    <w:rsid w:val="41FF4262"/>
    <w:rsid w:val="42002551"/>
    <w:rsid w:val="4200449D"/>
    <w:rsid w:val="420059CB"/>
    <w:rsid w:val="42005B41"/>
    <w:rsid w:val="4202390D"/>
    <w:rsid w:val="42026AFA"/>
    <w:rsid w:val="42043053"/>
    <w:rsid w:val="42044303"/>
    <w:rsid w:val="4206553A"/>
    <w:rsid w:val="42081F6F"/>
    <w:rsid w:val="4208797B"/>
    <w:rsid w:val="420A1B5A"/>
    <w:rsid w:val="420E0716"/>
    <w:rsid w:val="420E669C"/>
    <w:rsid w:val="420F4A55"/>
    <w:rsid w:val="420F7F33"/>
    <w:rsid w:val="42100002"/>
    <w:rsid w:val="421136C3"/>
    <w:rsid w:val="421205B7"/>
    <w:rsid w:val="421239A5"/>
    <w:rsid w:val="42132798"/>
    <w:rsid w:val="421342A2"/>
    <w:rsid w:val="42161B6C"/>
    <w:rsid w:val="421624BD"/>
    <w:rsid w:val="42167D28"/>
    <w:rsid w:val="42173C07"/>
    <w:rsid w:val="42186000"/>
    <w:rsid w:val="42194F8B"/>
    <w:rsid w:val="421A35AD"/>
    <w:rsid w:val="421A58D4"/>
    <w:rsid w:val="421B38F1"/>
    <w:rsid w:val="421C3B2B"/>
    <w:rsid w:val="421C3BC2"/>
    <w:rsid w:val="421D78AB"/>
    <w:rsid w:val="421E2DFF"/>
    <w:rsid w:val="421E659F"/>
    <w:rsid w:val="421F652B"/>
    <w:rsid w:val="42202600"/>
    <w:rsid w:val="42203925"/>
    <w:rsid w:val="42211528"/>
    <w:rsid w:val="4221394E"/>
    <w:rsid w:val="42214734"/>
    <w:rsid w:val="42214F44"/>
    <w:rsid w:val="42222247"/>
    <w:rsid w:val="422247EF"/>
    <w:rsid w:val="422370D4"/>
    <w:rsid w:val="42240CF9"/>
    <w:rsid w:val="42244EF0"/>
    <w:rsid w:val="4227436B"/>
    <w:rsid w:val="42277F6F"/>
    <w:rsid w:val="42287ED6"/>
    <w:rsid w:val="42293237"/>
    <w:rsid w:val="42297483"/>
    <w:rsid w:val="422A188F"/>
    <w:rsid w:val="422B0260"/>
    <w:rsid w:val="422B5D33"/>
    <w:rsid w:val="422B6118"/>
    <w:rsid w:val="422B6ABB"/>
    <w:rsid w:val="422C1D05"/>
    <w:rsid w:val="422C353B"/>
    <w:rsid w:val="422D3F6E"/>
    <w:rsid w:val="422E02E4"/>
    <w:rsid w:val="422E6B55"/>
    <w:rsid w:val="422F0C1B"/>
    <w:rsid w:val="422F2B21"/>
    <w:rsid w:val="422F3CF7"/>
    <w:rsid w:val="4230334A"/>
    <w:rsid w:val="423061AF"/>
    <w:rsid w:val="42307F37"/>
    <w:rsid w:val="423121C2"/>
    <w:rsid w:val="42315640"/>
    <w:rsid w:val="42317946"/>
    <w:rsid w:val="423201D4"/>
    <w:rsid w:val="42324810"/>
    <w:rsid w:val="42342ACB"/>
    <w:rsid w:val="4235042E"/>
    <w:rsid w:val="42351B9E"/>
    <w:rsid w:val="42366486"/>
    <w:rsid w:val="42367D6C"/>
    <w:rsid w:val="4237121F"/>
    <w:rsid w:val="423742D8"/>
    <w:rsid w:val="4237474A"/>
    <w:rsid w:val="423765A1"/>
    <w:rsid w:val="42382EF5"/>
    <w:rsid w:val="423868CA"/>
    <w:rsid w:val="42387549"/>
    <w:rsid w:val="42396E80"/>
    <w:rsid w:val="42397A48"/>
    <w:rsid w:val="423A3BCC"/>
    <w:rsid w:val="423A665B"/>
    <w:rsid w:val="423B01E9"/>
    <w:rsid w:val="423B0EE0"/>
    <w:rsid w:val="423B2BB5"/>
    <w:rsid w:val="423B3EEB"/>
    <w:rsid w:val="423C0C97"/>
    <w:rsid w:val="423D7815"/>
    <w:rsid w:val="423E780F"/>
    <w:rsid w:val="4240055E"/>
    <w:rsid w:val="42421A16"/>
    <w:rsid w:val="42435018"/>
    <w:rsid w:val="42444557"/>
    <w:rsid w:val="42444C33"/>
    <w:rsid w:val="424477A6"/>
    <w:rsid w:val="42462D06"/>
    <w:rsid w:val="42475020"/>
    <w:rsid w:val="42484C43"/>
    <w:rsid w:val="4249440B"/>
    <w:rsid w:val="424A40D7"/>
    <w:rsid w:val="424A798C"/>
    <w:rsid w:val="424A7B43"/>
    <w:rsid w:val="424B2C9D"/>
    <w:rsid w:val="424C3D45"/>
    <w:rsid w:val="424D0579"/>
    <w:rsid w:val="424E37D0"/>
    <w:rsid w:val="424E57D2"/>
    <w:rsid w:val="424F4E66"/>
    <w:rsid w:val="42501214"/>
    <w:rsid w:val="42504109"/>
    <w:rsid w:val="4250748D"/>
    <w:rsid w:val="42547050"/>
    <w:rsid w:val="42553B1B"/>
    <w:rsid w:val="425670E8"/>
    <w:rsid w:val="42580891"/>
    <w:rsid w:val="42580DF2"/>
    <w:rsid w:val="42582E33"/>
    <w:rsid w:val="42585F45"/>
    <w:rsid w:val="425A173D"/>
    <w:rsid w:val="425A55C2"/>
    <w:rsid w:val="425A6618"/>
    <w:rsid w:val="425B76C5"/>
    <w:rsid w:val="425C3634"/>
    <w:rsid w:val="425C403B"/>
    <w:rsid w:val="425E3DC7"/>
    <w:rsid w:val="425E469D"/>
    <w:rsid w:val="425F309A"/>
    <w:rsid w:val="425F3EFE"/>
    <w:rsid w:val="425F66F9"/>
    <w:rsid w:val="42603BD3"/>
    <w:rsid w:val="4261409D"/>
    <w:rsid w:val="42615066"/>
    <w:rsid w:val="426226AF"/>
    <w:rsid w:val="42640C73"/>
    <w:rsid w:val="42672AE3"/>
    <w:rsid w:val="42674891"/>
    <w:rsid w:val="426B3B54"/>
    <w:rsid w:val="426B588C"/>
    <w:rsid w:val="426C129B"/>
    <w:rsid w:val="426C514E"/>
    <w:rsid w:val="426D2259"/>
    <w:rsid w:val="426D4B3E"/>
    <w:rsid w:val="426D540A"/>
    <w:rsid w:val="426E3215"/>
    <w:rsid w:val="426F16DB"/>
    <w:rsid w:val="426F3942"/>
    <w:rsid w:val="426F48D0"/>
    <w:rsid w:val="42707028"/>
    <w:rsid w:val="4272177A"/>
    <w:rsid w:val="42723FB4"/>
    <w:rsid w:val="4272719B"/>
    <w:rsid w:val="4274036F"/>
    <w:rsid w:val="42753C49"/>
    <w:rsid w:val="42772109"/>
    <w:rsid w:val="42772BB1"/>
    <w:rsid w:val="42785A16"/>
    <w:rsid w:val="42785C18"/>
    <w:rsid w:val="42790A9A"/>
    <w:rsid w:val="427C033D"/>
    <w:rsid w:val="427C53FA"/>
    <w:rsid w:val="427E75A0"/>
    <w:rsid w:val="427F1BDB"/>
    <w:rsid w:val="42803AE6"/>
    <w:rsid w:val="42803F18"/>
    <w:rsid w:val="428101E1"/>
    <w:rsid w:val="42810438"/>
    <w:rsid w:val="42811ED4"/>
    <w:rsid w:val="42817C96"/>
    <w:rsid w:val="42830418"/>
    <w:rsid w:val="4283147C"/>
    <w:rsid w:val="428320B5"/>
    <w:rsid w:val="42855C22"/>
    <w:rsid w:val="42857378"/>
    <w:rsid w:val="428611BC"/>
    <w:rsid w:val="428627FF"/>
    <w:rsid w:val="42872915"/>
    <w:rsid w:val="42880300"/>
    <w:rsid w:val="42886C16"/>
    <w:rsid w:val="428A1087"/>
    <w:rsid w:val="428A3B8F"/>
    <w:rsid w:val="428C1C8A"/>
    <w:rsid w:val="428C79DC"/>
    <w:rsid w:val="428D328C"/>
    <w:rsid w:val="428E2F8F"/>
    <w:rsid w:val="428E62C2"/>
    <w:rsid w:val="42905B96"/>
    <w:rsid w:val="42906337"/>
    <w:rsid w:val="42907217"/>
    <w:rsid w:val="42920FD0"/>
    <w:rsid w:val="4294592A"/>
    <w:rsid w:val="42947635"/>
    <w:rsid w:val="429513FF"/>
    <w:rsid w:val="429532F6"/>
    <w:rsid w:val="42962007"/>
    <w:rsid w:val="429733C9"/>
    <w:rsid w:val="42974AFE"/>
    <w:rsid w:val="42982127"/>
    <w:rsid w:val="429865BE"/>
    <w:rsid w:val="429A0960"/>
    <w:rsid w:val="429A4C67"/>
    <w:rsid w:val="429A743B"/>
    <w:rsid w:val="429B5757"/>
    <w:rsid w:val="429C09DF"/>
    <w:rsid w:val="429C6C46"/>
    <w:rsid w:val="429D6164"/>
    <w:rsid w:val="429E5DF7"/>
    <w:rsid w:val="429E6037"/>
    <w:rsid w:val="429F1254"/>
    <w:rsid w:val="42A214C1"/>
    <w:rsid w:val="42A31D6D"/>
    <w:rsid w:val="42A33B1C"/>
    <w:rsid w:val="42A33CB2"/>
    <w:rsid w:val="42A353AF"/>
    <w:rsid w:val="42A66A56"/>
    <w:rsid w:val="42A778FD"/>
    <w:rsid w:val="42A8383C"/>
    <w:rsid w:val="42A84725"/>
    <w:rsid w:val="42A858DB"/>
    <w:rsid w:val="42A859E6"/>
    <w:rsid w:val="42A85A2D"/>
    <w:rsid w:val="42A903E2"/>
    <w:rsid w:val="42A94EAA"/>
    <w:rsid w:val="42AA787B"/>
    <w:rsid w:val="42AB0C22"/>
    <w:rsid w:val="42AB2700"/>
    <w:rsid w:val="42AB42A3"/>
    <w:rsid w:val="42AC001C"/>
    <w:rsid w:val="42AC04F6"/>
    <w:rsid w:val="42AC2401"/>
    <w:rsid w:val="42AC377F"/>
    <w:rsid w:val="42AD0C9C"/>
    <w:rsid w:val="42AD6748"/>
    <w:rsid w:val="42AD7E84"/>
    <w:rsid w:val="42B05460"/>
    <w:rsid w:val="42B1532C"/>
    <w:rsid w:val="42B26B0C"/>
    <w:rsid w:val="42B26C49"/>
    <w:rsid w:val="42B57921"/>
    <w:rsid w:val="42B71DF8"/>
    <w:rsid w:val="42B75819"/>
    <w:rsid w:val="42B77B2B"/>
    <w:rsid w:val="42B86676"/>
    <w:rsid w:val="42B9180B"/>
    <w:rsid w:val="42B921EF"/>
    <w:rsid w:val="42B9392C"/>
    <w:rsid w:val="42B95875"/>
    <w:rsid w:val="42BA0F65"/>
    <w:rsid w:val="42BB3A58"/>
    <w:rsid w:val="42BC4BDD"/>
    <w:rsid w:val="42BD2F8E"/>
    <w:rsid w:val="42BD6EEC"/>
    <w:rsid w:val="42BE0955"/>
    <w:rsid w:val="42BE2AF4"/>
    <w:rsid w:val="42BE6EDE"/>
    <w:rsid w:val="42BE7BDF"/>
    <w:rsid w:val="42C104FE"/>
    <w:rsid w:val="42C121F4"/>
    <w:rsid w:val="42C12399"/>
    <w:rsid w:val="42C30C8C"/>
    <w:rsid w:val="42C35573"/>
    <w:rsid w:val="42C548AE"/>
    <w:rsid w:val="42C624C9"/>
    <w:rsid w:val="42C65A5C"/>
    <w:rsid w:val="42C83582"/>
    <w:rsid w:val="42CA4710"/>
    <w:rsid w:val="42CA5A5B"/>
    <w:rsid w:val="42CB1461"/>
    <w:rsid w:val="42CB7412"/>
    <w:rsid w:val="42CD0B98"/>
    <w:rsid w:val="42CD4A10"/>
    <w:rsid w:val="42CF2488"/>
    <w:rsid w:val="42CF2D7B"/>
    <w:rsid w:val="42D02437"/>
    <w:rsid w:val="42D13116"/>
    <w:rsid w:val="42D13FF0"/>
    <w:rsid w:val="42D1603A"/>
    <w:rsid w:val="42D25B1A"/>
    <w:rsid w:val="42D27E91"/>
    <w:rsid w:val="42D36B91"/>
    <w:rsid w:val="42D47B8F"/>
    <w:rsid w:val="42D54CFA"/>
    <w:rsid w:val="42D75530"/>
    <w:rsid w:val="42D76203"/>
    <w:rsid w:val="42D83BE0"/>
    <w:rsid w:val="42D83D92"/>
    <w:rsid w:val="42D93808"/>
    <w:rsid w:val="42DA5063"/>
    <w:rsid w:val="42DC1519"/>
    <w:rsid w:val="42DC5E2C"/>
    <w:rsid w:val="42DD2406"/>
    <w:rsid w:val="42DD35BE"/>
    <w:rsid w:val="42DE23D1"/>
    <w:rsid w:val="42DE28D1"/>
    <w:rsid w:val="42DF1646"/>
    <w:rsid w:val="42DF61F9"/>
    <w:rsid w:val="42E137F5"/>
    <w:rsid w:val="42E21C5A"/>
    <w:rsid w:val="42E2699C"/>
    <w:rsid w:val="42E30929"/>
    <w:rsid w:val="42E364F9"/>
    <w:rsid w:val="42E36E6B"/>
    <w:rsid w:val="42E4223C"/>
    <w:rsid w:val="42E46EA8"/>
    <w:rsid w:val="42E4759C"/>
    <w:rsid w:val="42E560FF"/>
    <w:rsid w:val="42E63A08"/>
    <w:rsid w:val="42E67301"/>
    <w:rsid w:val="42E72223"/>
    <w:rsid w:val="42E72E8F"/>
    <w:rsid w:val="42E75C1C"/>
    <w:rsid w:val="42E81483"/>
    <w:rsid w:val="42E85506"/>
    <w:rsid w:val="42E90492"/>
    <w:rsid w:val="42EB0C15"/>
    <w:rsid w:val="42EB54C2"/>
    <w:rsid w:val="42EB6BA2"/>
    <w:rsid w:val="42EC5FCB"/>
    <w:rsid w:val="42EE6EAC"/>
    <w:rsid w:val="42EF47BF"/>
    <w:rsid w:val="42F21D46"/>
    <w:rsid w:val="42F45FB0"/>
    <w:rsid w:val="42F47F45"/>
    <w:rsid w:val="42F659C3"/>
    <w:rsid w:val="42F8373B"/>
    <w:rsid w:val="42F86480"/>
    <w:rsid w:val="42F866EB"/>
    <w:rsid w:val="42F87AB8"/>
    <w:rsid w:val="42F9198D"/>
    <w:rsid w:val="42F946FB"/>
    <w:rsid w:val="42FA5B02"/>
    <w:rsid w:val="42FE46DB"/>
    <w:rsid w:val="43015A6A"/>
    <w:rsid w:val="43023B99"/>
    <w:rsid w:val="43030A5E"/>
    <w:rsid w:val="43033B7B"/>
    <w:rsid w:val="430345BA"/>
    <w:rsid w:val="430361B5"/>
    <w:rsid w:val="43036368"/>
    <w:rsid w:val="430702AF"/>
    <w:rsid w:val="430843A7"/>
    <w:rsid w:val="43093E66"/>
    <w:rsid w:val="430B2593"/>
    <w:rsid w:val="430B346F"/>
    <w:rsid w:val="430B7913"/>
    <w:rsid w:val="430D6B93"/>
    <w:rsid w:val="430E211F"/>
    <w:rsid w:val="430E67C4"/>
    <w:rsid w:val="430F2A76"/>
    <w:rsid w:val="430F32C1"/>
    <w:rsid w:val="430F394C"/>
    <w:rsid w:val="430F7580"/>
    <w:rsid w:val="431044F4"/>
    <w:rsid w:val="4311280D"/>
    <w:rsid w:val="43121835"/>
    <w:rsid w:val="431241F7"/>
    <w:rsid w:val="43141EC1"/>
    <w:rsid w:val="431578C0"/>
    <w:rsid w:val="43161198"/>
    <w:rsid w:val="4318641E"/>
    <w:rsid w:val="43191B5B"/>
    <w:rsid w:val="43192E06"/>
    <w:rsid w:val="431940CB"/>
    <w:rsid w:val="431A42EA"/>
    <w:rsid w:val="431A7B56"/>
    <w:rsid w:val="431C09D5"/>
    <w:rsid w:val="431C4669"/>
    <w:rsid w:val="431C6878"/>
    <w:rsid w:val="431D5FF7"/>
    <w:rsid w:val="431E7FC5"/>
    <w:rsid w:val="431F33A3"/>
    <w:rsid w:val="43222F17"/>
    <w:rsid w:val="432265F0"/>
    <w:rsid w:val="432314F5"/>
    <w:rsid w:val="43233A2D"/>
    <w:rsid w:val="43233A99"/>
    <w:rsid w:val="43251E01"/>
    <w:rsid w:val="432539D5"/>
    <w:rsid w:val="4326474D"/>
    <w:rsid w:val="4327252E"/>
    <w:rsid w:val="43274BB4"/>
    <w:rsid w:val="4328018C"/>
    <w:rsid w:val="432849AF"/>
    <w:rsid w:val="43292C13"/>
    <w:rsid w:val="432A376E"/>
    <w:rsid w:val="432A76B8"/>
    <w:rsid w:val="432B210A"/>
    <w:rsid w:val="432B6769"/>
    <w:rsid w:val="432C2EA2"/>
    <w:rsid w:val="432C576F"/>
    <w:rsid w:val="432E033E"/>
    <w:rsid w:val="43306451"/>
    <w:rsid w:val="43307B9B"/>
    <w:rsid w:val="43316A55"/>
    <w:rsid w:val="4331703C"/>
    <w:rsid w:val="43317E31"/>
    <w:rsid w:val="4332698C"/>
    <w:rsid w:val="43333108"/>
    <w:rsid w:val="4333424C"/>
    <w:rsid w:val="433429C6"/>
    <w:rsid w:val="433531A1"/>
    <w:rsid w:val="43380348"/>
    <w:rsid w:val="433A6FE6"/>
    <w:rsid w:val="433C4196"/>
    <w:rsid w:val="433D5237"/>
    <w:rsid w:val="433F15D6"/>
    <w:rsid w:val="433F490F"/>
    <w:rsid w:val="433F7D46"/>
    <w:rsid w:val="43402B23"/>
    <w:rsid w:val="43402CE4"/>
    <w:rsid w:val="43414866"/>
    <w:rsid w:val="43416EEE"/>
    <w:rsid w:val="4342465F"/>
    <w:rsid w:val="43435682"/>
    <w:rsid w:val="43436494"/>
    <w:rsid w:val="43460D02"/>
    <w:rsid w:val="43462AB3"/>
    <w:rsid w:val="43473949"/>
    <w:rsid w:val="43475C72"/>
    <w:rsid w:val="4347623D"/>
    <w:rsid w:val="43480868"/>
    <w:rsid w:val="434846C3"/>
    <w:rsid w:val="43493422"/>
    <w:rsid w:val="434963E9"/>
    <w:rsid w:val="434A3F97"/>
    <w:rsid w:val="434A409F"/>
    <w:rsid w:val="434A4C28"/>
    <w:rsid w:val="434A5F72"/>
    <w:rsid w:val="434B2C17"/>
    <w:rsid w:val="434B5F10"/>
    <w:rsid w:val="434C2527"/>
    <w:rsid w:val="434C2DC0"/>
    <w:rsid w:val="434C312A"/>
    <w:rsid w:val="434C645C"/>
    <w:rsid w:val="434E6BD6"/>
    <w:rsid w:val="434F45F5"/>
    <w:rsid w:val="434F7188"/>
    <w:rsid w:val="4350713C"/>
    <w:rsid w:val="43507984"/>
    <w:rsid w:val="43510AEB"/>
    <w:rsid w:val="435141A8"/>
    <w:rsid w:val="43514824"/>
    <w:rsid w:val="4351536C"/>
    <w:rsid w:val="43520A54"/>
    <w:rsid w:val="43524E1D"/>
    <w:rsid w:val="435272F0"/>
    <w:rsid w:val="43544E16"/>
    <w:rsid w:val="4355065E"/>
    <w:rsid w:val="43551025"/>
    <w:rsid w:val="43551950"/>
    <w:rsid w:val="43562F63"/>
    <w:rsid w:val="43565E8E"/>
    <w:rsid w:val="435708DB"/>
    <w:rsid w:val="43575D89"/>
    <w:rsid w:val="435769CF"/>
    <w:rsid w:val="435905DC"/>
    <w:rsid w:val="43590AF8"/>
    <w:rsid w:val="4359242C"/>
    <w:rsid w:val="43594235"/>
    <w:rsid w:val="435A7091"/>
    <w:rsid w:val="435B3597"/>
    <w:rsid w:val="435B48FA"/>
    <w:rsid w:val="435B4D20"/>
    <w:rsid w:val="435D6A99"/>
    <w:rsid w:val="435E3AAC"/>
    <w:rsid w:val="43607785"/>
    <w:rsid w:val="43620193"/>
    <w:rsid w:val="43625EF8"/>
    <w:rsid w:val="43626ED6"/>
    <w:rsid w:val="436467EE"/>
    <w:rsid w:val="436577AB"/>
    <w:rsid w:val="43664E89"/>
    <w:rsid w:val="436653E0"/>
    <w:rsid w:val="43675A6B"/>
    <w:rsid w:val="43683806"/>
    <w:rsid w:val="43683854"/>
    <w:rsid w:val="43684DA3"/>
    <w:rsid w:val="436949CA"/>
    <w:rsid w:val="436A07D2"/>
    <w:rsid w:val="436A2A72"/>
    <w:rsid w:val="436A3902"/>
    <w:rsid w:val="436A6F62"/>
    <w:rsid w:val="436B0208"/>
    <w:rsid w:val="436B4727"/>
    <w:rsid w:val="436C1304"/>
    <w:rsid w:val="436C33A6"/>
    <w:rsid w:val="436C44D7"/>
    <w:rsid w:val="436C5344"/>
    <w:rsid w:val="436D1DC4"/>
    <w:rsid w:val="436D3F5C"/>
    <w:rsid w:val="436E307D"/>
    <w:rsid w:val="436E7DFC"/>
    <w:rsid w:val="43701282"/>
    <w:rsid w:val="43703B36"/>
    <w:rsid w:val="4372256D"/>
    <w:rsid w:val="43722FAC"/>
    <w:rsid w:val="4374108A"/>
    <w:rsid w:val="4374388D"/>
    <w:rsid w:val="43745EE8"/>
    <w:rsid w:val="43755730"/>
    <w:rsid w:val="43764794"/>
    <w:rsid w:val="43771EED"/>
    <w:rsid w:val="43792ACE"/>
    <w:rsid w:val="437B0C83"/>
    <w:rsid w:val="437B55AE"/>
    <w:rsid w:val="437C1DB9"/>
    <w:rsid w:val="437C5F39"/>
    <w:rsid w:val="437D7292"/>
    <w:rsid w:val="437E0654"/>
    <w:rsid w:val="437E1E93"/>
    <w:rsid w:val="437F0A3B"/>
    <w:rsid w:val="4380023E"/>
    <w:rsid w:val="4380468F"/>
    <w:rsid w:val="4381102C"/>
    <w:rsid w:val="43811983"/>
    <w:rsid w:val="43814076"/>
    <w:rsid w:val="438216E6"/>
    <w:rsid w:val="43831973"/>
    <w:rsid w:val="43857D22"/>
    <w:rsid w:val="43863795"/>
    <w:rsid w:val="438653D3"/>
    <w:rsid w:val="43882D11"/>
    <w:rsid w:val="438904C5"/>
    <w:rsid w:val="438922BD"/>
    <w:rsid w:val="438B31BA"/>
    <w:rsid w:val="438B66D5"/>
    <w:rsid w:val="438C4FE4"/>
    <w:rsid w:val="438C6F7D"/>
    <w:rsid w:val="438D6DD9"/>
    <w:rsid w:val="438E7A4A"/>
    <w:rsid w:val="438F09D3"/>
    <w:rsid w:val="438F52E6"/>
    <w:rsid w:val="43901FF7"/>
    <w:rsid w:val="4390390F"/>
    <w:rsid w:val="439131F0"/>
    <w:rsid w:val="43914F70"/>
    <w:rsid w:val="43920AAA"/>
    <w:rsid w:val="43940E05"/>
    <w:rsid w:val="4394402F"/>
    <w:rsid w:val="43946D31"/>
    <w:rsid w:val="43947908"/>
    <w:rsid w:val="43965D59"/>
    <w:rsid w:val="43972914"/>
    <w:rsid w:val="4398033B"/>
    <w:rsid w:val="439A49F5"/>
    <w:rsid w:val="439B4049"/>
    <w:rsid w:val="439D1A6A"/>
    <w:rsid w:val="439E6DF1"/>
    <w:rsid w:val="43A044FF"/>
    <w:rsid w:val="43A22E94"/>
    <w:rsid w:val="43A318F9"/>
    <w:rsid w:val="43A35F21"/>
    <w:rsid w:val="43A674F2"/>
    <w:rsid w:val="43A924BF"/>
    <w:rsid w:val="43A931D6"/>
    <w:rsid w:val="43AD1A57"/>
    <w:rsid w:val="43AD4E28"/>
    <w:rsid w:val="43AE3034"/>
    <w:rsid w:val="43AE54E0"/>
    <w:rsid w:val="43AE5940"/>
    <w:rsid w:val="43AE5A8D"/>
    <w:rsid w:val="43B10134"/>
    <w:rsid w:val="43B216FC"/>
    <w:rsid w:val="43B22B71"/>
    <w:rsid w:val="43B239B6"/>
    <w:rsid w:val="43B24EE7"/>
    <w:rsid w:val="43B2523D"/>
    <w:rsid w:val="43B25B3A"/>
    <w:rsid w:val="43B31080"/>
    <w:rsid w:val="43B33804"/>
    <w:rsid w:val="43B51BBC"/>
    <w:rsid w:val="43B54BBC"/>
    <w:rsid w:val="43B70F9E"/>
    <w:rsid w:val="43B71C37"/>
    <w:rsid w:val="43B76B38"/>
    <w:rsid w:val="43B835F7"/>
    <w:rsid w:val="43B928CE"/>
    <w:rsid w:val="43B96CD5"/>
    <w:rsid w:val="43BA529A"/>
    <w:rsid w:val="43BA54AF"/>
    <w:rsid w:val="43BB30E7"/>
    <w:rsid w:val="43BB47EB"/>
    <w:rsid w:val="43BB75BB"/>
    <w:rsid w:val="43BE2EC7"/>
    <w:rsid w:val="43BE5346"/>
    <w:rsid w:val="43BF14CA"/>
    <w:rsid w:val="43BF3F28"/>
    <w:rsid w:val="43BF6FE3"/>
    <w:rsid w:val="43C02306"/>
    <w:rsid w:val="43C05943"/>
    <w:rsid w:val="43C31F9B"/>
    <w:rsid w:val="43C44004"/>
    <w:rsid w:val="43C4431A"/>
    <w:rsid w:val="43C60138"/>
    <w:rsid w:val="43C642DC"/>
    <w:rsid w:val="43C64DCF"/>
    <w:rsid w:val="43C70A83"/>
    <w:rsid w:val="43C7378D"/>
    <w:rsid w:val="43C933BC"/>
    <w:rsid w:val="43CA1513"/>
    <w:rsid w:val="43CA2895"/>
    <w:rsid w:val="43CA36EE"/>
    <w:rsid w:val="43CB26DF"/>
    <w:rsid w:val="43CB5510"/>
    <w:rsid w:val="43CB6BD4"/>
    <w:rsid w:val="43CC36F0"/>
    <w:rsid w:val="43CC4569"/>
    <w:rsid w:val="43CE1BA0"/>
    <w:rsid w:val="43D051CD"/>
    <w:rsid w:val="43D2368B"/>
    <w:rsid w:val="43D23F8D"/>
    <w:rsid w:val="43D279A1"/>
    <w:rsid w:val="43D32F97"/>
    <w:rsid w:val="43D3716C"/>
    <w:rsid w:val="43D44AB6"/>
    <w:rsid w:val="43D4747D"/>
    <w:rsid w:val="43D522E4"/>
    <w:rsid w:val="43D5596A"/>
    <w:rsid w:val="43D57D85"/>
    <w:rsid w:val="43D61AC8"/>
    <w:rsid w:val="43D725BF"/>
    <w:rsid w:val="43D906C1"/>
    <w:rsid w:val="43D93427"/>
    <w:rsid w:val="43D9531B"/>
    <w:rsid w:val="43DA59D0"/>
    <w:rsid w:val="43DC0D53"/>
    <w:rsid w:val="43DD139C"/>
    <w:rsid w:val="43DE2E22"/>
    <w:rsid w:val="43DF3CFA"/>
    <w:rsid w:val="43E022CE"/>
    <w:rsid w:val="43E06BF4"/>
    <w:rsid w:val="43E10A4B"/>
    <w:rsid w:val="43E12F8C"/>
    <w:rsid w:val="43E33A96"/>
    <w:rsid w:val="43E415E6"/>
    <w:rsid w:val="43E51483"/>
    <w:rsid w:val="43E52A64"/>
    <w:rsid w:val="43E72CE4"/>
    <w:rsid w:val="43E82053"/>
    <w:rsid w:val="43E837B0"/>
    <w:rsid w:val="43E86369"/>
    <w:rsid w:val="43E960F8"/>
    <w:rsid w:val="43E966DD"/>
    <w:rsid w:val="43E9678A"/>
    <w:rsid w:val="43EA13FE"/>
    <w:rsid w:val="43EA39CC"/>
    <w:rsid w:val="43EB5F7C"/>
    <w:rsid w:val="43EB6171"/>
    <w:rsid w:val="43EC1091"/>
    <w:rsid w:val="43EC2E55"/>
    <w:rsid w:val="43EC478C"/>
    <w:rsid w:val="43ED60D3"/>
    <w:rsid w:val="43ED7ECE"/>
    <w:rsid w:val="43EF4AE9"/>
    <w:rsid w:val="43F0439B"/>
    <w:rsid w:val="43F107B0"/>
    <w:rsid w:val="43F12851"/>
    <w:rsid w:val="43F153C1"/>
    <w:rsid w:val="43F21A19"/>
    <w:rsid w:val="43F226B2"/>
    <w:rsid w:val="43F23F0B"/>
    <w:rsid w:val="43F263DD"/>
    <w:rsid w:val="43F32CEC"/>
    <w:rsid w:val="43F34FE5"/>
    <w:rsid w:val="43F36382"/>
    <w:rsid w:val="43F43588"/>
    <w:rsid w:val="43F50A0E"/>
    <w:rsid w:val="43F56154"/>
    <w:rsid w:val="43F601BF"/>
    <w:rsid w:val="43F65530"/>
    <w:rsid w:val="43F70B63"/>
    <w:rsid w:val="43F84E89"/>
    <w:rsid w:val="43F875A6"/>
    <w:rsid w:val="43F91278"/>
    <w:rsid w:val="43F959BD"/>
    <w:rsid w:val="43FA05D7"/>
    <w:rsid w:val="43FA77BC"/>
    <w:rsid w:val="43FA7FE9"/>
    <w:rsid w:val="43FB4017"/>
    <w:rsid w:val="43FC77C1"/>
    <w:rsid w:val="43FD36FF"/>
    <w:rsid w:val="43FD6A3E"/>
    <w:rsid w:val="43FD7C73"/>
    <w:rsid w:val="43FF05AE"/>
    <w:rsid w:val="43FF4CB2"/>
    <w:rsid w:val="44000AFA"/>
    <w:rsid w:val="44005217"/>
    <w:rsid w:val="44007451"/>
    <w:rsid w:val="4401362E"/>
    <w:rsid w:val="4401732F"/>
    <w:rsid w:val="4402099E"/>
    <w:rsid w:val="44021DA7"/>
    <w:rsid w:val="44030464"/>
    <w:rsid w:val="44042532"/>
    <w:rsid w:val="44054362"/>
    <w:rsid w:val="44055343"/>
    <w:rsid w:val="4405769C"/>
    <w:rsid w:val="44064171"/>
    <w:rsid w:val="440700DA"/>
    <w:rsid w:val="44070729"/>
    <w:rsid w:val="44071E88"/>
    <w:rsid w:val="44080852"/>
    <w:rsid w:val="44094C94"/>
    <w:rsid w:val="440B473D"/>
    <w:rsid w:val="440C58D9"/>
    <w:rsid w:val="440C749E"/>
    <w:rsid w:val="440E5EDA"/>
    <w:rsid w:val="440F51E1"/>
    <w:rsid w:val="440F540E"/>
    <w:rsid w:val="440F6F8F"/>
    <w:rsid w:val="44110F59"/>
    <w:rsid w:val="44112D07"/>
    <w:rsid w:val="44120A2C"/>
    <w:rsid w:val="441445A5"/>
    <w:rsid w:val="44147055"/>
    <w:rsid w:val="44151FB1"/>
    <w:rsid w:val="4415785E"/>
    <w:rsid w:val="441610BF"/>
    <w:rsid w:val="441619D4"/>
    <w:rsid w:val="44177E0A"/>
    <w:rsid w:val="44182410"/>
    <w:rsid w:val="44196448"/>
    <w:rsid w:val="44197551"/>
    <w:rsid w:val="441A652C"/>
    <w:rsid w:val="441F3B2B"/>
    <w:rsid w:val="441F7EFA"/>
    <w:rsid w:val="442041BB"/>
    <w:rsid w:val="44230A0A"/>
    <w:rsid w:val="44232D97"/>
    <w:rsid w:val="442340C7"/>
    <w:rsid w:val="44236EB8"/>
    <w:rsid w:val="44247304"/>
    <w:rsid w:val="44251942"/>
    <w:rsid w:val="44254243"/>
    <w:rsid w:val="44264461"/>
    <w:rsid w:val="44267732"/>
    <w:rsid w:val="44272E82"/>
    <w:rsid w:val="4429264B"/>
    <w:rsid w:val="4429428D"/>
    <w:rsid w:val="44294471"/>
    <w:rsid w:val="442962A2"/>
    <w:rsid w:val="4429688B"/>
    <w:rsid w:val="442A0E19"/>
    <w:rsid w:val="442A4BFE"/>
    <w:rsid w:val="442A7B80"/>
    <w:rsid w:val="442B201A"/>
    <w:rsid w:val="442B3822"/>
    <w:rsid w:val="442B71AC"/>
    <w:rsid w:val="442B7AAC"/>
    <w:rsid w:val="442D54F9"/>
    <w:rsid w:val="443229EA"/>
    <w:rsid w:val="44334291"/>
    <w:rsid w:val="44336ECC"/>
    <w:rsid w:val="44337DCD"/>
    <w:rsid w:val="443436FA"/>
    <w:rsid w:val="44345962"/>
    <w:rsid w:val="4434688A"/>
    <w:rsid w:val="4435368B"/>
    <w:rsid w:val="4436031C"/>
    <w:rsid w:val="44363FF0"/>
    <w:rsid w:val="4436451B"/>
    <w:rsid w:val="44381F6C"/>
    <w:rsid w:val="44386324"/>
    <w:rsid w:val="443A4EBA"/>
    <w:rsid w:val="443D5B0A"/>
    <w:rsid w:val="443E3548"/>
    <w:rsid w:val="443F1622"/>
    <w:rsid w:val="443F5AC6"/>
    <w:rsid w:val="444114ED"/>
    <w:rsid w:val="44445E76"/>
    <w:rsid w:val="444529B0"/>
    <w:rsid w:val="44467364"/>
    <w:rsid w:val="44472432"/>
    <w:rsid w:val="444733E0"/>
    <w:rsid w:val="44475714"/>
    <w:rsid w:val="4448333B"/>
    <w:rsid w:val="4449106C"/>
    <w:rsid w:val="44491BBE"/>
    <w:rsid w:val="44492EA4"/>
    <w:rsid w:val="444A0269"/>
    <w:rsid w:val="444A0BCE"/>
    <w:rsid w:val="444A7058"/>
    <w:rsid w:val="444C4400"/>
    <w:rsid w:val="444C7027"/>
    <w:rsid w:val="444D7A22"/>
    <w:rsid w:val="444E2959"/>
    <w:rsid w:val="444E33D0"/>
    <w:rsid w:val="444E5D34"/>
    <w:rsid w:val="44503803"/>
    <w:rsid w:val="4450382F"/>
    <w:rsid w:val="44510159"/>
    <w:rsid w:val="44514B9B"/>
    <w:rsid w:val="44523AB9"/>
    <w:rsid w:val="445275A7"/>
    <w:rsid w:val="4453558D"/>
    <w:rsid w:val="44540989"/>
    <w:rsid w:val="44542172"/>
    <w:rsid w:val="445458FB"/>
    <w:rsid w:val="445500CB"/>
    <w:rsid w:val="445510C8"/>
    <w:rsid w:val="4455305E"/>
    <w:rsid w:val="44563BF6"/>
    <w:rsid w:val="445949D9"/>
    <w:rsid w:val="445A5081"/>
    <w:rsid w:val="445A5155"/>
    <w:rsid w:val="445A5BCD"/>
    <w:rsid w:val="445A5F7E"/>
    <w:rsid w:val="445C1F64"/>
    <w:rsid w:val="445D7CFA"/>
    <w:rsid w:val="445E17B2"/>
    <w:rsid w:val="445E33FB"/>
    <w:rsid w:val="445E528A"/>
    <w:rsid w:val="445F3D82"/>
    <w:rsid w:val="445F5EE6"/>
    <w:rsid w:val="446077EA"/>
    <w:rsid w:val="44623562"/>
    <w:rsid w:val="446310DA"/>
    <w:rsid w:val="446332A5"/>
    <w:rsid w:val="44634E7D"/>
    <w:rsid w:val="44634F3F"/>
    <w:rsid w:val="446601AB"/>
    <w:rsid w:val="446855CD"/>
    <w:rsid w:val="4469070A"/>
    <w:rsid w:val="4469437A"/>
    <w:rsid w:val="4469669F"/>
    <w:rsid w:val="4469678A"/>
    <w:rsid w:val="446A3D06"/>
    <w:rsid w:val="446A3F1D"/>
    <w:rsid w:val="446A7565"/>
    <w:rsid w:val="446B0039"/>
    <w:rsid w:val="446D1ACB"/>
    <w:rsid w:val="446E2CD5"/>
    <w:rsid w:val="446E5D3B"/>
    <w:rsid w:val="446F169C"/>
    <w:rsid w:val="447001FE"/>
    <w:rsid w:val="44704D63"/>
    <w:rsid w:val="44712C2D"/>
    <w:rsid w:val="44726109"/>
    <w:rsid w:val="447342AD"/>
    <w:rsid w:val="44734717"/>
    <w:rsid w:val="44754026"/>
    <w:rsid w:val="44756BF4"/>
    <w:rsid w:val="447729BD"/>
    <w:rsid w:val="447733D3"/>
    <w:rsid w:val="44775260"/>
    <w:rsid w:val="44776E72"/>
    <w:rsid w:val="4477797A"/>
    <w:rsid w:val="447824A3"/>
    <w:rsid w:val="4478718B"/>
    <w:rsid w:val="447943D1"/>
    <w:rsid w:val="447A2CA3"/>
    <w:rsid w:val="447A7410"/>
    <w:rsid w:val="447B05B5"/>
    <w:rsid w:val="447D7295"/>
    <w:rsid w:val="447F3D2C"/>
    <w:rsid w:val="44801C3A"/>
    <w:rsid w:val="44810ED1"/>
    <w:rsid w:val="448139E8"/>
    <w:rsid w:val="4481480A"/>
    <w:rsid w:val="448223EC"/>
    <w:rsid w:val="44832A4B"/>
    <w:rsid w:val="44850084"/>
    <w:rsid w:val="4485214D"/>
    <w:rsid w:val="44865A31"/>
    <w:rsid w:val="4487121B"/>
    <w:rsid w:val="44873CE3"/>
    <w:rsid w:val="448750D1"/>
    <w:rsid w:val="44896C39"/>
    <w:rsid w:val="448B0ADD"/>
    <w:rsid w:val="448B0D0B"/>
    <w:rsid w:val="448C312E"/>
    <w:rsid w:val="448D4D60"/>
    <w:rsid w:val="448D4EBA"/>
    <w:rsid w:val="448E25A9"/>
    <w:rsid w:val="448F777A"/>
    <w:rsid w:val="44901C22"/>
    <w:rsid w:val="44901E7E"/>
    <w:rsid w:val="449107E6"/>
    <w:rsid w:val="44910D34"/>
    <w:rsid w:val="44911992"/>
    <w:rsid w:val="44912F35"/>
    <w:rsid w:val="44917D47"/>
    <w:rsid w:val="449342EF"/>
    <w:rsid w:val="44937E9F"/>
    <w:rsid w:val="44944159"/>
    <w:rsid w:val="4495487B"/>
    <w:rsid w:val="44957569"/>
    <w:rsid w:val="449578AD"/>
    <w:rsid w:val="44975DA4"/>
    <w:rsid w:val="4498228F"/>
    <w:rsid w:val="44982710"/>
    <w:rsid w:val="449974B9"/>
    <w:rsid w:val="449B03E9"/>
    <w:rsid w:val="449B21BC"/>
    <w:rsid w:val="449C1DC6"/>
    <w:rsid w:val="449C7BBD"/>
    <w:rsid w:val="449D1280"/>
    <w:rsid w:val="449E059F"/>
    <w:rsid w:val="449E33B1"/>
    <w:rsid w:val="449F13B6"/>
    <w:rsid w:val="449F2689"/>
    <w:rsid w:val="449F2910"/>
    <w:rsid w:val="449F6565"/>
    <w:rsid w:val="44A06709"/>
    <w:rsid w:val="44A235C7"/>
    <w:rsid w:val="44A3011A"/>
    <w:rsid w:val="44A35E3F"/>
    <w:rsid w:val="44A456DF"/>
    <w:rsid w:val="44A4583F"/>
    <w:rsid w:val="44A51D8B"/>
    <w:rsid w:val="44A57DC2"/>
    <w:rsid w:val="44A60ABF"/>
    <w:rsid w:val="44A6768C"/>
    <w:rsid w:val="44A771C7"/>
    <w:rsid w:val="44A82D51"/>
    <w:rsid w:val="44A8366B"/>
    <w:rsid w:val="44A860AB"/>
    <w:rsid w:val="44A921A8"/>
    <w:rsid w:val="44A923CF"/>
    <w:rsid w:val="44A958B7"/>
    <w:rsid w:val="44AC30EC"/>
    <w:rsid w:val="44AD379C"/>
    <w:rsid w:val="44AE0D02"/>
    <w:rsid w:val="44AE16B8"/>
    <w:rsid w:val="44AF1995"/>
    <w:rsid w:val="44AF5328"/>
    <w:rsid w:val="44B06768"/>
    <w:rsid w:val="44B12ED2"/>
    <w:rsid w:val="44B13362"/>
    <w:rsid w:val="44B2288A"/>
    <w:rsid w:val="44B25842"/>
    <w:rsid w:val="44B27E2B"/>
    <w:rsid w:val="44B36E24"/>
    <w:rsid w:val="44B51EB8"/>
    <w:rsid w:val="44B547C5"/>
    <w:rsid w:val="44B779A5"/>
    <w:rsid w:val="44B77BF8"/>
    <w:rsid w:val="44B83736"/>
    <w:rsid w:val="44B85878"/>
    <w:rsid w:val="44B86961"/>
    <w:rsid w:val="44B86CD2"/>
    <w:rsid w:val="44B928EA"/>
    <w:rsid w:val="44B950CC"/>
    <w:rsid w:val="44B951CC"/>
    <w:rsid w:val="44B97BDC"/>
    <w:rsid w:val="44BA56DC"/>
    <w:rsid w:val="44BB1632"/>
    <w:rsid w:val="44BB2AC6"/>
    <w:rsid w:val="44BB4CCB"/>
    <w:rsid w:val="44BD62B4"/>
    <w:rsid w:val="44BE3738"/>
    <w:rsid w:val="44BE4A55"/>
    <w:rsid w:val="44BF2D64"/>
    <w:rsid w:val="44BF55BC"/>
    <w:rsid w:val="44BF7FE8"/>
    <w:rsid w:val="44C00131"/>
    <w:rsid w:val="44C007D6"/>
    <w:rsid w:val="44C0418A"/>
    <w:rsid w:val="44C04CF2"/>
    <w:rsid w:val="44C06A3A"/>
    <w:rsid w:val="44C203A3"/>
    <w:rsid w:val="44C24B58"/>
    <w:rsid w:val="44C40DBD"/>
    <w:rsid w:val="44C4239B"/>
    <w:rsid w:val="44C44928"/>
    <w:rsid w:val="44C45A43"/>
    <w:rsid w:val="44C45DF3"/>
    <w:rsid w:val="44C45E5B"/>
    <w:rsid w:val="44C72A9F"/>
    <w:rsid w:val="44C732D5"/>
    <w:rsid w:val="44C74E57"/>
    <w:rsid w:val="44C77869"/>
    <w:rsid w:val="44C807F9"/>
    <w:rsid w:val="44C93302"/>
    <w:rsid w:val="44C9538F"/>
    <w:rsid w:val="44CA1B65"/>
    <w:rsid w:val="44CA3781"/>
    <w:rsid w:val="44CA4E6C"/>
    <w:rsid w:val="44CA597E"/>
    <w:rsid w:val="44CC30CE"/>
    <w:rsid w:val="44CD14E0"/>
    <w:rsid w:val="44CD5260"/>
    <w:rsid w:val="44D013D1"/>
    <w:rsid w:val="44D040BE"/>
    <w:rsid w:val="44D20863"/>
    <w:rsid w:val="44D5347A"/>
    <w:rsid w:val="44D5396D"/>
    <w:rsid w:val="44D6015C"/>
    <w:rsid w:val="44D60527"/>
    <w:rsid w:val="44D6088E"/>
    <w:rsid w:val="44D6730C"/>
    <w:rsid w:val="44D73F50"/>
    <w:rsid w:val="44D74D32"/>
    <w:rsid w:val="44D75CFE"/>
    <w:rsid w:val="44D76770"/>
    <w:rsid w:val="44D80DF9"/>
    <w:rsid w:val="44D816B5"/>
    <w:rsid w:val="44D83A6D"/>
    <w:rsid w:val="44D97CC8"/>
    <w:rsid w:val="44DA134B"/>
    <w:rsid w:val="44DA40C9"/>
    <w:rsid w:val="44DA68E1"/>
    <w:rsid w:val="44DB4311"/>
    <w:rsid w:val="44DC0B4D"/>
    <w:rsid w:val="44DC39CD"/>
    <w:rsid w:val="44DC50C3"/>
    <w:rsid w:val="44DE014B"/>
    <w:rsid w:val="44E04BA8"/>
    <w:rsid w:val="44E058A3"/>
    <w:rsid w:val="44E126D9"/>
    <w:rsid w:val="44E328F5"/>
    <w:rsid w:val="44E34024"/>
    <w:rsid w:val="44E445F8"/>
    <w:rsid w:val="44E45852"/>
    <w:rsid w:val="44E474EF"/>
    <w:rsid w:val="44E62288"/>
    <w:rsid w:val="44E63025"/>
    <w:rsid w:val="44E66028"/>
    <w:rsid w:val="44E801C8"/>
    <w:rsid w:val="44E90F65"/>
    <w:rsid w:val="44EA17F7"/>
    <w:rsid w:val="44EA3E5F"/>
    <w:rsid w:val="44EA7493"/>
    <w:rsid w:val="44EC107E"/>
    <w:rsid w:val="44EC38D7"/>
    <w:rsid w:val="44ED0F33"/>
    <w:rsid w:val="44EF694E"/>
    <w:rsid w:val="44EF7FAF"/>
    <w:rsid w:val="44F024B0"/>
    <w:rsid w:val="44F04666"/>
    <w:rsid w:val="44F056F9"/>
    <w:rsid w:val="44F06A79"/>
    <w:rsid w:val="44F06F41"/>
    <w:rsid w:val="44F15FB1"/>
    <w:rsid w:val="44F20B0B"/>
    <w:rsid w:val="44F23B97"/>
    <w:rsid w:val="44F25F94"/>
    <w:rsid w:val="44F27C04"/>
    <w:rsid w:val="44F3579B"/>
    <w:rsid w:val="44F41A0C"/>
    <w:rsid w:val="44F67CE2"/>
    <w:rsid w:val="44F764DA"/>
    <w:rsid w:val="44F805E8"/>
    <w:rsid w:val="44F92A42"/>
    <w:rsid w:val="44F9685C"/>
    <w:rsid w:val="44FA379B"/>
    <w:rsid w:val="44FC0BA2"/>
    <w:rsid w:val="44FC0C8D"/>
    <w:rsid w:val="44FC1C04"/>
    <w:rsid w:val="44FC51B8"/>
    <w:rsid w:val="44FC5765"/>
    <w:rsid w:val="44FD2306"/>
    <w:rsid w:val="44FE157F"/>
    <w:rsid w:val="44FE45A3"/>
    <w:rsid w:val="44FE6931"/>
    <w:rsid w:val="44FF16B4"/>
    <w:rsid w:val="450077EF"/>
    <w:rsid w:val="450145AF"/>
    <w:rsid w:val="450350A2"/>
    <w:rsid w:val="450353C7"/>
    <w:rsid w:val="450424FE"/>
    <w:rsid w:val="45043752"/>
    <w:rsid w:val="450529EE"/>
    <w:rsid w:val="450660AC"/>
    <w:rsid w:val="45080408"/>
    <w:rsid w:val="45080527"/>
    <w:rsid w:val="4508418D"/>
    <w:rsid w:val="450841F2"/>
    <w:rsid w:val="450A60D4"/>
    <w:rsid w:val="450B50F0"/>
    <w:rsid w:val="450C61CE"/>
    <w:rsid w:val="450D0EF9"/>
    <w:rsid w:val="450D76D8"/>
    <w:rsid w:val="450E5498"/>
    <w:rsid w:val="450F1CE4"/>
    <w:rsid w:val="45110C81"/>
    <w:rsid w:val="451136E4"/>
    <w:rsid w:val="451209A2"/>
    <w:rsid w:val="451224C5"/>
    <w:rsid w:val="451402BA"/>
    <w:rsid w:val="4514396B"/>
    <w:rsid w:val="4516168F"/>
    <w:rsid w:val="45164CB0"/>
    <w:rsid w:val="45167D49"/>
    <w:rsid w:val="45170F18"/>
    <w:rsid w:val="451756D1"/>
    <w:rsid w:val="45181E73"/>
    <w:rsid w:val="45191D11"/>
    <w:rsid w:val="451949D9"/>
    <w:rsid w:val="451A21EE"/>
    <w:rsid w:val="451A2466"/>
    <w:rsid w:val="451A4CC6"/>
    <w:rsid w:val="451A525B"/>
    <w:rsid w:val="451A60DF"/>
    <w:rsid w:val="451B0CA1"/>
    <w:rsid w:val="451B47C9"/>
    <w:rsid w:val="451B5E98"/>
    <w:rsid w:val="451D5DCD"/>
    <w:rsid w:val="451E4AA4"/>
    <w:rsid w:val="451E56DB"/>
    <w:rsid w:val="451E61E7"/>
    <w:rsid w:val="451E698D"/>
    <w:rsid w:val="451F1453"/>
    <w:rsid w:val="451F5A1B"/>
    <w:rsid w:val="452005BD"/>
    <w:rsid w:val="45210443"/>
    <w:rsid w:val="45221BE0"/>
    <w:rsid w:val="45224192"/>
    <w:rsid w:val="452245EB"/>
    <w:rsid w:val="45225817"/>
    <w:rsid w:val="452275A2"/>
    <w:rsid w:val="45233529"/>
    <w:rsid w:val="45236262"/>
    <w:rsid w:val="45243E8E"/>
    <w:rsid w:val="45260A34"/>
    <w:rsid w:val="45277D89"/>
    <w:rsid w:val="452857F2"/>
    <w:rsid w:val="45292F8D"/>
    <w:rsid w:val="452948B5"/>
    <w:rsid w:val="452A0524"/>
    <w:rsid w:val="452A1B46"/>
    <w:rsid w:val="452A395F"/>
    <w:rsid w:val="452A3E2A"/>
    <w:rsid w:val="452A752D"/>
    <w:rsid w:val="452B1BA6"/>
    <w:rsid w:val="452B429C"/>
    <w:rsid w:val="452C5959"/>
    <w:rsid w:val="452D0F06"/>
    <w:rsid w:val="452D2652"/>
    <w:rsid w:val="452D7220"/>
    <w:rsid w:val="452E5F4C"/>
    <w:rsid w:val="452F3103"/>
    <w:rsid w:val="452F78E8"/>
    <w:rsid w:val="453018B3"/>
    <w:rsid w:val="45303661"/>
    <w:rsid w:val="4530487C"/>
    <w:rsid w:val="453065C4"/>
    <w:rsid w:val="45311BBC"/>
    <w:rsid w:val="45312FA1"/>
    <w:rsid w:val="45322F35"/>
    <w:rsid w:val="453327D6"/>
    <w:rsid w:val="45352FE5"/>
    <w:rsid w:val="45353F44"/>
    <w:rsid w:val="453565BB"/>
    <w:rsid w:val="45356765"/>
    <w:rsid w:val="45372E6D"/>
    <w:rsid w:val="45375CEB"/>
    <w:rsid w:val="453A5729"/>
    <w:rsid w:val="453A77EC"/>
    <w:rsid w:val="453B1861"/>
    <w:rsid w:val="453C68BC"/>
    <w:rsid w:val="453D0ACE"/>
    <w:rsid w:val="453D4240"/>
    <w:rsid w:val="453D4759"/>
    <w:rsid w:val="453E388A"/>
    <w:rsid w:val="453F019A"/>
    <w:rsid w:val="4540110F"/>
    <w:rsid w:val="454159AC"/>
    <w:rsid w:val="45415AB3"/>
    <w:rsid w:val="454212BC"/>
    <w:rsid w:val="454315E6"/>
    <w:rsid w:val="45431846"/>
    <w:rsid w:val="454363E3"/>
    <w:rsid w:val="454560BA"/>
    <w:rsid w:val="45456A83"/>
    <w:rsid w:val="454648E9"/>
    <w:rsid w:val="4546600D"/>
    <w:rsid w:val="45495B83"/>
    <w:rsid w:val="454A299E"/>
    <w:rsid w:val="454A4211"/>
    <w:rsid w:val="454A4A14"/>
    <w:rsid w:val="454C189B"/>
    <w:rsid w:val="454C3490"/>
    <w:rsid w:val="454C36AE"/>
    <w:rsid w:val="454C4D58"/>
    <w:rsid w:val="454C4F71"/>
    <w:rsid w:val="454C5B5F"/>
    <w:rsid w:val="454D5FC1"/>
    <w:rsid w:val="454F36AB"/>
    <w:rsid w:val="454F5E68"/>
    <w:rsid w:val="454F7F8B"/>
    <w:rsid w:val="4550785F"/>
    <w:rsid w:val="45514A2F"/>
    <w:rsid w:val="45516EE6"/>
    <w:rsid w:val="45523E80"/>
    <w:rsid w:val="45526132"/>
    <w:rsid w:val="45541EA1"/>
    <w:rsid w:val="4554562D"/>
    <w:rsid w:val="4554734F"/>
    <w:rsid w:val="455946D1"/>
    <w:rsid w:val="455A6EFC"/>
    <w:rsid w:val="455C26A8"/>
    <w:rsid w:val="455D248A"/>
    <w:rsid w:val="455D646A"/>
    <w:rsid w:val="455D79E3"/>
    <w:rsid w:val="455E1F7C"/>
    <w:rsid w:val="455E5D12"/>
    <w:rsid w:val="455F487B"/>
    <w:rsid w:val="455F623A"/>
    <w:rsid w:val="455F77DE"/>
    <w:rsid w:val="4560483D"/>
    <w:rsid w:val="45611A6C"/>
    <w:rsid w:val="45612018"/>
    <w:rsid w:val="456126CE"/>
    <w:rsid w:val="45614C5E"/>
    <w:rsid w:val="456250BC"/>
    <w:rsid w:val="45630E4D"/>
    <w:rsid w:val="45641C22"/>
    <w:rsid w:val="45644350"/>
    <w:rsid w:val="45644871"/>
    <w:rsid w:val="45644BD0"/>
    <w:rsid w:val="45646A08"/>
    <w:rsid w:val="45647740"/>
    <w:rsid w:val="45653B00"/>
    <w:rsid w:val="456578A3"/>
    <w:rsid w:val="45666313"/>
    <w:rsid w:val="45667832"/>
    <w:rsid w:val="45674222"/>
    <w:rsid w:val="456933CC"/>
    <w:rsid w:val="456B3B33"/>
    <w:rsid w:val="456C118F"/>
    <w:rsid w:val="456D79CE"/>
    <w:rsid w:val="456E5E6B"/>
    <w:rsid w:val="456F00D7"/>
    <w:rsid w:val="456F0BDF"/>
    <w:rsid w:val="456F23DB"/>
    <w:rsid w:val="456F4E04"/>
    <w:rsid w:val="456F67B3"/>
    <w:rsid w:val="4570584C"/>
    <w:rsid w:val="457110A8"/>
    <w:rsid w:val="45715299"/>
    <w:rsid w:val="457208A7"/>
    <w:rsid w:val="45724079"/>
    <w:rsid w:val="45725649"/>
    <w:rsid w:val="45725A27"/>
    <w:rsid w:val="45727ECA"/>
    <w:rsid w:val="45742246"/>
    <w:rsid w:val="457462A8"/>
    <w:rsid w:val="45746DDE"/>
    <w:rsid w:val="457474B5"/>
    <w:rsid w:val="4576003C"/>
    <w:rsid w:val="457625FD"/>
    <w:rsid w:val="457629CC"/>
    <w:rsid w:val="45765517"/>
    <w:rsid w:val="45767D56"/>
    <w:rsid w:val="457806B2"/>
    <w:rsid w:val="457A2B2D"/>
    <w:rsid w:val="457B2220"/>
    <w:rsid w:val="457E4B22"/>
    <w:rsid w:val="457F1EF2"/>
    <w:rsid w:val="457F2580"/>
    <w:rsid w:val="457F5BEA"/>
    <w:rsid w:val="45800144"/>
    <w:rsid w:val="45803957"/>
    <w:rsid w:val="458113AD"/>
    <w:rsid w:val="45816F1B"/>
    <w:rsid w:val="4582210E"/>
    <w:rsid w:val="458231B7"/>
    <w:rsid w:val="45837A3C"/>
    <w:rsid w:val="4584093C"/>
    <w:rsid w:val="4585575A"/>
    <w:rsid w:val="458614D2"/>
    <w:rsid w:val="45861E88"/>
    <w:rsid w:val="4587584B"/>
    <w:rsid w:val="4588349D"/>
    <w:rsid w:val="45885C28"/>
    <w:rsid w:val="45891350"/>
    <w:rsid w:val="45891FFF"/>
    <w:rsid w:val="458946E9"/>
    <w:rsid w:val="458A0FC3"/>
    <w:rsid w:val="458A27DF"/>
    <w:rsid w:val="458A288C"/>
    <w:rsid w:val="458B0897"/>
    <w:rsid w:val="458B7490"/>
    <w:rsid w:val="458C279F"/>
    <w:rsid w:val="458D157C"/>
    <w:rsid w:val="458F0C0A"/>
    <w:rsid w:val="458F1468"/>
    <w:rsid w:val="459026D1"/>
    <w:rsid w:val="459040FF"/>
    <w:rsid w:val="459105AC"/>
    <w:rsid w:val="45912351"/>
    <w:rsid w:val="45921C25"/>
    <w:rsid w:val="45930D2F"/>
    <w:rsid w:val="45931C69"/>
    <w:rsid w:val="45933397"/>
    <w:rsid w:val="45940CC3"/>
    <w:rsid w:val="45951C6D"/>
    <w:rsid w:val="45974F01"/>
    <w:rsid w:val="4598356A"/>
    <w:rsid w:val="45991416"/>
    <w:rsid w:val="45992278"/>
    <w:rsid w:val="4599607C"/>
    <w:rsid w:val="45997645"/>
    <w:rsid w:val="459A0A2D"/>
    <w:rsid w:val="459B18A7"/>
    <w:rsid w:val="459B31D0"/>
    <w:rsid w:val="459B6D2C"/>
    <w:rsid w:val="459B7574"/>
    <w:rsid w:val="459C7C7C"/>
    <w:rsid w:val="459D6B25"/>
    <w:rsid w:val="459E0EDB"/>
    <w:rsid w:val="459F5838"/>
    <w:rsid w:val="45A01863"/>
    <w:rsid w:val="45A054B9"/>
    <w:rsid w:val="45A109DD"/>
    <w:rsid w:val="45A2455E"/>
    <w:rsid w:val="45A32005"/>
    <w:rsid w:val="45A33E32"/>
    <w:rsid w:val="45A402DA"/>
    <w:rsid w:val="45A41082"/>
    <w:rsid w:val="45A467DF"/>
    <w:rsid w:val="45A47C0E"/>
    <w:rsid w:val="45A57BAB"/>
    <w:rsid w:val="45A63D52"/>
    <w:rsid w:val="45A718A8"/>
    <w:rsid w:val="45A731CE"/>
    <w:rsid w:val="45A77687"/>
    <w:rsid w:val="45A84357"/>
    <w:rsid w:val="45A86273"/>
    <w:rsid w:val="45A92685"/>
    <w:rsid w:val="45AA149C"/>
    <w:rsid w:val="45AA197C"/>
    <w:rsid w:val="45AA35F2"/>
    <w:rsid w:val="45AB2274"/>
    <w:rsid w:val="45AB3A77"/>
    <w:rsid w:val="45AB3C2E"/>
    <w:rsid w:val="45AC0F39"/>
    <w:rsid w:val="45AD2AE0"/>
    <w:rsid w:val="45AD6F4E"/>
    <w:rsid w:val="45AE5BB5"/>
    <w:rsid w:val="45AF071F"/>
    <w:rsid w:val="45AF27D7"/>
    <w:rsid w:val="45AF401D"/>
    <w:rsid w:val="45AF65CA"/>
    <w:rsid w:val="45AF75D9"/>
    <w:rsid w:val="45B10AFF"/>
    <w:rsid w:val="45B22C6B"/>
    <w:rsid w:val="45B315A6"/>
    <w:rsid w:val="45B3631D"/>
    <w:rsid w:val="45B41382"/>
    <w:rsid w:val="45B422D6"/>
    <w:rsid w:val="45B50600"/>
    <w:rsid w:val="45B53E4D"/>
    <w:rsid w:val="45B55914"/>
    <w:rsid w:val="45B66EAB"/>
    <w:rsid w:val="45B7168C"/>
    <w:rsid w:val="45B71951"/>
    <w:rsid w:val="45B734F6"/>
    <w:rsid w:val="45B74253"/>
    <w:rsid w:val="45B90966"/>
    <w:rsid w:val="45B93139"/>
    <w:rsid w:val="45B94E3D"/>
    <w:rsid w:val="45B9500A"/>
    <w:rsid w:val="45B95FC9"/>
    <w:rsid w:val="45BA5821"/>
    <w:rsid w:val="45BB117C"/>
    <w:rsid w:val="45BB1840"/>
    <w:rsid w:val="45BB2050"/>
    <w:rsid w:val="45BC2FE7"/>
    <w:rsid w:val="45BD38D6"/>
    <w:rsid w:val="45BD448D"/>
    <w:rsid w:val="45BE5738"/>
    <w:rsid w:val="45BF4532"/>
    <w:rsid w:val="45C07141"/>
    <w:rsid w:val="45C10E9C"/>
    <w:rsid w:val="45C20E9E"/>
    <w:rsid w:val="45C25725"/>
    <w:rsid w:val="45C3198C"/>
    <w:rsid w:val="45C31EA9"/>
    <w:rsid w:val="45C36F18"/>
    <w:rsid w:val="45C71A34"/>
    <w:rsid w:val="45C71CCD"/>
    <w:rsid w:val="45C73941"/>
    <w:rsid w:val="45C76DDB"/>
    <w:rsid w:val="45C8167A"/>
    <w:rsid w:val="45C81686"/>
    <w:rsid w:val="45C81AEB"/>
    <w:rsid w:val="45C83899"/>
    <w:rsid w:val="45C84168"/>
    <w:rsid w:val="45C849A5"/>
    <w:rsid w:val="45C96D61"/>
    <w:rsid w:val="45CC33F1"/>
    <w:rsid w:val="45CD0EAF"/>
    <w:rsid w:val="45CD1AFE"/>
    <w:rsid w:val="45CD65B4"/>
    <w:rsid w:val="45CE5353"/>
    <w:rsid w:val="45CF0619"/>
    <w:rsid w:val="45D03BF3"/>
    <w:rsid w:val="45D072B0"/>
    <w:rsid w:val="45D10598"/>
    <w:rsid w:val="45D109A0"/>
    <w:rsid w:val="45D13673"/>
    <w:rsid w:val="45D14358"/>
    <w:rsid w:val="45D21095"/>
    <w:rsid w:val="45D24718"/>
    <w:rsid w:val="45D26D15"/>
    <w:rsid w:val="45D43FEC"/>
    <w:rsid w:val="45D62BB3"/>
    <w:rsid w:val="45D72AE8"/>
    <w:rsid w:val="45D74009"/>
    <w:rsid w:val="45D87D92"/>
    <w:rsid w:val="45DA6425"/>
    <w:rsid w:val="45DA6657"/>
    <w:rsid w:val="45DB131D"/>
    <w:rsid w:val="45DC06D0"/>
    <w:rsid w:val="45DC3581"/>
    <w:rsid w:val="45DC7BA7"/>
    <w:rsid w:val="45DD274B"/>
    <w:rsid w:val="45DE0333"/>
    <w:rsid w:val="45DE19CC"/>
    <w:rsid w:val="45DE30BD"/>
    <w:rsid w:val="45DF4572"/>
    <w:rsid w:val="45E00663"/>
    <w:rsid w:val="45E020D4"/>
    <w:rsid w:val="45E02DC7"/>
    <w:rsid w:val="45E154C8"/>
    <w:rsid w:val="45E16F50"/>
    <w:rsid w:val="45E27051"/>
    <w:rsid w:val="45E34CA5"/>
    <w:rsid w:val="45E5444B"/>
    <w:rsid w:val="45E63D5D"/>
    <w:rsid w:val="45E71F71"/>
    <w:rsid w:val="45E816EF"/>
    <w:rsid w:val="45E85CE9"/>
    <w:rsid w:val="45E92C81"/>
    <w:rsid w:val="45E92E78"/>
    <w:rsid w:val="45E930EF"/>
    <w:rsid w:val="45E93329"/>
    <w:rsid w:val="45E95C78"/>
    <w:rsid w:val="45E96E20"/>
    <w:rsid w:val="45E97B98"/>
    <w:rsid w:val="45EA063F"/>
    <w:rsid w:val="45EA0BB6"/>
    <w:rsid w:val="45EB2763"/>
    <w:rsid w:val="45EC0FC0"/>
    <w:rsid w:val="45EC3A2B"/>
    <w:rsid w:val="45ED2DF7"/>
    <w:rsid w:val="45ED44B5"/>
    <w:rsid w:val="45ED50B8"/>
    <w:rsid w:val="45EE240A"/>
    <w:rsid w:val="45EF7078"/>
    <w:rsid w:val="45F00CA3"/>
    <w:rsid w:val="45F077EC"/>
    <w:rsid w:val="45F16243"/>
    <w:rsid w:val="45F21B4B"/>
    <w:rsid w:val="45F35010"/>
    <w:rsid w:val="45F40C9E"/>
    <w:rsid w:val="45F42411"/>
    <w:rsid w:val="45F47298"/>
    <w:rsid w:val="45F5597B"/>
    <w:rsid w:val="45F74DBF"/>
    <w:rsid w:val="45F83B63"/>
    <w:rsid w:val="45F92683"/>
    <w:rsid w:val="45F96760"/>
    <w:rsid w:val="45FB2063"/>
    <w:rsid w:val="45FB7E44"/>
    <w:rsid w:val="45FC3D81"/>
    <w:rsid w:val="45FC49C6"/>
    <w:rsid w:val="45FC4ACC"/>
    <w:rsid w:val="45FC6117"/>
    <w:rsid w:val="45FC7921"/>
    <w:rsid w:val="45FE14EA"/>
    <w:rsid w:val="45FE5116"/>
    <w:rsid w:val="45FE550D"/>
    <w:rsid w:val="45FF4D83"/>
    <w:rsid w:val="45FF5E6E"/>
    <w:rsid w:val="460011AC"/>
    <w:rsid w:val="460046BF"/>
    <w:rsid w:val="460051DB"/>
    <w:rsid w:val="46005811"/>
    <w:rsid w:val="46024DA2"/>
    <w:rsid w:val="460251E8"/>
    <w:rsid w:val="46036BFB"/>
    <w:rsid w:val="46037037"/>
    <w:rsid w:val="46043194"/>
    <w:rsid w:val="460675CB"/>
    <w:rsid w:val="460743C1"/>
    <w:rsid w:val="46074CE0"/>
    <w:rsid w:val="46076ED6"/>
    <w:rsid w:val="46082244"/>
    <w:rsid w:val="46084A19"/>
    <w:rsid w:val="4608511A"/>
    <w:rsid w:val="46093C28"/>
    <w:rsid w:val="46096C70"/>
    <w:rsid w:val="46097B7B"/>
    <w:rsid w:val="460B1E86"/>
    <w:rsid w:val="460B6B1C"/>
    <w:rsid w:val="460D1F14"/>
    <w:rsid w:val="460E5D09"/>
    <w:rsid w:val="460F606C"/>
    <w:rsid w:val="46115240"/>
    <w:rsid w:val="46117C21"/>
    <w:rsid w:val="46121645"/>
    <w:rsid w:val="46133029"/>
    <w:rsid w:val="461431B0"/>
    <w:rsid w:val="46155842"/>
    <w:rsid w:val="461574CC"/>
    <w:rsid w:val="461602BA"/>
    <w:rsid w:val="46160CD2"/>
    <w:rsid w:val="46162856"/>
    <w:rsid w:val="461646DC"/>
    <w:rsid w:val="46184F74"/>
    <w:rsid w:val="461865CE"/>
    <w:rsid w:val="461878BD"/>
    <w:rsid w:val="46192DDB"/>
    <w:rsid w:val="461A77A5"/>
    <w:rsid w:val="461B24A5"/>
    <w:rsid w:val="461B6B66"/>
    <w:rsid w:val="461C3B64"/>
    <w:rsid w:val="461C6226"/>
    <w:rsid w:val="461F0444"/>
    <w:rsid w:val="461F4126"/>
    <w:rsid w:val="461F5467"/>
    <w:rsid w:val="461F55F9"/>
    <w:rsid w:val="461F73FB"/>
    <w:rsid w:val="46211A1A"/>
    <w:rsid w:val="46217065"/>
    <w:rsid w:val="4622744D"/>
    <w:rsid w:val="46237C0C"/>
    <w:rsid w:val="462410FC"/>
    <w:rsid w:val="46242C27"/>
    <w:rsid w:val="46246221"/>
    <w:rsid w:val="4625589C"/>
    <w:rsid w:val="4626100A"/>
    <w:rsid w:val="4626202B"/>
    <w:rsid w:val="46265C21"/>
    <w:rsid w:val="46277759"/>
    <w:rsid w:val="46283CFF"/>
    <w:rsid w:val="462870BB"/>
    <w:rsid w:val="46293AD9"/>
    <w:rsid w:val="46295ECD"/>
    <w:rsid w:val="462A0617"/>
    <w:rsid w:val="462B4FB8"/>
    <w:rsid w:val="462C273A"/>
    <w:rsid w:val="462C6A1A"/>
    <w:rsid w:val="462D2C45"/>
    <w:rsid w:val="462D3044"/>
    <w:rsid w:val="462D39BC"/>
    <w:rsid w:val="462E6AB7"/>
    <w:rsid w:val="462F0EAF"/>
    <w:rsid w:val="46311FB0"/>
    <w:rsid w:val="46323DD3"/>
    <w:rsid w:val="46324CB2"/>
    <w:rsid w:val="463253E9"/>
    <w:rsid w:val="4633699E"/>
    <w:rsid w:val="46342CDD"/>
    <w:rsid w:val="46352E0B"/>
    <w:rsid w:val="46361DF7"/>
    <w:rsid w:val="46385F00"/>
    <w:rsid w:val="463879A4"/>
    <w:rsid w:val="463A1236"/>
    <w:rsid w:val="463A382E"/>
    <w:rsid w:val="463A767D"/>
    <w:rsid w:val="463B0C50"/>
    <w:rsid w:val="463B2F04"/>
    <w:rsid w:val="463D2596"/>
    <w:rsid w:val="463D6035"/>
    <w:rsid w:val="463E22D9"/>
    <w:rsid w:val="463F0805"/>
    <w:rsid w:val="463F38B1"/>
    <w:rsid w:val="46403803"/>
    <w:rsid w:val="46407B53"/>
    <w:rsid w:val="4642189D"/>
    <w:rsid w:val="46425C5B"/>
    <w:rsid w:val="46433589"/>
    <w:rsid w:val="4645313C"/>
    <w:rsid w:val="46476EB4"/>
    <w:rsid w:val="46480B57"/>
    <w:rsid w:val="46481584"/>
    <w:rsid w:val="464916E9"/>
    <w:rsid w:val="464939A9"/>
    <w:rsid w:val="464945FF"/>
    <w:rsid w:val="464949DA"/>
    <w:rsid w:val="464A64BE"/>
    <w:rsid w:val="464C0026"/>
    <w:rsid w:val="464C6DD6"/>
    <w:rsid w:val="464D6FA5"/>
    <w:rsid w:val="464E72C9"/>
    <w:rsid w:val="46503FBA"/>
    <w:rsid w:val="46511AE0"/>
    <w:rsid w:val="4651388E"/>
    <w:rsid w:val="46523BF3"/>
    <w:rsid w:val="46527772"/>
    <w:rsid w:val="46542E23"/>
    <w:rsid w:val="46546942"/>
    <w:rsid w:val="465545B3"/>
    <w:rsid w:val="46560EA5"/>
    <w:rsid w:val="46563719"/>
    <w:rsid w:val="46564855"/>
    <w:rsid w:val="46565349"/>
    <w:rsid w:val="46577FD6"/>
    <w:rsid w:val="465846BA"/>
    <w:rsid w:val="465A4DAB"/>
    <w:rsid w:val="465B0E03"/>
    <w:rsid w:val="465B33D3"/>
    <w:rsid w:val="465B3725"/>
    <w:rsid w:val="465C6B97"/>
    <w:rsid w:val="465E31BF"/>
    <w:rsid w:val="46601D24"/>
    <w:rsid w:val="466061EE"/>
    <w:rsid w:val="46634AE0"/>
    <w:rsid w:val="4664552E"/>
    <w:rsid w:val="46646A2F"/>
    <w:rsid w:val="46647A66"/>
    <w:rsid w:val="4665250E"/>
    <w:rsid w:val="4665779D"/>
    <w:rsid w:val="4666059A"/>
    <w:rsid w:val="46661C91"/>
    <w:rsid w:val="466664AF"/>
    <w:rsid w:val="46671B49"/>
    <w:rsid w:val="4667436A"/>
    <w:rsid w:val="46676E2F"/>
    <w:rsid w:val="466A0B83"/>
    <w:rsid w:val="466C0FBD"/>
    <w:rsid w:val="466C1505"/>
    <w:rsid w:val="466C5826"/>
    <w:rsid w:val="466D6415"/>
    <w:rsid w:val="466F0DBD"/>
    <w:rsid w:val="466F4980"/>
    <w:rsid w:val="466F5BEA"/>
    <w:rsid w:val="466F6B46"/>
    <w:rsid w:val="466F7D24"/>
    <w:rsid w:val="46706677"/>
    <w:rsid w:val="46721C10"/>
    <w:rsid w:val="46722A37"/>
    <w:rsid w:val="46731554"/>
    <w:rsid w:val="46741642"/>
    <w:rsid w:val="46780E1B"/>
    <w:rsid w:val="46797CB5"/>
    <w:rsid w:val="467A2DE5"/>
    <w:rsid w:val="467A3084"/>
    <w:rsid w:val="467B36C4"/>
    <w:rsid w:val="467C4E57"/>
    <w:rsid w:val="467E045F"/>
    <w:rsid w:val="467F02FC"/>
    <w:rsid w:val="467F5974"/>
    <w:rsid w:val="467F5E08"/>
    <w:rsid w:val="467F664E"/>
    <w:rsid w:val="4680322E"/>
    <w:rsid w:val="46805202"/>
    <w:rsid w:val="4682613E"/>
    <w:rsid w:val="468273E7"/>
    <w:rsid w:val="4684044E"/>
    <w:rsid w:val="46853AFC"/>
    <w:rsid w:val="46867973"/>
    <w:rsid w:val="46873754"/>
    <w:rsid w:val="46873B67"/>
    <w:rsid w:val="46890F6F"/>
    <w:rsid w:val="4689570C"/>
    <w:rsid w:val="468C7048"/>
    <w:rsid w:val="468E063F"/>
    <w:rsid w:val="468F0BEE"/>
    <w:rsid w:val="468F1209"/>
    <w:rsid w:val="468F7B20"/>
    <w:rsid w:val="4690085B"/>
    <w:rsid w:val="46901FC9"/>
    <w:rsid w:val="4695154E"/>
    <w:rsid w:val="46954198"/>
    <w:rsid w:val="46963712"/>
    <w:rsid w:val="46970A61"/>
    <w:rsid w:val="46985F11"/>
    <w:rsid w:val="4698770F"/>
    <w:rsid w:val="46987E61"/>
    <w:rsid w:val="46997D56"/>
    <w:rsid w:val="469A7090"/>
    <w:rsid w:val="469B1105"/>
    <w:rsid w:val="469C4238"/>
    <w:rsid w:val="469D4BB4"/>
    <w:rsid w:val="469D6AD4"/>
    <w:rsid w:val="469E1AF9"/>
    <w:rsid w:val="46A02F49"/>
    <w:rsid w:val="46A02F52"/>
    <w:rsid w:val="46A071D5"/>
    <w:rsid w:val="46A1723C"/>
    <w:rsid w:val="46A2233C"/>
    <w:rsid w:val="46A2261F"/>
    <w:rsid w:val="46A27739"/>
    <w:rsid w:val="46A4086E"/>
    <w:rsid w:val="46A41C10"/>
    <w:rsid w:val="46A4259B"/>
    <w:rsid w:val="46A462BB"/>
    <w:rsid w:val="46A46F1C"/>
    <w:rsid w:val="46A4772B"/>
    <w:rsid w:val="46A541DC"/>
    <w:rsid w:val="46A617C3"/>
    <w:rsid w:val="46A64429"/>
    <w:rsid w:val="46A71E64"/>
    <w:rsid w:val="46A74818"/>
    <w:rsid w:val="46A76FDC"/>
    <w:rsid w:val="46A77215"/>
    <w:rsid w:val="46A86A8B"/>
    <w:rsid w:val="46A93F5E"/>
    <w:rsid w:val="46AA0BD3"/>
    <w:rsid w:val="46AA2F9F"/>
    <w:rsid w:val="46AA41E6"/>
    <w:rsid w:val="46AA5F4A"/>
    <w:rsid w:val="46AB09A5"/>
    <w:rsid w:val="46AB55E7"/>
    <w:rsid w:val="46AC31BB"/>
    <w:rsid w:val="46AD30FB"/>
    <w:rsid w:val="46AE0CE1"/>
    <w:rsid w:val="46AE1256"/>
    <w:rsid w:val="46AE69FD"/>
    <w:rsid w:val="46B166F6"/>
    <w:rsid w:val="46B1784C"/>
    <w:rsid w:val="46B2729D"/>
    <w:rsid w:val="46B300A5"/>
    <w:rsid w:val="46B359DE"/>
    <w:rsid w:val="46B5174F"/>
    <w:rsid w:val="46B62EB9"/>
    <w:rsid w:val="46B67358"/>
    <w:rsid w:val="46B8390E"/>
    <w:rsid w:val="46BC1678"/>
    <w:rsid w:val="46BC239E"/>
    <w:rsid w:val="46BD32C9"/>
    <w:rsid w:val="46BD44BC"/>
    <w:rsid w:val="46BD4D70"/>
    <w:rsid w:val="46BD7D17"/>
    <w:rsid w:val="46BE108D"/>
    <w:rsid w:val="46C028A6"/>
    <w:rsid w:val="46C0680D"/>
    <w:rsid w:val="46C17D8B"/>
    <w:rsid w:val="46C202E8"/>
    <w:rsid w:val="46C36E4A"/>
    <w:rsid w:val="46C517C1"/>
    <w:rsid w:val="46C53717"/>
    <w:rsid w:val="46C55DCC"/>
    <w:rsid w:val="46C66128"/>
    <w:rsid w:val="46C85C62"/>
    <w:rsid w:val="46C9022F"/>
    <w:rsid w:val="46C91677"/>
    <w:rsid w:val="46C97DAE"/>
    <w:rsid w:val="46CA4285"/>
    <w:rsid w:val="46CA4D92"/>
    <w:rsid w:val="46CB1893"/>
    <w:rsid w:val="46CB26D1"/>
    <w:rsid w:val="46CC3455"/>
    <w:rsid w:val="46CC4478"/>
    <w:rsid w:val="46CC670F"/>
    <w:rsid w:val="46CD4B6D"/>
    <w:rsid w:val="46CF1F85"/>
    <w:rsid w:val="46D06405"/>
    <w:rsid w:val="46D17FAE"/>
    <w:rsid w:val="46D34FDF"/>
    <w:rsid w:val="46D440C9"/>
    <w:rsid w:val="46D530A1"/>
    <w:rsid w:val="46D538A6"/>
    <w:rsid w:val="46D544C0"/>
    <w:rsid w:val="46D54DA8"/>
    <w:rsid w:val="46D5626E"/>
    <w:rsid w:val="46D60EE1"/>
    <w:rsid w:val="46D62AA1"/>
    <w:rsid w:val="46D642A8"/>
    <w:rsid w:val="46D643A4"/>
    <w:rsid w:val="46D72939"/>
    <w:rsid w:val="46D80B14"/>
    <w:rsid w:val="46D8330D"/>
    <w:rsid w:val="46D90A0C"/>
    <w:rsid w:val="46D939F4"/>
    <w:rsid w:val="46D955A7"/>
    <w:rsid w:val="46DA1AD6"/>
    <w:rsid w:val="46DB624D"/>
    <w:rsid w:val="46DB65DE"/>
    <w:rsid w:val="46DD1985"/>
    <w:rsid w:val="46DE32DD"/>
    <w:rsid w:val="46DE5B86"/>
    <w:rsid w:val="46DE5F6A"/>
    <w:rsid w:val="46DF2787"/>
    <w:rsid w:val="46DF533E"/>
    <w:rsid w:val="46DF5A91"/>
    <w:rsid w:val="46E00068"/>
    <w:rsid w:val="46E057D0"/>
    <w:rsid w:val="46E2533D"/>
    <w:rsid w:val="46E8207A"/>
    <w:rsid w:val="46E910D3"/>
    <w:rsid w:val="46E95528"/>
    <w:rsid w:val="46EA7103"/>
    <w:rsid w:val="46ED5417"/>
    <w:rsid w:val="46ED7B16"/>
    <w:rsid w:val="46EE1362"/>
    <w:rsid w:val="46EE5581"/>
    <w:rsid w:val="46EE761B"/>
    <w:rsid w:val="46EE7B05"/>
    <w:rsid w:val="46F216FD"/>
    <w:rsid w:val="46F233C3"/>
    <w:rsid w:val="46F26E20"/>
    <w:rsid w:val="46F42F70"/>
    <w:rsid w:val="46F43A74"/>
    <w:rsid w:val="46F56FF8"/>
    <w:rsid w:val="46F62E90"/>
    <w:rsid w:val="46F66186"/>
    <w:rsid w:val="46F7052F"/>
    <w:rsid w:val="46F81F5C"/>
    <w:rsid w:val="46FA6D9D"/>
    <w:rsid w:val="46FC2996"/>
    <w:rsid w:val="46FC606B"/>
    <w:rsid w:val="46FD57C4"/>
    <w:rsid w:val="46FE7D5F"/>
    <w:rsid w:val="46FF06D8"/>
    <w:rsid w:val="46FF2FEB"/>
    <w:rsid w:val="47012B88"/>
    <w:rsid w:val="47012E44"/>
    <w:rsid w:val="470152B5"/>
    <w:rsid w:val="47017063"/>
    <w:rsid w:val="47024C1B"/>
    <w:rsid w:val="4703102D"/>
    <w:rsid w:val="47043DA9"/>
    <w:rsid w:val="47052FBE"/>
    <w:rsid w:val="47073B53"/>
    <w:rsid w:val="47074862"/>
    <w:rsid w:val="47084DA6"/>
    <w:rsid w:val="470A1DC8"/>
    <w:rsid w:val="470A6A08"/>
    <w:rsid w:val="470B1E43"/>
    <w:rsid w:val="470B2422"/>
    <w:rsid w:val="470D0B07"/>
    <w:rsid w:val="470D0FC5"/>
    <w:rsid w:val="470D149B"/>
    <w:rsid w:val="470D371F"/>
    <w:rsid w:val="470D40E8"/>
    <w:rsid w:val="470D45A0"/>
    <w:rsid w:val="470F0AB5"/>
    <w:rsid w:val="47102A24"/>
    <w:rsid w:val="47113998"/>
    <w:rsid w:val="47121270"/>
    <w:rsid w:val="471268B3"/>
    <w:rsid w:val="47133957"/>
    <w:rsid w:val="47153BAE"/>
    <w:rsid w:val="47156114"/>
    <w:rsid w:val="471630BE"/>
    <w:rsid w:val="4717362E"/>
    <w:rsid w:val="47173F8D"/>
    <w:rsid w:val="471853EF"/>
    <w:rsid w:val="471876E9"/>
    <w:rsid w:val="47187C8A"/>
    <w:rsid w:val="471A0647"/>
    <w:rsid w:val="471A526A"/>
    <w:rsid w:val="471B3098"/>
    <w:rsid w:val="471C335E"/>
    <w:rsid w:val="471C4883"/>
    <w:rsid w:val="471D0BAC"/>
    <w:rsid w:val="471D17A3"/>
    <w:rsid w:val="471F0199"/>
    <w:rsid w:val="471F17CF"/>
    <w:rsid w:val="471F459B"/>
    <w:rsid w:val="4720574B"/>
    <w:rsid w:val="47205B04"/>
    <w:rsid w:val="4721182B"/>
    <w:rsid w:val="47213C9A"/>
    <w:rsid w:val="47216E31"/>
    <w:rsid w:val="472172AE"/>
    <w:rsid w:val="47221765"/>
    <w:rsid w:val="47223430"/>
    <w:rsid w:val="472521EA"/>
    <w:rsid w:val="47262F6D"/>
    <w:rsid w:val="472647C7"/>
    <w:rsid w:val="472661D1"/>
    <w:rsid w:val="47272028"/>
    <w:rsid w:val="47292BC5"/>
    <w:rsid w:val="472D048E"/>
    <w:rsid w:val="472E7A45"/>
    <w:rsid w:val="472F1DA7"/>
    <w:rsid w:val="472F1E22"/>
    <w:rsid w:val="472F42D1"/>
    <w:rsid w:val="472F5ACD"/>
    <w:rsid w:val="473016F6"/>
    <w:rsid w:val="47305546"/>
    <w:rsid w:val="47315C38"/>
    <w:rsid w:val="473204DC"/>
    <w:rsid w:val="47323972"/>
    <w:rsid w:val="4732546E"/>
    <w:rsid w:val="47325B69"/>
    <w:rsid w:val="47354FB0"/>
    <w:rsid w:val="47360BAE"/>
    <w:rsid w:val="47370E61"/>
    <w:rsid w:val="4738008B"/>
    <w:rsid w:val="47385261"/>
    <w:rsid w:val="47386C5C"/>
    <w:rsid w:val="47392CA0"/>
    <w:rsid w:val="47393B5A"/>
    <w:rsid w:val="47394A4E"/>
    <w:rsid w:val="47396ED2"/>
    <w:rsid w:val="473C40E4"/>
    <w:rsid w:val="473E2065"/>
    <w:rsid w:val="473E7C34"/>
    <w:rsid w:val="473F01B1"/>
    <w:rsid w:val="473F460B"/>
    <w:rsid w:val="473F4AE6"/>
    <w:rsid w:val="47402FA7"/>
    <w:rsid w:val="4740402F"/>
    <w:rsid w:val="47411B27"/>
    <w:rsid w:val="47411B55"/>
    <w:rsid w:val="474133A2"/>
    <w:rsid w:val="474167CC"/>
    <w:rsid w:val="47422D97"/>
    <w:rsid w:val="474273C1"/>
    <w:rsid w:val="47432E89"/>
    <w:rsid w:val="474433F3"/>
    <w:rsid w:val="47443AD6"/>
    <w:rsid w:val="47453CDA"/>
    <w:rsid w:val="474565A3"/>
    <w:rsid w:val="474601C2"/>
    <w:rsid w:val="47464BBD"/>
    <w:rsid w:val="47474EAA"/>
    <w:rsid w:val="47482EE3"/>
    <w:rsid w:val="47483902"/>
    <w:rsid w:val="47483BE5"/>
    <w:rsid w:val="474868A6"/>
    <w:rsid w:val="474978B5"/>
    <w:rsid w:val="474B043A"/>
    <w:rsid w:val="474B29D4"/>
    <w:rsid w:val="474B6E87"/>
    <w:rsid w:val="474C0B9A"/>
    <w:rsid w:val="474D2918"/>
    <w:rsid w:val="474D4178"/>
    <w:rsid w:val="474E12FD"/>
    <w:rsid w:val="474E6020"/>
    <w:rsid w:val="474F00F8"/>
    <w:rsid w:val="474F4272"/>
    <w:rsid w:val="47503B46"/>
    <w:rsid w:val="47523D62"/>
    <w:rsid w:val="47530F1F"/>
    <w:rsid w:val="4753711C"/>
    <w:rsid w:val="47543636"/>
    <w:rsid w:val="4755098B"/>
    <w:rsid w:val="47551D2C"/>
    <w:rsid w:val="4755356C"/>
    <w:rsid w:val="4756572C"/>
    <w:rsid w:val="475855FA"/>
    <w:rsid w:val="475956E5"/>
    <w:rsid w:val="475A2C17"/>
    <w:rsid w:val="475B03AC"/>
    <w:rsid w:val="475B10E8"/>
    <w:rsid w:val="475C073D"/>
    <w:rsid w:val="475D2E26"/>
    <w:rsid w:val="475E6ABA"/>
    <w:rsid w:val="475E7C22"/>
    <w:rsid w:val="47603568"/>
    <w:rsid w:val="47613D2A"/>
    <w:rsid w:val="47613FA5"/>
    <w:rsid w:val="476160C4"/>
    <w:rsid w:val="47616496"/>
    <w:rsid w:val="4761650B"/>
    <w:rsid w:val="47617AE4"/>
    <w:rsid w:val="47617B01"/>
    <w:rsid w:val="47620699"/>
    <w:rsid w:val="47636202"/>
    <w:rsid w:val="47637CCE"/>
    <w:rsid w:val="47646F3F"/>
    <w:rsid w:val="47655545"/>
    <w:rsid w:val="476615BC"/>
    <w:rsid w:val="476721D3"/>
    <w:rsid w:val="47675DCA"/>
    <w:rsid w:val="4767627D"/>
    <w:rsid w:val="47685334"/>
    <w:rsid w:val="476870E2"/>
    <w:rsid w:val="4769139B"/>
    <w:rsid w:val="47694C86"/>
    <w:rsid w:val="476A10AC"/>
    <w:rsid w:val="476A4246"/>
    <w:rsid w:val="476B0980"/>
    <w:rsid w:val="476B40C0"/>
    <w:rsid w:val="476B7812"/>
    <w:rsid w:val="476C20A9"/>
    <w:rsid w:val="476C4160"/>
    <w:rsid w:val="476C4CE5"/>
    <w:rsid w:val="476C6162"/>
    <w:rsid w:val="476D39E1"/>
    <w:rsid w:val="476D5FE7"/>
    <w:rsid w:val="476F0250"/>
    <w:rsid w:val="476F79AC"/>
    <w:rsid w:val="477043DC"/>
    <w:rsid w:val="47705F96"/>
    <w:rsid w:val="47726561"/>
    <w:rsid w:val="47743368"/>
    <w:rsid w:val="47743CD8"/>
    <w:rsid w:val="4776212D"/>
    <w:rsid w:val="47776530"/>
    <w:rsid w:val="477B4631"/>
    <w:rsid w:val="477C2B8D"/>
    <w:rsid w:val="477F5B53"/>
    <w:rsid w:val="47806D67"/>
    <w:rsid w:val="478101A3"/>
    <w:rsid w:val="478119FA"/>
    <w:rsid w:val="47812FF2"/>
    <w:rsid w:val="47824238"/>
    <w:rsid w:val="47831E8B"/>
    <w:rsid w:val="47833FA1"/>
    <w:rsid w:val="47845072"/>
    <w:rsid w:val="478631D4"/>
    <w:rsid w:val="478665C6"/>
    <w:rsid w:val="478754B2"/>
    <w:rsid w:val="47881532"/>
    <w:rsid w:val="47882D15"/>
    <w:rsid w:val="47892735"/>
    <w:rsid w:val="478A34FC"/>
    <w:rsid w:val="478A4254"/>
    <w:rsid w:val="478B2DD0"/>
    <w:rsid w:val="478B4B7E"/>
    <w:rsid w:val="478F5068"/>
    <w:rsid w:val="47901855"/>
    <w:rsid w:val="479223B1"/>
    <w:rsid w:val="4792415F"/>
    <w:rsid w:val="47926A9A"/>
    <w:rsid w:val="47931C9E"/>
    <w:rsid w:val="479368EE"/>
    <w:rsid w:val="47941035"/>
    <w:rsid w:val="4795758E"/>
    <w:rsid w:val="47963ED9"/>
    <w:rsid w:val="479A29EE"/>
    <w:rsid w:val="479B02AF"/>
    <w:rsid w:val="479B1265"/>
    <w:rsid w:val="479B26AA"/>
    <w:rsid w:val="479B364B"/>
    <w:rsid w:val="479C322F"/>
    <w:rsid w:val="479C7AAE"/>
    <w:rsid w:val="479D28B5"/>
    <w:rsid w:val="479D6F35"/>
    <w:rsid w:val="479E6CD4"/>
    <w:rsid w:val="47A07E0C"/>
    <w:rsid w:val="47A171EC"/>
    <w:rsid w:val="47A22B0F"/>
    <w:rsid w:val="47A2461B"/>
    <w:rsid w:val="47A26F7C"/>
    <w:rsid w:val="47A3782A"/>
    <w:rsid w:val="47A45E91"/>
    <w:rsid w:val="47A52415"/>
    <w:rsid w:val="47A646BA"/>
    <w:rsid w:val="47A66BF5"/>
    <w:rsid w:val="47A81BD4"/>
    <w:rsid w:val="47AB25D5"/>
    <w:rsid w:val="47AB598B"/>
    <w:rsid w:val="47AC2547"/>
    <w:rsid w:val="47AE1F5A"/>
    <w:rsid w:val="47AE56AF"/>
    <w:rsid w:val="47AF6ABF"/>
    <w:rsid w:val="47B12BBC"/>
    <w:rsid w:val="47B172AE"/>
    <w:rsid w:val="47B2359D"/>
    <w:rsid w:val="47B318AC"/>
    <w:rsid w:val="47B42327"/>
    <w:rsid w:val="47B42C8C"/>
    <w:rsid w:val="47B50951"/>
    <w:rsid w:val="47B617EB"/>
    <w:rsid w:val="47B61FD8"/>
    <w:rsid w:val="47B64041"/>
    <w:rsid w:val="47B65AE7"/>
    <w:rsid w:val="47B72B90"/>
    <w:rsid w:val="47B86FD6"/>
    <w:rsid w:val="47BB1BD4"/>
    <w:rsid w:val="47BB474E"/>
    <w:rsid w:val="47BB6637"/>
    <w:rsid w:val="47BC33E7"/>
    <w:rsid w:val="47BC742D"/>
    <w:rsid w:val="47BD5A3C"/>
    <w:rsid w:val="47BE03C0"/>
    <w:rsid w:val="47BE4827"/>
    <w:rsid w:val="47BE4F54"/>
    <w:rsid w:val="47BE6DA8"/>
    <w:rsid w:val="47C24200"/>
    <w:rsid w:val="47C307BC"/>
    <w:rsid w:val="47C316E5"/>
    <w:rsid w:val="47C34CFC"/>
    <w:rsid w:val="47C42409"/>
    <w:rsid w:val="47C60A18"/>
    <w:rsid w:val="47C62373"/>
    <w:rsid w:val="47CA2374"/>
    <w:rsid w:val="47CD5197"/>
    <w:rsid w:val="47CE1F77"/>
    <w:rsid w:val="47CF5D47"/>
    <w:rsid w:val="47D040D0"/>
    <w:rsid w:val="47D14FED"/>
    <w:rsid w:val="47D209FF"/>
    <w:rsid w:val="47D52060"/>
    <w:rsid w:val="47D851ED"/>
    <w:rsid w:val="47D9485C"/>
    <w:rsid w:val="47D9517B"/>
    <w:rsid w:val="47DA5965"/>
    <w:rsid w:val="47DB778C"/>
    <w:rsid w:val="47DC0AA5"/>
    <w:rsid w:val="47DC3E7E"/>
    <w:rsid w:val="47DF2578"/>
    <w:rsid w:val="47DF460B"/>
    <w:rsid w:val="47E0229E"/>
    <w:rsid w:val="47E03C18"/>
    <w:rsid w:val="47E04C36"/>
    <w:rsid w:val="47E05EA0"/>
    <w:rsid w:val="47E1161E"/>
    <w:rsid w:val="47E179D2"/>
    <w:rsid w:val="47E36768"/>
    <w:rsid w:val="47E401D1"/>
    <w:rsid w:val="47E449FA"/>
    <w:rsid w:val="47E524E0"/>
    <w:rsid w:val="47E552A8"/>
    <w:rsid w:val="47E5572E"/>
    <w:rsid w:val="47E60F98"/>
    <w:rsid w:val="47E6466E"/>
    <w:rsid w:val="47E668FA"/>
    <w:rsid w:val="47E66AAB"/>
    <w:rsid w:val="47E8735E"/>
    <w:rsid w:val="47E96DA6"/>
    <w:rsid w:val="47EA40F3"/>
    <w:rsid w:val="47EA43FA"/>
    <w:rsid w:val="47EB2B09"/>
    <w:rsid w:val="47EB3AA0"/>
    <w:rsid w:val="47EB6FAC"/>
    <w:rsid w:val="47EC625B"/>
    <w:rsid w:val="47ED2FD9"/>
    <w:rsid w:val="47EE053F"/>
    <w:rsid w:val="47F0094B"/>
    <w:rsid w:val="47F03F6B"/>
    <w:rsid w:val="47F04783"/>
    <w:rsid w:val="47F118FC"/>
    <w:rsid w:val="47F21C4B"/>
    <w:rsid w:val="47F24A8C"/>
    <w:rsid w:val="47F26A04"/>
    <w:rsid w:val="47F33293"/>
    <w:rsid w:val="47F41EFC"/>
    <w:rsid w:val="47F622FE"/>
    <w:rsid w:val="47F70466"/>
    <w:rsid w:val="47F7280F"/>
    <w:rsid w:val="47F76B92"/>
    <w:rsid w:val="47F81E0A"/>
    <w:rsid w:val="47F857B5"/>
    <w:rsid w:val="47F941DE"/>
    <w:rsid w:val="47F953E6"/>
    <w:rsid w:val="47FC0C05"/>
    <w:rsid w:val="47FC396E"/>
    <w:rsid w:val="47FC6111"/>
    <w:rsid w:val="47FE7A46"/>
    <w:rsid w:val="47FF56FA"/>
    <w:rsid w:val="480015B7"/>
    <w:rsid w:val="4800556C"/>
    <w:rsid w:val="48010C03"/>
    <w:rsid w:val="48015FA1"/>
    <w:rsid w:val="48026624"/>
    <w:rsid w:val="48027313"/>
    <w:rsid w:val="4803070C"/>
    <w:rsid w:val="480375AF"/>
    <w:rsid w:val="480713DE"/>
    <w:rsid w:val="48076F55"/>
    <w:rsid w:val="48082692"/>
    <w:rsid w:val="480846C7"/>
    <w:rsid w:val="48085C14"/>
    <w:rsid w:val="48087B11"/>
    <w:rsid w:val="4809075C"/>
    <w:rsid w:val="480933A7"/>
    <w:rsid w:val="480A5BBA"/>
    <w:rsid w:val="480A5F6C"/>
    <w:rsid w:val="480A73F6"/>
    <w:rsid w:val="480D1814"/>
    <w:rsid w:val="480D6A28"/>
    <w:rsid w:val="480F4D12"/>
    <w:rsid w:val="480F57AF"/>
    <w:rsid w:val="480F6EB9"/>
    <w:rsid w:val="480F755D"/>
    <w:rsid w:val="480F7E76"/>
    <w:rsid w:val="48103A20"/>
    <w:rsid w:val="48103BC2"/>
    <w:rsid w:val="48104152"/>
    <w:rsid w:val="48107B00"/>
    <w:rsid w:val="48116446"/>
    <w:rsid w:val="481173B1"/>
    <w:rsid w:val="48144CB2"/>
    <w:rsid w:val="48147269"/>
    <w:rsid w:val="481608EC"/>
    <w:rsid w:val="4816212D"/>
    <w:rsid w:val="48166358"/>
    <w:rsid w:val="48193C2B"/>
    <w:rsid w:val="48195133"/>
    <w:rsid w:val="48197D63"/>
    <w:rsid w:val="481A0002"/>
    <w:rsid w:val="481A57A9"/>
    <w:rsid w:val="481B109C"/>
    <w:rsid w:val="481C286B"/>
    <w:rsid w:val="481C7631"/>
    <w:rsid w:val="481E4E27"/>
    <w:rsid w:val="481F0B6D"/>
    <w:rsid w:val="481F16CC"/>
    <w:rsid w:val="481F1DC1"/>
    <w:rsid w:val="48221A23"/>
    <w:rsid w:val="48222520"/>
    <w:rsid w:val="482249FF"/>
    <w:rsid w:val="4822746E"/>
    <w:rsid w:val="48236291"/>
    <w:rsid w:val="48244099"/>
    <w:rsid w:val="48251C6A"/>
    <w:rsid w:val="48261581"/>
    <w:rsid w:val="48264B8E"/>
    <w:rsid w:val="48266033"/>
    <w:rsid w:val="48267077"/>
    <w:rsid w:val="48270A94"/>
    <w:rsid w:val="482739EF"/>
    <w:rsid w:val="48286871"/>
    <w:rsid w:val="482946B1"/>
    <w:rsid w:val="482A533B"/>
    <w:rsid w:val="482A7B83"/>
    <w:rsid w:val="482B1545"/>
    <w:rsid w:val="482B51BC"/>
    <w:rsid w:val="482B7D05"/>
    <w:rsid w:val="482C45B3"/>
    <w:rsid w:val="482C610A"/>
    <w:rsid w:val="482D5080"/>
    <w:rsid w:val="482E3FF1"/>
    <w:rsid w:val="482E4C12"/>
    <w:rsid w:val="48300B8D"/>
    <w:rsid w:val="4830289A"/>
    <w:rsid w:val="48311DB4"/>
    <w:rsid w:val="48312BFE"/>
    <w:rsid w:val="483136D4"/>
    <w:rsid w:val="48315F28"/>
    <w:rsid w:val="483231A6"/>
    <w:rsid w:val="48324F67"/>
    <w:rsid w:val="48334CF0"/>
    <w:rsid w:val="483376F0"/>
    <w:rsid w:val="48341402"/>
    <w:rsid w:val="483416BA"/>
    <w:rsid w:val="483461E5"/>
    <w:rsid w:val="48346632"/>
    <w:rsid w:val="48347A0A"/>
    <w:rsid w:val="48351D12"/>
    <w:rsid w:val="483671E0"/>
    <w:rsid w:val="483724A9"/>
    <w:rsid w:val="483A1966"/>
    <w:rsid w:val="483A3E7D"/>
    <w:rsid w:val="483B1BA3"/>
    <w:rsid w:val="483C014C"/>
    <w:rsid w:val="483E6113"/>
    <w:rsid w:val="483E7E7D"/>
    <w:rsid w:val="483F3B01"/>
    <w:rsid w:val="483F44A0"/>
    <w:rsid w:val="483F48B4"/>
    <w:rsid w:val="483F581F"/>
    <w:rsid w:val="48401E0D"/>
    <w:rsid w:val="48413F3C"/>
    <w:rsid w:val="48415908"/>
    <w:rsid w:val="48425B85"/>
    <w:rsid w:val="4843227E"/>
    <w:rsid w:val="484420B1"/>
    <w:rsid w:val="48457423"/>
    <w:rsid w:val="48463878"/>
    <w:rsid w:val="48467EE9"/>
    <w:rsid w:val="4847086D"/>
    <w:rsid w:val="484713ED"/>
    <w:rsid w:val="48474613"/>
    <w:rsid w:val="484820BD"/>
    <w:rsid w:val="48482BD4"/>
    <w:rsid w:val="4848386C"/>
    <w:rsid w:val="4848451F"/>
    <w:rsid w:val="48485E62"/>
    <w:rsid w:val="484A77A0"/>
    <w:rsid w:val="484B0905"/>
    <w:rsid w:val="484C175E"/>
    <w:rsid w:val="484C3116"/>
    <w:rsid w:val="484C63F2"/>
    <w:rsid w:val="484D3BD3"/>
    <w:rsid w:val="484D45B0"/>
    <w:rsid w:val="484D62D8"/>
    <w:rsid w:val="484E1338"/>
    <w:rsid w:val="484E72FA"/>
    <w:rsid w:val="484E7BF9"/>
    <w:rsid w:val="484F02A2"/>
    <w:rsid w:val="484F1804"/>
    <w:rsid w:val="484F436A"/>
    <w:rsid w:val="4850472D"/>
    <w:rsid w:val="48517241"/>
    <w:rsid w:val="48523C7F"/>
    <w:rsid w:val="48533584"/>
    <w:rsid w:val="48547666"/>
    <w:rsid w:val="485564CD"/>
    <w:rsid w:val="48564F54"/>
    <w:rsid w:val="48573D01"/>
    <w:rsid w:val="485779F4"/>
    <w:rsid w:val="48590997"/>
    <w:rsid w:val="485A035C"/>
    <w:rsid w:val="485C0671"/>
    <w:rsid w:val="485C1423"/>
    <w:rsid w:val="485D3431"/>
    <w:rsid w:val="485F1C05"/>
    <w:rsid w:val="48601329"/>
    <w:rsid w:val="486038A6"/>
    <w:rsid w:val="4860425D"/>
    <w:rsid w:val="48607053"/>
    <w:rsid w:val="4862602D"/>
    <w:rsid w:val="4863723F"/>
    <w:rsid w:val="48655C70"/>
    <w:rsid w:val="48657235"/>
    <w:rsid w:val="4866256E"/>
    <w:rsid w:val="48672DD1"/>
    <w:rsid w:val="48675555"/>
    <w:rsid w:val="486B0E35"/>
    <w:rsid w:val="486B1193"/>
    <w:rsid w:val="486C0702"/>
    <w:rsid w:val="486C49B0"/>
    <w:rsid w:val="486D52FD"/>
    <w:rsid w:val="486E2835"/>
    <w:rsid w:val="486E443B"/>
    <w:rsid w:val="486F05D1"/>
    <w:rsid w:val="486F21F4"/>
    <w:rsid w:val="48701EB5"/>
    <w:rsid w:val="4870272E"/>
    <w:rsid w:val="487150F9"/>
    <w:rsid w:val="48741AB6"/>
    <w:rsid w:val="48742876"/>
    <w:rsid w:val="487448E8"/>
    <w:rsid w:val="48745B01"/>
    <w:rsid w:val="48755B9A"/>
    <w:rsid w:val="48760E5F"/>
    <w:rsid w:val="48767229"/>
    <w:rsid w:val="487B4F9E"/>
    <w:rsid w:val="487B5562"/>
    <w:rsid w:val="487C3FEE"/>
    <w:rsid w:val="487C5459"/>
    <w:rsid w:val="487E45E0"/>
    <w:rsid w:val="487F7FF2"/>
    <w:rsid w:val="488066AD"/>
    <w:rsid w:val="488217F2"/>
    <w:rsid w:val="48822425"/>
    <w:rsid w:val="4882353B"/>
    <w:rsid w:val="48823938"/>
    <w:rsid w:val="48832815"/>
    <w:rsid w:val="488352B7"/>
    <w:rsid w:val="48840529"/>
    <w:rsid w:val="488425FC"/>
    <w:rsid w:val="48842BB3"/>
    <w:rsid w:val="48850625"/>
    <w:rsid w:val="488535CA"/>
    <w:rsid w:val="48863E0A"/>
    <w:rsid w:val="48870344"/>
    <w:rsid w:val="488820AE"/>
    <w:rsid w:val="48883F5F"/>
    <w:rsid w:val="488C0C0D"/>
    <w:rsid w:val="488C15B3"/>
    <w:rsid w:val="488C373D"/>
    <w:rsid w:val="488C5052"/>
    <w:rsid w:val="488D3164"/>
    <w:rsid w:val="488E1DE3"/>
    <w:rsid w:val="488E1FA2"/>
    <w:rsid w:val="488E4926"/>
    <w:rsid w:val="488E5E66"/>
    <w:rsid w:val="488F532C"/>
    <w:rsid w:val="488F717B"/>
    <w:rsid w:val="48900E4B"/>
    <w:rsid w:val="48904BC8"/>
    <w:rsid w:val="4891078D"/>
    <w:rsid w:val="48932B8A"/>
    <w:rsid w:val="4894639D"/>
    <w:rsid w:val="48961963"/>
    <w:rsid w:val="4896764F"/>
    <w:rsid w:val="489727C8"/>
    <w:rsid w:val="48987DA5"/>
    <w:rsid w:val="489A06AD"/>
    <w:rsid w:val="489A39DB"/>
    <w:rsid w:val="489A5D1F"/>
    <w:rsid w:val="489A68C8"/>
    <w:rsid w:val="489A74AD"/>
    <w:rsid w:val="489B3856"/>
    <w:rsid w:val="489C0AAB"/>
    <w:rsid w:val="489D1132"/>
    <w:rsid w:val="489D5CBF"/>
    <w:rsid w:val="489F0FFE"/>
    <w:rsid w:val="489F3DF5"/>
    <w:rsid w:val="48A0169B"/>
    <w:rsid w:val="48A2301B"/>
    <w:rsid w:val="48A26614"/>
    <w:rsid w:val="48A341E1"/>
    <w:rsid w:val="48A50AE2"/>
    <w:rsid w:val="48A67773"/>
    <w:rsid w:val="48A67F37"/>
    <w:rsid w:val="48A9531F"/>
    <w:rsid w:val="48AA5240"/>
    <w:rsid w:val="48AA54D8"/>
    <w:rsid w:val="48AB1FA9"/>
    <w:rsid w:val="48AD2BB1"/>
    <w:rsid w:val="48AD7EB1"/>
    <w:rsid w:val="48AE6D76"/>
    <w:rsid w:val="48AF7E4F"/>
    <w:rsid w:val="48B06B47"/>
    <w:rsid w:val="48B06F92"/>
    <w:rsid w:val="48B11A2E"/>
    <w:rsid w:val="48B12662"/>
    <w:rsid w:val="48B17EE2"/>
    <w:rsid w:val="48B20663"/>
    <w:rsid w:val="48B2260A"/>
    <w:rsid w:val="48B35F73"/>
    <w:rsid w:val="48B55EDD"/>
    <w:rsid w:val="48B640A1"/>
    <w:rsid w:val="48B65303"/>
    <w:rsid w:val="48B66031"/>
    <w:rsid w:val="48B86E34"/>
    <w:rsid w:val="48B94FFB"/>
    <w:rsid w:val="48BA2B87"/>
    <w:rsid w:val="48BA47F7"/>
    <w:rsid w:val="48BB438D"/>
    <w:rsid w:val="48BD0481"/>
    <w:rsid w:val="48BD4198"/>
    <w:rsid w:val="48BE15C6"/>
    <w:rsid w:val="48C017F9"/>
    <w:rsid w:val="48C07896"/>
    <w:rsid w:val="48C21817"/>
    <w:rsid w:val="48C21E0A"/>
    <w:rsid w:val="48C2259C"/>
    <w:rsid w:val="48C30F03"/>
    <w:rsid w:val="48C52A88"/>
    <w:rsid w:val="48C61D6E"/>
    <w:rsid w:val="48C62FBC"/>
    <w:rsid w:val="48C663AF"/>
    <w:rsid w:val="48C86725"/>
    <w:rsid w:val="48C935BF"/>
    <w:rsid w:val="48C97A69"/>
    <w:rsid w:val="48CC653A"/>
    <w:rsid w:val="48CE11C6"/>
    <w:rsid w:val="48CE3503"/>
    <w:rsid w:val="48CF7E4A"/>
    <w:rsid w:val="48D04989"/>
    <w:rsid w:val="48D04F3E"/>
    <w:rsid w:val="48D079F1"/>
    <w:rsid w:val="48D1000A"/>
    <w:rsid w:val="48D11CAA"/>
    <w:rsid w:val="48D16F09"/>
    <w:rsid w:val="48D17EB4"/>
    <w:rsid w:val="48D34F31"/>
    <w:rsid w:val="48D428A2"/>
    <w:rsid w:val="48D4336B"/>
    <w:rsid w:val="48D569F9"/>
    <w:rsid w:val="48D6279C"/>
    <w:rsid w:val="48D710FA"/>
    <w:rsid w:val="48D80297"/>
    <w:rsid w:val="48D80AA5"/>
    <w:rsid w:val="48D836CD"/>
    <w:rsid w:val="48D93B61"/>
    <w:rsid w:val="48D93BA5"/>
    <w:rsid w:val="48DB38E3"/>
    <w:rsid w:val="48DD035C"/>
    <w:rsid w:val="48DD2DF1"/>
    <w:rsid w:val="48DE22FE"/>
    <w:rsid w:val="48DF1625"/>
    <w:rsid w:val="48DF2EB0"/>
    <w:rsid w:val="48DF7244"/>
    <w:rsid w:val="48E0616F"/>
    <w:rsid w:val="48E12982"/>
    <w:rsid w:val="48E30ED1"/>
    <w:rsid w:val="48E31676"/>
    <w:rsid w:val="48E431CA"/>
    <w:rsid w:val="48E50991"/>
    <w:rsid w:val="48E57678"/>
    <w:rsid w:val="48E7672C"/>
    <w:rsid w:val="48E8206D"/>
    <w:rsid w:val="48E92155"/>
    <w:rsid w:val="48E96E30"/>
    <w:rsid w:val="48EA1689"/>
    <w:rsid w:val="48EA4D4F"/>
    <w:rsid w:val="48EB0D13"/>
    <w:rsid w:val="48EB16F0"/>
    <w:rsid w:val="48EB7FCA"/>
    <w:rsid w:val="48EC396C"/>
    <w:rsid w:val="48EE5167"/>
    <w:rsid w:val="48EF79DD"/>
    <w:rsid w:val="48F044EA"/>
    <w:rsid w:val="48F05FA7"/>
    <w:rsid w:val="48F10807"/>
    <w:rsid w:val="48F167C7"/>
    <w:rsid w:val="48F22A5D"/>
    <w:rsid w:val="48F30BBC"/>
    <w:rsid w:val="48F30C2D"/>
    <w:rsid w:val="48F32BEA"/>
    <w:rsid w:val="48F34668"/>
    <w:rsid w:val="48F61D17"/>
    <w:rsid w:val="48F95E36"/>
    <w:rsid w:val="48F97C49"/>
    <w:rsid w:val="48FA020D"/>
    <w:rsid w:val="48FA6372"/>
    <w:rsid w:val="48FB41C9"/>
    <w:rsid w:val="48FB5E78"/>
    <w:rsid w:val="48FC7900"/>
    <w:rsid w:val="48FD05A2"/>
    <w:rsid w:val="48FE25C9"/>
    <w:rsid w:val="48FE2AFB"/>
    <w:rsid w:val="4900334A"/>
    <w:rsid w:val="490037F4"/>
    <w:rsid w:val="490268FD"/>
    <w:rsid w:val="4902753E"/>
    <w:rsid w:val="49041B90"/>
    <w:rsid w:val="4905177A"/>
    <w:rsid w:val="49070598"/>
    <w:rsid w:val="49071918"/>
    <w:rsid w:val="49072075"/>
    <w:rsid w:val="49091D7C"/>
    <w:rsid w:val="490A1F2C"/>
    <w:rsid w:val="490B3B57"/>
    <w:rsid w:val="490B7D44"/>
    <w:rsid w:val="490C1A8F"/>
    <w:rsid w:val="490D1094"/>
    <w:rsid w:val="490D2A70"/>
    <w:rsid w:val="490E2EFC"/>
    <w:rsid w:val="49106A68"/>
    <w:rsid w:val="49120DF4"/>
    <w:rsid w:val="49121EEA"/>
    <w:rsid w:val="491237A9"/>
    <w:rsid w:val="491246D0"/>
    <w:rsid w:val="49125524"/>
    <w:rsid w:val="4914045F"/>
    <w:rsid w:val="49144C4F"/>
    <w:rsid w:val="49150CD8"/>
    <w:rsid w:val="491513A5"/>
    <w:rsid w:val="49151A70"/>
    <w:rsid w:val="49152795"/>
    <w:rsid w:val="49161781"/>
    <w:rsid w:val="4917379D"/>
    <w:rsid w:val="491843BB"/>
    <w:rsid w:val="49191969"/>
    <w:rsid w:val="491A07DB"/>
    <w:rsid w:val="491B1D88"/>
    <w:rsid w:val="491B38B1"/>
    <w:rsid w:val="491C3795"/>
    <w:rsid w:val="491E1998"/>
    <w:rsid w:val="491F331C"/>
    <w:rsid w:val="491F7C74"/>
    <w:rsid w:val="492054B4"/>
    <w:rsid w:val="49227764"/>
    <w:rsid w:val="4923483F"/>
    <w:rsid w:val="49245B31"/>
    <w:rsid w:val="492507A1"/>
    <w:rsid w:val="4926728C"/>
    <w:rsid w:val="49282FCC"/>
    <w:rsid w:val="49283EF6"/>
    <w:rsid w:val="49290AF3"/>
    <w:rsid w:val="492A3F12"/>
    <w:rsid w:val="492B67EB"/>
    <w:rsid w:val="492B6C47"/>
    <w:rsid w:val="492C5DD4"/>
    <w:rsid w:val="492D296F"/>
    <w:rsid w:val="4931120E"/>
    <w:rsid w:val="493127F5"/>
    <w:rsid w:val="49315F6B"/>
    <w:rsid w:val="493317BA"/>
    <w:rsid w:val="493351B2"/>
    <w:rsid w:val="49335A35"/>
    <w:rsid w:val="49341C01"/>
    <w:rsid w:val="49342E74"/>
    <w:rsid w:val="49350A2A"/>
    <w:rsid w:val="49351A18"/>
    <w:rsid w:val="493648DD"/>
    <w:rsid w:val="49374D6D"/>
    <w:rsid w:val="4938292D"/>
    <w:rsid w:val="49386700"/>
    <w:rsid w:val="493A4AAE"/>
    <w:rsid w:val="493E0A83"/>
    <w:rsid w:val="493E459E"/>
    <w:rsid w:val="493E4F67"/>
    <w:rsid w:val="493E599D"/>
    <w:rsid w:val="493F3E72"/>
    <w:rsid w:val="49402FEB"/>
    <w:rsid w:val="494035B4"/>
    <w:rsid w:val="49423962"/>
    <w:rsid w:val="49423C9C"/>
    <w:rsid w:val="49425E50"/>
    <w:rsid w:val="49431A4D"/>
    <w:rsid w:val="49433D88"/>
    <w:rsid w:val="49441489"/>
    <w:rsid w:val="49441A0C"/>
    <w:rsid w:val="49443B8A"/>
    <w:rsid w:val="49457586"/>
    <w:rsid w:val="49470BAF"/>
    <w:rsid w:val="49475D01"/>
    <w:rsid w:val="49477BE3"/>
    <w:rsid w:val="49490EB7"/>
    <w:rsid w:val="49492D77"/>
    <w:rsid w:val="494A0382"/>
    <w:rsid w:val="494C0609"/>
    <w:rsid w:val="494C435E"/>
    <w:rsid w:val="494D5B77"/>
    <w:rsid w:val="494E5744"/>
    <w:rsid w:val="494F67AB"/>
    <w:rsid w:val="4950607F"/>
    <w:rsid w:val="49506749"/>
    <w:rsid w:val="49506891"/>
    <w:rsid w:val="49507689"/>
    <w:rsid w:val="49531B73"/>
    <w:rsid w:val="49546FB8"/>
    <w:rsid w:val="49573B45"/>
    <w:rsid w:val="495806A6"/>
    <w:rsid w:val="49590FD1"/>
    <w:rsid w:val="49592115"/>
    <w:rsid w:val="495B2AA9"/>
    <w:rsid w:val="495C5B79"/>
    <w:rsid w:val="495C67D2"/>
    <w:rsid w:val="495D3071"/>
    <w:rsid w:val="495D5D25"/>
    <w:rsid w:val="495E5A1F"/>
    <w:rsid w:val="495F4514"/>
    <w:rsid w:val="49602F8D"/>
    <w:rsid w:val="496041B8"/>
    <w:rsid w:val="496115BD"/>
    <w:rsid w:val="49613DC1"/>
    <w:rsid w:val="49616443"/>
    <w:rsid w:val="496206AA"/>
    <w:rsid w:val="49637F65"/>
    <w:rsid w:val="49656AE1"/>
    <w:rsid w:val="49660411"/>
    <w:rsid w:val="496625DE"/>
    <w:rsid w:val="49674171"/>
    <w:rsid w:val="49697F6F"/>
    <w:rsid w:val="496A337A"/>
    <w:rsid w:val="496A4813"/>
    <w:rsid w:val="496B1556"/>
    <w:rsid w:val="496C10AF"/>
    <w:rsid w:val="496D0DE5"/>
    <w:rsid w:val="496D271F"/>
    <w:rsid w:val="496E4757"/>
    <w:rsid w:val="496E4C92"/>
    <w:rsid w:val="497004D0"/>
    <w:rsid w:val="4970328B"/>
    <w:rsid w:val="497172C8"/>
    <w:rsid w:val="4972418C"/>
    <w:rsid w:val="49732986"/>
    <w:rsid w:val="49733446"/>
    <w:rsid w:val="49735974"/>
    <w:rsid w:val="49753CC6"/>
    <w:rsid w:val="49762D55"/>
    <w:rsid w:val="497707D8"/>
    <w:rsid w:val="4977147E"/>
    <w:rsid w:val="49775666"/>
    <w:rsid w:val="49776083"/>
    <w:rsid w:val="49777961"/>
    <w:rsid w:val="497955D6"/>
    <w:rsid w:val="497A6883"/>
    <w:rsid w:val="497B03D2"/>
    <w:rsid w:val="497B2E05"/>
    <w:rsid w:val="497B639D"/>
    <w:rsid w:val="497C071F"/>
    <w:rsid w:val="497C750B"/>
    <w:rsid w:val="497D1963"/>
    <w:rsid w:val="497E0BFC"/>
    <w:rsid w:val="497E3493"/>
    <w:rsid w:val="497E5735"/>
    <w:rsid w:val="497E7886"/>
    <w:rsid w:val="497F16C9"/>
    <w:rsid w:val="49805976"/>
    <w:rsid w:val="49811952"/>
    <w:rsid w:val="498306B4"/>
    <w:rsid w:val="49831626"/>
    <w:rsid w:val="49832EBB"/>
    <w:rsid w:val="49836455"/>
    <w:rsid w:val="498378EF"/>
    <w:rsid w:val="498577D8"/>
    <w:rsid w:val="49865B1D"/>
    <w:rsid w:val="4986640F"/>
    <w:rsid w:val="49871266"/>
    <w:rsid w:val="49873AA6"/>
    <w:rsid w:val="49877DA8"/>
    <w:rsid w:val="498A0891"/>
    <w:rsid w:val="498C63FE"/>
    <w:rsid w:val="498D0F17"/>
    <w:rsid w:val="498D5DAF"/>
    <w:rsid w:val="498E6BA8"/>
    <w:rsid w:val="498F1B24"/>
    <w:rsid w:val="498F22CF"/>
    <w:rsid w:val="498F4DFA"/>
    <w:rsid w:val="498F592E"/>
    <w:rsid w:val="4990233E"/>
    <w:rsid w:val="49905938"/>
    <w:rsid w:val="49906221"/>
    <w:rsid w:val="49916BE6"/>
    <w:rsid w:val="49926DAE"/>
    <w:rsid w:val="4993216D"/>
    <w:rsid w:val="499441BE"/>
    <w:rsid w:val="49963B70"/>
    <w:rsid w:val="49974E88"/>
    <w:rsid w:val="49986F59"/>
    <w:rsid w:val="499A72FA"/>
    <w:rsid w:val="499A7FD9"/>
    <w:rsid w:val="499B01FC"/>
    <w:rsid w:val="499B0896"/>
    <w:rsid w:val="499C3252"/>
    <w:rsid w:val="499D1675"/>
    <w:rsid w:val="499E3362"/>
    <w:rsid w:val="499E377C"/>
    <w:rsid w:val="499E61AC"/>
    <w:rsid w:val="499E7F53"/>
    <w:rsid w:val="499F0DB5"/>
    <w:rsid w:val="49A0323E"/>
    <w:rsid w:val="49A07007"/>
    <w:rsid w:val="49A07A3C"/>
    <w:rsid w:val="49A10689"/>
    <w:rsid w:val="49A168DB"/>
    <w:rsid w:val="49A3143A"/>
    <w:rsid w:val="49A333DA"/>
    <w:rsid w:val="49A62FB9"/>
    <w:rsid w:val="49A94C00"/>
    <w:rsid w:val="49AB492B"/>
    <w:rsid w:val="49AC39AB"/>
    <w:rsid w:val="49AD0CA2"/>
    <w:rsid w:val="49AD43E2"/>
    <w:rsid w:val="49AD53CA"/>
    <w:rsid w:val="49AD54A3"/>
    <w:rsid w:val="49AE0344"/>
    <w:rsid w:val="49AF0145"/>
    <w:rsid w:val="49AF0610"/>
    <w:rsid w:val="49B05AEA"/>
    <w:rsid w:val="49B23C69"/>
    <w:rsid w:val="49B24C36"/>
    <w:rsid w:val="49B35B1D"/>
    <w:rsid w:val="49B404DB"/>
    <w:rsid w:val="49B40EE0"/>
    <w:rsid w:val="49B65092"/>
    <w:rsid w:val="49B81129"/>
    <w:rsid w:val="49B820A2"/>
    <w:rsid w:val="49BA2E42"/>
    <w:rsid w:val="49BA4E2F"/>
    <w:rsid w:val="49BB5BEF"/>
    <w:rsid w:val="49BC27FF"/>
    <w:rsid w:val="49BC361C"/>
    <w:rsid w:val="49BC5720"/>
    <w:rsid w:val="49BD169D"/>
    <w:rsid w:val="49BD20C1"/>
    <w:rsid w:val="49BD5BEA"/>
    <w:rsid w:val="49C00490"/>
    <w:rsid w:val="49C02C56"/>
    <w:rsid w:val="49C03205"/>
    <w:rsid w:val="49C037AB"/>
    <w:rsid w:val="49C11AC1"/>
    <w:rsid w:val="49C14C65"/>
    <w:rsid w:val="49C17EDE"/>
    <w:rsid w:val="49C30254"/>
    <w:rsid w:val="49C31C2B"/>
    <w:rsid w:val="49C41B7C"/>
    <w:rsid w:val="49C42252"/>
    <w:rsid w:val="49C4335C"/>
    <w:rsid w:val="49C674A0"/>
    <w:rsid w:val="49C8030C"/>
    <w:rsid w:val="49C83E68"/>
    <w:rsid w:val="49C970B8"/>
    <w:rsid w:val="49CA2B1D"/>
    <w:rsid w:val="49CA6723"/>
    <w:rsid w:val="49CB3352"/>
    <w:rsid w:val="49CB7EBB"/>
    <w:rsid w:val="49CC2D77"/>
    <w:rsid w:val="49CC3B3C"/>
    <w:rsid w:val="49CC43C6"/>
    <w:rsid w:val="49CC4E1C"/>
    <w:rsid w:val="49CC7E2E"/>
    <w:rsid w:val="49CD6A25"/>
    <w:rsid w:val="49CF490A"/>
    <w:rsid w:val="49D01A78"/>
    <w:rsid w:val="49D06B70"/>
    <w:rsid w:val="49D1249D"/>
    <w:rsid w:val="49D22F38"/>
    <w:rsid w:val="49D40684"/>
    <w:rsid w:val="49D408FC"/>
    <w:rsid w:val="49D55D16"/>
    <w:rsid w:val="49D57FB8"/>
    <w:rsid w:val="49D61658"/>
    <w:rsid w:val="49D64583"/>
    <w:rsid w:val="49D73B02"/>
    <w:rsid w:val="49D92B8C"/>
    <w:rsid w:val="49D942C7"/>
    <w:rsid w:val="49D97AA0"/>
    <w:rsid w:val="49DA3948"/>
    <w:rsid w:val="49DA6460"/>
    <w:rsid w:val="49DA79B2"/>
    <w:rsid w:val="49DB0B27"/>
    <w:rsid w:val="49DC199F"/>
    <w:rsid w:val="49DC2BD2"/>
    <w:rsid w:val="49DC7715"/>
    <w:rsid w:val="49DD0E2C"/>
    <w:rsid w:val="49DD4190"/>
    <w:rsid w:val="49DE02CC"/>
    <w:rsid w:val="49DE53F9"/>
    <w:rsid w:val="49DF1BFA"/>
    <w:rsid w:val="49E019BF"/>
    <w:rsid w:val="49E23A16"/>
    <w:rsid w:val="49E25C9B"/>
    <w:rsid w:val="49E309B5"/>
    <w:rsid w:val="49E30F5B"/>
    <w:rsid w:val="49E340B9"/>
    <w:rsid w:val="49E368A8"/>
    <w:rsid w:val="49E40956"/>
    <w:rsid w:val="49E45618"/>
    <w:rsid w:val="49E514EF"/>
    <w:rsid w:val="49E51876"/>
    <w:rsid w:val="49E5286E"/>
    <w:rsid w:val="49E534EA"/>
    <w:rsid w:val="49E53974"/>
    <w:rsid w:val="49E61D37"/>
    <w:rsid w:val="49E80617"/>
    <w:rsid w:val="49E837D8"/>
    <w:rsid w:val="49ED033A"/>
    <w:rsid w:val="49ED5932"/>
    <w:rsid w:val="49EF1B6F"/>
    <w:rsid w:val="49F06755"/>
    <w:rsid w:val="49F1079A"/>
    <w:rsid w:val="49F11610"/>
    <w:rsid w:val="49F11633"/>
    <w:rsid w:val="49F17864"/>
    <w:rsid w:val="49F20E51"/>
    <w:rsid w:val="49F252D7"/>
    <w:rsid w:val="49F32630"/>
    <w:rsid w:val="49F508EA"/>
    <w:rsid w:val="49F534BC"/>
    <w:rsid w:val="49F544D5"/>
    <w:rsid w:val="49F65B1F"/>
    <w:rsid w:val="49F66C27"/>
    <w:rsid w:val="49F67B22"/>
    <w:rsid w:val="49F710F5"/>
    <w:rsid w:val="49F73469"/>
    <w:rsid w:val="49F81F89"/>
    <w:rsid w:val="49F836CC"/>
    <w:rsid w:val="49F92273"/>
    <w:rsid w:val="49F93EC4"/>
    <w:rsid w:val="49FB423D"/>
    <w:rsid w:val="49FC1D63"/>
    <w:rsid w:val="49FC2B50"/>
    <w:rsid w:val="49FC6E66"/>
    <w:rsid w:val="49FD6207"/>
    <w:rsid w:val="49FE4F6D"/>
    <w:rsid w:val="4A007AA5"/>
    <w:rsid w:val="4A0109D8"/>
    <w:rsid w:val="4A010F61"/>
    <w:rsid w:val="4A013465"/>
    <w:rsid w:val="4A023139"/>
    <w:rsid w:val="4A02764A"/>
    <w:rsid w:val="4A030452"/>
    <w:rsid w:val="4A04058A"/>
    <w:rsid w:val="4A046BA5"/>
    <w:rsid w:val="4A0526E0"/>
    <w:rsid w:val="4A052EE0"/>
    <w:rsid w:val="4A056DF9"/>
    <w:rsid w:val="4A05755A"/>
    <w:rsid w:val="4A060092"/>
    <w:rsid w:val="4A062BE2"/>
    <w:rsid w:val="4A07044E"/>
    <w:rsid w:val="4A0751ED"/>
    <w:rsid w:val="4A08695A"/>
    <w:rsid w:val="4A0A2722"/>
    <w:rsid w:val="4A0A7CF5"/>
    <w:rsid w:val="4A0B1FA6"/>
    <w:rsid w:val="4A0B277F"/>
    <w:rsid w:val="4A0B5F70"/>
    <w:rsid w:val="4A0C5DFE"/>
    <w:rsid w:val="4A0D21C2"/>
    <w:rsid w:val="4A0E0B26"/>
    <w:rsid w:val="4A0E17A6"/>
    <w:rsid w:val="4A0E42C4"/>
    <w:rsid w:val="4A0E48CD"/>
    <w:rsid w:val="4A0E6AF1"/>
    <w:rsid w:val="4A104EBD"/>
    <w:rsid w:val="4A1053DF"/>
    <w:rsid w:val="4A113A0C"/>
    <w:rsid w:val="4A1256E6"/>
    <w:rsid w:val="4A126E47"/>
    <w:rsid w:val="4A13038E"/>
    <w:rsid w:val="4A1304B6"/>
    <w:rsid w:val="4A131EAD"/>
    <w:rsid w:val="4A1320AA"/>
    <w:rsid w:val="4A143D64"/>
    <w:rsid w:val="4A16040D"/>
    <w:rsid w:val="4A161729"/>
    <w:rsid w:val="4A183041"/>
    <w:rsid w:val="4A185553"/>
    <w:rsid w:val="4A19349D"/>
    <w:rsid w:val="4A1939BF"/>
    <w:rsid w:val="4A193CE9"/>
    <w:rsid w:val="4A197DE0"/>
    <w:rsid w:val="4A1A0C51"/>
    <w:rsid w:val="4A1A32F7"/>
    <w:rsid w:val="4A1C16AC"/>
    <w:rsid w:val="4A1C1ABF"/>
    <w:rsid w:val="4A1D1D8E"/>
    <w:rsid w:val="4A1D2A2A"/>
    <w:rsid w:val="4A1D54B5"/>
    <w:rsid w:val="4A1D7FCA"/>
    <w:rsid w:val="4A1E617D"/>
    <w:rsid w:val="4A201340"/>
    <w:rsid w:val="4A212F9A"/>
    <w:rsid w:val="4A22215C"/>
    <w:rsid w:val="4A2255B3"/>
    <w:rsid w:val="4A231EA8"/>
    <w:rsid w:val="4A232E2A"/>
    <w:rsid w:val="4A23700F"/>
    <w:rsid w:val="4A2603F9"/>
    <w:rsid w:val="4A281C81"/>
    <w:rsid w:val="4A282240"/>
    <w:rsid w:val="4A28573E"/>
    <w:rsid w:val="4A296ECE"/>
    <w:rsid w:val="4A2B3865"/>
    <w:rsid w:val="4A2B63F5"/>
    <w:rsid w:val="4A2D0BEC"/>
    <w:rsid w:val="4A2E0DC2"/>
    <w:rsid w:val="4A2E5769"/>
    <w:rsid w:val="4A2F368F"/>
    <w:rsid w:val="4A3161C0"/>
    <w:rsid w:val="4A32283C"/>
    <w:rsid w:val="4A33043B"/>
    <w:rsid w:val="4A33165E"/>
    <w:rsid w:val="4A331C29"/>
    <w:rsid w:val="4A345071"/>
    <w:rsid w:val="4A350324"/>
    <w:rsid w:val="4A3571DA"/>
    <w:rsid w:val="4A361680"/>
    <w:rsid w:val="4A370FED"/>
    <w:rsid w:val="4A3749B0"/>
    <w:rsid w:val="4A38682C"/>
    <w:rsid w:val="4A394D65"/>
    <w:rsid w:val="4A396B13"/>
    <w:rsid w:val="4A3A1558"/>
    <w:rsid w:val="4A3A62B3"/>
    <w:rsid w:val="4A3B0ADD"/>
    <w:rsid w:val="4A3B2BA3"/>
    <w:rsid w:val="4A3D0385"/>
    <w:rsid w:val="4A3D33C2"/>
    <w:rsid w:val="4A3D5334"/>
    <w:rsid w:val="4A3E64D4"/>
    <w:rsid w:val="4A3F1BCD"/>
    <w:rsid w:val="4A3F255E"/>
    <w:rsid w:val="4A3F3886"/>
    <w:rsid w:val="4A3F55D1"/>
    <w:rsid w:val="4A400E5B"/>
    <w:rsid w:val="4A433C50"/>
    <w:rsid w:val="4A436FAB"/>
    <w:rsid w:val="4A43796D"/>
    <w:rsid w:val="4A452170"/>
    <w:rsid w:val="4A460EC0"/>
    <w:rsid w:val="4A476649"/>
    <w:rsid w:val="4A477DE3"/>
    <w:rsid w:val="4A49202A"/>
    <w:rsid w:val="4A494606"/>
    <w:rsid w:val="4A4A3C07"/>
    <w:rsid w:val="4A4A3CE5"/>
    <w:rsid w:val="4A4A5813"/>
    <w:rsid w:val="4A4A67C9"/>
    <w:rsid w:val="4A4B6664"/>
    <w:rsid w:val="4A4D7D35"/>
    <w:rsid w:val="4A4E1B4D"/>
    <w:rsid w:val="4A4E5E50"/>
    <w:rsid w:val="4A5003DE"/>
    <w:rsid w:val="4A502F78"/>
    <w:rsid w:val="4A50392C"/>
    <w:rsid w:val="4A5120AF"/>
    <w:rsid w:val="4A5127E7"/>
    <w:rsid w:val="4A514A62"/>
    <w:rsid w:val="4A5361C2"/>
    <w:rsid w:val="4A5376B8"/>
    <w:rsid w:val="4A546750"/>
    <w:rsid w:val="4A555161"/>
    <w:rsid w:val="4A575C2B"/>
    <w:rsid w:val="4A5816F0"/>
    <w:rsid w:val="4A5857D0"/>
    <w:rsid w:val="4A590BAD"/>
    <w:rsid w:val="4A5922DB"/>
    <w:rsid w:val="4A5974BD"/>
    <w:rsid w:val="4A5A0DA2"/>
    <w:rsid w:val="4A5A6E35"/>
    <w:rsid w:val="4A5B4CDC"/>
    <w:rsid w:val="4A5B714C"/>
    <w:rsid w:val="4A5C370E"/>
    <w:rsid w:val="4A5D1534"/>
    <w:rsid w:val="4A5D6347"/>
    <w:rsid w:val="4A5E1268"/>
    <w:rsid w:val="4A5E4AD1"/>
    <w:rsid w:val="4A60348D"/>
    <w:rsid w:val="4A61285F"/>
    <w:rsid w:val="4A6128EE"/>
    <w:rsid w:val="4A613534"/>
    <w:rsid w:val="4A6242ED"/>
    <w:rsid w:val="4A624335"/>
    <w:rsid w:val="4A62465B"/>
    <w:rsid w:val="4A6257DA"/>
    <w:rsid w:val="4A636FDB"/>
    <w:rsid w:val="4A650610"/>
    <w:rsid w:val="4A65243C"/>
    <w:rsid w:val="4A653DE0"/>
    <w:rsid w:val="4A6550FC"/>
    <w:rsid w:val="4A656EA3"/>
    <w:rsid w:val="4A680F75"/>
    <w:rsid w:val="4A69389D"/>
    <w:rsid w:val="4A693949"/>
    <w:rsid w:val="4A697967"/>
    <w:rsid w:val="4A6A13C3"/>
    <w:rsid w:val="4A6A5651"/>
    <w:rsid w:val="4A6B2B7B"/>
    <w:rsid w:val="4A6B31CD"/>
    <w:rsid w:val="4A6B79F7"/>
    <w:rsid w:val="4A6C05DA"/>
    <w:rsid w:val="4A6C5088"/>
    <w:rsid w:val="4A6D7B2D"/>
    <w:rsid w:val="4A6E37A2"/>
    <w:rsid w:val="4A6F2535"/>
    <w:rsid w:val="4A6F502D"/>
    <w:rsid w:val="4A705F99"/>
    <w:rsid w:val="4A71452B"/>
    <w:rsid w:val="4A715D6F"/>
    <w:rsid w:val="4A722025"/>
    <w:rsid w:val="4A725227"/>
    <w:rsid w:val="4A742D7F"/>
    <w:rsid w:val="4A7553B8"/>
    <w:rsid w:val="4A76083B"/>
    <w:rsid w:val="4A761C01"/>
    <w:rsid w:val="4A767D68"/>
    <w:rsid w:val="4A775369"/>
    <w:rsid w:val="4A79080E"/>
    <w:rsid w:val="4A791460"/>
    <w:rsid w:val="4A7A3FB4"/>
    <w:rsid w:val="4A7A6D67"/>
    <w:rsid w:val="4A7B576F"/>
    <w:rsid w:val="4A7C10E1"/>
    <w:rsid w:val="4A7C638B"/>
    <w:rsid w:val="4A7D066F"/>
    <w:rsid w:val="4A7D2EA4"/>
    <w:rsid w:val="4A7D4C52"/>
    <w:rsid w:val="4A7E09CA"/>
    <w:rsid w:val="4A7E6222"/>
    <w:rsid w:val="4A7F0564"/>
    <w:rsid w:val="4A7F6689"/>
    <w:rsid w:val="4A801388"/>
    <w:rsid w:val="4A807F11"/>
    <w:rsid w:val="4A817A4D"/>
    <w:rsid w:val="4A821E5D"/>
    <w:rsid w:val="4A823B2D"/>
    <w:rsid w:val="4A862B3E"/>
    <w:rsid w:val="4A8811E9"/>
    <w:rsid w:val="4A885446"/>
    <w:rsid w:val="4A886DB3"/>
    <w:rsid w:val="4A891BA0"/>
    <w:rsid w:val="4A892F7B"/>
    <w:rsid w:val="4A895CED"/>
    <w:rsid w:val="4A8B2D8A"/>
    <w:rsid w:val="4A8B7794"/>
    <w:rsid w:val="4A8C15F4"/>
    <w:rsid w:val="4A8C3685"/>
    <w:rsid w:val="4A8C54CE"/>
    <w:rsid w:val="4A8C74C8"/>
    <w:rsid w:val="4A8D4454"/>
    <w:rsid w:val="4A8D763B"/>
    <w:rsid w:val="4A8F144F"/>
    <w:rsid w:val="4A9122CB"/>
    <w:rsid w:val="4A912CE0"/>
    <w:rsid w:val="4A91616B"/>
    <w:rsid w:val="4A921B45"/>
    <w:rsid w:val="4A924743"/>
    <w:rsid w:val="4A931643"/>
    <w:rsid w:val="4A93465E"/>
    <w:rsid w:val="4A934E8E"/>
    <w:rsid w:val="4A9425A1"/>
    <w:rsid w:val="4A942E74"/>
    <w:rsid w:val="4A952A9D"/>
    <w:rsid w:val="4A961A3C"/>
    <w:rsid w:val="4A966022"/>
    <w:rsid w:val="4A986173"/>
    <w:rsid w:val="4A987777"/>
    <w:rsid w:val="4A9A1030"/>
    <w:rsid w:val="4A9E25F6"/>
    <w:rsid w:val="4A9E2D7F"/>
    <w:rsid w:val="4A9F72BE"/>
    <w:rsid w:val="4AA13AD4"/>
    <w:rsid w:val="4AA2018C"/>
    <w:rsid w:val="4AA234F0"/>
    <w:rsid w:val="4AA23D74"/>
    <w:rsid w:val="4AA2459F"/>
    <w:rsid w:val="4AA25BA7"/>
    <w:rsid w:val="4AA3304D"/>
    <w:rsid w:val="4AA45E7D"/>
    <w:rsid w:val="4AA46683"/>
    <w:rsid w:val="4AA66BD5"/>
    <w:rsid w:val="4AA7384C"/>
    <w:rsid w:val="4AA7504D"/>
    <w:rsid w:val="4AA80814"/>
    <w:rsid w:val="4AA8652C"/>
    <w:rsid w:val="4AAA0B3D"/>
    <w:rsid w:val="4AAA5C63"/>
    <w:rsid w:val="4AAA5D52"/>
    <w:rsid w:val="4AAB0F81"/>
    <w:rsid w:val="4AAB146D"/>
    <w:rsid w:val="4AAB2D94"/>
    <w:rsid w:val="4AAC5537"/>
    <w:rsid w:val="4AAD305D"/>
    <w:rsid w:val="4AAD41A4"/>
    <w:rsid w:val="4AAE12AF"/>
    <w:rsid w:val="4AAF1742"/>
    <w:rsid w:val="4AAF2E68"/>
    <w:rsid w:val="4AAF7382"/>
    <w:rsid w:val="4AAF7F32"/>
    <w:rsid w:val="4AB12B4E"/>
    <w:rsid w:val="4AB16D17"/>
    <w:rsid w:val="4AB20F2B"/>
    <w:rsid w:val="4AB21473"/>
    <w:rsid w:val="4AB3299E"/>
    <w:rsid w:val="4AB64608"/>
    <w:rsid w:val="4AB662CE"/>
    <w:rsid w:val="4AB663B6"/>
    <w:rsid w:val="4AB73604"/>
    <w:rsid w:val="4AB820E1"/>
    <w:rsid w:val="4AB8212E"/>
    <w:rsid w:val="4AB83510"/>
    <w:rsid w:val="4AB83EDC"/>
    <w:rsid w:val="4AB861A7"/>
    <w:rsid w:val="4AB903AB"/>
    <w:rsid w:val="4AB94C1E"/>
    <w:rsid w:val="4AB973E7"/>
    <w:rsid w:val="4ABC2D18"/>
    <w:rsid w:val="4ABD03D6"/>
    <w:rsid w:val="4ABE526B"/>
    <w:rsid w:val="4AC05487"/>
    <w:rsid w:val="4AC057DB"/>
    <w:rsid w:val="4AC13F56"/>
    <w:rsid w:val="4AC15A9F"/>
    <w:rsid w:val="4AC21ED8"/>
    <w:rsid w:val="4AC42881"/>
    <w:rsid w:val="4AC42B02"/>
    <w:rsid w:val="4AC53904"/>
    <w:rsid w:val="4AC53DBC"/>
    <w:rsid w:val="4AC67B6F"/>
    <w:rsid w:val="4AC72B1A"/>
    <w:rsid w:val="4AC846A6"/>
    <w:rsid w:val="4AC9666C"/>
    <w:rsid w:val="4ACA2D9D"/>
    <w:rsid w:val="4ACA7228"/>
    <w:rsid w:val="4ACA769A"/>
    <w:rsid w:val="4ACB190A"/>
    <w:rsid w:val="4ACC59BF"/>
    <w:rsid w:val="4ACC5A9E"/>
    <w:rsid w:val="4ACC654B"/>
    <w:rsid w:val="4ACC6B34"/>
    <w:rsid w:val="4ACD2569"/>
    <w:rsid w:val="4ACD370E"/>
    <w:rsid w:val="4ACE1D64"/>
    <w:rsid w:val="4AD040BF"/>
    <w:rsid w:val="4AD14F9E"/>
    <w:rsid w:val="4AD64DDE"/>
    <w:rsid w:val="4AD84FD2"/>
    <w:rsid w:val="4AD87052"/>
    <w:rsid w:val="4AD907E7"/>
    <w:rsid w:val="4AD95B82"/>
    <w:rsid w:val="4AD978E9"/>
    <w:rsid w:val="4ADB50F4"/>
    <w:rsid w:val="4ADB5F83"/>
    <w:rsid w:val="4ADD1B95"/>
    <w:rsid w:val="4ADD3943"/>
    <w:rsid w:val="4ADD7792"/>
    <w:rsid w:val="4ADE114A"/>
    <w:rsid w:val="4ADE31AF"/>
    <w:rsid w:val="4ADF0C4E"/>
    <w:rsid w:val="4ADF4649"/>
    <w:rsid w:val="4AE01232"/>
    <w:rsid w:val="4AE02C96"/>
    <w:rsid w:val="4AE05FA8"/>
    <w:rsid w:val="4AE10FB0"/>
    <w:rsid w:val="4AE327DE"/>
    <w:rsid w:val="4AE3610B"/>
    <w:rsid w:val="4AE42B1C"/>
    <w:rsid w:val="4AE439BE"/>
    <w:rsid w:val="4AE52AA6"/>
    <w:rsid w:val="4AE9500F"/>
    <w:rsid w:val="4AEA7280"/>
    <w:rsid w:val="4AEE4A0B"/>
    <w:rsid w:val="4AEE5C96"/>
    <w:rsid w:val="4AF03E46"/>
    <w:rsid w:val="4AF05D4A"/>
    <w:rsid w:val="4AF13957"/>
    <w:rsid w:val="4AF20133"/>
    <w:rsid w:val="4AF33166"/>
    <w:rsid w:val="4AF37B33"/>
    <w:rsid w:val="4AF408B8"/>
    <w:rsid w:val="4AF42F8E"/>
    <w:rsid w:val="4AF5244C"/>
    <w:rsid w:val="4AF53014"/>
    <w:rsid w:val="4AF561A9"/>
    <w:rsid w:val="4AF971FF"/>
    <w:rsid w:val="4AFA21CE"/>
    <w:rsid w:val="4AFA6AD9"/>
    <w:rsid w:val="4AFB1021"/>
    <w:rsid w:val="4AFC379A"/>
    <w:rsid w:val="4AFD3FE5"/>
    <w:rsid w:val="4AFE43FA"/>
    <w:rsid w:val="4AFE7550"/>
    <w:rsid w:val="4AFF6A8B"/>
    <w:rsid w:val="4AFF7D5D"/>
    <w:rsid w:val="4B001672"/>
    <w:rsid w:val="4B01788B"/>
    <w:rsid w:val="4B0233A9"/>
    <w:rsid w:val="4B0233B1"/>
    <w:rsid w:val="4B025A8C"/>
    <w:rsid w:val="4B026592"/>
    <w:rsid w:val="4B026AB5"/>
    <w:rsid w:val="4B033A83"/>
    <w:rsid w:val="4B03457A"/>
    <w:rsid w:val="4B0347A3"/>
    <w:rsid w:val="4B041A6F"/>
    <w:rsid w:val="4B0610EB"/>
    <w:rsid w:val="4B063DFE"/>
    <w:rsid w:val="4B084110"/>
    <w:rsid w:val="4B0A42CA"/>
    <w:rsid w:val="4B0A717A"/>
    <w:rsid w:val="4B0A7321"/>
    <w:rsid w:val="4B0B1A88"/>
    <w:rsid w:val="4B0C0623"/>
    <w:rsid w:val="4B0C5AA2"/>
    <w:rsid w:val="4B0D71E2"/>
    <w:rsid w:val="4B0E571D"/>
    <w:rsid w:val="4B0E5D36"/>
    <w:rsid w:val="4B0F6794"/>
    <w:rsid w:val="4B114024"/>
    <w:rsid w:val="4B130258"/>
    <w:rsid w:val="4B1355B6"/>
    <w:rsid w:val="4B137364"/>
    <w:rsid w:val="4B1A6945"/>
    <w:rsid w:val="4B1A7813"/>
    <w:rsid w:val="4B1B40A8"/>
    <w:rsid w:val="4B1B6E18"/>
    <w:rsid w:val="4B1C03B8"/>
    <w:rsid w:val="4B1C4686"/>
    <w:rsid w:val="4B1C49B4"/>
    <w:rsid w:val="4B1C7A0A"/>
    <w:rsid w:val="4B1D01E3"/>
    <w:rsid w:val="4B1F1E4C"/>
    <w:rsid w:val="4B1F21AD"/>
    <w:rsid w:val="4B1F2F07"/>
    <w:rsid w:val="4B20558B"/>
    <w:rsid w:val="4B21330F"/>
    <w:rsid w:val="4B215FFD"/>
    <w:rsid w:val="4B221E63"/>
    <w:rsid w:val="4B225CF9"/>
    <w:rsid w:val="4B232B7B"/>
    <w:rsid w:val="4B240FB3"/>
    <w:rsid w:val="4B241C17"/>
    <w:rsid w:val="4B245E00"/>
    <w:rsid w:val="4B2477C4"/>
    <w:rsid w:val="4B254A2A"/>
    <w:rsid w:val="4B2579D9"/>
    <w:rsid w:val="4B27353A"/>
    <w:rsid w:val="4B285784"/>
    <w:rsid w:val="4B29014C"/>
    <w:rsid w:val="4B295727"/>
    <w:rsid w:val="4B2B2900"/>
    <w:rsid w:val="4B2B77A3"/>
    <w:rsid w:val="4B2C0426"/>
    <w:rsid w:val="4B2C447B"/>
    <w:rsid w:val="4B2C5D7D"/>
    <w:rsid w:val="4B2D0336"/>
    <w:rsid w:val="4B2E07CF"/>
    <w:rsid w:val="4B2E5353"/>
    <w:rsid w:val="4B320132"/>
    <w:rsid w:val="4B322A64"/>
    <w:rsid w:val="4B340CF1"/>
    <w:rsid w:val="4B344504"/>
    <w:rsid w:val="4B3469D9"/>
    <w:rsid w:val="4B354F31"/>
    <w:rsid w:val="4B375749"/>
    <w:rsid w:val="4B38326F"/>
    <w:rsid w:val="4B383FB4"/>
    <w:rsid w:val="4B386BAF"/>
    <w:rsid w:val="4B386DCB"/>
    <w:rsid w:val="4B390433"/>
    <w:rsid w:val="4B3A0B60"/>
    <w:rsid w:val="4B3B6EF7"/>
    <w:rsid w:val="4B3C0E21"/>
    <w:rsid w:val="4B3C5738"/>
    <w:rsid w:val="4B3C5D15"/>
    <w:rsid w:val="4B3D0AFC"/>
    <w:rsid w:val="4B3D6AD7"/>
    <w:rsid w:val="4B3E34EB"/>
    <w:rsid w:val="4B3E37F6"/>
    <w:rsid w:val="4B3F0270"/>
    <w:rsid w:val="4B3F09A8"/>
    <w:rsid w:val="4B3F337C"/>
    <w:rsid w:val="4B404CF7"/>
    <w:rsid w:val="4B404E69"/>
    <w:rsid w:val="4B4102A7"/>
    <w:rsid w:val="4B41102A"/>
    <w:rsid w:val="4B425E9C"/>
    <w:rsid w:val="4B4316AD"/>
    <w:rsid w:val="4B434576"/>
    <w:rsid w:val="4B442CE6"/>
    <w:rsid w:val="4B451EBD"/>
    <w:rsid w:val="4B453E97"/>
    <w:rsid w:val="4B456D7D"/>
    <w:rsid w:val="4B495595"/>
    <w:rsid w:val="4B497CCE"/>
    <w:rsid w:val="4B4A201C"/>
    <w:rsid w:val="4B4A6ECF"/>
    <w:rsid w:val="4B4B7F55"/>
    <w:rsid w:val="4B4C0B87"/>
    <w:rsid w:val="4B4C70F8"/>
    <w:rsid w:val="4B4E46D5"/>
    <w:rsid w:val="4B4E6DBC"/>
    <w:rsid w:val="4B4F659A"/>
    <w:rsid w:val="4B4F69B2"/>
    <w:rsid w:val="4B4F7686"/>
    <w:rsid w:val="4B50170D"/>
    <w:rsid w:val="4B502367"/>
    <w:rsid w:val="4B504DA3"/>
    <w:rsid w:val="4B5053E8"/>
    <w:rsid w:val="4B514A1F"/>
    <w:rsid w:val="4B551F02"/>
    <w:rsid w:val="4B5541D6"/>
    <w:rsid w:val="4B563C89"/>
    <w:rsid w:val="4B576C2F"/>
    <w:rsid w:val="4B5856BF"/>
    <w:rsid w:val="4B585A6E"/>
    <w:rsid w:val="4B58626D"/>
    <w:rsid w:val="4B5871AC"/>
    <w:rsid w:val="4B58746D"/>
    <w:rsid w:val="4B5935B0"/>
    <w:rsid w:val="4B5A25B7"/>
    <w:rsid w:val="4B5A31E5"/>
    <w:rsid w:val="4B5A4B64"/>
    <w:rsid w:val="4B5A5750"/>
    <w:rsid w:val="4B5B5DD4"/>
    <w:rsid w:val="4B5C5B6A"/>
    <w:rsid w:val="4B5D4A84"/>
    <w:rsid w:val="4B5E2C33"/>
    <w:rsid w:val="4B5E60CF"/>
    <w:rsid w:val="4B5F07FC"/>
    <w:rsid w:val="4B5F7C80"/>
    <w:rsid w:val="4B6119E3"/>
    <w:rsid w:val="4B615E5A"/>
    <w:rsid w:val="4B622061"/>
    <w:rsid w:val="4B627FC4"/>
    <w:rsid w:val="4B63024A"/>
    <w:rsid w:val="4B637490"/>
    <w:rsid w:val="4B6403F9"/>
    <w:rsid w:val="4B64491C"/>
    <w:rsid w:val="4B653D52"/>
    <w:rsid w:val="4B670125"/>
    <w:rsid w:val="4B6725B9"/>
    <w:rsid w:val="4B681D2E"/>
    <w:rsid w:val="4B682692"/>
    <w:rsid w:val="4B68292E"/>
    <w:rsid w:val="4B687E83"/>
    <w:rsid w:val="4B6A5865"/>
    <w:rsid w:val="4B6A76EC"/>
    <w:rsid w:val="4B6A78ED"/>
    <w:rsid w:val="4B6B2018"/>
    <w:rsid w:val="4B6C4A23"/>
    <w:rsid w:val="4B6D0800"/>
    <w:rsid w:val="4B6D0836"/>
    <w:rsid w:val="4B6D30F4"/>
    <w:rsid w:val="4B6E2DCB"/>
    <w:rsid w:val="4B6E73C3"/>
    <w:rsid w:val="4B707176"/>
    <w:rsid w:val="4B716EB0"/>
    <w:rsid w:val="4B746095"/>
    <w:rsid w:val="4B7464EB"/>
    <w:rsid w:val="4B7802DF"/>
    <w:rsid w:val="4B796F10"/>
    <w:rsid w:val="4B7C2455"/>
    <w:rsid w:val="4B7C2570"/>
    <w:rsid w:val="4B7D60AB"/>
    <w:rsid w:val="4B7E0122"/>
    <w:rsid w:val="4B7E2836"/>
    <w:rsid w:val="4B7E3CEA"/>
    <w:rsid w:val="4B7F0C10"/>
    <w:rsid w:val="4B7F5883"/>
    <w:rsid w:val="4B7F62DD"/>
    <w:rsid w:val="4B7F6393"/>
    <w:rsid w:val="4B802F8F"/>
    <w:rsid w:val="4B80463C"/>
    <w:rsid w:val="4B805862"/>
    <w:rsid w:val="4B821AF3"/>
    <w:rsid w:val="4B83098E"/>
    <w:rsid w:val="4B835837"/>
    <w:rsid w:val="4B842010"/>
    <w:rsid w:val="4B842C60"/>
    <w:rsid w:val="4B853015"/>
    <w:rsid w:val="4B8545B6"/>
    <w:rsid w:val="4B856FDC"/>
    <w:rsid w:val="4B863A81"/>
    <w:rsid w:val="4B865A2C"/>
    <w:rsid w:val="4B872361"/>
    <w:rsid w:val="4B882210"/>
    <w:rsid w:val="4B883A34"/>
    <w:rsid w:val="4B8874CF"/>
    <w:rsid w:val="4B895FDD"/>
    <w:rsid w:val="4B8B2133"/>
    <w:rsid w:val="4B8B253D"/>
    <w:rsid w:val="4B8C328B"/>
    <w:rsid w:val="4B8E790E"/>
    <w:rsid w:val="4B8F2746"/>
    <w:rsid w:val="4B9252EC"/>
    <w:rsid w:val="4B930C42"/>
    <w:rsid w:val="4B936E1A"/>
    <w:rsid w:val="4B941664"/>
    <w:rsid w:val="4B944EC6"/>
    <w:rsid w:val="4B954C08"/>
    <w:rsid w:val="4B955DD8"/>
    <w:rsid w:val="4B977F46"/>
    <w:rsid w:val="4B982C84"/>
    <w:rsid w:val="4B987E50"/>
    <w:rsid w:val="4B990AD9"/>
    <w:rsid w:val="4B99165E"/>
    <w:rsid w:val="4B99689A"/>
    <w:rsid w:val="4B9A117C"/>
    <w:rsid w:val="4B9A7A7B"/>
    <w:rsid w:val="4B9B00F7"/>
    <w:rsid w:val="4B9B02F6"/>
    <w:rsid w:val="4B9C517B"/>
    <w:rsid w:val="4B9D0B7C"/>
    <w:rsid w:val="4B9E6239"/>
    <w:rsid w:val="4B9E7D1F"/>
    <w:rsid w:val="4B9F1F22"/>
    <w:rsid w:val="4BA00B9B"/>
    <w:rsid w:val="4BA05250"/>
    <w:rsid w:val="4BA235D3"/>
    <w:rsid w:val="4BA32466"/>
    <w:rsid w:val="4BA478B5"/>
    <w:rsid w:val="4BA52506"/>
    <w:rsid w:val="4BA623E6"/>
    <w:rsid w:val="4BA65874"/>
    <w:rsid w:val="4BA743F3"/>
    <w:rsid w:val="4BA864CD"/>
    <w:rsid w:val="4BAA526B"/>
    <w:rsid w:val="4BAA594D"/>
    <w:rsid w:val="4BAB1C93"/>
    <w:rsid w:val="4BAB6BB2"/>
    <w:rsid w:val="4BAB70BA"/>
    <w:rsid w:val="4BAC2CCE"/>
    <w:rsid w:val="4BAD11F3"/>
    <w:rsid w:val="4BAE268D"/>
    <w:rsid w:val="4BAE52DF"/>
    <w:rsid w:val="4BAF2602"/>
    <w:rsid w:val="4BAF5928"/>
    <w:rsid w:val="4BAF6755"/>
    <w:rsid w:val="4BB01057"/>
    <w:rsid w:val="4BB0607D"/>
    <w:rsid w:val="4BB20BB0"/>
    <w:rsid w:val="4BB22C34"/>
    <w:rsid w:val="4BB40B47"/>
    <w:rsid w:val="4BB50B63"/>
    <w:rsid w:val="4BB711A2"/>
    <w:rsid w:val="4BB837B1"/>
    <w:rsid w:val="4BB86830"/>
    <w:rsid w:val="4BB876AE"/>
    <w:rsid w:val="4BB90721"/>
    <w:rsid w:val="4BB915F4"/>
    <w:rsid w:val="4BBA34C0"/>
    <w:rsid w:val="4BBA3D87"/>
    <w:rsid w:val="4BBC5A7B"/>
    <w:rsid w:val="4BBD12BD"/>
    <w:rsid w:val="4BBD2276"/>
    <w:rsid w:val="4BBE0BC6"/>
    <w:rsid w:val="4BBE19C6"/>
    <w:rsid w:val="4BBF129A"/>
    <w:rsid w:val="4BBF4ADB"/>
    <w:rsid w:val="4BC36FDC"/>
    <w:rsid w:val="4BC44B03"/>
    <w:rsid w:val="4BC52D91"/>
    <w:rsid w:val="4BC74010"/>
    <w:rsid w:val="4BCA6DC8"/>
    <w:rsid w:val="4BCB5025"/>
    <w:rsid w:val="4BCC4D54"/>
    <w:rsid w:val="4BCC6BD6"/>
    <w:rsid w:val="4BCD5B11"/>
    <w:rsid w:val="4BCE4281"/>
    <w:rsid w:val="4BCF13C2"/>
    <w:rsid w:val="4BD00888"/>
    <w:rsid w:val="4BD0199E"/>
    <w:rsid w:val="4BD033EB"/>
    <w:rsid w:val="4BD20FCE"/>
    <w:rsid w:val="4BD23DD3"/>
    <w:rsid w:val="4BD324AA"/>
    <w:rsid w:val="4BD52D1E"/>
    <w:rsid w:val="4BD53689"/>
    <w:rsid w:val="4BD56D10"/>
    <w:rsid w:val="4BD702A6"/>
    <w:rsid w:val="4BD703B3"/>
    <w:rsid w:val="4BD7721E"/>
    <w:rsid w:val="4BD8075A"/>
    <w:rsid w:val="4BD96D40"/>
    <w:rsid w:val="4BDA11FB"/>
    <w:rsid w:val="4BDA49C7"/>
    <w:rsid w:val="4BDB2578"/>
    <w:rsid w:val="4BDB6362"/>
    <w:rsid w:val="4BDB7F53"/>
    <w:rsid w:val="4BDC3DB9"/>
    <w:rsid w:val="4BDC3F89"/>
    <w:rsid w:val="4BDE5BC4"/>
    <w:rsid w:val="4BDE6E82"/>
    <w:rsid w:val="4BDE7A28"/>
    <w:rsid w:val="4BDE7CD6"/>
    <w:rsid w:val="4BE168AD"/>
    <w:rsid w:val="4BE30F3B"/>
    <w:rsid w:val="4BE35CA0"/>
    <w:rsid w:val="4BE40D01"/>
    <w:rsid w:val="4BE41F6F"/>
    <w:rsid w:val="4BE470A4"/>
    <w:rsid w:val="4BE66D1E"/>
    <w:rsid w:val="4BE73AB6"/>
    <w:rsid w:val="4BE807F1"/>
    <w:rsid w:val="4BE86A43"/>
    <w:rsid w:val="4BEA2AC3"/>
    <w:rsid w:val="4BEA36C4"/>
    <w:rsid w:val="4BED6455"/>
    <w:rsid w:val="4BED6C76"/>
    <w:rsid w:val="4BEF7B95"/>
    <w:rsid w:val="4BF1125E"/>
    <w:rsid w:val="4BF2065A"/>
    <w:rsid w:val="4BF43789"/>
    <w:rsid w:val="4BF45801"/>
    <w:rsid w:val="4BF541CA"/>
    <w:rsid w:val="4BF754A5"/>
    <w:rsid w:val="4BF80FD2"/>
    <w:rsid w:val="4BF81368"/>
    <w:rsid w:val="4BFB3CBA"/>
    <w:rsid w:val="4BFB6342"/>
    <w:rsid w:val="4BFD1BED"/>
    <w:rsid w:val="4BFE3C9D"/>
    <w:rsid w:val="4BFE6267"/>
    <w:rsid w:val="4BFF02FC"/>
    <w:rsid w:val="4BFF29C8"/>
    <w:rsid w:val="4BFF5133"/>
    <w:rsid w:val="4BFF7C3D"/>
    <w:rsid w:val="4C00047A"/>
    <w:rsid w:val="4C0104C1"/>
    <w:rsid w:val="4C012324"/>
    <w:rsid w:val="4C0132BF"/>
    <w:rsid w:val="4C017910"/>
    <w:rsid w:val="4C024209"/>
    <w:rsid w:val="4C043151"/>
    <w:rsid w:val="4C0459C8"/>
    <w:rsid w:val="4C047A21"/>
    <w:rsid w:val="4C050346"/>
    <w:rsid w:val="4C061897"/>
    <w:rsid w:val="4C066EC9"/>
    <w:rsid w:val="4C073CC9"/>
    <w:rsid w:val="4C0849EF"/>
    <w:rsid w:val="4C0B0EB0"/>
    <w:rsid w:val="4C0B479C"/>
    <w:rsid w:val="4C0B78B5"/>
    <w:rsid w:val="4C0D0B6E"/>
    <w:rsid w:val="4C0D64AA"/>
    <w:rsid w:val="4C0E0F49"/>
    <w:rsid w:val="4C0E2026"/>
    <w:rsid w:val="4C0E640D"/>
    <w:rsid w:val="4C0F5D7E"/>
    <w:rsid w:val="4C10068B"/>
    <w:rsid w:val="4C102B15"/>
    <w:rsid w:val="4C126A80"/>
    <w:rsid w:val="4C1326C5"/>
    <w:rsid w:val="4C14066F"/>
    <w:rsid w:val="4C143D97"/>
    <w:rsid w:val="4C144E0A"/>
    <w:rsid w:val="4C1672F2"/>
    <w:rsid w:val="4C170E71"/>
    <w:rsid w:val="4C173A9C"/>
    <w:rsid w:val="4C177464"/>
    <w:rsid w:val="4C182651"/>
    <w:rsid w:val="4C196BFC"/>
    <w:rsid w:val="4C1A6C8C"/>
    <w:rsid w:val="4C1C049B"/>
    <w:rsid w:val="4C1C35F7"/>
    <w:rsid w:val="4C1C66ED"/>
    <w:rsid w:val="4C1D1FAE"/>
    <w:rsid w:val="4C1E42C6"/>
    <w:rsid w:val="4C1E5BF9"/>
    <w:rsid w:val="4C1F487B"/>
    <w:rsid w:val="4C1F5BC0"/>
    <w:rsid w:val="4C20094D"/>
    <w:rsid w:val="4C201F6A"/>
    <w:rsid w:val="4C207421"/>
    <w:rsid w:val="4C212507"/>
    <w:rsid w:val="4C213D03"/>
    <w:rsid w:val="4C2205FF"/>
    <w:rsid w:val="4C224884"/>
    <w:rsid w:val="4C2316E7"/>
    <w:rsid w:val="4C237A7B"/>
    <w:rsid w:val="4C250050"/>
    <w:rsid w:val="4C261319"/>
    <w:rsid w:val="4C2635C6"/>
    <w:rsid w:val="4C2665B0"/>
    <w:rsid w:val="4C287494"/>
    <w:rsid w:val="4C294226"/>
    <w:rsid w:val="4C2B110D"/>
    <w:rsid w:val="4C2B59C4"/>
    <w:rsid w:val="4C2C15D1"/>
    <w:rsid w:val="4C2C351A"/>
    <w:rsid w:val="4C2C52AC"/>
    <w:rsid w:val="4C2D1536"/>
    <w:rsid w:val="4C2D7292"/>
    <w:rsid w:val="4C2E2B61"/>
    <w:rsid w:val="4C2F313B"/>
    <w:rsid w:val="4C30584E"/>
    <w:rsid w:val="4C3170F6"/>
    <w:rsid w:val="4C3200F1"/>
    <w:rsid w:val="4C322DD9"/>
    <w:rsid w:val="4C330503"/>
    <w:rsid w:val="4C33092C"/>
    <w:rsid w:val="4C3321FE"/>
    <w:rsid w:val="4C346A0E"/>
    <w:rsid w:val="4C35155C"/>
    <w:rsid w:val="4C357803"/>
    <w:rsid w:val="4C360F5A"/>
    <w:rsid w:val="4C3658A8"/>
    <w:rsid w:val="4C365FC4"/>
    <w:rsid w:val="4C373527"/>
    <w:rsid w:val="4C383131"/>
    <w:rsid w:val="4C3910AD"/>
    <w:rsid w:val="4C3918D4"/>
    <w:rsid w:val="4C3B49A3"/>
    <w:rsid w:val="4C3C44A4"/>
    <w:rsid w:val="4C3E15A6"/>
    <w:rsid w:val="4C3E4868"/>
    <w:rsid w:val="4C401AB1"/>
    <w:rsid w:val="4C407861"/>
    <w:rsid w:val="4C412DB2"/>
    <w:rsid w:val="4C4146A7"/>
    <w:rsid w:val="4C41565A"/>
    <w:rsid w:val="4C421E8C"/>
    <w:rsid w:val="4C424368"/>
    <w:rsid w:val="4C425841"/>
    <w:rsid w:val="4C425E4D"/>
    <w:rsid w:val="4C433C79"/>
    <w:rsid w:val="4C436BE5"/>
    <w:rsid w:val="4C447326"/>
    <w:rsid w:val="4C482703"/>
    <w:rsid w:val="4C492576"/>
    <w:rsid w:val="4C4A0649"/>
    <w:rsid w:val="4C4A3D19"/>
    <w:rsid w:val="4C4B6313"/>
    <w:rsid w:val="4C4B7FDE"/>
    <w:rsid w:val="4C4D29E7"/>
    <w:rsid w:val="4C4E13C0"/>
    <w:rsid w:val="4C4E4831"/>
    <w:rsid w:val="4C4F1604"/>
    <w:rsid w:val="4C511632"/>
    <w:rsid w:val="4C51283A"/>
    <w:rsid w:val="4C515898"/>
    <w:rsid w:val="4C534C6E"/>
    <w:rsid w:val="4C5358CA"/>
    <w:rsid w:val="4C540BCE"/>
    <w:rsid w:val="4C55664D"/>
    <w:rsid w:val="4C556A88"/>
    <w:rsid w:val="4C563007"/>
    <w:rsid w:val="4C563B83"/>
    <w:rsid w:val="4C57625F"/>
    <w:rsid w:val="4C590753"/>
    <w:rsid w:val="4C59379A"/>
    <w:rsid w:val="4C5948FD"/>
    <w:rsid w:val="4C5B0FC3"/>
    <w:rsid w:val="4C5B17D5"/>
    <w:rsid w:val="4C5B4DD9"/>
    <w:rsid w:val="4C5B7215"/>
    <w:rsid w:val="4C5D11DF"/>
    <w:rsid w:val="4C5E6F43"/>
    <w:rsid w:val="4C602858"/>
    <w:rsid w:val="4C611B45"/>
    <w:rsid w:val="4C616192"/>
    <w:rsid w:val="4C63427A"/>
    <w:rsid w:val="4C641F25"/>
    <w:rsid w:val="4C643805"/>
    <w:rsid w:val="4C645728"/>
    <w:rsid w:val="4C64639A"/>
    <w:rsid w:val="4C652B4F"/>
    <w:rsid w:val="4C657DB3"/>
    <w:rsid w:val="4C682784"/>
    <w:rsid w:val="4C692009"/>
    <w:rsid w:val="4C693341"/>
    <w:rsid w:val="4C6977C5"/>
    <w:rsid w:val="4C6A38FC"/>
    <w:rsid w:val="4C6B5228"/>
    <w:rsid w:val="4C6B71E1"/>
    <w:rsid w:val="4C6C1422"/>
    <w:rsid w:val="4C6C27E0"/>
    <w:rsid w:val="4C6C2DBF"/>
    <w:rsid w:val="4C6C3C35"/>
    <w:rsid w:val="4C6D4408"/>
    <w:rsid w:val="4C6F2EB1"/>
    <w:rsid w:val="4C70222F"/>
    <w:rsid w:val="4C707281"/>
    <w:rsid w:val="4C715CED"/>
    <w:rsid w:val="4C725A12"/>
    <w:rsid w:val="4C72630D"/>
    <w:rsid w:val="4C72685D"/>
    <w:rsid w:val="4C731D91"/>
    <w:rsid w:val="4C735844"/>
    <w:rsid w:val="4C742085"/>
    <w:rsid w:val="4C7605FC"/>
    <w:rsid w:val="4C760F26"/>
    <w:rsid w:val="4C790E8C"/>
    <w:rsid w:val="4C79769B"/>
    <w:rsid w:val="4C7B4A6C"/>
    <w:rsid w:val="4C7B5088"/>
    <w:rsid w:val="4C7B50F0"/>
    <w:rsid w:val="4C7B5CB0"/>
    <w:rsid w:val="4C7B633B"/>
    <w:rsid w:val="4C7D1C18"/>
    <w:rsid w:val="4C7E5DCB"/>
    <w:rsid w:val="4C7E5ECA"/>
    <w:rsid w:val="4C7E5F01"/>
    <w:rsid w:val="4C7E722E"/>
    <w:rsid w:val="4C7F765B"/>
    <w:rsid w:val="4C8106FD"/>
    <w:rsid w:val="4C820DF1"/>
    <w:rsid w:val="4C820EB4"/>
    <w:rsid w:val="4C854063"/>
    <w:rsid w:val="4C873AFE"/>
    <w:rsid w:val="4C874849"/>
    <w:rsid w:val="4C876AA5"/>
    <w:rsid w:val="4C880A8E"/>
    <w:rsid w:val="4C882619"/>
    <w:rsid w:val="4C8851E6"/>
    <w:rsid w:val="4C8855F9"/>
    <w:rsid w:val="4C8B005F"/>
    <w:rsid w:val="4C8B54F3"/>
    <w:rsid w:val="4C8C5620"/>
    <w:rsid w:val="4C8D3D54"/>
    <w:rsid w:val="4C8E2C3B"/>
    <w:rsid w:val="4C8F1814"/>
    <w:rsid w:val="4C8F63AD"/>
    <w:rsid w:val="4C9149E5"/>
    <w:rsid w:val="4C936233"/>
    <w:rsid w:val="4C936D6E"/>
    <w:rsid w:val="4C937730"/>
    <w:rsid w:val="4C944260"/>
    <w:rsid w:val="4C9603F7"/>
    <w:rsid w:val="4C970202"/>
    <w:rsid w:val="4C974589"/>
    <w:rsid w:val="4C975D0B"/>
    <w:rsid w:val="4C991F08"/>
    <w:rsid w:val="4C99371C"/>
    <w:rsid w:val="4C995039"/>
    <w:rsid w:val="4C9C18E3"/>
    <w:rsid w:val="4C9C39AE"/>
    <w:rsid w:val="4C9C559F"/>
    <w:rsid w:val="4C9E3C95"/>
    <w:rsid w:val="4C9E6DC0"/>
    <w:rsid w:val="4C9E7102"/>
    <w:rsid w:val="4C9F2A85"/>
    <w:rsid w:val="4C9F4630"/>
    <w:rsid w:val="4C9F467E"/>
    <w:rsid w:val="4CA06198"/>
    <w:rsid w:val="4CA231FB"/>
    <w:rsid w:val="4CA27D25"/>
    <w:rsid w:val="4CA31BFB"/>
    <w:rsid w:val="4CA51434"/>
    <w:rsid w:val="4CA72622"/>
    <w:rsid w:val="4CA84268"/>
    <w:rsid w:val="4CA906E2"/>
    <w:rsid w:val="4CA95438"/>
    <w:rsid w:val="4CA974AC"/>
    <w:rsid w:val="4CAA0A58"/>
    <w:rsid w:val="4CAA3844"/>
    <w:rsid w:val="4CAA7BB1"/>
    <w:rsid w:val="4CAC024B"/>
    <w:rsid w:val="4CAD4E55"/>
    <w:rsid w:val="4CAE46F8"/>
    <w:rsid w:val="4CAF2607"/>
    <w:rsid w:val="4CAF66DA"/>
    <w:rsid w:val="4CB06169"/>
    <w:rsid w:val="4CB06596"/>
    <w:rsid w:val="4CB1020D"/>
    <w:rsid w:val="4CB11873"/>
    <w:rsid w:val="4CB16912"/>
    <w:rsid w:val="4CB35FD1"/>
    <w:rsid w:val="4CB46149"/>
    <w:rsid w:val="4CB55C44"/>
    <w:rsid w:val="4CB56786"/>
    <w:rsid w:val="4CB62160"/>
    <w:rsid w:val="4CB622D8"/>
    <w:rsid w:val="4CB71349"/>
    <w:rsid w:val="4CB81145"/>
    <w:rsid w:val="4CB84018"/>
    <w:rsid w:val="4CB85AEA"/>
    <w:rsid w:val="4CB86415"/>
    <w:rsid w:val="4CB93F3C"/>
    <w:rsid w:val="4CB964C7"/>
    <w:rsid w:val="4CBA3F14"/>
    <w:rsid w:val="4CBA5CCA"/>
    <w:rsid w:val="4CBA6FA6"/>
    <w:rsid w:val="4CBB2B7F"/>
    <w:rsid w:val="4CBB364F"/>
    <w:rsid w:val="4CBD54D7"/>
    <w:rsid w:val="4CBE1B0F"/>
    <w:rsid w:val="4CBE4ABF"/>
    <w:rsid w:val="4CBF2100"/>
    <w:rsid w:val="4CBF59F6"/>
    <w:rsid w:val="4CBF7A93"/>
    <w:rsid w:val="4CC10E03"/>
    <w:rsid w:val="4CC27B3C"/>
    <w:rsid w:val="4CC319C1"/>
    <w:rsid w:val="4CC3236F"/>
    <w:rsid w:val="4CC351DA"/>
    <w:rsid w:val="4CC40862"/>
    <w:rsid w:val="4CC411FA"/>
    <w:rsid w:val="4CC425C7"/>
    <w:rsid w:val="4CC56A7E"/>
    <w:rsid w:val="4CC60007"/>
    <w:rsid w:val="4CC6045D"/>
    <w:rsid w:val="4CC614C1"/>
    <w:rsid w:val="4CC72EDE"/>
    <w:rsid w:val="4CC85B76"/>
    <w:rsid w:val="4CC91AC1"/>
    <w:rsid w:val="4CC91F76"/>
    <w:rsid w:val="4CC9370E"/>
    <w:rsid w:val="4CCA2AA8"/>
    <w:rsid w:val="4CCB21D2"/>
    <w:rsid w:val="4CCB50DA"/>
    <w:rsid w:val="4CCC1871"/>
    <w:rsid w:val="4CCE5E23"/>
    <w:rsid w:val="4CCF3977"/>
    <w:rsid w:val="4CD27244"/>
    <w:rsid w:val="4CD27E1A"/>
    <w:rsid w:val="4CD314A1"/>
    <w:rsid w:val="4CD35713"/>
    <w:rsid w:val="4CD416D1"/>
    <w:rsid w:val="4CD4314F"/>
    <w:rsid w:val="4CD513A4"/>
    <w:rsid w:val="4CD5363D"/>
    <w:rsid w:val="4CD572F2"/>
    <w:rsid w:val="4CD60902"/>
    <w:rsid w:val="4CD61765"/>
    <w:rsid w:val="4CD62D3F"/>
    <w:rsid w:val="4CD6475A"/>
    <w:rsid w:val="4CD66B8D"/>
    <w:rsid w:val="4CD75E2C"/>
    <w:rsid w:val="4CD82703"/>
    <w:rsid w:val="4CD8364B"/>
    <w:rsid w:val="4CD945DE"/>
    <w:rsid w:val="4CDA32AA"/>
    <w:rsid w:val="4CDA3896"/>
    <w:rsid w:val="4CDB3066"/>
    <w:rsid w:val="4CDB47A8"/>
    <w:rsid w:val="4CDD0A1A"/>
    <w:rsid w:val="4CDF614E"/>
    <w:rsid w:val="4CE03BBE"/>
    <w:rsid w:val="4CE17EB1"/>
    <w:rsid w:val="4CE25872"/>
    <w:rsid w:val="4CE30FB8"/>
    <w:rsid w:val="4CE34C1D"/>
    <w:rsid w:val="4CE356D9"/>
    <w:rsid w:val="4CE40CD3"/>
    <w:rsid w:val="4CE54CFF"/>
    <w:rsid w:val="4CE63AB6"/>
    <w:rsid w:val="4CE74093"/>
    <w:rsid w:val="4CE76CFB"/>
    <w:rsid w:val="4CE8206F"/>
    <w:rsid w:val="4CE83658"/>
    <w:rsid w:val="4CE87C56"/>
    <w:rsid w:val="4CE92A73"/>
    <w:rsid w:val="4CEA2347"/>
    <w:rsid w:val="4CEC77D5"/>
    <w:rsid w:val="4CED66AC"/>
    <w:rsid w:val="4CEE0A4E"/>
    <w:rsid w:val="4CEE39E6"/>
    <w:rsid w:val="4CEE4856"/>
    <w:rsid w:val="4CEF23CF"/>
    <w:rsid w:val="4CF02266"/>
    <w:rsid w:val="4CF05B1F"/>
    <w:rsid w:val="4CF16E87"/>
    <w:rsid w:val="4CF43D45"/>
    <w:rsid w:val="4CF44B7D"/>
    <w:rsid w:val="4CF46753"/>
    <w:rsid w:val="4CF5512A"/>
    <w:rsid w:val="4CF64446"/>
    <w:rsid w:val="4CF65B9C"/>
    <w:rsid w:val="4CF66040"/>
    <w:rsid w:val="4CF8263C"/>
    <w:rsid w:val="4CF95AB8"/>
    <w:rsid w:val="4CFA21AD"/>
    <w:rsid w:val="4CFB1BA9"/>
    <w:rsid w:val="4CFB3E59"/>
    <w:rsid w:val="4CFB6302"/>
    <w:rsid w:val="4CFD1977"/>
    <w:rsid w:val="4D000D8C"/>
    <w:rsid w:val="4D002C56"/>
    <w:rsid w:val="4D021ED2"/>
    <w:rsid w:val="4D031A83"/>
    <w:rsid w:val="4D052C3A"/>
    <w:rsid w:val="4D070F4E"/>
    <w:rsid w:val="4D073405"/>
    <w:rsid w:val="4D07629A"/>
    <w:rsid w:val="4D081A62"/>
    <w:rsid w:val="4D095AF7"/>
    <w:rsid w:val="4D096D0D"/>
    <w:rsid w:val="4D0B5C2F"/>
    <w:rsid w:val="4D0C0E22"/>
    <w:rsid w:val="4D0C49B3"/>
    <w:rsid w:val="4D0C5302"/>
    <w:rsid w:val="4D0D0569"/>
    <w:rsid w:val="4D0D2F13"/>
    <w:rsid w:val="4D0E00FB"/>
    <w:rsid w:val="4D0E2176"/>
    <w:rsid w:val="4D0E267D"/>
    <w:rsid w:val="4D0E4A4F"/>
    <w:rsid w:val="4D0E6AEB"/>
    <w:rsid w:val="4D0F2340"/>
    <w:rsid w:val="4D0F7FFF"/>
    <w:rsid w:val="4D111FCA"/>
    <w:rsid w:val="4D11296A"/>
    <w:rsid w:val="4D123632"/>
    <w:rsid w:val="4D14446C"/>
    <w:rsid w:val="4D157ECE"/>
    <w:rsid w:val="4D160A89"/>
    <w:rsid w:val="4D161505"/>
    <w:rsid w:val="4D1657A4"/>
    <w:rsid w:val="4D17300C"/>
    <w:rsid w:val="4D176606"/>
    <w:rsid w:val="4D181DE3"/>
    <w:rsid w:val="4D186EB4"/>
    <w:rsid w:val="4D193516"/>
    <w:rsid w:val="4D193A6D"/>
    <w:rsid w:val="4D19531B"/>
    <w:rsid w:val="4D1A1A87"/>
    <w:rsid w:val="4D1B1D7F"/>
    <w:rsid w:val="4D1B2EDF"/>
    <w:rsid w:val="4D1C2EB6"/>
    <w:rsid w:val="4D1C7EAA"/>
    <w:rsid w:val="4D1D14BA"/>
    <w:rsid w:val="4D1D5E80"/>
    <w:rsid w:val="4D1D7FAD"/>
    <w:rsid w:val="4D1F028C"/>
    <w:rsid w:val="4D1F0944"/>
    <w:rsid w:val="4D201391"/>
    <w:rsid w:val="4D21063A"/>
    <w:rsid w:val="4D211650"/>
    <w:rsid w:val="4D24341A"/>
    <w:rsid w:val="4D24699C"/>
    <w:rsid w:val="4D2506D7"/>
    <w:rsid w:val="4D25687F"/>
    <w:rsid w:val="4D260379"/>
    <w:rsid w:val="4D263576"/>
    <w:rsid w:val="4D267F38"/>
    <w:rsid w:val="4D271345"/>
    <w:rsid w:val="4D291576"/>
    <w:rsid w:val="4D293F48"/>
    <w:rsid w:val="4D2954C5"/>
    <w:rsid w:val="4D296C01"/>
    <w:rsid w:val="4D2A05E8"/>
    <w:rsid w:val="4D2A28E5"/>
    <w:rsid w:val="4D2B4E39"/>
    <w:rsid w:val="4D2C0BB1"/>
    <w:rsid w:val="4D2C295F"/>
    <w:rsid w:val="4D2C2C79"/>
    <w:rsid w:val="4D2C54D2"/>
    <w:rsid w:val="4D2C583A"/>
    <w:rsid w:val="4D2D2AB6"/>
    <w:rsid w:val="4D2F07C8"/>
    <w:rsid w:val="4D2F2177"/>
    <w:rsid w:val="4D2F304D"/>
    <w:rsid w:val="4D2F5DDE"/>
    <w:rsid w:val="4D2F68CF"/>
    <w:rsid w:val="4D2F7140"/>
    <w:rsid w:val="4D2F7A65"/>
    <w:rsid w:val="4D310332"/>
    <w:rsid w:val="4D3124AA"/>
    <w:rsid w:val="4D31282B"/>
    <w:rsid w:val="4D321EEC"/>
    <w:rsid w:val="4D327B66"/>
    <w:rsid w:val="4D3354CE"/>
    <w:rsid w:val="4D33703F"/>
    <w:rsid w:val="4D3412AE"/>
    <w:rsid w:val="4D35120C"/>
    <w:rsid w:val="4D36558C"/>
    <w:rsid w:val="4D366C69"/>
    <w:rsid w:val="4D3729A8"/>
    <w:rsid w:val="4D376649"/>
    <w:rsid w:val="4D3A6EA3"/>
    <w:rsid w:val="4D3B3CAF"/>
    <w:rsid w:val="4D3C5DDD"/>
    <w:rsid w:val="4D3C6F84"/>
    <w:rsid w:val="4D3D00D9"/>
    <w:rsid w:val="4D3D2620"/>
    <w:rsid w:val="4D3D6CE2"/>
    <w:rsid w:val="4D40241F"/>
    <w:rsid w:val="4D4203D5"/>
    <w:rsid w:val="4D43162C"/>
    <w:rsid w:val="4D4327B0"/>
    <w:rsid w:val="4D4350F1"/>
    <w:rsid w:val="4D444646"/>
    <w:rsid w:val="4D4526F2"/>
    <w:rsid w:val="4D464AB5"/>
    <w:rsid w:val="4D477799"/>
    <w:rsid w:val="4D487C17"/>
    <w:rsid w:val="4D490D91"/>
    <w:rsid w:val="4D4B2544"/>
    <w:rsid w:val="4D4B4653"/>
    <w:rsid w:val="4D4C4DB0"/>
    <w:rsid w:val="4D4D75AB"/>
    <w:rsid w:val="4D4F5166"/>
    <w:rsid w:val="4D50765F"/>
    <w:rsid w:val="4D515DB4"/>
    <w:rsid w:val="4D516679"/>
    <w:rsid w:val="4D534875"/>
    <w:rsid w:val="4D537EEC"/>
    <w:rsid w:val="4D5476D3"/>
    <w:rsid w:val="4D56230A"/>
    <w:rsid w:val="4D5665E0"/>
    <w:rsid w:val="4D57435B"/>
    <w:rsid w:val="4D591183"/>
    <w:rsid w:val="4D5932A3"/>
    <w:rsid w:val="4D5954A8"/>
    <w:rsid w:val="4D5A127B"/>
    <w:rsid w:val="4D5A593F"/>
    <w:rsid w:val="4D5A7023"/>
    <w:rsid w:val="4D5A74CD"/>
    <w:rsid w:val="4D5B1ADC"/>
    <w:rsid w:val="4D5B2B82"/>
    <w:rsid w:val="4D5C33CD"/>
    <w:rsid w:val="4D5C5644"/>
    <w:rsid w:val="4D5C7866"/>
    <w:rsid w:val="4D5D7491"/>
    <w:rsid w:val="4D5E453C"/>
    <w:rsid w:val="4D5E5F88"/>
    <w:rsid w:val="4D5F100A"/>
    <w:rsid w:val="4D5F45EE"/>
    <w:rsid w:val="4D5F4F1C"/>
    <w:rsid w:val="4D605D68"/>
    <w:rsid w:val="4D606C2D"/>
    <w:rsid w:val="4D622825"/>
    <w:rsid w:val="4D651E53"/>
    <w:rsid w:val="4D653147"/>
    <w:rsid w:val="4D680118"/>
    <w:rsid w:val="4D694DD5"/>
    <w:rsid w:val="4D695962"/>
    <w:rsid w:val="4D6A38FE"/>
    <w:rsid w:val="4D6A5AC6"/>
    <w:rsid w:val="4D6D1D86"/>
    <w:rsid w:val="4D6E08C5"/>
    <w:rsid w:val="4D6E2F78"/>
    <w:rsid w:val="4D6E5D95"/>
    <w:rsid w:val="4D6F3625"/>
    <w:rsid w:val="4D6F478C"/>
    <w:rsid w:val="4D70226F"/>
    <w:rsid w:val="4D7035CF"/>
    <w:rsid w:val="4D7109F4"/>
    <w:rsid w:val="4D714816"/>
    <w:rsid w:val="4D731F9A"/>
    <w:rsid w:val="4D732205"/>
    <w:rsid w:val="4D737BCA"/>
    <w:rsid w:val="4D753674"/>
    <w:rsid w:val="4D755D19"/>
    <w:rsid w:val="4D757D4E"/>
    <w:rsid w:val="4D793CA5"/>
    <w:rsid w:val="4D7A494E"/>
    <w:rsid w:val="4D7A68BD"/>
    <w:rsid w:val="4D7C38E7"/>
    <w:rsid w:val="4D7C5695"/>
    <w:rsid w:val="4D7C5DE7"/>
    <w:rsid w:val="4D7D65B1"/>
    <w:rsid w:val="4D7D692C"/>
    <w:rsid w:val="4D7F33D7"/>
    <w:rsid w:val="4D7F7F40"/>
    <w:rsid w:val="4D801AEF"/>
    <w:rsid w:val="4D803D4D"/>
    <w:rsid w:val="4D8332B1"/>
    <w:rsid w:val="4D8352F8"/>
    <w:rsid w:val="4D87059A"/>
    <w:rsid w:val="4D876D1B"/>
    <w:rsid w:val="4D881B7D"/>
    <w:rsid w:val="4D8A0683"/>
    <w:rsid w:val="4D8B2069"/>
    <w:rsid w:val="4D8C5624"/>
    <w:rsid w:val="4D8F7340"/>
    <w:rsid w:val="4D8F76D3"/>
    <w:rsid w:val="4D911DA1"/>
    <w:rsid w:val="4D913557"/>
    <w:rsid w:val="4D926C66"/>
    <w:rsid w:val="4D931B82"/>
    <w:rsid w:val="4D933B71"/>
    <w:rsid w:val="4D9555CE"/>
    <w:rsid w:val="4D9662FC"/>
    <w:rsid w:val="4D973DDB"/>
    <w:rsid w:val="4D974E85"/>
    <w:rsid w:val="4D980D45"/>
    <w:rsid w:val="4D987FF5"/>
    <w:rsid w:val="4D9923C8"/>
    <w:rsid w:val="4D996685"/>
    <w:rsid w:val="4D9A0864"/>
    <w:rsid w:val="4D9A27D1"/>
    <w:rsid w:val="4D9A2D9D"/>
    <w:rsid w:val="4D9A55DF"/>
    <w:rsid w:val="4D9B4CFD"/>
    <w:rsid w:val="4D9B50BA"/>
    <w:rsid w:val="4D9C6513"/>
    <w:rsid w:val="4D9C7694"/>
    <w:rsid w:val="4D9E1F61"/>
    <w:rsid w:val="4D9E7443"/>
    <w:rsid w:val="4D9F5602"/>
    <w:rsid w:val="4D9F660C"/>
    <w:rsid w:val="4DA00871"/>
    <w:rsid w:val="4DA022AA"/>
    <w:rsid w:val="4DA1116C"/>
    <w:rsid w:val="4DA130C5"/>
    <w:rsid w:val="4DA24A79"/>
    <w:rsid w:val="4DA35692"/>
    <w:rsid w:val="4DA37C53"/>
    <w:rsid w:val="4DA400C4"/>
    <w:rsid w:val="4DA42BE1"/>
    <w:rsid w:val="4DA437AE"/>
    <w:rsid w:val="4DA45221"/>
    <w:rsid w:val="4DA4699A"/>
    <w:rsid w:val="4DA4715E"/>
    <w:rsid w:val="4DA768AC"/>
    <w:rsid w:val="4DA818A3"/>
    <w:rsid w:val="4DA846DC"/>
    <w:rsid w:val="4DA96587"/>
    <w:rsid w:val="4DAB46E8"/>
    <w:rsid w:val="4DAB60AB"/>
    <w:rsid w:val="4DAC07FF"/>
    <w:rsid w:val="4DAD7E6E"/>
    <w:rsid w:val="4DAE15C6"/>
    <w:rsid w:val="4DAE6685"/>
    <w:rsid w:val="4DB059B3"/>
    <w:rsid w:val="4DB2111E"/>
    <w:rsid w:val="4DB30B60"/>
    <w:rsid w:val="4DB341F0"/>
    <w:rsid w:val="4DB34209"/>
    <w:rsid w:val="4DB37DB7"/>
    <w:rsid w:val="4DB41AB9"/>
    <w:rsid w:val="4DB43081"/>
    <w:rsid w:val="4DB54912"/>
    <w:rsid w:val="4DB57861"/>
    <w:rsid w:val="4DB66C1C"/>
    <w:rsid w:val="4DB708A2"/>
    <w:rsid w:val="4DB76DBD"/>
    <w:rsid w:val="4DB85E98"/>
    <w:rsid w:val="4DB90E66"/>
    <w:rsid w:val="4DB9552E"/>
    <w:rsid w:val="4DB964A1"/>
    <w:rsid w:val="4DBA54D7"/>
    <w:rsid w:val="4DBA7F6B"/>
    <w:rsid w:val="4DBB3A99"/>
    <w:rsid w:val="4DBC2E93"/>
    <w:rsid w:val="4DBD7A51"/>
    <w:rsid w:val="4DBD7A5B"/>
    <w:rsid w:val="4DBE107C"/>
    <w:rsid w:val="4DC06C81"/>
    <w:rsid w:val="4DC1173F"/>
    <w:rsid w:val="4DC33239"/>
    <w:rsid w:val="4DC37806"/>
    <w:rsid w:val="4DC755CE"/>
    <w:rsid w:val="4DC8168A"/>
    <w:rsid w:val="4DC8396C"/>
    <w:rsid w:val="4DC86B2C"/>
    <w:rsid w:val="4DC94652"/>
    <w:rsid w:val="4DC97B82"/>
    <w:rsid w:val="4DCA0B22"/>
    <w:rsid w:val="4DCB3E1E"/>
    <w:rsid w:val="4DCB44B3"/>
    <w:rsid w:val="4DCC4D0C"/>
    <w:rsid w:val="4DCD4142"/>
    <w:rsid w:val="4DCD4B02"/>
    <w:rsid w:val="4DCE25D9"/>
    <w:rsid w:val="4DCF07E5"/>
    <w:rsid w:val="4DCF5C0E"/>
    <w:rsid w:val="4DD01E87"/>
    <w:rsid w:val="4DD036B6"/>
    <w:rsid w:val="4DD13F67"/>
    <w:rsid w:val="4DD164C4"/>
    <w:rsid w:val="4DD22BE0"/>
    <w:rsid w:val="4DD277F6"/>
    <w:rsid w:val="4DD37534"/>
    <w:rsid w:val="4DD42ADC"/>
    <w:rsid w:val="4DD42B6D"/>
    <w:rsid w:val="4DD51249"/>
    <w:rsid w:val="4DD57C24"/>
    <w:rsid w:val="4DD65E9C"/>
    <w:rsid w:val="4DD75353"/>
    <w:rsid w:val="4DD76D6F"/>
    <w:rsid w:val="4DD80483"/>
    <w:rsid w:val="4DD82044"/>
    <w:rsid w:val="4DD820A8"/>
    <w:rsid w:val="4DD86F98"/>
    <w:rsid w:val="4DD909BC"/>
    <w:rsid w:val="4DD90BD6"/>
    <w:rsid w:val="4DDC25D7"/>
    <w:rsid w:val="4DDC507E"/>
    <w:rsid w:val="4DDE493C"/>
    <w:rsid w:val="4DDE4A89"/>
    <w:rsid w:val="4DDE6EB9"/>
    <w:rsid w:val="4DDF2416"/>
    <w:rsid w:val="4DDF48B4"/>
    <w:rsid w:val="4DE11820"/>
    <w:rsid w:val="4DE13545"/>
    <w:rsid w:val="4DE13DC5"/>
    <w:rsid w:val="4DE26F7D"/>
    <w:rsid w:val="4DE30C07"/>
    <w:rsid w:val="4DE43E50"/>
    <w:rsid w:val="4DE50EDB"/>
    <w:rsid w:val="4DE52DC1"/>
    <w:rsid w:val="4DE57304"/>
    <w:rsid w:val="4DE60D60"/>
    <w:rsid w:val="4DE94698"/>
    <w:rsid w:val="4DEA50C8"/>
    <w:rsid w:val="4DEC4FB0"/>
    <w:rsid w:val="4DED62A8"/>
    <w:rsid w:val="4DEF7C05"/>
    <w:rsid w:val="4DF203D5"/>
    <w:rsid w:val="4DF53699"/>
    <w:rsid w:val="4DF571F5"/>
    <w:rsid w:val="4DF5761F"/>
    <w:rsid w:val="4DF711BF"/>
    <w:rsid w:val="4DF7188A"/>
    <w:rsid w:val="4DF83972"/>
    <w:rsid w:val="4DF9338C"/>
    <w:rsid w:val="4DFA18B2"/>
    <w:rsid w:val="4DFA30E6"/>
    <w:rsid w:val="4DFB53BA"/>
    <w:rsid w:val="4DFB54C3"/>
    <w:rsid w:val="4DFE42FC"/>
    <w:rsid w:val="4DFE57D9"/>
    <w:rsid w:val="4DFF1E22"/>
    <w:rsid w:val="4DFF53BE"/>
    <w:rsid w:val="4E001C00"/>
    <w:rsid w:val="4E002E1A"/>
    <w:rsid w:val="4E025B51"/>
    <w:rsid w:val="4E0320EB"/>
    <w:rsid w:val="4E035DB6"/>
    <w:rsid w:val="4E044EA3"/>
    <w:rsid w:val="4E045185"/>
    <w:rsid w:val="4E05189A"/>
    <w:rsid w:val="4E057BC2"/>
    <w:rsid w:val="4E073727"/>
    <w:rsid w:val="4E07594E"/>
    <w:rsid w:val="4E075D8A"/>
    <w:rsid w:val="4E076473"/>
    <w:rsid w:val="4E087B9B"/>
    <w:rsid w:val="4E09441A"/>
    <w:rsid w:val="4E0A24EF"/>
    <w:rsid w:val="4E0A69E7"/>
    <w:rsid w:val="4E0B03E6"/>
    <w:rsid w:val="4E0B4B13"/>
    <w:rsid w:val="4E0C5FEE"/>
    <w:rsid w:val="4E0D419C"/>
    <w:rsid w:val="4E101E26"/>
    <w:rsid w:val="4E116CCD"/>
    <w:rsid w:val="4E136780"/>
    <w:rsid w:val="4E1434BE"/>
    <w:rsid w:val="4E143CB5"/>
    <w:rsid w:val="4E145A05"/>
    <w:rsid w:val="4E164D91"/>
    <w:rsid w:val="4E17299D"/>
    <w:rsid w:val="4E181D79"/>
    <w:rsid w:val="4E18432A"/>
    <w:rsid w:val="4E1A5501"/>
    <w:rsid w:val="4E1B3333"/>
    <w:rsid w:val="4E1D21B1"/>
    <w:rsid w:val="4E1E6D2A"/>
    <w:rsid w:val="4E1E77F5"/>
    <w:rsid w:val="4E1E7E6B"/>
    <w:rsid w:val="4E1F40E7"/>
    <w:rsid w:val="4E1F51EB"/>
    <w:rsid w:val="4E1F5313"/>
    <w:rsid w:val="4E1F7810"/>
    <w:rsid w:val="4E200564"/>
    <w:rsid w:val="4E205844"/>
    <w:rsid w:val="4E22354A"/>
    <w:rsid w:val="4E23147B"/>
    <w:rsid w:val="4E2331E6"/>
    <w:rsid w:val="4E235FB3"/>
    <w:rsid w:val="4E247043"/>
    <w:rsid w:val="4E2536FB"/>
    <w:rsid w:val="4E281530"/>
    <w:rsid w:val="4E2816F8"/>
    <w:rsid w:val="4E281CA7"/>
    <w:rsid w:val="4E2842B6"/>
    <w:rsid w:val="4E2A48E5"/>
    <w:rsid w:val="4E2B0945"/>
    <w:rsid w:val="4E2B0E69"/>
    <w:rsid w:val="4E2C2350"/>
    <w:rsid w:val="4E2D2DD8"/>
    <w:rsid w:val="4E2E1F86"/>
    <w:rsid w:val="4E2E44B5"/>
    <w:rsid w:val="4E2E6D87"/>
    <w:rsid w:val="4E2F6F28"/>
    <w:rsid w:val="4E30189F"/>
    <w:rsid w:val="4E310709"/>
    <w:rsid w:val="4E312556"/>
    <w:rsid w:val="4E313B5E"/>
    <w:rsid w:val="4E322848"/>
    <w:rsid w:val="4E322F9B"/>
    <w:rsid w:val="4E335282"/>
    <w:rsid w:val="4E364E46"/>
    <w:rsid w:val="4E36713D"/>
    <w:rsid w:val="4E38143A"/>
    <w:rsid w:val="4E381B90"/>
    <w:rsid w:val="4E382911"/>
    <w:rsid w:val="4E393AB8"/>
    <w:rsid w:val="4E3973ED"/>
    <w:rsid w:val="4E3A10AC"/>
    <w:rsid w:val="4E3A18AF"/>
    <w:rsid w:val="4E3A6DAE"/>
    <w:rsid w:val="4E3B076D"/>
    <w:rsid w:val="4E3B4FC5"/>
    <w:rsid w:val="4E3B623E"/>
    <w:rsid w:val="4E3C2D91"/>
    <w:rsid w:val="4E3D1085"/>
    <w:rsid w:val="4E3F4407"/>
    <w:rsid w:val="4E400B59"/>
    <w:rsid w:val="4E402B66"/>
    <w:rsid w:val="4E4102D6"/>
    <w:rsid w:val="4E416712"/>
    <w:rsid w:val="4E4168DE"/>
    <w:rsid w:val="4E4354A1"/>
    <w:rsid w:val="4E435760"/>
    <w:rsid w:val="4E4400D3"/>
    <w:rsid w:val="4E460FDA"/>
    <w:rsid w:val="4E4806F1"/>
    <w:rsid w:val="4E484D59"/>
    <w:rsid w:val="4E486C6C"/>
    <w:rsid w:val="4E48707E"/>
    <w:rsid w:val="4E494A76"/>
    <w:rsid w:val="4E496790"/>
    <w:rsid w:val="4E4A5E3B"/>
    <w:rsid w:val="4E4A7541"/>
    <w:rsid w:val="4E4B0865"/>
    <w:rsid w:val="4E4B32B9"/>
    <w:rsid w:val="4E4B6DFA"/>
    <w:rsid w:val="4E4C13DF"/>
    <w:rsid w:val="4E4C6238"/>
    <w:rsid w:val="4E4D5283"/>
    <w:rsid w:val="4E4E4D49"/>
    <w:rsid w:val="4E4F37E5"/>
    <w:rsid w:val="4E500575"/>
    <w:rsid w:val="4E513BA5"/>
    <w:rsid w:val="4E527F45"/>
    <w:rsid w:val="4E531EBA"/>
    <w:rsid w:val="4E5361A9"/>
    <w:rsid w:val="4E546612"/>
    <w:rsid w:val="4E55422B"/>
    <w:rsid w:val="4E564138"/>
    <w:rsid w:val="4E571C5E"/>
    <w:rsid w:val="4E574A3A"/>
    <w:rsid w:val="4E5A610A"/>
    <w:rsid w:val="4E5B6EC8"/>
    <w:rsid w:val="4E5D20A8"/>
    <w:rsid w:val="4E5F4D70"/>
    <w:rsid w:val="4E5F6EB8"/>
    <w:rsid w:val="4E5F72F8"/>
    <w:rsid w:val="4E6265FA"/>
    <w:rsid w:val="4E630603"/>
    <w:rsid w:val="4E631412"/>
    <w:rsid w:val="4E641163"/>
    <w:rsid w:val="4E651A7E"/>
    <w:rsid w:val="4E65410A"/>
    <w:rsid w:val="4E654BE9"/>
    <w:rsid w:val="4E676E44"/>
    <w:rsid w:val="4E677D04"/>
    <w:rsid w:val="4E693CC8"/>
    <w:rsid w:val="4E6B470D"/>
    <w:rsid w:val="4E6B69ED"/>
    <w:rsid w:val="4E6C3432"/>
    <w:rsid w:val="4E6C55E4"/>
    <w:rsid w:val="4E6D76D3"/>
    <w:rsid w:val="4E6E7E0A"/>
    <w:rsid w:val="4E6F22F6"/>
    <w:rsid w:val="4E6F43D7"/>
    <w:rsid w:val="4E6F5EFF"/>
    <w:rsid w:val="4E6F6833"/>
    <w:rsid w:val="4E7038FF"/>
    <w:rsid w:val="4E710F72"/>
    <w:rsid w:val="4E712D20"/>
    <w:rsid w:val="4E7145EE"/>
    <w:rsid w:val="4E74636C"/>
    <w:rsid w:val="4E754096"/>
    <w:rsid w:val="4E755EBB"/>
    <w:rsid w:val="4E775E5C"/>
    <w:rsid w:val="4E78071F"/>
    <w:rsid w:val="4E782804"/>
    <w:rsid w:val="4E785865"/>
    <w:rsid w:val="4E787CAC"/>
    <w:rsid w:val="4E7B594C"/>
    <w:rsid w:val="4E7B65B4"/>
    <w:rsid w:val="4E7C16C5"/>
    <w:rsid w:val="4E7D2168"/>
    <w:rsid w:val="4E7D656C"/>
    <w:rsid w:val="4E7E368F"/>
    <w:rsid w:val="4E800E78"/>
    <w:rsid w:val="4E810075"/>
    <w:rsid w:val="4E824F2D"/>
    <w:rsid w:val="4E8373FE"/>
    <w:rsid w:val="4E853C65"/>
    <w:rsid w:val="4E862011"/>
    <w:rsid w:val="4E870795"/>
    <w:rsid w:val="4E880069"/>
    <w:rsid w:val="4E89376C"/>
    <w:rsid w:val="4E8B5F1A"/>
    <w:rsid w:val="4E8D051F"/>
    <w:rsid w:val="4E8D4714"/>
    <w:rsid w:val="4E8F70B3"/>
    <w:rsid w:val="4E916F1E"/>
    <w:rsid w:val="4E9213FF"/>
    <w:rsid w:val="4E931886"/>
    <w:rsid w:val="4E932E39"/>
    <w:rsid w:val="4E946A0E"/>
    <w:rsid w:val="4E94773B"/>
    <w:rsid w:val="4E962786"/>
    <w:rsid w:val="4E964E3C"/>
    <w:rsid w:val="4E97098D"/>
    <w:rsid w:val="4E977E6E"/>
    <w:rsid w:val="4E980FF5"/>
    <w:rsid w:val="4E990879"/>
    <w:rsid w:val="4E9C30C6"/>
    <w:rsid w:val="4E9C3C1A"/>
    <w:rsid w:val="4E9C454B"/>
    <w:rsid w:val="4E9D0327"/>
    <w:rsid w:val="4E9D1D67"/>
    <w:rsid w:val="4E9D5819"/>
    <w:rsid w:val="4E9E5A9C"/>
    <w:rsid w:val="4E9F5515"/>
    <w:rsid w:val="4EA11B79"/>
    <w:rsid w:val="4EA24952"/>
    <w:rsid w:val="4EA554AE"/>
    <w:rsid w:val="4EA561A8"/>
    <w:rsid w:val="4EA66E96"/>
    <w:rsid w:val="4EA67550"/>
    <w:rsid w:val="4EA74993"/>
    <w:rsid w:val="4EA84268"/>
    <w:rsid w:val="4EA94225"/>
    <w:rsid w:val="4EAB31D2"/>
    <w:rsid w:val="4EAC158D"/>
    <w:rsid w:val="4EAC552A"/>
    <w:rsid w:val="4EAD08EE"/>
    <w:rsid w:val="4EAD18A3"/>
    <w:rsid w:val="4EAD37AE"/>
    <w:rsid w:val="4EAD5C30"/>
    <w:rsid w:val="4EAF03E0"/>
    <w:rsid w:val="4EB017D6"/>
    <w:rsid w:val="4EB01A24"/>
    <w:rsid w:val="4EB219A5"/>
    <w:rsid w:val="4EB37AB8"/>
    <w:rsid w:val="4EB4593E"/>
    <w:rsid w:val="4EB45F1A"/>
    <w:rsid w:val="4EB71907"/>
    <w:rsid w:val="4EB81A43"/>
    <w:rsid w:val="4EB93BC5"/>
    <w:rsid w:val="4EB93C5E"/>
    <w:rsid w:val="4EB97735"/>
    <w:rsid w:val="4EBA07C6"/>
    <w:rsid w:val="4EBB0742"/>
    <w:rsid w:val="4EBC5614"/>
    <w:rsid w:val="4EBF460D"/>
    <w:rsid w:val="4EBF50FA"/>
    <w:rsid w:val="4EC00FAD"/>
    <w:rsid w:val="4EC04278"/>
    <w:rsid w:val="4EC27A6A"/>
    <w:rsid w:val="4EC27F94"/>
    <w:rsid w:val="4EC3530D"/>
    <w:rsid w:val="4EC51BB6"/>
    <w:rsid w:val="4EC54E15"/>
    <w:rsid w:val="4EC60748"/>
    <w:rsid w:val="4EC65458"/>
    <w:rsid w:val="4EC80360"/>
    <w:rsid w:val="4EC84BE2"/>
    <w:rsid w:val="4EC861FB"/>
    <w:rsid w:val="4EC874CA"/>
    <w:rsid w:val="4EC87A49"/>
    <w:rsid w:val="4EC93EF7"/>
    <w:rsid w:val="4EC94B84"/>
    <w:rsid w:val="4EC95EDF"/>
    <w:rsid w:val="4ECA7440"/>
    <w:rsid w:val="4ECC53FA"/>
    <w:rsid w:val="4ECD340C"/>
    <w:rsid w:val="4ECE42F8"/>
    <w:rsid w:val="4ECE502E"/>
    <w:rsid w:val="4ECE5EF4"/>
    <w:rsid w:val="4ECF1335"/>
    <w:rsid w:val="4ECF4EFE"/>
    <w:rsid w:val="4ECF5951"/>
    <w:rsid w:val="4ECF5C98"/>
    <w:rsid w:val="4ED078CB"/>
    <w:rsid w:val="4ED108D9"/>
    <w:rsid w:val="4ED134A2"/>
    <w:rsid w:val="4ED151E6"/>
    <w:rsid w:val="4ED34441"/>
    <w:rsid w:val="4ED432AF"/>
    <w:rsid w:val="4ED46DD5"/>
    <w:rsid w:val="4ED52254"/>
    <w:rsid w:val="4ED55103"/>
    <w:rsid w:val="4ED710D0"/>
    <w:rsid w:val="4ED714F0"/>
    <w:rsid w:val="4ED77CFA"/>
    <w:rsid w:val="4ED97564"/>
    <w:rsid w:val="4EDA4031"/>
    <w:rsid w:val="4EDA4726"/>
    <w:rsid w:val="4EDA77B7"/>
    <w:rsid w:val="4EDB22D7"/>
    <w:rsid w:val="4EDB76C2"/>
    <w:rsid w:val="4EDC531E"/>
    <w:rsid w:val="4EDD1A32"/>
    <w:rsid w:val="4EDE1B6A"/>
    <w:rsid w:val="4EDF237F"/>
    <w:rsid w:val="4EE03A01"/>
    <w:rsid w:val="4EE113CF"/>
    <w:rsid w:val="4EE22FF9"/>
    <w:rsid w:val="4EE26AD2"/>
    <w:rsid w:val="4EE36C55"/>
    <w:rsid w:val="4EE37297"/>
    <w:rsid w:val="4EE42453"/>
    <w:rsid w:val="4EE60237"/>
    <w:rsid w:val="4EE62E74"/>
    <w:rsid w:val="4EE66ACD"/>
    <w:rsid w:val="4EE71E64"/>
    <w:rsid w:val="4EE74CA3"/>
    <w:rsid w:val="4EE74D90"/>
    <w:rsid w:val="4EE75DD9"/>
    <w:rsid w:val="4EE76478"/>
    <w:rsid w:val="4EE76741"/>
    <w:rsid w:val="4EE8062D"/>
    <w:rsid w:val="4EE9460F"/>
    <w:rsid w:val="4EEA1426"/>
    <w:rsid w:val="4EEA5DFE"/>
    <w:rsid w:val="4EEA6F88"/>
    <w:rsid w:val="4EEC0DD2"/>
    <w:rsid w:val="4EEC23A6"/>
    <w:rsid w:val="4EED12A0"/>
    <w:rsid w:val="4EEE3D1E"/>
    <w:rsid w:val="4EEE4F76"/>
    <w:rsid w:val="4EEF584E"/>
    <w:rsid w:val="4EF01D1C"/>
    <w:rsid w:val="4EF1019F"/>
    <w:rsid w:val="4EF12017"/>
    <w:rsid w:val="4EF2267F"/>
    <w:rsid w:val="4EF23735"/>
    <w:rsid w:val="4EF249D7"/>
    <w:rsid w:val="4EF332BF"/>
    <w:rsid w:val="4EF4706F"/>
    <w:rsid w:val="4EF474AD"/>
    <w:rsid w:val="4EF57460"/>
    <w:rsid w:val="4EF67531"/>
    <w:rsid w:val="4EF81544"/>
    <w:rsid w:val="4EF835AE"/>
    <w:rsid w:val="4EF906EC"/>
    <w:rsid w:val="4EF91D54"/>
    <w:rsid w:val="4EF92E4B"/>
    <w:rsid w:val="4EFA2D21"/>
    <w:rsid w:val="4EFB1504"/>
    <w:rsid w:val="4EFE1B36"/>
    <w:rsid w:val="4EFE2AC3"/>
    <w:rsid w:val="4EFF4CBA"/>
    <w:rsid w:val="4F001156"/>
    <w:rsid w:val="4F0022F6"/>
    <w:rsid w:val="4F023DC9"/>
    <w:rsid w:val="4F03299E"/>
    <w:rsid w:val="4F043895"/>
    <w:rsid w:val="4F0452A7"/>
    <w:rsid w:val="4F053468"/>
    <w:rsid w:val="4F065C92"/>
    <w:rsid w:val="4F0716E9"/>
    <w:rsid w:val="4F075F67"/>
    <w:rsid w:val="4F083447"/>
    <w:rsid w:val="4F08487E"/>
    <w:rsid w:val="4F0A556F"/>
    <w:rsid w:val="4F0B0854"/>
    <w:rsid w:val="4F0B542A"/>
    <w:rsid w:val="4F0C7900"/>
    <w:rsid w:val="4F0C7E74"/>
    <w:rsid w:val="4F0D04E9"/>
    <w:rsid w:val="4F0D4C66"/>
    <w:rsid w:val="4F0E056F"/>
    <w:rsid w:val="4F0E7ECB"/>
    <w:rsid w:val="4F0F42E7"/>
    <w:rsid w:val="4F115A09"/>
    <w:rsid w:val="4F123AE9"/>
    <w:rsid w:val="4F131C5D"/>
    <w:rsid w:val="4F133DD7"/>
    <w:rsid w:val="4F147704"/>
    <w:rsid w:val="4F153094"/>
    <w:rsid w:val="4F155DA1"/>
    <w:rsid w:val="4F1638C7"/>
    <w:rsid w:val="4F167594"/>
    <w:rsid w:val="4F17405E"/>
    <w:rsid w:val="4F180C11"/>
    <w:rsid w:val="4F18600C"/>
    <w:rsid w:val="4F193BC2"/>
    <w:rsid w:val="4F1B07C8"/>
    <w:rsid w:val="4F1B1CEC"/>
    <w:rsid w:val="4F1B2FA8"/>
    <w:rsid w:val="4F1C399F"/>
    <w:rsid w:val="4F1D4592"/>
    <w:rsid w:val="4F1D6A04"/>
    <w:rsid w:val="4F1E1A22"/>
    <w:rsid w:val="4F1E3C36"/>
    <w:rsid w:val="4F1E54D0"/>
    <w:rsid w:val="4F1F277C"/>
    <w:rsid w:val="4F1F3041"/>
    <w:rsid w:val="4F1F3E6E"/>
    <w:rsid w:val="4F2064F4"/>
    <w:rsid w:val="4F2466B0"/>
    <w:rsid w:val="4F251090"/>
    <w:rsid w:val="4F2603B2"/>
    <w:rsid w:val="4F26066A"/>
    <w:rsid w:val="4F27536F"/>
    <w:rsid w:val="4F27623E"/>
    <w:rsid w:val="4F294525"/>
    <w:rsid w:val="4F2D35DE"/>
    <w:rsid w:val="4F2E00DF"/>
    <w:rsid w:val="4F2F543A"/>
    <w:rsid w:val="4F31425D"/>
    <w:rsid w:val="4F3322A9"/>
    <w:rsid w:val="4F336CF6"/>
    <w:rsid w:val="4F344554"/>
    <w:rsid w:val="4F346E01"/>
    <w:rsid w:val="4F36475A"/>
    <w:rsid w:val="4F365D17"/>
    <w:rsid w:val="4F377438"/>
    <w:rsid w:val="4F377D4C"/>
    <w:rsid w:val="4F3A2ACE"/>
    <w:rsid w:val="4F3C13E6"/>
    <w:rsid w:val="4F3C384A"/>
    <w:rsid w:val="4F401206"/>
    <w:rsid w:val="4F402440"/>
    <w:rsid w:val="4F420D88"/>
    <w:rsid w:val="4F4241F6"/>
    <w:rsid w:val="4F42440D"/>
    <w:rsid w:val="4F4326D4"/>
    <w:rsid w:val="4F455F5A"/>
    <w:rsid w:val="4F457CC7"/>
    <w:rsid w:val="4F473A81"/>
    <w:rsid w:val="4F47707E"/>
    <w:rsid w:val="4F477B6E"/>
    <w:rsid w:val="4F495A7F"/>
    <w:rsid w:val="4F4A2BA6"/>
    <w:rsid w:val="4F4B02A6"/>
    <w:rsid w:val="4F4C1232"/>
    <w:rsid w:val="4F4C553B"/>
    <w:rsid w:val="4F4C72E9"/>
    <w:rsid w:val="4F4D67A1"/>
    <w:rsid w:val="4F4E4A64"/>
    <w:rsid w:val="4F4F0E67"/>
    <w:rsid w:val="4F4F4334"/>
    <w:rsid w:val="4F504AF8"/>
    <w:rsid w:val="4F510CC7"/>
    <w:rsid w:val="4F522B7B"/>
    <w:rsid w:val="4F523BE8"/>
    <w:rsid w:val="4F5265F3"/>
    <w:rsid w:val="4F527EC4"/>
    <w:rsid w:val="4F53305F"/>
    <w:rsid w:val="4F53675F"/>
    <w:rsid w:val="4F537114"/>
    <w:rsid w:val="4F541381"/>
    <w:rsid w:val="4F5421BB"/>
    <w:rsid w:val="4F5433E8"/>
    <w:rsid w:val="4F5435EB"/>
    <w:rsid w:val="4F547761"/>
    <w:rsid w:val="4F5539B1"/>
    <w:rsid w:val="4F5543EF"/>
    <w:rsid w:val="4F557603"/>
    <w:rsid w:val="4F561F16"/>
    <w:rsid w:val="4F56339E"/>
    <w:rsid w:val="4F564023"/>
    <w:rsid w:val="4F5733FF"/>
    <w:rsid w:val="4F5735C9"/>
    <w:rsid w:val="4F585191"/>
    <w:rsid w:val="4F586469"/>
    <w:rsid w:val="4F5B6CE5"/>
    <w:rsid w:val="4F5C52B6"/>
    <w:rsid w:val="4F5F12B1"/>
    <w:rsid w:val="4F60672A"/>
    <w:rsid w:val="4F61648F"/>
    <w:rsid w:val="4F621D1C"/>
    <w:rsid w:val="4F6435A6"/>
    <w:rsid w:val="4F644633"/>
    <w:rsid w:val="4F6541BD"/>
    <w:rsid w:val="4F675ED1"/>
    <w:rsid w:val="4F6875C9"/>
    <w:rsid w:val="4F691C49"/>
    <w:rsid w:val="4F6C10C4"/>
    <w:rsid w:val="4F6C1739"/>
    <w:rsid w:val="4F6C2660"/>
    <w:rsid w:val="4F6C34E7"/>
    <w:rsid w:val="4F6D1555"/>
    <w:rsid w:val="4F6F2C5D"/>
    <w:rsid w:val="4F6F4B49"/>
    <w:rsid w:val="4F6F572A"/>
    <w:rsid w:val="4F6F63AC"/>
    <w:rsid w:val="4F701229"/>
    <w:rsid w:val="4F71139B"/>
    <w:rsid w:val="4F7147B9"/>
    <w:rsid w:val="4F716D4F"/>
    <w:rsid w:val="4F726BA6"/>
    <w:rsid w:val="4F741E69"/>
    <w:rsid w:val="4F743105"/>
    <w:rsid w:val="4F744D32"/>
    <w:rsid w:val="4F7556CD"/>
    <w:rsid w:val="4F756146"/>
    <w:rsid w:val="4F756840"/>
    <w:rsid w:val="4F756871"/>
    <w:rsid w:val="4F7573AA"/>
    <w:rsid w:val="4F763D8A"/>
    <w:rsid w:val="4F764860"/>
    <w:rsid w:val="4F767364"/>
    <w:rsid w:val="4F7679CC"/>
    <w:rsid w:val="4F7725B8"/>
    <w:rsid w:val="4F782B8C"/>
    <w:rsid w:val="4F790026"/>
    <w:rsid w:val="4F792A76"/>
    <w:rsid w:val="4F7948B9"/>
    <w:rsid w:val="4F7A5C7B"/>
    <w:rsid w:val="4F7D3A22"/>
    <w:rsid w:val="4F7D5A21"/>
    <w:rsid w:val="4F7D71C2"/>
    <w:rsid w:val="4F7E2AB0"/>
    <w:rsid w:val="4F7E40B8"/>
    <w:rsid w:val="4F7E42C4"/>
    <w:rsid w:val="4F7F146C"/>
    <w:rsid w:val="4F7F42D2"/>
    <w:rsid w:val="4F7F4733"/>
    <w:rsid w:val="4F7F628D"/>
    <w:rsid w:val="4F805B37"/>
    <w:rsid w:val="4F811C88"/>
    <w:rsid w:val="4F8162A9"/>
    <w:rsid w:val="4F821874"/>
    <w:rsid w:val="4F827F90"/>
    <w:rsid w:val="4F83129E"/>
    <w:rsid w:val="4F845FFF"/>
    <w:rsid w:val="4F8648DA"/>
    <w:rsid w:val="4F870FEC"/>
    <w:rsid w:val="4F873025"/>
    <w:rsid w:val="4F877CA2"/>
    <w:rsid w:val="4F8847C5"/>
    <w:rsid w:val="4F89131B"/>
    <w:rsid w:val="4F893E05"/>
    <w:rsid w:val="4F896A11"/>
    <w:rsid w:val="4F8A278A"/>
    <w:rsid w:val="4F8A4324"/>
    <w:rsid w:val="4F8A7CF8"/>
    <w:rsid w:val="4F8B1BBF"/>
    <w:rsid w:val="4F8C0284"/>
    <w:rsid w:val="4F8C637A"/>
    <w:rsid w:val="4F8C7126"/>
    <w:rsid w:val="4F8D0A11"/>
    <w:rsid w:val="4F8D30FB"/>
    <w:rsid w:val="4F8D64B3"/>
    <w:rsid w:val="4F8E1F1D"/>
    <w:rsid w:val="4F8E345D"/>
    <w:rsid w:val="4F8E3FE0"/>
    <w:rsid w:val="4F90283F"/>
    <w:rsid w:val="4F905428"/>
    <w:rsid w:val="4F912F4E"/>
    <w:rsid w:val="4F9143A0"/>
    <w:rsid w:val="4F916733"/>
    <w:rsid w:val="4F921896"/>
    <w:rsid w:val="4F9839AD"/>
    <w:rsid w:val="4F9842DC"/>
    <w:rsid w:val="4F9843DC"/>
    <w:rsid w:val="4F993CDD"/>
    <w:rsid w:val="4F9A1AE0"/>
    <w:rsid w:val="4F9C3DCC"/>
    <w:rsid w:val="4F9C4392"/>
    <w:rsid w:val="4F9D3A90"/>
    <w:rsid w:val="4F9E5E12"/>
    <w:rsid w:val="4F9F02EF"/>
    <w:rsid w:val="4F9F5943"/>
    <w:rsid w:val="4FA314B5"/>
    <w:rsid w:val="4FA329A4"/>
    <w:rsid w:val="4FA36019"/>
    <w:rsid w:val="4FA40ED3"/>
    <w:rsid w:val="4FA41E87"/>
    <w:rsid w:val="4FA42C81"/>
    <w:rsid w:val="4FA47173"/>
    <w:rsid w:val="4FA5228A"/>
    <w:rsid w:val="4FA62737"/>
    <w:rsid w:val="4FA65A18"/>
    <w:rsid w:val="4FA66CFD"/>
    <w:rsid w:val="4FA7436E"/>
    <w:rsid w:val="4FA82B06"/>
    <w:rsid w:val="4FA82D1D"/>
    <w:rsid w:val="4FA901DB"/>
    <w:rsid w:val="4FAA2F37"/>
    <w:rsid w:val="4FAB0A79"/>
    <w:rsid w:val="4FAB5709"/>
    <w:rsid w:val="4FAD67E7"/>
    <w:rsid w:val="4FAE1A74"/>
    <w:rsid w:val="4FAE4A08"/>
    <w:rsid w:val="4FB10788"/>
    <w:rsid w:val="4FB1539E"/>
    <w:rsid w:val="4FB17B8B"/>
    <w:rsid w:val="4FB200C6"/>
    <w:rsid w:val="4FB203B9"/>
    <w:rsid w:val="4FB21554"/>
    <w:rsid w:val="4FB21777"/>
    <w:rsid w:val="4FB27BB7"/>
    <w:rsid w:val="4FB346A4"/>
    <w:rsid w:val="4FB355BA"/>
    <w:rsid w:val="4FB40783"/>
    <w:rsid w:val="4FB540E7"/>
    <w:rsid w:val="4FB67197"/>
    <w:rsid w:val="4FB67737"/>
    <w:rsid w:val="4FB742D1"/>
    <w:rsid w:val="4FB74A06"/>
    <w:rsid w:val="4FB808D2"/>
    <w:rsid w:val="4FB875D6"/>
    <w:rsid w:val="4FB90B64"/>
    <w:rsid w:val="4FB925DA"/>
    <w:rsid w:val="4FB966B4"/>
    <w:rsid w:val="4FB9753E"/>
    <w:rsid w:val="4FBA39C5"/>
    <w:rsid w:val="4FBA658A"/>
    <w:rsid w:val="4FBB0F18"/>
    <w:rsid w:val="4FBC1425"/>
    <w:rsid w:val="4FBC1484"/>
    <w:rsid w:val="4FBC15F9"/>
    <w:rsid w:val="4FBD11EC"/>
    <w:rsid w:val="4FBD44E4"/>
    <w:rsid w:val="4FBD50D3"/>
    <w:rsid w:val="4FBD51E1"/>
    <w:rsid w:val="4FBE1161"/>
    <w:rsid w:val="4FBE1A37"/>
    <w:rsid w:val="4FBF4584"/>
    <w:rsid w:val="4FC06EDF"/>
    <w:rsid w:val="4FC12F4D"/>
    <w:rsid w:val="4FC346CE"/>
    <w:rsid w:val="4FC36648"/>
    <w:rsid w:val="4FC43E30"/>
    <w:rsid w:val="4FC623A7"/>
    <w:rsid w:val="4FC62A8C"/>
    <w:rsid w:val="4FC76CBB"/>
    <w:rsid w:val="4FC86B92"/>
    <w:rsid w:val="4FC91BCF"/>
    <w:rsid w:val="4FC97201"/>
    <w:rsid w:val="4FCA1BA6"/>
    <w:rsid w:val="4FCA5D6F"/>
    <w:rsid w:val="4FCA61E4"/>
    <w:rsid w:val="4FCB38F5"/>
    <w:rsid w:val="4FCC4556"/>
    <w:rsid w:val="4FCD6802"/>
    <w:rsid w:val="4FCE7424"/>
    <w:rsid w:val="4FCF151E"/>
    <w:rsid w:val="4FCF3BAC"/>
    <w:rsid w:val="4FCF7E2D"/>
    <w:rsid w:val="4FD0780F"/>
    <w:rsid w:val="4FD07F1A"/>
    <w:rsid w:val="4FD33ECE"/>
    <w:rsid w:val="4FD34E87"/>
    <w:rsid w:val="4FD478D1"/>
    <w:rsid w:val="4FD53C69"/>
    <w:rsid w:val="4FD56669"/>
    <w:rsid w:val="4FD631D9"/>
    <w:rsid w:val="4FD728D5"/>
    <w:rsid w:val="4FD738A3"/>
    <w:rsid w:val="4FD81CAD"/>
    <w:rsid w:val="4FD8407F"/>
    <w:rsid w:val="4FD93D53"/>
    <w:rsid w:val="4FD9651E"/>
    <w:rsid w:val="4FDA7714"/>
    <w:rsid w:val="4FDD4BB4"/>
    <w:rsid w:val="4FDE4ABC"/>
    <w:rsid w:val="4FDE6FBC"/>
    <w:rsid w:val="4FDF59D4"/>
    <w:rsid w:val="4FDF63AF"/>
    <w:rsid w:val="4FE11016"/>
    <w:rsid w:val="4FE12B17"/>
    <w:rsid w:val="4FE15C83"/>
    <w:rsid w:val="4FE20F0D"/>
    <w:rsid w:val="4FE21DBD"/>
    <w:rsid w:val="4FE51552"/>
    <w:rsid w:val="4FE603BC"/>
    <w:rsid w:val="4FE8205F"/>
    <w:rsid w:val="4FE91AB3"/>
    <w:rsid w:val="4FE94F5F"/>
    <w:rsid w:val="4FEA752D"/>
    <w:rsid w:val="4FEB3A2C"/>
    <w:rsid w:val="4FEC0C0F"/>
    <w:rsid w:val="4FED287A"/>
    <w:rsid w:val="4FED2BC9"/>
    <w:rsid w:val="4FEE214E"/>
    <w:rsid w:val="4FEE2EE2"/>
    <w:rsid w:val="4FEF1293"/>
    <w:rsid w:val="4FEF4E4F"/>
    <w:rsid w:val="4FEF520F"/>
    <w:rsid w:val="4FEF6B48"/>
    <w:rsid w:val="4FF0492B"/>
    <w:rsid w:val="4FF0626B"/>
    <w:rsid w:val="4FF069ED"/>
    <w:rsid w:val="4FF12D75"/>
    <w:rsid w:val="4FF21C3E"/>
    <w:rsid w:val="4FF234A2"/>
    <w:rsid w:val="4FF2477D"/>
    <w:rsid w:val="4FF2635A"/>
    <w:rsid w:val="4FF27E90"/>
    <w:rsid w:val="4FF359B6"/>
    <w:rsid w:val="4FF43C08"/>
    <w:rsid w:val="4FF445DA"/>
    <w:rsid w:val="4FF476D2"/>
    <w:rsid w:val="4FF51E6C"/>
    <w:rsid w:val="4FF5626C"/>
    <w:rsid w:val="4FF74EA9"/>
    <w:rsid w:val="4FF80694"/>
    <w:rsid w:val="4FF8112F"/>
    <w:rsid w:val="4FF9528C"/>
    <w:rsid w:val="4FFB1253"/>
    <w:rsid w:val="4FFC288D"/>
    <w:rsid w:val="4FFD1E81"/>
    <w:rsid w:val="4FFD3063"/>
    <w:rsid w:val="50006A3F"/>
    <w:rsid w:val="50011A12"/>
    <w:rsid w:val="50023AF7"/>
    <w:rsid w:val="500241D6"/>
    <w:rsid w:val="50024E1A"/>
    <w:rsid w:val="50025BF9"/>
    <w:rsid w:val="50027980"/>
    <w:rsid w:val="5003327D"/>
    <w:rsid w:val="50037BD8"/>
    <w:rsid w:val="50040AC5"/>
    <w:rsid w:val="50061AF7"/>
    <w:rsid w:val="50067498"/>
    <w:rsid w:val="500742A8"/>
    <w:rsid w:val="500806A1"/>
    <w:rsid w:val="50084C22"/>
    <w:rsid w:val="50090CDA"/>
    <w:rsid w:val="500976AA"/>
    <w:rsid w:val="500B0C4A"/>
    <w:rsid w:val="500B71A4"/>
    <w:rsid w:val="500D64D4"/>
    <w:rsid w:val="500D6683"/>
    <w:rsid w:val="500D7747"/>
    <w:rsid w:val="500E20C0"/>
    <w:rsid w:val="500E5886"/>
    <w:rsid w:val="50102FC6"/>
    <w:rsid w:val="5010439C"/>
    <w:rsid w:val="50106568"/>
    <w:rsid w:val="50122FA0"/>
    <w:rsid w:val="50126A04"/>
    <w:rsid w:val="50131BB5"/>
    <w:rsid w:val="50140E28"/>
    <w:rsid w:val="50141F79"/>
    <w:rsid w:val="5016652C"/>
    <w:rsid w:val="501839CB"/>
    <w:rsid w:val="50191C9C"/>
    <w:rsid w:val="50191DB5"/>
    <w:rsid w:val="501954C7"/>
    <w:rsid w:val="501A474E"/>
    <w:rsid w:val="501B2F32"/>
    <w:rsid w:val="501C2892"/>
    <w:rsid w:val="501F019B"/>
    <w:rsid w:val="501F4FB5"/>
    <w:rsid w:val="50200642"/>
    <w:rsid w:val="502019D2"/>
    <w:rsid w:val="50212A6B"/>
    <w:rsid w:val="50234160"/>
    <w:rsid w:val="5023680D"/>
    <w:rsid w:val="50236A74"/>
    <w:rsid w:val="5024348B"/>
    <w:rsid w:val="50243DC2"/>
    <w:rsid w:val="50252E00"/>
    <w:rsid w:val="5026167C"/>
    <w:rsid w:val="50272E51"/>
    <w:rsid w:val="502838A0"/>
    <w:rsid w:val="502A2ED0"/>
    <w:rsid w:val="502A6852"/>
    <w:rsid w:val="502A6997"/>
    <w:rsid w:val="502B0F13"/>
    <w:rsid w:val="502E5D8D"/>
    <w:rsid w:val="502F2E92"/>
    <w:rsid w:val="502F6569"/>
    <w:rsid w:val="503070FF"/>
    <w:rsid w:val="50323589"/>
    <w:rsid w:val="503249EB"/>
    <w:rsid w:val="50326515"/>
    <w:rsid w:val="50334005"/>
    <w:rsid w:val="503372DE"/>
    <w:rsid w:val="50337B98"/>
    <w:rsid w:val="50342257"/>
    <w:rsid w:val="50342F2D"/>
    <w:rsid w:val="50344005"/>
    <w:rsid w:val="503520B4"/>
    <w:rsid w:val="5035449D"/>
    <w:rsid w:val="50357C81"/>
    <w:rsid w:val="50357D7D"/>
    <w:rsid w:val="50377A90"/>
    <w:rsid w:val="50380C7E"/>
    <w:rsid w:val="50387F1A"/>
    <w:rsid w:val="5039786D"/>
    <w:rsid w:val="503A00AC"/>
    <w:rsid w:val="503A52C6"/>
    <w:rsid w:val="503C0241"/>
    <w:rsid w:val="503C096C"/>
    <w:rsid w:val="503C7D43"/>
    <w:rsid w:val="503D00F2"/>
    <w:rsid w:val="503D28AE"/>
    <w:rsid w:val="503F39BD"/>
    <w:rsid w:val="50405F0E"/>
    <w:rsid w:val="50411B51"/>
    <w:rsid w:val="504176E3"/>
    <w:rsid w:val="50421D33"/>
    <w:rsid w:val="504360B8"/>
    <w:rsid w:val="50443BED"/>
    <w:rsid w:val="50444DEF"/>
    <w:rsid w:val="504636D8"/>
    <w:rsid w:val="50463F34"/>
    <w:rsid w:val="50465BA4"/>
    <w:rsid w:val="504723DC"/>
    <w:rsid w:val="50482D28"/>
    <w:rsid w:val="50484285"/>
    <w:rsid w:val="50491CCF"/>
    <w:rsid w:val="50491EE6"/>
    <w:rsid w:val="50494988"/>
    <w:rsid w:val="504B60F8"/>
    <w:rsid w:val="504B6D9E"/>
    <w:rsid w:val="504C22CB"/>
    <w:rsid w:val="504D3D84"/>
    <w:rsid w:val="504E42D9"/>
    <w:rsid w:val="504F17AD"/>
    <w:rsid w:val="504F685F"/>
    <w:rsid w:val="5050002F"/>
    <w:rsid w:val="50502E87"/>
    <w:rsid w:val="50504C4B"/>
    <w:rsid w:val="50506965"/>
    <w:rsid w:val="50520AB0"/>
    <w:rsid w:val="505369BD"/>
    <w:rsid w:val="50543BB4"/>
    <w:rsid w:val="505446A7"/>
    <w:rsid w:val="5055041F"/>
    <w:rsid w:val="50561435"/>
    <w:rsid w:val="50562B48"/>
    <w:rsid w:val="50563F14"/>
    <w:rsid w:val="50574197"/>
    <w:rsid w:val="5057674A"/>
    <w:rsid w:val="505853B2"/>
    <w:rsid w:val="50593A6B"/>
    <w:rsid w:val="50595004"/>
    <w:rsid w:val="50596DE1"/>
    <w:rsid w:val="505B41FA"/>
    <w:rsid w:val="505B7A42"/>
    <w:rsid w:val="505D4996"/>
    <w:rsid w:val="505E0383"/>
    <w:rsid w:val="505E0C01"/>
    <w:rsid w:val="505E5390"/>
    <w:rsid w:val="50615526"/>
    <w:rsid w:val="50616F4B"/>
    <w:rsid w:val="50622E19"/>
    <w:rsid w:val="50623676"/>
    <w:rsid w:val="50625E80"/>
    <w:rsid w:val="50627F73"/>
    <w:rsid w:val="5063220D"/>
    <w:rsid w:val="50633F1C"/>
    <w:rsid w:val="506367D6"/>
    <w:rsid w:val="50644982"/>
    <w:rsid w:val="50676DBD"/>
    <w:rsid w:val="50690D05"/>
    <w:rsid w:val="506A32CF"/>
    <w:rsid w:val="506B2D35"/>
    <w:rsid w:val="506D1BA0"/>
    <w:rsid w:val="506D39BB"/>
    <w:rsid w:val="506E7735"/>
    <w:rsid w:val="506F0A87"/>
    <w:rsid w:val="506F5990"/>
    <w:rsid w:val="5070485E"/>
    <w:rsid w:val="507073E4"/>
    <w:rsid w:val="50726F87"/>
    <w:rsid w:val="50734E8D"/>
    <w:rsid w:val="50744D49"/>
    <w:rsid w:val="507533CC"/>
    <w:rsid w:val="5076098E"/>
    <w:rsid w:val="50770396"/>
    <w:rsid w:val="507704A7"/>
    <w:rsid w:val="5077149B"/>
    <w:rsid w:val="50772144"/>
    <w:rsid w:val="50785EEB"/>
    <w:rsid w:val="507A1C34"/>
    <w:rsid w:val="507B60AB"/>
    <w:rsid w:val="507F0620"/>
    <w:rsid w:val="507F31AE"/>
    <w:rsid w:val="507F567B"/>
    <w:rsid w:val="507F5F32"/>
    <w:rsid w:val="50816136"/>
    <w:rsid w:val="50834F8C"/>
    <w:rsid w:val="50837736"/>
    <w:rsid w:val="50842628"/>
    <w:rsid w:val="508472B4"/>
    <w:rsid w:val="50850D04"/>
    <w:rsid w:val="50854817"/>
    <w:rsid w:val="508550E2"/>
    <w:rsid w:val="50874A7C"/>
    <w:rsid w:val="50882BE1"/>
    <w:rsid w:val="50883DF4"/>
    <w:rsid w:val="50884351"/>
    <w:rsid w:val="508A1108"/>
    <w:rsid w:val="508A631B"/>
    <w:rsid w:val="508B56C8"/>
    <w:rsid w:val="508E3819"/>
    <w:rsid w:val="50912610"/>
    <w:rsid w:val="509244E5"/>
    <w:rsid w:val="50925F1B"/>
    <w:rsid w:val="5093448B"/>
    <w:rsid w:val="50934EE3"/>
    <w:rsid w:val="50935F88"/>
    <w:rsid w:val="50936184"/>
    <w:rsid w:val="5093674F"/>
    <w:rsid w:val="50936E44"/>
    <w:rsid w:val="50942CF5"/>
    <w:rsid w:val="50943ED2"/>
    <w:rsid w:val="50976479"/>
    <w:rsid w:val="5098229E"/>
    <w:rsid w:val="509947B0"/>
    <w:rsid w:val="50994912"/>
    <w:rsid w:val="509A64F7"/>
    <w:rsid w:val="509B4084"/>
    <w:rsid w:val="509C6E7C"/>
    <w:rsid w:val="509F0864"/>
    <w:rsid w:val="509F0BBE"/>
    <w:rsid w:val="509F5358"/>
    <w:rsid w:val="50A02441"/>
    <w:rsid w:val="50A337A9"/>
    <w:rsid w:val="50A34980"/>
    <w:rsid w:val="50A373DC"/>
    <w:rsid w:val="50A559BC"/>
    <w:rsid w:val="50A55BC5"/>
    <w:rsid w:val="50A62576"/>
    <w:rsid w:val="50A849F3"/>
    <w:rsid w:val="50A9081D"/>
    <w:rsid w:val="50A91656"/>
    <w:rsid w:val="50A93F97"/>
    <w:rsid w:val="50AA076B"/>
    <w:rsid w:val="50AA42C7"/>
    <w:rsid w:val="50AB003F"/>
    <w:rsid w:val="50AB12C3"/>
    <w:rsid w:val="50AC0EAB"/>
    <w:rsid w:val="50AF3F0B"/>
    <w:rsid w:val="50B0138F"/>
    <w:rsid w:val="50B05986"/>
    <w:rsid w:val="50B12173"/>
    <w:rsid w:val="50B16527"/>
    <w:rsid w:val="50B172E2"/>
    <w:rsid w:val="50B276A6"/>
    <w:rsid w:val="50B34216"/>
    <w:rsid w:val="50B5407E"/>
    <w:rsid w:val="50B56BCB"/>
    <w:rsid w:val="50B73B1C"/>
    <w:rsid w:val="50B762D9"/>
    <w:rsid w:val="50B8303F"/>
    <w:rsid w:val="50B94F68"/>
    <w:rsid w:val="50B96C00"/>
    <w:rsid w:val="50BB4CF5"/>
    <w:rsid w:val="50BC4DDA"/>
    <w:rsid w:val="50BD0599"/>
    <w:rsid w:val="50BD0E2B"/>
    <w:rsid w:val="50BD6164"/>
    <w:rsid w:val="50BF7C0A"/>
    <w:rsid w:val="50C01865"/>
    <w:rsid w:val="50C024C8"/>
    <w:rsid w:val="50C04140"/>
    <w:rsid w:val="50C17089"/>
    <w:rsid w:val="50C17838"/>
    <w:rsid w:val="50C23D07"/>
    <w:rsid w:val="50C3065C"/>
    <w:rsid w:val="50C30992"/>
    <w:rsid w:val="50C36206"/>
    <w:rsid w:val="50C604DD"/>
    <w:rsid w:val="50C64C5B"/>
    <w:rsid w:val="50C65A57"/>
    <w:rsid w:val="50C7083B"/>
    <w:rsid w:val="50C7083D"/>
    <w:rsid w:val="50C80BF1"/>
    <w:rsid w:val="50C9180D"/>
    <w:rsid w:val="50CA588C"/>
    <w:rsid w:val="50CA5CAE"/>
    <w:rsid w:val="50CA6717"/>
    <w:rsid w:val="50CB494A"/>
    <w:rsid w:val="50CB7056"/>
    <w:rsid w:val="50CC45A5"/>
    <w:rsid w:val="50CC6933"/>
    <w:rsid w:val="50CC6EA1"/>
    <w:rsid w:val="50CD4459"/>
    <w:rsid w:val="50CE0E86"/>
    <w:rsid w:val="50CE6931"/>
    <w:rsid w:val="50CF3B20"/>
    <w:rsid w:val="50CF5CB2"/>
    <w:rsid w:val="50D050C3"/>
    <w:rsid w:val="50D27593"/>
    <w:rsid w:val="50D4274A"/>
    <w:rsid w:val="50D457E8"/>
    <w:rsid w:val="50D47836"/>
    <w:rsid w:val="50D70DDD"/>
    <w:rsid w:val="50D83DE3"/>
    <w:rsid w:val="50D8436A"/>
    <w:rsid w:val="50DA390C"/>
    <w:rsid w:val="50DC1BFB"/>
    <w:rsid w:val="50DC610E"/>
    <w:rsid w:val="50DC6A77"/>
    <w:rsid w:val="50DD1265"/>
    <w:rsid w:val="50DE6047"/>
    <w:rsid w:val="50DE6667"/>
    <w:rsid w:val="50DF38ED"/>
    <w:rsid w:val="50E01FD8"/>
    <w:rsid w:val="50E2344A"/>
    <w:rsid w:val="50E35A2B"/>
    <w:rsid w:val="50E653B9"/>
    <w:rsid w:val="50E75AA3"/>
    <w:rsid w:val="50E76F40"/>
    <w:rsid w:val="50E827FF"/>
    <w:rsid w:val="50E8514B"/>
    <w:rsid w:val="50E9467F"/>
    <w:rsid w:val="50EA6DB9"/>
    <w:rsid w:val="50EB3F82"/>
    <w:rsid w:val="50EB4717"/>
    <w:rsid w:val="50EC42FD"/>
    <w:rsid w:val="50EC5412"/>
    <w:rsid w:val="50EC6405"/>
    <w:rsid w:val="50EE4049"/>
    <w:rsid w:val="50EF43D0"/>
    <w:rsid w:val="50EF617E"/>
    <w:rsid w:val="50EF668F"/>
    <w:rsid w:val="50F12186"/>
    <w:rsid w:val="50F12A1F"/>
    <w:rsid w:val="50F1386B"/>
    <w:rsid w:val="50F25A6F"/>
    <w:rsid w:val="50F31F00"/>
    <w:rsid w:val="50F46789"/>
    <w:rsid w:val="50F50A37"/>
    <w:rsid w:val="50F65D23"/>
    <w:rsid w:val="50F67DF5"/>
    <w:rsid w:val="50F774B1"/>
    <w:rsid w:val="50F829C8"/>
    <w:rsid w:val="50F83676"/>
    <w:rsid w:val="50F97EFC"/>
    <w:rsid w:val="50FB6D62"/>
    <w:rsid w:val="50FC089B"/>
    <w:rsid w:val="50FE2865"/>
    <w:rsid w:val="50FE47F3"/>
    <w:rsid w:val="50FE4AF9"/>
    <w:rsid w:val="50FE5E29"/>
    <w:rsid w:val="5100482F"/>
    <w:rsid w:val="5101457B"/>
    <w:rsid w:val="51022CCA"/>
    <w:rsid w:val="51023184"/>
    <w:rsid w:val="510333B7"/>
    <w:rsid w:val="51034D02"/>
    <w:rsid w:val="51035130"/>
    <w:rsid w:val="51036DC7"/>
    <w:rsid w:val="51043E1D"/>
    <w:rsid w:val="51045953"/>
    <w:rsid w:val="51051131"/>
    <w:rsid w:val="510514F3"/>
    <w:rsid w:val="51061278"/>
    <w:rsid w:val="51066381"/>
    <w:rsid w:val="5109070F"/>
    <w:rsid w:val="5109239E"/>
    <w:rsid w:val="51094E52"/>
    <w:rsid w:val="510A0EA1"/>
    <w:rsid w:val="510A5883"/>
    <w:rsid w:val="510C33D4"/>
    <w:rsid w:val="510D4856"/>
    <w:rsid w:val="510E73D9"/>
    <w:rsid w:val="510F0C5F"/>
    <w:rsid w:val="510F43AE"/>
    <w:rsid w:val="51106900"/>
    <w:rsid w:val="51140C8C"/>
    <w:rsid w:val="5115113C"/>
    <w:rsid w:val="5116195C"/>
    <w:rsid w:val="51170758"/>
    <w:rsid w:val="51175B71"/>
    <w:rsid w:val="511856D5"/>
    <w:rsid w:val="511915CF"/>
    <w:rsid w:val="511936B0"/>
    <w:rsid w:val="511A2590"/>
    <w:rsid w:val="511A58F1"/>
    <w:rsid w:val="511A7325"/>
    <w:rsid w:val="511B1CC5"/>
    <w:rsid w:val="511B65A8"/>
    <w:rsid w:val="511D2CEB"/>
    <w:rsid w:val="511E7D8A"/>
    <w:rsid w:val="511F2FC3"/>
    <w:rsid w:val="511F3418"/>
    <w:rsid w:val="511F38AB"/>
    <w:rsid w:val="511F502D"/>
    <w:rsid w:val="511F63C5"/>
    <w:rsid w:val="51216983"/>
    <w:rsid w:val="51217AF5"/>
    <w:rsid w:val="5123361C"/>
    <w:rsid w:val="51237DD2"/>
    <w:rsid w:val="512410D5"/>
    <w:rsid w:val="51253E0F"/>
    <w:rsid w:val="51281690"/>
    <w:rsid w:val="51287195"/>
    <w:rsid w:val="51287F04"/>
    <w:rsid w:val="51297106"/>
    <w:rsid w:val="512A1D0B"/>
    <w:rsid w:val="512A69D1"/>
    <w:rsid w:val="512B1206"/>
    <w:rsid w:val="512C5166"/>
    <w:rsid w:val="512D6667"/>
    <w:rsid w:val="512E76E9"/>
    <w:rsid w:val="5130697F"/>
    <w:rsid w:val="5131391E"/>
    <w:rsid w:val="51314B0E"/>
    <w:rsid w:val="51334D72"/>
    <w:rsid w:val="513604D0"/>
    <w:rsid w:val="5136225D"/>
    <w:rsid w:val="51375F82"/>
    <w:rsid w:val="5139546E"/>
    <w:rsid w:val="51395C8B"/>
    <w:rsid w:val="513962A2"/>
    <w:rsid w:val="513A2307"/>
    <w:rsid w:val="513A3AC8"/>
    <w:rsid w:val="513B5867"/>
    <w:rsid w:val="513B620E"/>
    <w:rsid w:val="513B7615"/>
    <w:rsid w:val="513C4833"/>
    <w:rsid w:val="513E77D2"/>
    <w:rsid w:val="514040A4"/>
    <w:rsid w:val="514126C7"/>
    <w:rsid w:val="5142314A"/>
    <w:rsid w:val="51426B01"/>
    <w:rsid w:val="514307FA"/>
    <w:rsid w:val="514576A8"/>
    <w:rsid w:val="514637AF"/>
    <w:rsid w:val="5147420C"/>
    <w:rsid w:val="51477879"/>
    <w:rsid w:val="51481E7E"/>
    <w:rsid w:val="5148330E"/>
    <w:rsid w:val="51496D42"/>
    <w:rsid w:val="514A1C84"/>
    <w:rsid w:val="514A3A74"/>
    <w:rsid w:val="514A7B26"/>
    <w:rsid w:val="514C56F5"/>
    <w:rsid w:val="514E0965"/>
    <w:rsid w:val="514E10F6"/>
    <w:rsid w:val="515147E3"/>
    <w:rsid w:val="5152733B"/>
    <w:rsid w:val="515406D7"/>
    <w:rsid w:val="51552C51"/>
    <w:rsid w:val="51572125"/>
    <w:rsid w:val="51581829"/>
    <w:rsid w:val="51586419"/>
    <w:rsid w:val="515879F7"/>
    <w:rsid w:val="51597C87"/>
    <w:rsid w:val="515C48D2"/>
    <w:rsid w:val="515C61C8"/>
    <w:rsid w:val="515C6E2F"/>
    <w:rsid w:val="515D0EEA"/>
    <w:rsid w:val="515F092C"/>
    <w:rsid w:val="515F35B2"/>
    <w:rsid w:val="515F6418"/>
    <w:rsid w:val="5160371F"/>
    <w:rsid w:val="51605783"/>
    <w:rsid w:val="5160733F"/>
    <w:rsid w:val="516114E4"/>
    <w:rsid w:val="5162104E"/>
    <w:rsid w:val="51626305"/>
    <w:rsid w:val="516448B1"/>
    <w:rsid w:val="516528E4"/>
    <w:rsid w:val="516579ED"/>
    <w:rsid w:val="516721B8"/>
    <w:rsid w:val="516722E5"/>
    <w:rsid w:val="51680294"/>
    <w:rsid w:val="516A1079"/>
    <w:rsid w:val="516A14FF"/>
    <w:rsid w:val="516A5353"/>
    <w:rsid w:val="516A66F6"/>
    <w:rsid w:val="516C3C72"/>
    <w:rsid w:val="516C7B3B"/>
    <w:rsid w:val="516D5B93"/>
    <w:rsid w:val="516E0B42"/>
    <w:rsid w:val="516E0CD0"/>
    <w:rsid w:val="516E1DA6"/>
    <w:rsid w:val="516E2A1C"/>
    <w:rsid w:val="516E2E74"/>
    <w:rsid w:val="516F2F4B"/>
    <w:rsid w:val="516F7A24"/>
    <w:rsid w:val="5170361D"/>
    <w:rsid w:val="51705B67"/>
    <w:rsid w:val="5171637C"/>
    <w:rsid w:val="517378D5"/>
    <w:rsid w:val="51754B1E"/>
    <w:rsid w:val="51762FB6"/>
    <w:rsid w:val="5177276F"/>
    <w:rsid w:val="517843C5"/>
    <w:rsid w:val="51786B5C"/>
    <w:rsid w:val="51786EAE"/>
    <w:rsid w:val="51795F86"/>
    <w:rsid w:val="517A1C4C"/>
    <w:rsid w:val="517A784B"/>
    <w:rsid w:val="517B4BB8"/>
    <w:rsid w:val="517B7AAD"/>
    <w:rsid w:val="517C40C9"/>
    <w:rsid w:val="517C595B"/>
    <w:rsid w:val="517D2B58"/>
    <w:rsid w:val="517D3DF4"/>
    <w:rsid w:val="517E187C"/>
    <w:rsid w:val="517F38CC"/>
    <w:rsid w:val="517F5C86"/>
    <w:rsid w:val="517F7751"/>
    <w:rsid w:val="5180357E"/>
    <w:rsid w:val="51803ABE"/>
    <w:rsid w:val="51804A07"/>
    <w:rsid w:val="51824F3B"/>
    <w:rsid w:val="51825244"/>
    <w:rsid w:val="5182543B"/>
    <w:rsid w:val="5182675F"/>
    <w:rsid w:val="51834A12"/>
    <w:rsid w:val="51852FA3"/>
    <w:rsid w:val="518571EC"/>
    <w:rsid w:val="518606C9"/>
    <w:rsid w:val="5187285A"/>
    <w:rsid w:val="51874099"/>
    <w:rsid w:val="51890380"/>
    <w:rsid w:val="51892913"/>
    <w:rsid w:val="5189685A"/>
    <w:rsid w:val="518A7682"/>
    <w:rsid w:val="518B1F55"/>
    <w:rsid w:val="518B6A1C"/>
    <w:rsid w:val="518C1C1F"/>
    <w:rsid w:val="518C4DAA"/>
    <w:rsid w:val="518C5157"/>
    <w:rsid w:val="518C66C3"/>
    <w:rsid w:val="518D4BB3"/>
    <w:rsid w:val="518E1E3B"/>
    <w:rsid w:val="518E4841"/>
    <w:rsid w:val="518F0BBA"/>
    <w:rsid w:val="518F170F"/>
    <w:rsid w:val="519047C4"/>
    <w:rsid w:val="51904AB6"/>
    <w:rsid w:val="51917713"/>
    <w:rsid w:val="519257B9"/>
    <w:rsid w:val="519311FF"/>
    <w:rsid w:val="51933230"/>
    <w:rsid w:val="519503D4"/>
    <w:rsid w:val="519509B1"/>
    <w:rsid w:val="51952C83"/>
    <w:rsid w:val="519600D3"/>
    <w:rsid w:val="51960CEF"/>
    <w:rsid w:val="51965319"/>
    <w:rsid w:val="51967AFD"/>
    <w:rsid w:val="51990B14"/>
    <w:rsid w:val="5199746A"/>
    <w:rsid w:val="519A5843"/>
    <w:rsid w:val="519C1A24"/>
    <w:rsid w:val="519C60FA"/>
    <w:rsid w:val="519D5FDF"/>
    <w:rsid w:val="519D74DD"/>
    <w:rsid w:val="519E577C"/>
    <w:rsid w:val="519F7BA4"/>
    <w:rsid w:val="51A00CDD"/>
    <w:rsid w:val="51A03636"/>
    <w:rsid w:val="51A05920"/>
    <w:rsid w:val="51A151AA"/>
    <w:rsid w:val="51A33930"/>
    <w:rsid w:val="51A37EE0"/>
    <w:rsid w:val="51A42425"/>
    <w:rsid w:val="51A50D41"/>
    <w:rsid w:val="51A51E0B"/>
    <w:rsid w:val="51A52C52"/>
    <w:rsid w:val="51A7033C"/>
    <w:rsid w:val="51A74E45"/>
    <w:rsid w:val="51A76A58"/>
    <w:rsid w:val="51A90A15"/>
    <w:rsid w:val="51A9116D"/>
    <w:rsid w:val="51A9575D"/>
    <w:rsid w:val="51AA35E8"/>
    <w:rsid w:val="51AA4D36"/>
    <w:rsid w:val="51AA7671"/>
    <w:rsid w:val="51AB6549"/>
    <w:rsid w:val="51AC22C1"/>
    <w:rsid w:val="51AC3379"/>
    <w:rsid w:val="51AD3527"/>
    <w:rsid w:val="51AD3F0B"/>
    <w:rsid w:val="51AF0886"/>
    <w:rsid w:val="51B01DB1"/>
    <w:rsid w:val="51B03FA7"/>
    <w:rsid w:val="51B27044"/>
    <w:rsid w:val="51B400CB"/>
    <w:rsid w:val="51B40F0D"/>
    <w:rsid w:val="51B515C0"/>
    <w:rsid w:val="51B55152"/>
    <w:rsid w:val="51B555A4"/>
    <w:rsid w:val="51B56442"/>
    <w:rsid w:val="51B64DE5"/>
    <w:rsid w:val="51B65558"/>
    <w:rsid w:val="51B70AE3"/>
    <w:rsid w:val="51B90BB8"/>
    <w:rsid w:val="51BC4EC0"/>
    <w:rsid w:val="51BC6CAE"/>
    <w:rsid w:val="51BD5467"/>
    <w:rsid w:val="51BD7215"/>
    <w:rsid w:val="51BD7DF7"/>
    <w:rsid w:val="51BE666A"/>
    <w:rsid w:val="51C00E6C"/>
    <w:rsid w:val="51C1065C"/>
    <w:rsid w:val="51C219AB"/>
    <w:rsid w:val="51C23FCC"/>
    <w:rsid w:val="51C25640"/>
    <w:rsid w:val="51C27D36"/>
    <w:rsid w:val="51C40647"/>
    <w:rsid w:val="51C47283"/>
    <w:rsid w:val="51C57916"/>
    <w:rsid w:val="51C63383"/>
    <w:rsid w:val="51C634A9"/>
    <w:rsid w:val="51C63E1E"/>
    <w:rsid w:val="51C7295E"/>
    <w:rsid w:val="51CA243A"/>
    <w:rsid w:val="51CA3664"/>
    <w:rsid w:val="51CB1571"/>
    <w:rsid w:val="51CB7346"/>
    <w:rsid w:val="51CC6196"/>
    <w:rsid w:val="51CC7E25"/>
    <w:rsid w:val="51CD2250"/>
    <w:rsid w:val="51CE0DD3"/>
    <w:rsid w:val="51CE7FD5"/>
    <w:rsid w:val="51CF030E"/>
    <w:rsid w:val="51CF7950"/>
    <w:rsid w:val="51CF7FEC"/>
    <w:rsid w:val="51D07D5D"/>
    <w:rsid w:val="51D17981"/>
    <w:rsid w:val="51D26210"/>
    <w:rsid w:val="51D31DC6"/>
    <w:rsid w:val="51D3636A"/>
    <w:rsid w:val="51D623B8"/>
    <w:rsid w:val="51D62D0D"/>
    <w:rsid w:val="51D6733E"/>
    <w:rsid w:val="51D704FA"/>
    <w:rsid w:val="51D774E7"/>
    <w:rsid w:val="51D83FD4"/>
    <w:rsid w:val="51D93031"/>
    <w:rsid w:val="51D9429B"/>
    <w:rsid w:val="51DA072C"/>
    <w:rsid w:val="51DA1F6A"/>
    <w:rsid w:val="51DA3285"/>
    <w:rsid w:val="51DB0862"/>
    <w:rsid w:val="51DD2EAE"/>
    <w:rsid w:val="51DD2FA8"/>
    <w:rsid w:val="51DF1A13"/>
    <w:rsid w:val="51E05BAE"/>
    <w:rsid w:val="51E1515F"/>
    <w:rsid w:val="51E22D9C"/>
    <w:rsid w:val="51E46FBA"/>
    <w:rsid w:val="51E47CAD"/>
    <w:rsid w:val="51E56BFC"/>
    <w:rsid w:val="51E63A25"/>
    <w:rsid w:val="51E64E08"/>
    <w:rsid w:val="51E80B22"/>
    <w:rsid w:val="51E837D3"/>
    <w:rsid w:val="51E91230"/>
    <w:rsid w:val="51E952C3"/>
    <w:rsid w:val="51EA28FF"/>
    <w:rsid w:val="51EC290B"/>
    <w:rsid w:val="51EC52DA"/>
    <w:rsid w:val="51ED1A91"/>
    <w:rsid w:val="51ED2825"/>
    <w:rsid w:val="51ED2F1C"/>
    <w:rsid w:val="51ED7960"/>
    <w:rsid w:val="51EE39B0"/>
    <w:rsid w:val="51EE4687"/>
    <w:rsid w:val="51EE53FD"/>
    <w:rsid w:val="51EF4D44"/>
    <w:rsid w:val="51EF68F9"/>
    <w:rsid w:val="51F00784"/>
    <w:rsid w:val="51F04709"/>
    <w:rsid w:val="51F15F26"/>
    <w:rsid w:val="51F3044B"/>
    <w:rsid w:val="51F577C4"/>
    <w:rsid w:val="51F64FB2"/>
    <w:rsid w:val="51F76066"/>
    <w:rsid w:val="51F8045C"/>
    <w:rsid w:val="51FC2306"/>
    <w:rsid w:val="51FD0675"/>
    <w:rsid w:val="51FD28D1"/>
    <w:rsid w:val="51FD59C8"/>
    <w:rsid w:val="51FD7B5D"/>
    <w:rsid w:val="51FE3B55"/>
    <w:rsid w:val="51FF737B"/>
    <w:rsid w:val="5200478D"/>
    <w:rsid w:val="520067D9"/>
    <w:rsid w:val="52013405"/>
    <w:rsid w:val="520211A2"/>
    <w:rsid w:val="5202225D"/>
    <w:rsid w:val="520248B8"/>
    <w:rsid w:val="52056DC1"/>
    <w:rsid w:val="52061478"/>
    <w:rsid w:val="52071583"/>
    <w:rsid w:val="5208691B"/>
    <w:rsid w:val="52097713"/>
    <w:rsid w:val="520B0404"/>
    <w:rsid w:val="520C0728"/>
    <w:rsid w:val="520C0C67"/>
    <w:rsid w:val="520C0CAF"/>
    <w:rsid w:val="520D0FB1"/>
    <w:rsid w:val="520D7C2C"/>
    <w:rsid w:val="520E3CF1"/>
    <w:rsid w:val="520E4EBA"/>
    <w:rsid w:val="52110978"/>
    <w:rsid w:val="52120FE5"/>
    <w:rsid w:val="52127F01"/>
    <w:rsid w:val="5213242D"/>
    <w:rsid w:val="521329AA"/>
    <w:rsid w:val="52143074"/>
    <w:rsid w:val="5214356A"/>
    <w:rsid w:val="52157E66"/>
    <w:rsid w:val="52163F8C"/>
    <w:rsid w:val="52173AC9"/>
    <w:rsid w:val="521746A4"/>
    <w:rsid w:val="521773DA"/>
    <w:rsid w:val="5218264C"/>
    <w:rsid w:val="52186A99"/>
    <w:rsid w:val="52186CFB"/>
    <w:rsid w:val="52187821"/>
    <w:rsid w:val="52196589"/>
    <w:rsid w:val="5219698F"/>
    <w:rsid w:val="521A251D"/>
    <w:rsid w:val="521A65FA"/>
    <w:rsid w:val="521C2FA3"/>
    <w:rsid w:val="521C4BC8"/>
    <w:rsid w:val="521C51A2"/>
    <w:rsid w:val="52223C47"/>
    <w:rsid w:val="52225714"/>
    <w:rsid w:val="522330CE"/>
    <w:rsid w:val="522400F0"/>
    <w:rsid w:val="522435D1"/>
    <w:rsid w:val="52245660"/>
    <w:rsid w:val="5224710F"/>
    <w:rsid w:val="52247E3B"/>
    <w:rsid w:val="52270784"/>
    <w:rsid w:val="5228176B"/>
    <w:rsid w:val="522859DF"/>
    <w:rsid w:val="52285DC3"/>
    <w:rsid w:val="52287E8E"/>
    <w:rsid w:val="5229634E"/>
    <w:rsid w:val="522A27A6"/>
    <w:rsid w:val="522C59B0"/>
    <w:rsid w:val="522C61C6"/>
    <w:rsid w:val="522C6C26"/>
    <w:rsid w:val="522C7AF0"/>
    <w:rsid w:val="522D0C45"/>
    <w:rsid w:val="522D5379"/>
    <w:rsid w:val="522D6160"/>
    <w:rsid w:val="522E07FA"/>
    <w:rsid w:val="522E1853"/>
    <w:rsid w:val="522F234E"/>
    <w:rsid w:val="522F34EF"/>
    <w:rsid w:val="52304646"/>
    <w:rsid w:val="523147F6"/>
    <w:rsid w:val="523172BF"/>
    <w:rsid w:val="52320C9F"/>
    <w:rsid w:val="52324640"/>
    <w:rsid w:val="52326F79"/>
    <w:rsid w:val="5233019D"/>
    <w:rsid w:val="523302EC"/>
    <w:rsid w:val="52340E87"/>
    <w:rsid w:val="52350998"/>
    <w:rsid w:val="52375DF3"/>
    <w:rsid w:val="52384CA0"/>
    <w:rsid w:val="52393F2D"/>
    <w:rsid w:val="523A44E6"/>
    <w:rsid w:val="523A67F7"/>
    <w:rsid w:val="523A7580"/>
    <w:rsid w:val="523B025C"/>
    <w:rsid w:val="523C0133"/>
    <w:rsid w:val="523C0C24"/>
    <w:rsid w:val="523C1897"/>
    <w:rsid w:val="523C53F3"/>
    <w:rsid w:val="523C5E06"/>
    <w:rsid w:val="523E4E45"/>
    <w:rsid w:val="523E560F"/>
    <w:rsid w:val="524022AC"/>
    <w:rsid w:val="52402E8F"/>
    <w:rsid w:val="52405526"/>
    <w:rsid w:val="52426460"/>
    <w:rsid w:val="52426781"/>
    <w:rsid w:val="524437F6"/>
    <w:rsid w:val="52443A9E"/>
    <w:rsid w:val="524440E9"/>
    <w:rsid w:val="52453AE1"/>
    <w:rsid w:val="52462962"/>
    <w:rsid w:val="52462FF1"/>
    <w:rsid w:val="52464B59"/>
    <w:rsid w:val="52467451"/>
    <w:rsid w:val="52475CC5"/>
    <w:rsid w:val="52481762"/>
    <w:rsid w:val="52491B07"/>
    <w:rsid w:val="52495D62"/>
    <w:rsid w:val="524A1B17"/>
    <w:rsid w:val="524B7D2C"/>
    <w:rsid w:val="524E1462"/>
    <w:rsid w:val="524E286F"/>
    <w:rsid w:val="524F036A"/>
    <w:rsid w:val="524F2D1F"/>
    <w:rsid w:val="524F4B96"/>
    <w:rsid w:val="52520A7B"/>
    <w:rsid w:val="52520E35"/>
    <w:rsid w:val="52523EDF"/>
    <w:rsid w:val="525343BA"/>
    <w:rsid w:val="52543277"/>
    <w:rsid w:val="52551E4E"/>
    <w:rsid w:val="52554233"/>
    <w:rsid w:val="52555D0A"/>
    <w:rsid w:val="525564B4"/>
    <w:rsid w:val="52570E95"/>
    <w:rsid w:val="525874BA"/>
    <w:rsid w:val="525A5EC6"/>
    <w:rsid w:val="525A5FBE"/>
    <w:rsid w:val="525A7C82"/>
    <w:rsid w:val="525B3CE2"/>
    <w:rsid w:val="525B6CCF"/>
    <w:rsid w:val="525C2B86"/>
    <w:rsid w:val="525C48DB"/>
    <w:rsid w:val="525C637C"/>
    <w:rsid w:val="525C6C27"/>
    <w:rsid w:val="525D497E"/>
    <w:rsid w:val="525E180D"/>
    <w:rsid w:val="525F27E1"/>
    <w:rsid w:val="526008F6"/>
    <w:rsid w:val="526010C2"/>
    <w:rsid w:val="5260653B"/>
    <w:rsid w:val="52616C26"/>
    <w:rsid w:val="52625A37"/>
    <w:rsid w:val="52642B9B"/>
    <w:rsid w:val="5264494A"/>
    <w:rsid w:val="5267283A"/>
    <w:rsid w:val="52682409"/>
    <w:rsid w:val="5268643E"/>
    <w:rsid w:val="5269065C"/>
    <w:rsid w:val="526A03D3"/>
    <w:rsid w:val="526A1F83"/>
    <w:rsid w:val="526A3F41"/>
    <w:rsid w:val="526C36B4"/>
    <w:rsid w:val="526D37BF"/>
    <w:rsid w:val="526E2C9E"/>
    <w:rsid w:val="526E57C6"/>
    <w:rsid w:val="526E5EA4"/>
    <w:rsid w:val="526F5D79"/>
    <w:rsid w:val="526F73C5"/>
    <w:rsid w:val="52700D89"/>
    <w:rsid w:val="52707792"/>
    <w:rsid w:val="5272350A"/>
    <w:rsid w:val="5272388D"/>
    <w:rsid w:val="527259A4"/>
    <w:rsid w:val="52726493"/>
    <w:rsid w:val="52732519"/>
    <w:rsid w:val="52745FD3"/>
    <w:rsid w:val="52756B57"/>
    <w:rsid w:val="52765CB8"/>
    <w:rsid w:val="52774DB3"/>
    <w:rsid w:val="52775988"/>
    <w:rsid w:val="527A2EE8"/>
    <w:rsid w:val="527A587C"/>
    <w:rsid w:val="527A79B4"/>
    <w:rsid w:val="527B0BBB"/>
    <w:rsid w:val="527B30F9"/>
    <w:rsid w:val="527B3527"/>
    <w:rsid w:val="527E0709"/>
    <w:rsid w:val="527E6640"/>
    <w:rsid w:val="527F1762"/>
    <w:rsid w:val="52800918"/>
    <w:rsid w:val="52801B17"/>
    <w:rsid w:val="528026A1"/>
    <w:rsid w:val="52803C92"/>
    <w:rsid w:val="52810377"/>
    <w:rsid w:val="52811A88"/>
    <w:rsid w:val="52811C3B"/>
    <w:rsid w:val="52815244"/>
    <w:rsid w:val="52824171"/>
    <w:rsid w:val="52830A87"/>
    <w:rsid w:val="52831C08"/>
    <w:rsid w:val="52833B14"/>
    <w:rsid w:val="528377D0"/>
    <w:rsid w:val="52840D63"/>
    <w:rsid w:val="5284224E"/>
    <w:rsid w:val="5284744B"/>
    <w:rsid w:val="52860D64"/>
    <w:rsid w:val="528648C0"/>
    <w:rsid w:val="52865B57"/>
    <w:rsid w:val="528713EA"/>
    <w:rsid w:val="52876867"/>
    <w:rsid w:val="52885BD8"/>
    <w:rsid w:val="528A3528"/>
    <w:rsid w:val="528B1ED6"/>
    <w:rsid w:val="528C45CC"/>
    <w:rsid w:val="528D20F2"/>
    <w:rsid w:val="528D22F5"/>
    <w:rsid w:val="528D5C4E"/>
    <w:rsid w:val="528D6A25"/>
    <w:rsid w:val="528D6D3F"/>
    <w:rsid w:val="528E18A9"/>
    <w:rsid w:val="528E4F5E"/>
    <w:rsid w:val="528E6905"/>
    <w:rsid w:val="528F54BB"/>
    <w:rsid w:val="528F67D2"/>
    <w:rsid w:val="52904836"/>
    <w:rsid w:val="529067FC"/>
    <w:rsid w:val="52916A84"/>
    <w:rsid w:val="52920A7B"/>
    <w:rsid w:val="5292391B"/>
    <w:rsid w:val="52926B35"/>
    <w:rsid w:val="52931BC7"/>
    <w:rsid w:val="5294003D"/>
    <w:rsid w:val="5295454A"/>
    <w:rsid w:val="5295562D"/>
    <w:rsid w:val="52962F38"/>
    <w:rsid w:val="529A036B"/>
    <w:rsid w:val="529A5F79"/>
    <w:rsid w:val="529C35F0"/>
    <w:rsid w:val="529E1C09"/>
    <w:rsid w:val="529F2723"/>
    <w:rsid w:val="529F4A52"/>
    <w:rsid w:val="52A13A48"/>
    <w:rsid w:val="52A166D0"/>
    <w:rsid w:val="52A17CE9"/>
    <w:rsid w:val="52A35B9D"/>
    <w:rsid w:val="52A523FC"/>
    <w:rsid w:val="52A576FA"/>
    <w:rsid w:val="52A62D55"/>
    <w:rsid w:val="52A77B7B"/>
    <w:rsid w:val="52A82A88"/>
    <w:rsid w:val="52A86F2C"/>
    <w:rsid w:val="52A87801"/>
    <w:rsid w:val="52A91260"/>
    <w:rsid w:val="52A93107"/>
    <w:rsid w:val="52A948EB"/>
    <w:rsid w:val="52A973E8"/>
    <w:rsid w:val="52AA31EC"/>
    <w:rsid w:val="52AA4A52"/>
    <w:rsid w:val="52AD4542"/>
    <w:rsid w:val="52AE1D99"/>
    <w:rsid w:val="52AF3E17"/>
    <w:rsid w:val="52B00DBD"/>
    <w:rsid w:val="52B209CE"/>
    <w:rsid w:val="52B3267A"/>
    <w:rsid w:val="52B33B12"/>
    <w:rsid w:val="52B458D1"/>
    <w:rsid w:val="52B51139"/>
    <w:rsid w:val="52B53B80"/>
    <w:rsid w:val="52B63A70"/>
    <w:rsid w:val="52B64958"/>
    <w:rsid w:val="52B718B6"/>
    <w:rsid w:val="52B76009"/>
    <w:rsid w:val="52B8420C"/>
    <w:rsid w:val="52B953A8"/>
    <w:rsid w:val="52B96A43"/>
    <w:rsid w:val="52BB1AD9"/>
    <w:rsid w:val="52BB222A"/>
    <w:rsid w:val="52BB2AA6"/>
    <w:rsid w:val="52BB330E"/>
    <w:rsid w:val="52BC3D06"/>
    <w:rsid w:val="52BE0C1A"/>
    <w:rsid w:val="52C04276"/>
    <w:rsid w:val="52C15674"/>
    <w:rsid w:val="52C16435"/>
    <w:rsid w:val="52C2081E"/>
    <w:rsid w:val="52C25111"/>
    <w:rsid w:val="52C27FEE"/>
    <w:rsid w:val="52C308EE"/>
    <w:rsid w:val="52C35C4B"/>
    <w:rsid w:val="52C56D38"/>
    <w:rsid w:val="52C673B2"/>
    <w:rsid w:val="52C7263E"/>
    <w:rsid w:val="52C75F9C"/>
    <w:rsid w:val="52C83225"/>
    <w:rsid w:val="52C8474A"/>
    <w:rsid w:val="52C9316F"/>
    <w:rsid w:val="52C97248"/>
    <w:rsid w:val="52CA29FF"/>
    <w:rsid w:val="52CA50F4"/>
    <w:rsid w:val="52CA73B4"/>
    <w:rsid w:val="52CB2081"/>
    <w:rsid w:val="52CC30A1"/>
    <w:rsid w:val="52CC3E18"/>
    <w:rsid w:val="52CF1868"/>
    <w:rsid w:val="52CF44B9"/>
    <w:rsid w:val="52D00C3F"/>
    <w:rsid w:val="52D01119"/>
    <w:rsid w:val="52D16FDC"/>
    <w:rsid w:val="52D20737"/>
    <w:rsid w:val="52D220B3"/>
    <w:rsid w:val="52D22B66"/>
    <w:rsid w:val="52D23FA9"/>
    <w:rsid w:val="52D272B2"/>
    <w:rsid w:val="52D31E34"/>
    <w:rsid w:val="52D37D2F"/>
    <w:rsid w:val="52D44E6D"/>
    <w:rsid w:val="52D52AB2"/>
    <w:rsid w:val="52D675F5"/>
    <w:rsid w:val="52D71E08"/>
    <w:rsid w:val="52D7511B"/>
    <w:rsid w:val="52D8155C"/>
    <w:rsid w:val="52D87ECE"/>
    <w:rsid w:val="52D970E6"/>
    <w:rsid w:val="52DA4652"/>
    <w:rsid w:val="52DB0CD1"/>
    <w:rsid w:val="52DB19CE"/>
    <w:rsid w:val="52DC23ED"/>
    <w:rsid w:val="52DC6BD6"/>
    <w:rsid w:val="52DD1A14"/>
    <w:rsid w:val="52DF0BA9"/>
    <w:rsid w:val="52E0027D"/>
    <w:rsid w:val="52E05339"/>
    <w:rsid w:val="52E12617"/>
    <w:rsid w:val="52E24A6B"/>
    <w:rsid w:val="52E361B6"/>
    <w:rsid w:val="52E4581B"/>
    <w:rsid w:val="52E46094"/>
    <w:rsid w:val="52E576F3"/>
    <w:rsid w:val="52E62A6A"/>
    <w:rsid w:val="52E71025"/>
    <w:rsid w:val="52E74A3B"/>
    <w:rsid w:val="52E7544B"/>
    <w:rsid w:val="52E80F7C"/>
    <w:rsid w:val="52EC21C2"/>
    <w:rsid w:val="52EC3401"/>
    <w:rsid w:val="52EC4D12"/>
    <w:rsid w:val="52EC5663"/>
    <w:rsid w:val="52ED143F"/>
    <w:rsid w:val="52EE0E81"/>
    <w:rsid w:val="52EE4F2D"/>
    <w:rsid w:val="52EE745D"/>
    <w:rsid w:val="52EF456A"/>
    <w:rsid w:val="52EF60D7"/>
    <w:rsid w:val="52F00DCD"/>
    <w:rsid w:val="52F0698F"/>
    <w:rsid w:val="52F0758B"/>
    <w:rsid w:val="52F1075A"/>
    <w:rsid w:val="52F1442F"/>
    <w:rsid w:val="52F256D0"/>
    <w:rsid w:val="52F2661B"/>
    <w:rsid w:val="52F53207"/>
    <w:rsid w:val="52F55100"/>
    <w:rsid w:val="52F6582A"/>
    <w:rsid w:val="52F812A9"/>
    <w:rsid w:val="52F8516F"/>
    <w:rsid w:val="52F902CC"/>
    <w:rsid w:val="52F932E4"/>
    <w:rsid w:val="52FC7D5A"/>
    <w:rsid w:val="52FD0A91"/>
    <w:rsid w:val="52FD7010"/>
    <w:rsid w:val="53007249"/>
    <w:rsid w:val="53007EB6"/>
    <w:rsid w:val="53011A03"/>
    <w:rsid w:val="530262D5"/>
    <w:rsid w:val="5304393F"/>
    <w:rsid w:val="530461A9"/>
    <w:rsid w:val="530509CB"/>
    <w:rsid w:val="53051C89"/>
    <w:rsid w:val="53057EDB"/>
    <w:rsid w:val="5306768C"/>
    <w:rsid w:val="530733DE"/>
    <w:rsid w:val="53074C46"/>
    <w:rsid w:val="5307545F"/>
    <w:rsid w:val="530A729F"/>
    <w:rsid w:val="530B5FDC"/>
    <w:rsid w:val="530B714E"/>
    <w:rsid w:val="530C3017"/>
    <w:rsid w:val="530F127F"/>
    <w:rsid w:val="530F302D"/>
    <w:rsid w:val="530F6A42"/>
    <w:rsid w:val="530F6FAB"/>
    <w:rsid w:val="531041A7"/>
    <w:rsid w:val="53105FEE"/>
    <w:rsid w:val="53121F07"/>
    <w:rsid w:val="5313352D"/>
    <w:rsid w:val="53133901"/>
    <w:rsid w:val="5314011E"/>
    <w:rsid w:val="531445C2"/>
    <w:rsid w:val="5314593E"/>
    <w:rsid w:val="53147955"/>
    <w:rsid w:val="53160BA2"/>
    <w:rsid w:val="53162CCF"/>
    <w:rsid w:val="531632F5"/>
    <w:rsid w:val="53173AD9"/>
    <w:rsid w:val="5318287F"/>
    <w:rsid w:val="531D3F07"/>
    <w:rsid w:val="531D7BA8"/>
    <w:rsid w:val="531E0AB3"/>
    <w:rsid w:val="531E1B88"/>
    <w:rsid w:val="531F12F8"/>
    <w:rsid w:val="531F6ADC"/>
    <w:rsid w:val="53201E76"/>
    <w:rsid w:val="53204D14"/>
    <w:rsid w:val="53205B80"/>
    <w:rsid w:val="53213917"/>
    <w:rsid w:val="532145E9"/>
    <w:rsid w:val="532239D6"/>
    <w:rsid w:val="53226CDE"/>
    <w:rsid w:val="53227096"/>
    <w:rsid w:val="53230361"/>
    <w:rsid w:val="53232546"/>
    <w:rsid w:val="532372D5"/>
    <w:rsid w:val="5324029F"/>
    <w:rsid w:val="53256D3A"/>
    <w:rsid w:val="53260185"/>
    <w:rsid w:val="532608A9"/>
    <w:rsid w:val="5326139F"/>
    <w:rsid w:val="532665FD"/>
    <w:rsid w:val="532757AA"/>
    <w:rsid w:val="532778A3"/>
    <w:rsid w:val="532819F3"/>
    <w:rsid w:val="53281A25"/>
    <w:rsid w:val="5328202D"/>
    <w:rsid w:val="53295E18"/>
    <w:rsid w:val="53297D5E"/>
    <w:rsid w:val="532A2722"/>
    <w:rsid w:val="532B2800"/>
    <w:rsid w:val="532B4372"/>
    <w:rsid w:val="532C460B"/>
    <w:rsid w:val="532C5467"/>
    <w:rsid w:val="532E7431"/>
    <w:rsid w:val="532F0AEC"/>
    <w:rsid w:val="532F5FEC"/>
    <w:rsid w:val="53300CCB"/>
    <w:rsid w:val="533050C8"/>
    <w:rsid w:val="53313160"/>
    <w:rsid w:val="53313B8A"/>
    <w:rsid w:val="53314871"/>
    <w:rsid w:val="533174DC"/>
    <w:rsid w:val="53332781"/>
    <w:rsid w:val="53352323"/>
    <w:rsid w:val="533635B1"/>
    <w:rsid w:val="533662E6"/>
    <w:rsid w:val="53367743"/>
    <w:rsid w:val="53371AB2"/>
    <w:rsid w:val="53386BD9"/>
    <w:rsid w:val="53395AA8"/>
    <w:rsid w:val="53397A15"/>
    <w:rsid w:val="533A4525"/>
    <w:rsid w:val="533A78E6"/>
    <w:rsid w:val="533B389F"/>
    <w:rsid w:val="533F38C2"/>
    <w:rsid w:val="534024E8"/>
    <w:rsid w:val="53407165"/>
    <w:rsid w:val="53422EDD"/>
    <w:rsid w:val="53424CE4"/>
    <w:rsid w:val="534401AB"/>
    <w:rsid w:val="53441673"/>
    <w:rsid w:val="5344413A"/>
    <w:rsid w:val="534450B3"/>
    <w:rsid w:val="53447441"/>
    <w:rsid w:val="53447ADD"/>
    <w:rsid w:val="5345477B"/>
    <w:rsid w:val="53454AAF"/>
    <w:rsid w:val="5346195D"/>
    <w:rsid w:val="53463166"/>
    <w:rsid w:val="53466918"/>
    <w:rsid w:val="534722A1"/>
    <w:rsid w:val="53473EE3"/>
    <w:rsid w:val="534753D8"/>
    <w:rsid w:val="534762E7"/>
    <w:rsid w:val="5348381A"/>
    <w:rsid w:val="53487DC7"/>
    <w:rsid w:val="534B1313"/>
    <w:rsid w:val="534B1F5A"/>
    <w:rsid w:val="534E35BC"/>
    <w:rsid w:val="53514ECE"/>
    <w:rsid w:val="535200F2"/>
    <w:rsid w:val="53530C46"/>
    <w:rsid w:val="535369B8"/>
    <w:rsid w:val="535509A7"/>
    <w:rsid w:val="535640EB"/>
    <w:rsid w:val="53564B87"/>
    <w:rsid w:val="53566988"/>
    <w:rsid w:val="535671E8"/>
    <w:rsid w:val="53570C57"/>
    <w:rsid w:val="53572529"/>
    <w:rsid w:val="535848AC"/>
    <w:rsid w:val="53584D4B"/>
    <w:rsid w:val="5358625C"/>
    <w:rsid w:val="535A2119"/>
    <w:rsid w:val="535A3AB4"/>
    <w:rsid w:val="535B51EF"/>
    <w:rsid w:val="535C256F"/>
    <w:rsid w:val="535D521A"/>
    <w:rsid w:val="535D6D40"/>
    <w:rsid w:val="535F0F2F"/>
    <w:rsid w:val="535F4969"/>
    <w:rsid w:val="5361682C"/>
    <w:rsid w:val="5362532D"/>
    <w:rsid w:val="53641365"/>
    <w:rsid w:val="5368002E"/>
    <w:rsid w:val="53680BF8"/>
    <w:rsid w:val="536841C1"/>
    <w:rsid w:val="536965A8"/>
    <w:rsid w:val="536A359C"/>
    <w:rsid w:val="536A3C09"/>
    <w:rsid w:val="536C6954"/>
    <w:rsid w:val="536D512B"/>
    <w:rsid w:val="536D65D4"/>
    <w:rsid w:val="536E0AE0"/>
    <w:rsid w:val="536E5600"/>
    <w:rsid w:val="536F0BFE"/>
    <w:rsid w:val="536F1009"/>
    <w:rsid w:val="536F17F8"/>
    <w:rsid w:val="536F35A6"/>
    <w:rsid w:val="536F4DA8"/>
    <w:rsid w:val="53710C1F"/>
    <w:rsid w:val="53715570"/>
    <w:rsid w:val="53721216"/>
    <w:rsid w:val="537263D9"/>
    <w:rsid w:val="53736C6A"/>
    <w:rsid w:val="537371F9"/>
    <w:rsid w:val="53740BBC"/>
    <w:rsid w:val="53741097"/>
    <w:rsid w:val="53742AA8"/>
    <w:rsid w:val="53755060"/>
    <w:rsid w:val="53756D57"/>
    <w:rsid w:val="53762F21"/>
    <w:rsid w:val="53764C7F"/>
    <w:rsid w:val="53772AD1"/>
    <w:rsid w:val="537763F2"/>
    <w:rsid w:val="53786817"/>
    <w:rsid w:val="537952A2"/>
    <w:rsid w:val="537A6C7C"/>
    <w:rsid w:val="537B72D2"/>
    <w:rsid w:val="537C08FA"/>
    <w:rsid w:val="537D3F15"/>
    <w:rsid w:val="537D6CEF"/>
    <w:rsid w:val="537D74EE"/>
    <w:rsid w:val="537E257C"/>
    <w:rsid w:val="537F7156"/>
    <w:rsid w:val="53801187"/>
    <w:rsid w:val="538021FD"/>
    <w:rsid w:val="5381031B"/>
    <w:rsid w:val="53811484"/>
    <w:rsid w:val="538232D9"/>
    <w:rsid w:val="53832D04"/>
    <w:rsid w:val="538518D3"/>
    <w:rsid w:val="53852DC9"/>
    <w:rsid w:val="53856834"/>
    <w:rsid w:val="53857342"/>
    <w:rsid w:val="5386612E"/>
    <w:rsid w:val="538748BD"/>
    <w:rsid w:val="538944C3"/>
    <w:rsid w:val="538A6632"/>
    <w:rsid w:val="538B6B95"/>
    <w:rsid w:val="538C618B"/>
    <w:rsid w:val="538E10A8"/>
    <w:rsid w:val="538E2A2E"/>
    <w:rsid w:val="538F5D77"/>
    <w:rsid w:val="538F6B60"/>
    <w:rsid w:val="53902EF3"/>
    <w:rsid w:val="53904CB7"/>
    <w:rsid w:val="539066F6"/>
    <w:rsid w:val="53924DBE"/>
    <w:rsid w:val="53961650"/>
    <w:rsid w:val="53961FAA"/>
    <w:rsid w:val="53980D4F"/>
    <w:rsid w:val="53985783"/>
    <w:rsid w:val="53987BA2"/>
    <w:rsid w:val="53990E85"/>
    <w:rsid w:val="53996235"/>
    <w:rsid w:val="539A2215"/>
    <w:rsid w:val="539B4955"/>
    <w:rsid w:val="539B4F02"/>
    <w:rsid w:val="539C096A"/>
    <w:rsid w:val="539D0F31"/>
    <w:rsid w:val="539D2161"/>
    <w:rsid w:val="539D60E2"/>
    <w:rsid w:val="539E00AE"/>
    <w:rsid w:val="539E0D31"/>
    <w:rsid w:val="539F35FD"/>
    <w:rsid w:val="53A0269D"/>
    <w:rsid w:val="53A039CC"/>
    <w:rsid w:val="53A1013D"/>
    <w:rsid w:val="53A1505A"/>
    <w:rsid w:val="53A17E44"/>
    <w:rsid w:val="53A269A7"/>
    <w:rsid w:val="53A409F2"/>
    <w:rsid w:val="53A616BE"/>
    <w:rsid w:val="53A64CC8"/>
    <w:rsid w:val="53A6666D"/>
    <w:rsid w:val="53A70621"/>
    <w:rsid w:val="53A80893"/>
    <w:rsid w:val="53A948D4"/>
    <w:rsid w:val="53AA09E3"/>
    <w:rsid w:val="53AB2F32"/>
    <w:rsid w:val="53AE0572"/>
    <w:rsid w:val="53AE6558"/>
    <w:rsid w:val="53B042EA"/>
    <w:rsid w:val="53B06098"/>
    <w:rsid w:val="53B06152"/>
    <w:rsid w:val="53B37937"/>
    <w:rsid w:val="53B4150C"/>
    <w:rsid w:val="53B518FF"/>
    <w:rsid w:val="53B61BA2"/>
    <w:rsid w:val="53B6696C"/>
    <w:rsid w:val="53B713DF"/>
    <w:rsid w:val="53B733E6"/>
    <w:rsid w:val="53B7609F"/>
    <w:rsid w:val="53B760C0"/>
    <w:rsid w:val="53B97025"/>
    <w:rsid w:val="53BA17E2"/>
    <w:rsid w:val="53BB481D"/>
    <w:rsid w:val="53BD2563"/>
    <w:rsid w:val="53BE5488"/>
    <w:rsid w:val="53BF6ACB"/>
    <w:rsid w:val="53C00539"/>
    <w:rsid w:val="53C16120"/>
    <w:rsid w:val="53C22465"/>
    <w:rsid w:val="53C2530B"/>
    <w:rsid w:val="53C5119D"/>
    <w:rsid w:val="53C61C42"/>
    <w:rsid w:val="53C66ABF"/>
    <w:rsid w:val="53C733E2"/>
    <w:rsid w:val="53C86AEE"/>
    <w:rsid w:val="53C91322"/>
    <w:rsid w:val="53C968C6"/>
    <w:rsid w:val="53CB6D98"/>
    <w:rsid w:val="53CC2C3D"/>
    <w:rsid w:val="53CD61C2"/>
    <w:rsid w:val="53CE7DCD"/>
    <w:rsid w:val="53CF5651"/>
    <w:rsid w:val="53D10BEC"/>
    <w:rsid w:val="53D15683"/>
    <w:rsid w:val="53D1688B"/>
    <w:rsid w:val="53D20AF3"/>
    <w:rsid w:val="53D24EAB"/>
    <w:rsid w:val="53D25B41"/>
    <w:rsid w:val="53D31D87"/>
    <w:rsid w:val="53D419E6"/>
    <w:rsid w:val="53D42DDE"/>
    <w:rsid w:val="53D43C9C"/>
    <w:rsid w:val="53D43CA6"/>
    <w:rsid w:val="53D46549"/>
    <w:rsid w:val="53D516FD"/>
    <w:rsid w:val="53D51735"/>
    <w:rsid w:val="53D57701"/>
    <w:rsid w:val="53D63625"/>
    <w:rsid w:val="53D70D89"/>
    <w:rsid w:val="53D81069"/>
    <w:rsid w:val="53D8382B"/>
    <w:rsid w:val="53D84DF6"/>
    <w:rsid w:val="53D9759C"/>
    <w:rsid w:val="53DA0401"/>
    <w:rsid w:val="53DA267E"/>
    <w:rsid w:val="53DA32FF"/>
    <w:rsid w:val="53DA5003"/>
    <w:rsid w:val="53DA6993"/>
    <w:rsid w:val="53DA7E36"/>
    <w:rsid w:val="53DB3A72"/>
    <w:rsid w:val="53DB600C"/>
    <w:rsid w:val="53DB7DFA"/>
    <w:rsid w:val="53DC50DF"/>
    <w:rsid w:val="53DD3CD7"/>
    <w:rsid w:val="53DE0039"/>
    <w:rsid w:val="53DF1BBD"/>
    <w:rsid w:val="53DF2EED"/>
    <w:rsid w:val="53DF697E"/>
    <w:rsid w:val="53E2021C"/>
    <w:rsid w:val="53E26421"/>
    <w:rsid w:val="53E2646E"/>
    <w:rsid w:val="53E43BE9"/>
    <w:rsid w:val="53E45D42"/>
    <w:rsid w:val="53E5776E"/>
    <w:rsid w:val="53E57E7C"/>
    <w:rsid w:val="53E60E79"/>
    <w:rsid w:val="53E63719"/>
    <w:rsid w:val="53E779DA"/>
    <w:rsid w:val="53E80CB0"/>
    <w:rsid w:val="53E86AF5"/>
    <w:rsid w:val="53E904E2"/>
    <w:rsid w:val="53E918B8"/>
    <w:rsid w:val="53EA3662"/>
    <w:rsid w:val="53EB234C"/>
    <w:rsid w:val="53EB335F"/>
    <w:rsid w:val="53EB47E6"/>
    <w:rsid w:val="53EB52CD"/>
    <w:rsid w:val="53EC193E"/>
    <w:rsid w:val="53EC1ECF"/>
    <w:rsid w:val="53ED036E"/>
    <w:rsid w:val="53ED4F93"/>
    <w:rsid w:val="53ED77A6"/>
    <w:rsid w:val="53EE2320"/>
    <w:rsid w:val="53EE4A37"/>
    <w:rsid w:val="53EF642B"/>
    <w:rsid w:val="53EF66C3"/>
    <w:rsid w:val="53F11DDB"/>
    <w:rsid w:val="53F15823"/>
    <w:rsid w:val="53F341D7"/>
    <w:rsid w:val="53F40C0E"/>
    <w:rsid w:val="53F503FB"/>
    <w:rsid w:val="53F65B66"/>
    <w:rsid w:val="53F67D52"/>
    <w:rsid w:val="53F70ADE"/>
    <w:rsid w:val="53F947A1"/>
    <w:rsid w:val="53F94BD2"/>
    <w:rsid w:val="53FA3924"/>
    <w:rsid w:val="53FA3B07"/>
    <w:rsid w:val="53FA5565"/>
    <w:rsid w:val="53FA7459"/>
    <w:rsid w:val="53FB7FFB"/>
    <w:rsid w:val="53FC12DE"/>
    <w:rsid w:val="53FE3D2B"/>
    <w:rsid w:val="53FE6710"/>
    <w:rsid w:val="53FF1B7A"/>
    <w:rsid w:val="53FF4F44"/>
    <w:rsid w:val="54007B39"/>
    <w:rsid w:val="54015456"/>
    <w:rsid w:val="5401741B"/>
    <w:rsid w:val="54025021"/>
    <w:rsid w:val="54027CA6"/>
    <w:rsid w:val="54034428"/>
    <w:rsid w:val="54051F9A"/>
    <w:rsid w:val="5405315E"/>
    <w:rsid w:val="54056EBB"/>
    <w:rsid w:val="5406312E"/>
    <w:rsid w:val="54063E08"/>
    <w:rsid w:val="54066C17"/>
    <w:rsid w:val="54072112"/>
    <w:rsid w:val="540733D5"/>
    <w:rsid w:val="54073F49"/>
    <w:rsid w:val="54086E0D"/>
    <w:rsid w:val="54092AF9"/>
    <w:rsid w:val="540D599F"/>
    <w:rsid w:val="540E28BB"/>
    <w:rsid w:val="541014F5"/>
    <w:rsid w:val="541035C1"/>
    <w:rsid w:val="54113D67"/>
    <w:rsid w:val="54122313"/>
    <w:rsid w:val="54137013"/>
    <w:rsid w:val="54147239"/>
    <w:rsid w:val="54152F34"/>
    <w:rsid w:val="54170730"/>
    <w:rsid w:val="541805AF"/>
    <w:rsid w:val="5418636F"/>
    <w:rsid w:val="541A5F48"/>
    <w:rsid w:val="541C016B"/>
    <w:rsid w:val="541C6BFC"/>
    <w:rsid w:val="541C77D0"/>
    <w:rsid w:val="541E4338"/>
    <w:rsid w:val="541E5716"/>
    <w:rsid w:val="541F36CE"/>
    <w:rsid w:val="54204C8E"/>
    <w:rsid w:val="54205307"/>
    <w:rsid w:val="54205743"/>
    <w:rsid w:val="542138DE"/>
    <w:rsid w:val="5422503E"/>
    <w:rsid w:val="54226667"/>
    <w:rsid w:val="5422686A"/>
    <w:rsid w:val="54240834"/>
    <w:rsid w:val="54240E39"/>
    <w:rsid w:val="542556B3"/>
    <w:rsid w:val="54256BD0"/>
    <w:rsid w:val="54260108"/>
    <w:rsid w:val="54275BEC"/>
    <w:rsid w:val="54280210"/>
    <w:rsid w:val="54284F4C"/>
    <w:rsid w:val="542A007C"/>
    <w:rsid w:val="542A496E"/>
    <w:rsid w:val="542B0A8A"/>
    <w:rsid w:val="542B0CA0"/>
    <w:rsid w:val="542C164A"/>
    <w:rsid w:val="542C713E"/>
    <w:rsid w:val="542D10CA"/>
    <w:rsid w:val="542D45F4"/>
    <w:rsid w:val="542D4F25"/>
    <w:rsid w:val="542D593B"/>
    <w:rsid w:val="542E1865"/>
    <w:rsid w:val="542E6547"/>
    <w:rsid w:val="54314400"/>
    <w:rsid w:val="54336CC9"/>
    <w:rsid w:val="543437E8"/>
    <w:rsid w:val="54364B1A"/>
    <w:rsid w:val="5436653D"/>
    <w:rsid w:val="543717DE"/>
    <w:rsid w:val="543807EB"/>
    <w:rsid w:val="54382673"/>
    <w:rsid w:val="54387F99"/>
    <w:rsid w:val="54394C6C"/>
    <w:rsid w:val="54396F6E"/>
    <w:rsid w:val="543A46A6"/>
    <w:rsid w:val="543A6DC3"/>
    <w:rsid w:val="543B1AE2"/>
    <w:rsid w:val="543B290B"/>
    <w:rsid w:val="543C2198"/>
    <w:rsid w:val="543C25D5"/>
    <w:rsid w:val="543D2EEF"/>
    <w:rsid w:val="543F4ACA"/>
    <w:rsid w:val="543F566E"/>
    <w:rsid w:val="544016B9"/>
    <w:rsid w:val="54433F0F"/>
    <w:rsid w:val="544413FE"/>
    <w:rsid w:val="54462620"/>
    <w:rsid w:val="54472C5E"/>
    <w:rsid w:val="544762D1"/>
    <w:rsid w:val="54477609"/>
    <w:rsid w:val="54482857"/>
    <w:rsid w:val="5448686B"/>
    <w:rsid w:val="544913E4"/>
    <w:rsid w:val="54495535"/>
    <w:rsid w:val="544A16F4"/>
    <w:rsid w:val="544B0005"/>
    <w:rsid w:val="544B5DC1"/>
    <w:rsid w:val="544B7B6F"/>
    <w:rsid w:val="544C7812"/>
    <w:rsid w:val="544D3472"/>
    <w:rsid w:val="544D7AA7"/>
    <w:rsid w:val="544E4C48"/>
    <w:rsid w:val="544E58B1"/>
    <w:rsid w:val="545033D7"/>
    <w:rsid w:val="54511586"/>
    <w:rsid w:val="54520271"/>
    <w:rsid w:val="5453019B"/>
    <w:rsid w:val="54535504"/>
    <w:rsid w:val="54546507"/>
    <w:rsid w:val="54546D09"/>
    <w:rsid w:val="54555BD2"/>
    <w:rsid w:val="54562E88"/>
    <w:rsid w:val="54564F61"/>
    <w:rsid w:val="5457734A"/>
    <w:rsid w:val="5458228C"/>
    <w:rsid w:val="54583304"/>
    <w:rsid w:val="54586B20"/>
    <w:rsid w:val="545C1CB4"/>
    <w:rsid w:val="545C775F"/>
    <w:rsid w:val="545D00E4"/>
    <w:rsid w:val="545D087D"/>
    <w:rsid w:val="545D08A3"/>
    <w:rsid w:val="545E3EE5"/>
    <w:rsid w:val="545F4C69"/>
    <w:rsid w:val="5460481C"/>
    <w:rsid w:val="546121BB"/>
    <w:rsid w:val="54614CD4"/>
    <w:rsid w:val="546217EC"/>
    <w:rsid w:val="54625BA7"/>
    <w:rsid w:val="54633517"/>
    <w:rsid w:val="546420B5"/>
    <w:rsid w:val="54646081"/>
    <w:rsid w:val="54647B90"/>
    <w:rsid w:val="54652A21"/>
    <w:rsid w:val="5465689A"/>
    <w:rsid w:val="54662BFB"/>
    <w:rsid w:val="54666CBD"/>
    <w:rsid w:val="5467271A"/>
    <w:rsid w:val="54672B21"/>
    <w:rsid w:val="5468091A"/>
    <w:rsid w:val="54696256"/>
    <w:rsid w:val="546A41AC"/>
    <w:rsid w:val="546A4302"/>
    <w:rsid w:val="546A7DCE"/>
    <w:rsid w:val="546B0211"/>
    <w:rsid w:val="546C2D5F"/>
    <w:rsid w:val="546C6D7C"/>
    <w:rsid w:val="546E421C"/>
    <w:rsid w:val="546E7CE9"/>
    <w:rsid w:val="546F05D6"/>
    <w:rsid w:val="546F0BF7"/>
    <w:rsid w:val="54702A8C"/>
    <w:rsid w:val="547122D0"/>
    <w:rsid w:val="54717010"/>
    <w:rsid w:val="54721596"/>
    <w:rsid w:val="5472380F"/>
    <w:rsid w:val="54725BB9"/>
    <w:rsid w:val="54732B1A"/>
    <w:rsid w:val="54743353"/>
    <w:rsid w:val="54745318"/>
    <w:rsid w:val="54751EC7"/>
    <w:rsid w:val="54762A11"/>
    <w:rsid w:val="54764980"/>
    <w:rsid w:val="54776C1D"/>
    <w:rsid w:val="5479292E"/>
    <w:rsid w:val="54794EEA"/>
    <w:rsid w:val="54795E85"/>
    <w:rsid w:val="547B1E90"/>
    <w:rsid w:val="547B2146"/>
    <w:rsid w:val="547B2E80"/>
    <w:rsid w:val="547B4526"/>
    <w:rsid w:val="547C354C"/>
    <w:rsid w:val="547C41CC"/>
    <w:rsid w:val="547C5C78"/>
    <w:rsid w:val="547D2123"/>
    <w:rsid w:val="547D30D0"/>
    <w:rsid w:val="547E729C"/>
    <w:rsid w:val="54802663"/>
    <w:rsid w:val="54807C7E"/>
    <w:rsid w:val="548313A0"/>
    <w:rsid w:val="5483555B"/>
    <w:rsid w:val="548412D3"/>
    <w:rsid w:val="54843E53"/>
    <w:rsid w:val="54854E7E"/>
    <w:rsid w:val="54856696"/>
    <w:rsid w:val="5487606E"/>
    <w:rsid w:val="548765B5"/>
    <w:rsid w:val="54881A60"/>
    <w:rsid w:val="5488366D"/>
    <w:rsid w:val="548866AD"/>
    <w:rsid w:val="54894B13"/>
    <w:rsid w:val="548A3202"/>
    <w:rsid w:val="548A6D58"/>
    <w:rsid w:val="548B0DF1"/>
    <w:rsid w:val="548C1B1D"/>
    <w:rsid w:val="548C2009"/>
    <w:rsid w:val="548D2388"/>
    <w:rsid w:val="548D4494"/>
    <w:rsid w:val="548E1336"/>
    <w:rsid w:val="548E65FB"/>
    <w:rsid w:val="548F2AA2"/>
    <w:rsid w:val="549029D8"/>
    <w:rsid w:val="5490540A"/>
    <w:rsid w:val="5491494D"/>
    <w:rsid w:val="5494116A"/>
    <w:rsid w:val="5494389B"/>
    <w:rsid w:val="549459BA"/>
    <w:rsid w:val="54951696"/>
    <w:rsid w:val="54951E2F"/>
    <w:rsid w:val="549534E0"/>
    <w:rsid w:val="549538E7"/>
    <w:rsid w:val="5495703C"/>
    <w:rsid w:val="54962ACC"/>
    <w:rsid w:val="5496418B"/>
    <w:rsid w:val="549675C0"/>
    <w:rsid w:val="54975655"/>
    <w:rsid w:val="54981CEB"/>
    <w:rsid w:val="549C0831"/>
    <w:rsid w:val="549D533B"/>
    <w:rsid w:val="549E09C6"/>
    <w:rsid w:val="549E36F6"/>
    <w:rsid w:val="549F2868"/>
    <w:rsid w:val="549F3674"/>
    <w:rsid w:val="549F5212"/>
    <w:rsid w:val="54A01AA9"/>
    <w:rsid w:val="54A05231"/>
    <w:rsid w:val="54A14A42"/>
    <w:rsid w:val="54A16E86"/>
    <w:rsid w:val="54A26BAF"/>
    <w:rsid w:val="54A52362"/>
    <w:rsid w:val="54A55CD5"/>
    <w:rsid w:val="54A62134"/>
    <w:rsid w:val="54A656ED"/>
    <w:rsid w:val="54A731B4"/>
    <w:rsid w:val="54A73BE5"/>
    <w:rsid w:val="54A77D22"/>
    <w:rsid w:val="54A823BF"/>
    <w:rsid w:val="54A83213"/>
    <w:rsid w:val="54A84FC1"/>
    <w:rsid w:val="54A934C4"/>
    <w:rsid w:val="54AA1651"/>
    <w:rsid w:val="54AB1518"/>
    <w:rsid w:val="54AB3641"/>
    <w:rsid w:val="54AB4BBE"/>
    <w:rsid w:val="54AC7026"/>
    <w:rsid w:val="54AD532E"/>
    <w:rsid w:val="54AE3A56"/>
    <w:rsid w:val="54AF3E9E"/>
    <w:rsid w:val="54B06BC3"/>
    <w:rsid w:val="54B221E4"/>
    <w:rsid w:val="54B251FD"/>
    <w:rsid w:val="54B26D18"/>
    <w:rsid w:val="54B30B34"/>
    <w:rsid w:val="54B31952"/>
    <w:rsid w:val="54B33B88"/>
    <w:rsid w:val="54B43DCB"/>
    <w:rsid w:val="54B5093F"/>
    <w:rsid w:val="54B63168"/>
    <w:rsid w:val="54B677C0"/>
    <w:rsid w:val="54B770B3"/>
    <w:rsid w:val="54B90F7D"/>
    <w:rsid w:val="54B9614F"/>
    <w:rsid w:val="54B96C73"/>
    <w:rsid w:val="54BB4B37"/>
    <w:rsid w:val="54BB7A1B"/>
    <w:rsid w:val="54BC0D31"/>
    <w:rsid w:val="54BE21EE"/>
    <w:rsid w:val="54BE2573"/>
    <w:rsid w:val="54BE5E30"/>
    <w:rsid w:val="54BF1E86"/>
    <w:rsid w:val="54BF234A"/>
    <w:rsid w:val="54BF3E40"/>
    <w:rsid w:val="54C07B17"/>
    <w:rsid w:val="54C12889"/>
    <w:rsid w:val="54C12EAA"/>
    <w:rsid w:val="54C1333C"/>
    <w:rsid w:val="54C13CA3"/>
    <w:rsid w:val="54C146ED"/>
    <w:rsid w:val="54C14E84"/>
    <w:rsid w:val="54C278E4"/>
    <w:rsid w:val="54C30B58"/>
    <w:rsid w:val="54C31DFB"/>
    <w:rsid w:val="54C374D8"/>
    <w:rsid w:val="54C37F86"/>
    <w:rsid w:val="54C40A1E"/>
    <w:rsid w:val="54C438C4"/>
    <w:rsid w:val="54C616CE"/>
    <w:rsid w:val="54C63734"/>
    <w:rsid w:val="54C65448"/>
    <w:rsid w:val="54C80AC8"/>
    <w:rsid w:val="54C82821"/>
    <w:rsid w:val="54C87412"/>
    <w:rsid w:val="54C93B7E"/>
    <w:rsid w:val="54C9771A"/>
    <w:rsid w:val="54CB48B1"/>
    <w:rsid w:val="54CC1434"/>
    <w:rsid w:val="54CC5110"/>
    <w:rsid w:val="54CC5154"/>
    <w:rsid w:val="54CD4325"/>
    <w:rsid w:val="54CF7C02"/>
    <w:rsid w:val="54D02B4A"/>
    <w:rsid w:val="54D114E0"/>
    <w:rsid w:val="54D2090E"/>
    <w:rsid w:val="54D36C38"/>
    <w:rsid w:val="54D42D95"/>
    <w:rsid w:val="54D43036"/>
    <w:rsid w:val="54D45DB6"/>
    <w:rsid w:val="54D462AE"/>
    <w:rsid w:val="54D47790"/>
    <w:rsid w:val="54D52B25"/>
    <w:rsid w:val="54D70171"/>
    <w:rsid w:val="54D83166"/>
    <w:rsid w:val="54D868E4"/>
    <w:rsid w:val="54D918C2"/>
    <w:rsid w:val="54DA4971"/>
    <w:rsid w:val="54DC18AC"/>
    <w:rsid w:val="54DC1C5B"/>
    <w:rsid w:val="54DC2C38"/>
    <w:rsid w:val="54DC3DA5"/>
    <w:rsid w:val="54DD2EC7"/>
    <w:rsid w:val="54E01DBB"/>
    <w:rsid w:val="54E0734C"/>
    <w:rsid w:val="54E16529"/>
    <w:rsid w:val="54E20CF0"/>
    <w:rsid w:val="54E23A02"/>
    <w:rsid w:val="54E25A5F"/>
    <w:rsid w:val="54E35FFA"/>
    <w:rsid w:val="54E62581"/>
    <w:rsid w:val="54E6429A"/>
    <w:rsid w:val="54E6445F"/>
    <w:rsid w:val="54E77E71"/>
    <w:rsid w:val="54E83610"/>
    <w:rsid w:val="54E93041"/>
    <w:rsid w:val="54E961EC"/>
    <w:rsid w:val="54EA382C"/>
    <w:rsid w:val="54EA3898"/>
    <w:rsid w:val="54EA4856"/>
    <w:rsid w:val="54EA7388"/>
    <w:rsid w:val="54EB1352"/>
    <w:rsid w:val="54EB638E"/>
    <w:rsid w:val="54EC3843"/>
    <w:rsid w:val="54EC3C1B"/>
    <w:rsid w:val="54EC7C52"/>
    <w:rsid w:val="54ED1FEE"/>
    <w:rsid w:val="54ED6E78"/>
    <w:rsid w:val="54F02C0A"/>
    <w:rsid w:val="54F036D4"/>
    <w:rsid w:val="54F14A64"/>
    <w:rsid w:val="54F2448F"/>
    <w:rsid w:val="54F2522D"/>
    <w:rsid w:val="54F266BC"/>
    <w:rsid w:val="54F541E7"/>
    <w:rsid w:val="54F61579"/>
    <w:rsid w:val="54F73313"/>
    <w:rsid w:val="54F80955"/>
    <w:rsid w:val="54F9129B"/>
    <w:rsid w:val="54FB30C8"/>
    <w:rsid w:val="54FB3A21"/>
    <w:rsid w:val="54FB4890"/>
    <w:rsid w:val="54FB53F8"/>
    <w:rsid w:val="54FB5AA3"/>
    <w:rsid w:val="54FC4F7F"/>
    <w:rsid w:val="54FD3E80"/>
    <w:rsid w:val="54FE0609"/>
    <w:rsid w:val="54FE2AEC"/>
    <w:rsid w:val="54FE2FE7"/>
    <w:rsid w:val="54FF223B"/>
    <w:rsid w:val="54FF63E3"/>
    <w:rsid w:val="550045F1"/>
    <w:rsid w:val="55005333"/>
    <w:rsid w:val="5503166C"/>
    <w:rsid w:val="55033835"/>
    <w:rsid w:val="5505574B"/>
    <w:rsid w:val="550619EB"/>
    <w:rsid w:val="550846F8"/>
    <w:rsid w:val="550A34A0"/>
    <w:rsid w:val="550A477B"/>
    <w:rsid w:val="550B0877"/>
    <w:rsid w:val="550B1D46"/>
    <w:rsid w:val="550B5550"/>
    <w:rsid w:val="550C0B99"/>
    <w:rsid w:val="550C1545"/>
    <w:rsid w:val="550C37A2"/>
    <w:rsid w:val="550D7E44"/>
    <w:rsid w:val="550E0320"/>
    <w:rsid w:val="550F1E2E"/>
    <w:rsid w:val="550F78AC"/>
    <w:rsid w:val="550F7CA6"/>
    <w:rsid w:val="55106D44"/>
    <w:rsid w:val="5510700C"/>
    <w:rsid w:val="55125270"/>
    <w:rsid w:val="551323BC"/>
    <w:rsid w:val="55132520"/>
    <w:rsid w:val="5513729A"/>
    <w:rsid w:val="55140F2F"/>
    <w:rsid w:val="551458FF"/>
    <w:rsid w:val="55146546"/>
    <w:rsid w:val="55147A1E"/>
    <w:rsid w:val="55151B4A"/>
    <w:rsid w:val="551804A1"/>
    <w:rsid w:val="55187F1F"/>
    <w:rsid w:val="55192603"/>
    <w:rsid w:val="55195EBF"/>
    <w:rsid w:val="551A5986"/>
    <w:rsid w:val="551B555A"/>
    <w:rsid w:val="551C0E7F"/>
    <w:rsid w:val="551C1AB4"/>
    <w:rsid w:val="551C1E13"/>
    <w:rsid w:val="551C4226"/>
    <w:rsid w:val="551C574A"/>
    <w:rsid w:val="551C730E"/>
    <w:rsid w:val="551D3B59"/>
    <w:rsid w:val="551D46E0"/>
    <w:rsid w:val="551D6358"/>
    <w:rsid w:val="551E01F5"/>
    <w:rsid w:val="551E7032"/>
    <w:rsid w:val="551F1CBA"/>
    <w:rsid w:val="5520071A"/>
    <w:rsid w:val="55212DAA"/>
    <w:rsid w:val="55213E45"/>
    <w:rsid w:val="552218BF"/>
    <w:rsid w:val="55224EF3"/>
    <w:rsid w:val="5522547A"/>
    <w:rsid w:val="5522762D"/>
    <w:rsid w:val="55230002"/>
    <w:rsid w:val="5523124D"/>
    <w:rsid w:val="55231869"/>
    <w:rsid w:val="55237DD9"/>
    <w:rsid w:val="55241768"/>
    <w:rsid w:val="55251E16"/>
    <w:rsid w:val="55252EB4"/>
    <w:rsid w:val="55254864"/>
    <w:rsid w:val="5526704E"/>
    <w:rsid w:val="55272AAB"/>
    <w:rsid w:val="5527639D"/>
    <w:rsid w:val="55277D28"/>
    <w:rsid w:val="55284BB8"/>
    <w:rsid w:val="55290ED1"/>
    <w:rsid w:val="55291629"/>
    <w:rsid w:val="552A0727"/>
    <w:rsid w:val="552A0F02"/>
    <w:rsid w:val="552A4FD9"/>
    <w:rsid w:val="552B3A2B"/>
    <w:rsid w:val="552B4BC1"/>
    <w:rsid w:val="552B5846"/>
    <w:rsid w:val="552B6CDF"/>
    <w:rsid w:val="552B7027"/>
    <w:rsid w:val="552C2D71"/>
    <w:rsid w:val="552C5BF2"/>
    <w:rsid w:val="552C7ADE"/>
    <w:rsid w:val="552D3719"/>
    <w:rsid w:val="552E2B4C"/>
    <w:rsid w:val="552E71C5"/>
    <w:rsid w:val="552F78AA"/>
    <w:rsid w:val="55313784"/>
    <w:rsid w:val="55320D2F"/>
    <w:rsid w:val="5534220A"/>
    <w:rsid w:val="553524F0"/>
    <w:rsid w:val="553625CD"/>
    <w:rsid w:val="55367759"/>
    <w:rsid w:val="55376C92"/>
    <w:rsid w:val="55377577"/>
    <w:rsid w:val="5539030F"/>
    <w:rsid w:val="55394A6A"/>
    <w:rsid w:val="553A18EB"/>
    <w:rsid w:val="553A7CB7"/>
    <w:rsid w:val="553C4EFA"/>
    <w:rsid w:val="553C74D6"/>
    <w:rsid w:val="553F4D06"/>
    <w:rsid w:val="554058F4"/>
    <w:rsid w:val="55407939"/>
    <w:rsid w:val="554107AA"/>
    <w:rsid w:val="554108DD"/>
    <w:rsid w:val="55421D9E"/>
    <w:rsid w:val="554378E6"/>
    <w:rsid w:val="554438B8"/>
    <w:rsid w:val="554529E7"/>
    <w:rsid w:val="55457656"/>
    <w:rsid w:val="55460BEB"/>
    <w:rsid w:val="5548648A"/>
    <w:rsid w:val="554967A4"/>
    <w:rsid w:val="554975EC"/>
    <w:rsid w:val="554A5D68"/>
    <w:rsid w:val="554A5E7C"/>
    <w:rsid w:val="554A6079"/>
    <w:rsid w:val="554B4C2D"/>
    <w:rsid w:val="554B79BA"/>
    <w:rsid w:val="554C58EA"/>
    <w:rsid w:val="554C742E"/>
    <w:rsid w:val="554D3BF0"/>
    <w:rsid w:val="554E13D1"/>
    <w:rsid w:val="554E175D"/>
    <w:rsid w:val="554E1B07"/>
    <w:rsid w:val="554E1D72"/>
    <w:rsid w:val="554E3DBB"/>
    <w:rsid w:val="554E56D0"/>
    <w:rsid w:val="55511492"/>
    <w:rsid w:val="555170A7"/>
    <w:rsid w:val="55517D68"/>
    <w:rsid w:val="55524496"/>
    <w:rsid w:val="55535B32"/>
    <w:rsid w:val="55543E92"/>
    <w:rsid w:val="55546EF7"/>
    <w:rsid w:val="555574ED"/>
    <w:rsid w:val="555606B6"/>
    <w:rsid w:val="5556306F"/>
    <w:rsid w:val="55574A5A"/>
    <w:rsid w:val="55577A9A"/>
    <w:rsid w:val="555863AA"/>
    <w:rsid w:val="55590B84"/>
    <w:rsid w:val="555A15D5"/>
    <w:rsid w:val="555A5D4A"/>
    <w:rsid w:val="555B32D8"/>
    <w:rsid w:val="555B517B"/>
    <w:rsid w:val="555F2A91"/>
    <w:rsid w:val="555F3F23"/>
    <w:rsid w:val="555F63B4"/>
    <w:rsid w:val="555F700B"/>
    <w:rsid w:val="55602309"/>
    <w:rsid w:val="556052DD"/>
    <w:rsid w:val="55617F52"/>
    <w:rsid w:val="55635669"/>
    <w:rsid w:val="55652EB2"/>
    <w:rsid w:val="55676C2B"/>
    <w:rsid w:val="55680017"/>
    <w:rsid w:val="5568304C"/>
    <w:rsid w:val="556B377E"/>
    <w:rsid w:val="556B5794"/>
    <w:rsid w:val="556C2493"/>
    <w:rsid w:val="556D0A6C"/>
    <w:rsid w:val="556D1B46"/>
    <w:rsid w:val="556D411B"/>
    <w:rsid w:val="556E2BE2"/>
    <w:rsid w:val="556E4A43"/>
    <w:rsid w:val="556E51DD"/>
    <w:rsid w:val="556F1183"/>
    <w:rsid w:val="556F3D31"/>
    <w:rsid w:val="55703DF7"/>
    <w:rsid w:val="55710D9F"/>
    <w:rsid w:val="55712022"/>
    <w:rsid w:val="55713CB5"/>
    <w:rsid w:val="55735655"/>
    <w:rsid w:val="557356BF"/>
    <w:rsid w:val="55755AEA"/>
    <w:rsid w:val="55757E45"/>
    <w:rsid w:val="55772302"/>
    <w:rsid w:val="55787AE9"/>
    <w:rsid w:val="55793425"/>
    <w:rsid w:val="55794BB0"/>
    <w:rsid w:val="5579695E"/>
    <w:rsid w:val="557C3CE0"/>
    <w:rsid w:val="557D6163"/>
    <w:rsid w:val="557E2692"/>
    <w:rsid w:val="55804E70"/>
    <w:rsid w:val="55805313"/>
    <w:rsid w:val="55806E0B"/>
    <w:rsid w:val="55812122"/>
    <w:rsid w:val="55814EC1"/>
    <w:rsid w:val="55834437"/>
    <w:rsid w:val="5584559D"/>
    <w:rsid w:val="55862155"/>
    <w:rsid w:val="55865BC1"/>
    <w:rsid w:val="55870A29"/>
    <w:rsid w:val="5587536D"/>
    <w:rsid w:val="558754B4"/>
    <w:rsid w:val="5588208A"/>
    <w:rsid w:val="558843CD"/>
    <w:rsid w:val="55884BFF"/>
    <w:rsid w:val="558959AE"/>
    <w:rsid w:val="558973AD"/>
    <w:rsid w:val="558A2602"/>
    <w:rsid w:val="558A2919"/>
    <w:rsid w:val="558B0F30"/>
    <w:rsid w:val="558B12F0"/>
    <w:rsid w:val="558C6691"/>
    <w:rsid w:val="558D3EF5"/>
    <w:rsid w:val="558D41B7"/>
    <w:rsid w:val="55911EF9"/>
    <w:rsid w:val="559315FE"/>
    <w:rsid w:val="55945837"/>
    <w:rsid w:val="55952056"/>
    <w:rsid w:val="559568DC"/>
    <w:rsid w:val="559644E5"/>
    <w:rsid w:val="55976E37"/>
    <w:rsid w:val="55982C61"/>
    <w:rsid w:val="55985182"/>
    <w:rsid w:val="55985762"/>
    <w:rsid w:val="559B174B"/>
    <w:rsid w:val="559B571B"/>
    <w:rsid w:val="559C30D6"/>
    <w:rsid w:val="559C795F"/>
    <w:rsid w:val="559D1324"/>
    <w:rsid w:val="559D5E51"/>
    <w:rsid w:val="559F3837"/>
    <w:rsid w:val="55A00E78"/>
    <w:rsid w:val="55A0213D"/>
    <w:rsid w:val="55A03EEB"/>
    <w:rsid w:val="55A177A4"/>
    <w:rsid w:val="55A21511"/>
    <w:rsid w:val="55A25988"/>
    <w:rsid w:val="55A35789"/>
    <w:rsid w:val="55A37E05"/>
    <w:rsid w:val="55A421C8"/>
    <w:rsid w:val="55A43458"/>
    <w:rsid w:val="55A44E80"/>
    <w:rsid w:val="55A4659C"/>
    <w:rsid w:val="55A5058A"/>
    <w:rsid w:val="55A75279"/>
    <w:rsid w:val="55A77164"/>
    <w:rsid w:val="55A938D2"/>
    <w:rsid w:val="55A9556F"/>
    <w:rsid w:val="55AA3B4B"/>
    <w:rsid w:val="55AA3C0D"/>
    <w:rsid w:val="55AA552D"/>
    <w:rsid w:val="55AB1113"/>
    <w:rsid w:val="55AB1BE9"/>
    <w:rsid w:val="55AC781A"/>
    <w:rsid w:val="55AD1A98"/>
    <w:rsid w:val="55AD46DE"/>
    <w:rsid w:val="55AD602D"/>
    <w:rsid w:val="55AE4B30"/>
    <w:rsid w:val="55AE7B8F"/>
    <w:rsid w:val="55B01E00"/>
    <w:rsid w:val="55B05424"/>
    <w:rsid w:val="55B13B28"/>
    <w:rsid w:val="55B15A0D"/>
    <w:rsid w:val="55B16B7D"/>
    <w:rsid w:val="55B261C7"/>
    <w:rsid w:val="55B3376A"/>
    <w:rsid w:val="55B3499F"/>
    <w:rsid w:val="55B41744"/>
    <w:rsid w:val="55B53419"/>
    <w:rsid w:val="55B56F58"/>
    <w:rsid w:val="55B62BC9"/>
    <w:rsid w:val="55B74E37"/>
    <w:rsid w:val="55B811D4"/>
    <w:rsid w:val="55B92605"/>
    <w:rsid w:val="55B9334E"/>
    <w:rsid w:val="55B94A5E"/>
    <w:rsid w:val="55BB597E"/>
    <w:rsid w:val="55BD2CEE"/>
    <w:rsid w:val="55BD684B"/>
    <w:rsid w:val="55C01AA6"/>
    <w:rsid w:val="55C04A3F"/>
    <w:rsid w:val="55C04C11"/>
    <w:rsid w:val="55C05294"/>
    <w:rsid w:val="55C07D29"/>
    <w:rsid w:val="55C13859"/>
    <w:rsid w:val="55C16E70"/>
    <w:rsid w:val="55C21356"/>
    <w:rsid w:val="55C22346"/>
    <w:rsid w:val="55C234B0"/>
    <w:rsid w:val="55C314A0"/>
    <w:rsid w:val="55C43A6D"/>
    <w:rsid w:val="55C445B9"/>
    <w:rsid w:val="55C44C77"/>
    <w:rsid w:val="55C60660"/>
    <w:rsid w:val="55C70316"/>
    <w:rsid w:val="55C762A1"/>
    <w:rsid w:val="55C776C9"/>
    <w:rsid w:val="55CA0F67"/>
    <w:rsid w:val="55CA5232"/>
    <w:rsid w:val="55CB0292"/>
    <w:rsid w:val="55CB4084"/>
    <w:rsid w:val="55CE0CF4"/>
    <w:rsid w:val="55CF1D34"/>
    <w:rsid w:val="55CF7E7A"/>
    <w:rsid w:val="55D05227"/>
    <w:rsid w:val="55D11DEA"/>
    <w:rsid w:val="55D12737"/>
    <w:rsid w:val="55D2403E"/>
    <w:rsid w:val="55D34A00"/>
    <w:rsid w:val="55D50C40"/>
    <w:rsid w:val="55D50E22"/>
    <w:rsid w:val="55D50F5A"/>
    <w:rsid w:val="55D5627A"/>
    <w:rsid w:val="55D6790C"/>
    <w:rsid w:val="55D70BBB"/>
    <w:rsid w:val="55D72CA5"/>
    <w:rsid w:val="55D80B7D"/>
    <w:rsid w:val="55D8687A"/>
    <w:rsid w:val="55D956A7"/>
    <w:rsid w:val="55DB5B33"/>
    <w:rsid w:val="55DB7FBE"/>
    <w:rsid w:val="55DD5B36"/>
    <w:rsid w:val="55DE5D56"/>
    <w:rsid w:val="55DF2809"/>
    <w:rsid w:val="55E024FE"/>
    <w:rsid w:val="55E05452"/>
    <w:rsid w:val="55E069DD"/>
    <w:rsid w:val="55E21119"/>
    <w:rsid w:val="55E36AC2"/>
    <w:rsid w:val="55E37141"/>
    <w:rsid w:val="55E50B5B"/>
    <w:rsid w:val="55E53550"/>
    <w:rsid w:val="55E53563"/>
    <w:rsid w:val="55E727B5"/>
    <w:rsid w:val="55E82B84"/>
    <w:rsid w:val="55E875EF"/>
    <w:rsid w:val="55E92F5E"/>
    <w:rsid w:val="55E966BD"/>
    <w:rsid w:val="55EA5EC2"/>
    <w:rsid w:val="55EA6C97"/>
    <w:rsid w:val="55EB2648"/>
    <w:rsid w:val="55EB36C7"/>
    <w:rsid w:val="55EB682F"/>
    <w:rsid w:val="55EC4AF5"/>
    <w:rsid w:val="55ED23FA"/>
    <w:rsid w:val="55ED7157"/>
    <w:rsid w:val="55ED7B8B"/>
    <w:rsid w:val="55F00C7B"/>
    <w:rsid w:val="55F02393"/>
    <w:rsid w:val="55F13374"/>
    <w:rsid w:val="55F155D1"/>
    <w:rsid w:val="55F16113"/>
    <w:rsid w:val="55F1735A"/>
    <w:rsid w:val="55F31078"/>
    <w:rsid w:val="55F3561B"/>
    <w:rsid w:val="55F35E17"/>
    <w:rsid w:val="55F37AE8"/>
    <w:rsid w:val="55F44F16"/>
    <w:rsid w:val="55F66200"/>
    <w:rsid w:val="55F67FAE"/>
    <w:rsid w:val="55F70B1B"/>
    <w:rsid w:val="55F804F6"/>
    <w:rsid w:val="55F83C24"/>
    <w:rsid w:val="55F90B4F"/>
    <w:rsid w:val="55F931AE"/>
    <w:rsid w:val="55FA7725"/>
    <w:rsid w:val="55FB03CA"/>
    <w:rsid w:val="55FB32AF"/>
    <w:rsid w:val="55FB4449"/>
    <w:rsid w:val="55FB55C5"/>
    <w:rsid w:val="55FD30EB"/>
    <w:rsid w:val="55FD639A"/>
    <w:rsid w:val="55FD738A"/>
    <w:rsid w:val="55FE1C3A"/>
    <w:rsid w:val="55FE3B80"/>
    <w:rsid w:val="56004B04"/>
    <w:rsid w:val="56010B07"/>
    <w:rsid w:val="56031516"/>
    <w:rsid w:val="56031C3A"/>
    <w:rsid w:val="560364D8"/>
    <w:rsid w:val="56043840"/>
    <w:rsid w:val="56044998"/>
    <w:rsid w:val="5604729E"/>
    <w:rsid w:val="560476EB"/>
    <w:rsid w:val="56051070"/>
    <w:rsid w:val="56061419"/>
    <w:rsid w:val="56067310"/>
    <w:rsid w:val="5607674A"/>
    <w:rsid w:val="56080DC4"/>
    <w:rsid w:val="560836E3"/>
    <w:rsid w:val="5608702A"/>
    <w:rsid w:val="560901AF"/>
    <w:rsid w:val="56090DC7"/>
    <w:rsid w:val="56091A90"/>
    <w:rsid w:val="560B1CAC"/>
    <w:rsid w:val="560B3A5A"/>
    <w:rsid w:val="560B522F"/>
    <w:rsid w:val="560C551A"/>
    <w:rsid w:val="560D19DC"/>
    <w:rsid w:val="560D288B"/>
    <w:rsid w:val="560E39DC"/>
    <w:rsid w:val="56113503"/>
    <w:rsid w:val="561203B9"/>
    <w:rsid w:val="5612303A"/>
    <w:rsid w:val="56124432"/>
    <w:rsid w:val="56130317"/>
    <w:rsid w:val="5613082E"/>
    <w:rsid w:val="561313A7"/>
    <w:rsid w:val="56132512"/>
    <w:rsid w:val="56156687"/>
    <w:rsid w:val="56160623"/>
    <w:rsid w:val="561623FF"/>
    <w:rsid w:val="561736FF"/>
    <w:rsid w:val="56173E98"/>
    <w:rsid w:val="561843C9"/>
    <w:rsid w:val="56186556"/>
    <w:rsid w:val="56196DFF"/>
    <w:rsid w:val="561A2661"/>
    <w:rsid w:val="561D19DF"/>
    <w:rsid w:val="561D36A5"/>
    <w:rsid w:val="561D553B"/>
    <w:rsid w:val="56216E39"/>
    <w:rsid w:val="56217428"/>
    <w:rsid w:val="56220DA3"/>
    <w:rsid w:val="56221408"/>
    <w:rsid w:val="56222B52"/>
    <w:rsid w:val="5623019D"/>
    <w:rsid w:val="5623357B"/>
    <w:rsid w:val="562426B7"/>
    <w:rsid w:val="56247A78"/>
    <w:rsid w:val="56247EC6"/>
    <w:rsid w:val="56251DC9"/>
    <w:rsid w:val="56252C8B"/>
    <w:rsid w:val="562542C8"/>
    <w:rsid w:val="562543F0"/>
    <w:rsid w:val="562649FE"/>
    <w:rsid w:val="56267C1D"/>
    <w:rsid w:val="56271907"/>
    <w:rsid w:val="562763BA"/>
    <w:rsid w:val="56284342"/>
    <w:rsid w:val="56292079"/>
    <w:rsid w:val="562A4B2E"/>
    <w:rsid w:val="562B53BB"/>
    <w:rsid w:val="562C3AFC"/>
    <w:rsid w:val="562D7239"/>
    <w:rsid w:val="562E569E"/>
    <w:rsid w:val="562F1756"/>
    <w:rsid w:val="563009B9"/>
    <w:rsid w:val="56305D62"/>
    <w:rsid w:val="56311516"/>
    <w:rsid w:val="563138A2"/>
    <w:rsid w:val="5632076C"/>
    <w:rsid w:val="5632631D"/>
    <w:rsid w:val="56330066"/>
    <w:rsid w:val="563306E0"/>
    <w:rsid w:val="56334D5F"/>
    <w:rsid w:val="56340DF6"/>
    <w:rsid w:val="56355852"/>
    <w:rsid w:val="563576D1"/>
    <w:rsid w:val="56366403"/>
    <w:rsid w:val="56367BC0"/>
    <w:rsid w:val="56384123"/>
    <w:rsid w:val="56396706"/>
    <w:rsid w:val="563A3FF5"/>
    <w:rsid w:val="563C40E5"/>
    <w:rsid w:val="563D52E6"/>
    <w:rsid w:val="563D59A7"/>
    <w:rsid w:val="563D798B"/>
    <w:rsid w:val="56401FB6"/>
    <w:rsid w:val="56413980"/>
    <w:rsid w:val="56420A9E"/>
    <w:rsid w:val="56426F24"/>
    <w:rsid w:val="564358BF"/>
    <w:rsid w:val="5643639E"/>
    <w:rsid w:val="56440D1A"/>
    <w:rsid w:val="56454D26"/>
    <w:rsid w:val="564551F9"/>
    <w:rsid w:val="56455319"/>
    <w:rsid w:val="564557B0"/>
    <w:rsid w:val="5646003B"/>
    <w:rsid w:val="56462F23"/>
    <w:rsid w:val="564668F8"/>
    <w:rsid w:val="56495D96"/>
    <w:rsid w:val="564A48D7"/>
    <w:rsid w:val="564A6CA3"/>
    <w:rsid w:val="564B5BB5"/>
    <w:rsid w:val="564F0A47"/>
    <w:rsid w:val="564F49C2"/>
    <w:rsid w:val="56501167"/>
    <w:rsid w:val="565018FC"/>
    <w:rsid w:val="56511C98"/>
    <w:rsid w:val="56514C1D"/>
    <w:rsid w:val="56531871"/>
    <w:rsid w:val="5653231D"/>
    <w:rsid w:val="56532FDA"/>
    <w:rsid w:val="565524DA"/>
    <w:rsid w:val="565545BB"/>
    <w:rsid w:val="56560772"/>
    <w:rsid w:val="5656436E"/>
    <w:rsid w:val="565644B1"/>
    <w:rsid w:val="565656CF"/>
    <w:rsid w:val="56583407"/>
    <w:rsid w:val="56586F52"/>
    <w:rsid w:val="565965A4"/>
    <w:rsid w:val="565A05DF"/>
    <w:rsid w:val="565A374F"/>
    <w:rsid w:val="565A4685"/>
    <w:rsid w:val="565A5F67"/>
    <w:rsid w:val="565A699C"/>
    <w:rsid w:val="565A7E54"/>
    <w:rsid w:val="565B1BFE"/>
    <w:rsid w:val="565B237D"/>
    <w:rsid w:val="565B2B5B"/>
    <w:rsid w:val="565D3322"/>
    <w:rsid w:val="565D408D"/>
    <w:rsid w:val="565F4D5F"/>
    <w:rsid w:val="5660517B"/>
    <w:rsid w:val="5661228B"/>
    <w:rsid w:val="56612489"/>
    <w:rsid w:val="5661528F"/>
    <w:rsid w:val="56621E36"/>
    <w:rsid w:val="56635FD2"/>
    <w:rsid w:val="566376FA"/>
    <w:rsid w:val="56645C60"/>
    <w:rsid w:val="56652726"/>
    <w:rsid w:val="56660C90"/>
    <w:rsid w:val="566650E9"/>
    <w:rsid w:val="56670EB9"/>
    <w:rsid w:val="5667605F"/>
    <w:rsid w:val="56684C7E"/>
    <w:rsid w:val="56686813"/>
    <w:rsid w:val="56692B11"/>
    <w:rsid w:val="56696F00"/>
    <w:rsid w:val="566B457E"/>
    <w:rsid w:val="566C39D2"/>
    <w:rsid w:val="566E3C82"/>
    <w:rsid w:val="566F234F"/>
    <w:rsid w:val="566F33D2"/>
    <w:rsid w:val="56707387"/>
    <w:rsid w:val="5671442C"/>
    <w:rsid w:val="56720B88"/>
    <w:rsid w:val="56727B44"/>
    <w:rsid w:val="5673568A"/>
    <w:rsid w:val="56765263"/>
    <w:rsid w:val="56770254"/>
    <w:rsid w:val="56771994"/>
    <w:rsid w:val="56774584"/>
    <w:rsid w:val="56774F68"/>
    <w:rsid w:val="56781057"/>
    <w:rsid w:val="56783140"/>
    <w:rsid w:val="567A6356"/>
    <w:rsid w:val="567A6665"/>
    <w:rsid w:val="567C5AE1"/>
    <w:rsid w:val="567C6706"/>
    <w:rsid w:val="567F6F04"/>
    <w:rsid w:val="567F7FA4"/>
    <w:rsid w:val="568043CA"/>
    <w:rsid w:val="56815ACA"/>
    <w:rsid w:val="56823F0C"/>
    <w:rsid w:val="568321BB"/>
    <w:rsid w:val="56837A94"/>
    <w:rsid w:val="5684508C"/>
    <w:rsid w:val="568455BA"/>
    <w:rsid w:val="56856583"/>
    <w:rsid w:val="56861DA8"/>
    <w:rsid w:val="568627ED"/>
    <w:rsid w:val="56866CFB"/>
    <w:rsid w:val="56891D2C"/>
    <w:rsid w:val="56894F10"/>
    <w:rsid w:val="568A1DEA"/>
    <w:rsid w:val="568A220F"/>
    <w:rsid w:val="568A653E"/>
    <w:rsid w:val="568B53C7"/>
    <w:rsid w:val="568C4883"/>
    <w:rsid w:val="568E7F08"/>
    <w:rsid w:val="56902599"/>
    <w:rsid w:val="569177A9"/>
    <w:rsid w:val="5692172C"/>
    <w:rsid w:val="5692595D"/>
    <w:rsid w:val="569357FD"/>
    <w:rsid w:val="56952097"/>
    <w:rsid w:val="56976E3A"/>
    <w:rsid w:val="569844F5"/>
    <w:rsid w:val="569A1D83"/>
    <w:rsid w:val="569A40F6"/>
    <w:rsid w:val="56A00650"/>
    <w:rsid w:val="56A02494"/>
    <w:rsid w:val="56A16473"/>
    <w:rsid w:val="56A25616"/>
    <w:rsid w:val="56A330E5"/>
    <w:rsid w:val="56A44938"/>
    <w:rsid w:val="56A66856"/>
    <w:rsid w:val="56A7129B"/>
    <w:rsid w:val="56A7183C"/>
    <w:rsid w:val="56A73E59"/>
    <w:rsid w:val="56A75A24"/>
    <w:rsid w:val="56A75DA2"/>
    <w:rsid w:val="56A774B5"/>
    <w:rsid w:val="56A77BCA"/>
    <w:rsid w:val="56A8574D"/>
    <w:rsid w:val="56AA059F"/>
    <w:rsid w:val="56AA21E0"/>
    <w:rsid w:val="56AA2258"/>
    <w:rsid w:val="56AA5C3E"/>
    <w:rsid w:val="56AB262D"/>
    <w:rsid w:val="56AE43B1"/>
    <w:rsid w:val="56AE55E1"/>
    <w:rsid w:val="56AF0268"/>
    <w:rsid w:val="56AF1A06"/>
    <w:rsid w:val="56B04B74"/>
    <w:rsid w:val="56B13CD2"/>
    <w:rsid w:val="56B22A9C"/>
    <w:rsid w:val="56B24F6A"/>
    <w:rsid w:val="56B30473"/>
    <w:rsid w:val="56B34FD7"/>
    <w:rsid w:val="56B37C4E"/>
    <w:rsid w:val="56B417B4"/>
    <w:rsid w:val="56B42DBD"/>
    <w:rsid w:val="56B54C1D"/>
    <w:rsid w:val="56B551FF"/>
    <w:rsid w:val="56B61219"/>
    <w:rsid w:val="56B618F1"/>
    <w:rsid w:val="56B62312"/>
    <w:rsid w:val="56B72805"/>
    <w:rsid w:val="56B748A2"/>
    <w:rsid w:val="56B748BB"/>
    <w:rsid w:val="56B87BDA"/>
    <w:rsid w:val="56B914FA"/>
    <w:rsid w:val="56B92A6E"/>
    <w:rsid w:val="56B93938"/>
    <w:rsid w:val="56BA6B02"/>
    <w:rsid w:val="56BC5A0F"/>
    <w:rsid w:val="56BE7E5B"/>
    <w:rsid w:val="56BF2058"/>
    <w:rsid w:val="56C02A96"/>
    <w:rsid w:val="56C072E4"/>
    <w:rsid w:val="56C077AA"/>
    <w:rsid w:val="56C1236A"/>
    <w:rsid w:val="56C17C0F"/>
    <w:rsid w:val="56C251C0"/>
    <w:rsid w:val="56C25D72"/>
    <w:rsid w:val="56C30EB0"/>
    <w:rsid w:val="56C32250"/>
    <w:rsid w:val="56C340BC"/>
    <w:rsid w:val="56C36348"/>
    <w:rsid w:val="56C53780"/>
    <w:rsid w:val="56C5564A"/>
    <w:rsid w:val="56C62E2E"/>
    <w:rsid w:val="56C64655"/>
    <w:rsid w:val="56C85B33"/>
    <w:rsid w:val="56C97869"/>
    <w:rsid w:val="56CB2D43"/>
    <w:rsid w:val="56CB6F14"/>
    <w:rsid w:val="56CB7468"/>
    <w:rsid w:val="56CC4DE0"/>
    <w:rsid w:val="56CD49AA"/>
    <w:rsid w:val="56CD51B3"/>
    <w:rsid w:val="56CD7B3B"/>
    <w:rsid w:val="56CE1969"/>
    <w:rsid w:val="56CE3F2B"/>
    <w:rsid w:val="56CF4F2F"/>
    <w:rsid w:val="56D35C3B"/>
    <w:rsid w:val="56D524B3"/>
    <w:rsid w:val="56D54DC7"/>
    <w:rsid w:val="56D71B8E"/>
    <w:rsid w:val="56D84AD3"/>
    <w:rsid w:val="56D86546"/>
    <w:rsid w:val="56D93B58"/>
    <w:rsid w:val="56D95906"/>
    <w:rsid w:val="56DA342C"/>
    <w:rsid w:val="56DA5E49"/>
    <w:rsid w:val="56DB4899"/>
    <w:rsid w:val="56DD1B24"/>
    <w:rsid w:val="56DE6BE5"/>
    <w:rsid w:val="56DF60CC"/>
    <w:rsid w:val="56E05BB4"/>
    <w:rsid w:val="56E101E0"/>
    <w:rsid w:val="56E224F6"/>
    <w:rsid w:val="56E26E86"/>
    <w:rsid w:val="56E4369A"/>
    <w:rsid w:val="56E52553"/>
    <w:rsid w:val="56E568B0"/>
    <w:rsid w:val="56E6539D"/>
    <w:rsid w:val="56E66106"/>
    <w:rsid w:val="56E71797"/>
    <w:rsid w:val="56E85B49"/>
    <w:rsid w:val="56E87193"/>
    <w:rsid w:val="56E966AB"/>
    <w:rsid w:val="56ED315F"/>
    <w:rsid w:val="56ED3C1D"/>
    <w:rsid w:val="56ED6718"/>
    <w:rsid w:val="56F131A4"/>
    <w:rsid w:val="56F2139A"/>
    <w:rsid w:val="56F379AE"/>
    <w:rsid w:val="56F37F17"/>
    <w:rsid w:val="56F42ADC"/>
    <w:rsid w:val="56F444EE"/>
    <w:rsid w:val="56F50625"/>
    <w:rsid w:val="56F5666F"/>
    <w:rsid w:val="56F613B1"/>
    <w:rsid w:val="56F62872"/>
    <w:rsid w:val="56F71C0B"/>
    <w:rsid w:val="56F72230"/>
    <w:rsid w:val="56F75251"/>
    <w:rsid w:val="56F77E2F"/>
    <w:rsid w:val="56F83F8C"/>
    <w:rsid w:val="56F84D6A"/>
    <w:rsid w:val="56F921F4"/>
    <w:rsid w:val="56F94548"/>
    <w:rsid w:val="56FA0CB7"/>
    <w:rsid w:val="56FA188F"/>
    <w:rsid w:val="56FA3704"/>
    <w:rsid w:val="56FA755E"/>
    <w:rsid w:val="56FB3378"/>
    <w:rsid w:val="56FB46F5"/>
    <w:rsid w:val="56FC15F5"/>
    <w:rsid w:val="56FC7193"/>
    <w:rsid w:val="57014969"/>
    <w:rsid w:val="57021979"/>
    <w:rsid w:val="570222B1"/>
    <w:rsid w:val="57033CEB"/>
    <w:rsid w:val="57040AD4"/>
    <w:rsid w:val="570425E8"/>
    <w:rsid w:val="570550AF"/>
    <w:rsid w:val="57055595"/>
    <w:rsid w:val="57067644"/>
    <w:rsid w:val="5709675A"/>
    <w:rsid w:val="570A2678"/>
    <w:rsid w:val="570A6BD7"/>
    <w:rsid w:val="570C0E32"/>
    <w:rsid w:val="570C2B57"/>
    <w:rsid w:val="570D7BCB"/>
    <w:rsid w:val="570E6AC4"/>
    <w:rsid w:val="571078B3"/>
    <w:rsid w:val="57110691"/>
    <w:rsid w:val="57116F42"/>
    <w:rsid w:val="5714705F"/>
    <w:rsid w:val="571477B0"/>
    <w:rsid w:val="5715026D"/>
    <w:rsid w:val="57155E26"/>
    <w:rsid w:val="571644B3"/>
    <w:rsid w:val="57164A53"/>
    <w:rsid w:val="5716516A"/>
    <w:rsid w:val="571700C1"/>
    <w:rsid w:val="57171A7A"/>
    <w:rsid w:val="5717642E"/>
    <w:rsid w:val="57177F8E"/>
    <w:rsid w:val="57181A24"/>
    <w:rsid w:val="57184FAD"/>
    <w:rsid w:val="571903F8"/>
    <w:rsid w:val="57194FC3"/>
    <w:rsid w:val="57197B91"/>
    <w:rsid w:val="571B3425"/>
    <w:rsid w:val="571B5F1F"/>
    <w:rsid w:val="571C3A45"/>
    <w:rsid w:val="571D2D4D"/>
    <w:rsid w:val="571E050C"/>
    <w:rsid w:val="571E2AC9"/>
    <w:rsid w:val="571E514A"/>
    <w:rsid w:val="571E5DE4"/>
    <w:rsid w:val="57201787"/>
    <w:rsid w:val="57202356"/>
    <w:rsid w:val="572052E3"/>
    <w:rsid w:val="572160DF"/>
    <w:rsid w:val="57224041"/>
    <w:rsid w:val="57226BA7"/>
    <w:rsid w:val="5723008E"/>
    <w:rsid w:val="57235D52"/>
    <w:rsid w:val="57235EB0"/>
    <w:rsid w:val="57241153"/>
    <w:rsid w:val="57252941"/>
    <w:rsid w:val="57267EAD"/>
    <w:rsid w:val="57270142"/>
    <w:rsid w:val="572702DF"/>
    <w:rsid w:val="5727456B"/>
    <w:rsid w:val="57277B93"/>
    <w:rsid w:val="572861B0"/>
    <w:rsid w:val="57294DB9"/>
    <w:rsid w:val="572B2F77"/>
    <w:rsid w:val="572D0B48"/>
    <w:rsid w:val="572D1AB2"/>
    <w:rsid w:val="572D1FAA"/>
    <w:rsid w:val="572D385D"/>
    <w:rsid w:val="572D6DE5"/>
    <w:rsid w:val="572E185E"/>
    <w:rsid w:val="572E5D44"/>
    <w:rsid w:val="572F6095"/>
    <w:rsid w:val="573214BA"/>
    <w:rsid w:val="57321EB2"/>
    <w:rsid w:val="57343D1F"/>
    <w:rsid w:val="57346FE0"/>
    <w:rsid w:val="573553E8"/>
    <w:rsid w:val="57364B06"/>
    <w:rsid w:val="573667FA"/>
    <w:rsid w:val="573844FF"/>
    <w:rsid w:val="5738746C"/>
    <w:rsid w:val="5739028B"/>
    <w:rsid w:val="573939AB"/>
    <w:rsid w:val="573A0BD3"/>
    <w:rsid w:val="573A1AF4"/>
    <w:rsid w:val="573B268A"/>
    <w:rsid w:val="573C2744"/>
    <w:rsid w:val="573E0931"/>
    <w:rsid w:val="573E39BB"/>
    <w:rsid w:val="573F5C50"/>
    <w:rsid w:val="573F78A4"/>
    <w:rsid w:val="574154C6"/>
    <w:rsid w:val="57416D00"/>
    <w:rsid w:val="57430FD1"/>
    <w:rsid w:val="57431493"/>
    <w:rsid w:val="57431F17"/>
    <w:rsid w:val="57435475"/>
    <w:rsid w:val="574437F9"/>
    <w:rsid w:val="57444202"/>
    <w:rsid w:val="57444EAB"/>
    <w:rsid w:val="57452801"/>
    <w:rsid w:val="57452F9B"/>
    <w:rsid w:val="574619CA"/>
    <w:rsid w:val="57462B9C"/>
    <w:rsid w:val="574777D2"/>
    <w:rsid w:val="57487160"/>
    <w:rsid w:val="57492610"/>
    <w:rsid w:val="574A16AC"/>
    <w:rsid w:val="574A2244"/>
    <w:rsid w:val="574B2B9D"/>
    <w:rsid w:val="574B4300"/>
    <w:rsid w:val="574B5607"/>
    <w:rsid w:val="574E56BB"/>
    <w:rsid w:val="574E5FF4"/>
    <w:rsid w:val="574F0AD3"/>
    <w:rsid w:val="574F11E3"/>
    <w:rsid w:val="5750131B"/>
    <w:rsid w:val="57511940"/>
    <w:rsid w:val="575136EE"/>
    <w:rsid w:val="57514C7C"/>
    <w:rsid w:val="575332B3"/>
    <w:rsid w:val="575376E0"/>
    <w:rsid w:val="57544F8D"/>
    <w:rsid w:val="57551EFD"/>
    <w:rsid w:val="57557AE8"/>
    <w:rsid w:val="5756111B"/>
    <w:rsid w:val="57563CF4"/>
    <w:rsid w:val="575651A9"/>
    <w:rsid w:val="575718B6"/>
    <w:rsid w:val="57575DBC"/>
    <w:rsid w:val="57583CE7"/>
    <w:rsid w:val="57595DF5"/>
    <w:rsid w:val="57597AFD"/>
    <w:rsid w:val="575A33BD"/>
    <w:rsid w:val="575B5F96"/>
    <w:rsid w:val="575B6C94"/>
    <w:rsid w:val="575C24E9"/>
    <w:rsid w:val="575C5C60"/>
    <w:rsid w:val="575D1F51"/>
    <w:rsid w:val="575D65A5"/>
    <w:rsid w:val="575D77D3"/>
    <w:rsid w:val="575E22AF"/>
    <w:rsid w:val="575E3AFD"/>
    <w:rsid w:val="575E5E0B"/>
    <w:rsid w:val="575F58A9"/>
    <w:rsid w:val="575F6068"/>
    <w:rsid w:val="57603EB1"/>
    <w:rsid w:val="57626CED"/>
    <w:rsid w:val="57631674"/>
    <w:rsid w:val="57632745"/>
    <w:rsid w:val="576553EC"/>
    <w:rsid w:val="576617DC"/>
    <w:rsid w:val="57670A72"/>
    <w:rsid w:val="57672F12"/>
    <w:rsid w:val="57677DAD"/>
    <w:rsid w:val="5768064B"/>
    <w:rsid w:val="57681F50"/>
    <w:rsid w:val="57681F6D"/>
    <w:rsid w:val="57686C8A"/>
    <w:rsid w:val="57691D4D"/>
    <w:rsid w:val="57691DE7"/>
    <w:rsid w:val="576A2A02"/>
    <w:rsid w:val="576A36D7"/>
    <w:rsid w:val="576B22D6"/>
    <w:rsid w:val="576F23D5"/>
    <w:rsid w:val="576F2F9D"/>
    <w:rsid w:val="57705C34"/>
    <w:rsid w:val="57714035"/>
    <w:rsid w:val="577160F4"/>
    <w:rsid w:val="5772575D"/>
    <w:rsid w:val="57732535"/>
    <w:rsid w:val="57740C05"/>
    <w:rsid w:val="577A101C"/>
    <w:rsid w:val="577B762F"/>
    <w:rsid w:val="577B7AF3"/>
    <w:rsid w:val="577B7E06"/>
    <w:rsid w:val="577C1B2F"/>
    <w:rsid w:val="577D0E2D"/>
    <w:rsid w:val="577D5207"/>
    <w:rsid w:val="577E64AD"/>
    <w:rsid w:val="57802D19"/>
    <w:rsid w:val="57804957"/>
    <w:rsid w:val="57805D82"/>
    <w:rsid w:val="578300CC"/>
    <w:rsid w:val="5784708D"/>
    <w:rsid w:val="5787228F"/>
    <w:rsid w:val="57876D39"/>
    <w:rsid w:val="57877DA9"/>
    <w:rsid w:val="57880B5D"/>
    <w:rsid w:val="57882E88"/>
    <w:rsid w:val="57885D08"/>
    <w:rsid w:val="57887A2B"/>
    <w:rsid w:val="57891D6D"/>
    <w:rsid w:val="578A202A"/>
    <w:rsid w:val="578A29C3"/>
    <w:rsid w:val="578A4585"/>
    <w:rsid w:val="578C3620"/>
    <w:rsid w:val="578C3DD8"/>
    <w:rsid w:val="578D7D69"/>
    <w:rsid w:val="578E1EDB"/>
    <w:rsid w:val="578F20F6"/>
    <w:rsid w:val="57901CB9"/>
    <w:rsid w:val="579023EC"/>
    <w:rsid w:val="57911709"/>
    <w:rsid w:val="57916020"/>
    <w:rsid w:val="57916F1A"/>
    <w:rsid w:val="579266C3"/>
    <w:rsid w:val="57940921"/>
    <w:rsid w:val="57941896"/>
    <w:rsid w:val="57950643"/>
    <w:rsid w:val="57954028"/>
    <w:rsid w:val="57961A49"/>
    <w:rsid w:val="57962F95"/>
    <w:rsid w:val="57964763"/>
    <w:rsid w:val="57970E6E"/>
    <w:rsid w:val="5797214F"/>
    <w:rsid w:val="579834B7"/>
    <w:rsid w:val="57983CCC"/>
    <w:rsid w:val="57990312"/>
    <w:rsid w:val="57995095"/>
    <w:rsid w:val="579B51BE"/>
    <w:rsid w:val="579B5C05"/>
    <w:rsid w:val="579C7748"/>
    <w:rsid w:val="579D0B6C"/>
    <w:rsid w:val="579D2FFE"/>
    <w:rsid w:val="579E4A3A"/>
    <w:rsid w:val="579E626B"/>
    <w:rsid w:val="579E7089"/>
    <w:rsid w:val="57A032F3"/>
    <w:rsid w:val="57A04FE6"/>
    <w:rsid w:val="57A07E39"/>
    <w:rsid w:val="57A16CEC"/>
    <w:rsid w:val="57A2475E"/>
    <w:rsid w:val="57A32CBE"/>
    <w:rsid w:val="57A46928"/>
    <w:rsid w:val="57A540AA"/>
    <w:rsid w:val="57A660A6"/>
    <w:rsid w:val="57A874DF"/>
    <w:rsid w:val="57AA2DFF"/>
    <w:rsid w:val="57AB1FCB"/>
    <w:rsid w:val="57AB45A5"/>
    <w:rsid w:val="57AB58F8"/>
    <w:rsid w:val="57AC1F5D"/>
    <w:rsid w:val="57AE7E8C"/>
    <w:rsid w:val="57B02E32"/>
    <w:rsid w:val="57B12C0B"/>
    <w:rsid w:val="57B272F8"/>
    <w:rsid w:val="57B37607"/>
    <w:rsid w:val="57B515AD"/>
    <w:rsid w:val="57B51AF6"/>
    <w:rsid w:val="57B533B7"/>
    <w:rsid w:val="57B577BE"/>
    <w:rsid w:val="57B64460"/>
    <w:rsid w:val="57B715F4"/>
    <w:rsid w:val="57B72A76"/>
    <w:rsid w:val="57B74FB6"/>
    <w:rsid w:val="57B859AF"/>
    <w:rsid w:val="57BB07B6"/>
    <w:rsid w:val="57BB61BB"/>
    <w:rsid w:val="57BC1EB0"/>
    <w:rsid w:val="57BC3513"/>
    <w:rsid w:val="57BE50C3"/>
    <w:rsid w:val="57BF16EF"/>
    <w:rsid w:val="57C00A91"/>
    <w:rsid w:val="57C07378"/>
    <w:rsid w:val="57C1227D"/>
    <w:rsid w:val="57C14282"/>
    <w:rsid w:val="57C14295"/>
    <w:rsid w:val="57C20776"/>
    <w:rsid w:val="57C31C44"/>
    <w:rsid w:val="57C3426C"/>
    <w:rsid w:val="57C342EB"/>
    <w:rsid w:val="57C42735"/>
    <w:rsid w:val="57C42FBC"/>
    <w:rsid w:val="57C43751"/>
    <w:rsid w:val="57C52157"/>
    <w:rsid w:val="57C53554"/>
    <w:rsid w:val="57C538FF"/>
    <w:rsid w:val="57C540DC"/>
    <w:rsid w:val="57C5456B"/>
    <w:rsid w:val="57C55E8A"/>
    <w:rsid w:val="57C71C02"/>
    <w:rsid w:val="57C739B1"/>
    <w:rsid w:val="57C74311"/>
    <w:rsid w:val="57C830F1"/>
    <w:rsid w:val="57C83AB2"/>
    <w:rsid w:val="57C955F2"/>
    <w:rsid w:val="57CA3670"/>
    <w:rsid w:val="57CB1185"/>
    <w:rsid w:val="57CB1AC4"/>
    <w:rsid w:val="57CB7CF4"/>
    <w:rsid w:val="57CC28DF"/>
    <w:rsid w:val="57CC3FF9"/>
    <w:rsid w:val="57CD1D15"/>
    <w:rsid w:val="57CD4D3F"/>
    <w:rsid w:val="57CE1F93"/>
    <w:rsid w:val="57CF2865"/>
    <w:rsid w:val="57CF7691"/>
    <w:rsid w:val="57D02229"/>
    <w:rsid w:val="57D1482F"/>
    <w:rsid w:val="57D15B2D"/>
    <w:rsid w:val="57D17194"/>
    <w:rsid w:val="57D20B66"/>
    <w:rsid w:val="57D2301A"/>
    <w:rsid w:val="57D32CB6"/>
    <w:rsid w:val="57D46BB2"/>
    <w:rsid w:val="57D51955"/>
    <w:rsid w:val="57D57B62"/>
    <w:rsid w:val="57D60097"/>
    <w:rsid w:val="57D605C7"/>
    <w:rsid w:val="57D744C5"/>
    <w:rsid w:val="57D74D28"/>
    <w:rsid w:val="57D80A5C"/>
    <w:rsid w:val="57D83E10"/>
    <w:rsid w:val="57D9190C"/>
    <w:rsid w:val="57D97825"/>
    <w:rsid w:val="57DA63E5"/>
    <w:rsid w:val="57DC1CD2"/>
    <w:rsid w:val="57DC2896"/>
    <w:rsid w:val="57DC48D5"/>
    <w:rsid w:val="57DC7E83"/>
    <w:rsid w:val="57DD09CA"/>
    <w:rsid w:val="57DD342F"/>
    <w:rsid w:val="57E01127"/>
    <w:rsid w:val="57E016F1"/>
    <w:rsid w:val="57E05E54"/>
    <w:rsid w:val="57E14B9B"/>
    <w:rsid w:val="57E14D89"/>
    <w:rsid w:val="57E27CCA"/>
    <w:rsid w:val="57E30858"/>
    <w:rsid w:val="57E4312C"/>
    <w:rsid w:val="57E466B2"/>
    <w:rsid w:val="57E4733F"/>
    <w:rsid w:val="57E61028"/>
    <w:rsid w:val="57E664AA"/>
    <w:rsid w:val="57E73420"/>
    <w:rsid w:val="57E738C1"/>
    <w:rsid w:val="57E74E5F"/>
    <w:rsid w:val="57E75E01"/>
    <w:rsid w:val="57EA58F1"/>
    <w:rsid w:val="57EB5E03"/>
    <w:rsid w:val="57EC3417"/>
    <w:rsid w:val="57EC74DD"/>
    <w:rsid w:val="57EF1EA6"/>
    <w:rsid w:val="57EF4CB5"/>
    <w:rsid w:val="57F21060"/>
    <w:rsid w:val="57F25E5A"/>
    <w:rsid w:val="57F263A9"/>
    <w:rsid w:val="57F42CA4"/>
    <w:rsid w:val="57F4552E"/>
    <w:rsid w:val="57F53F26"/>
    <w:rsid w:val="57F56770"/>
    <w:rsid w:val="57F60919"/>
    <w:rsid w:val="57F9058B"/>
    <w:rsid w:val="57F928D4"/>
    <w:rsid w:val="57F95F1E"/>
    <w:rsid w:val="57FA4677"/>
    <w:rsid w:val="57FC6388"/>
    <w:rsid w:val="57FD4205"/>
    <w:rsid w:val="5800746A"/>
    <w:rsid w:val="58012F16"/>
    <w:rsid w:val="580158F7"/>
    <w:rsid w:val="58015A54"/>
    <w:rsid w:val="58016BCD"/>
    <w:rsid w:val="58040088"/>
    <w:rsid w:val="58042CF9"/>
    <w:rsid w:val="58047BC4"/>
    <w:rsid w:val="58062B6A"/>
    <w:rsid w:val="58073C52"/>
    <w:rsid w:val="580863F2"/>
    <w:rsid w:val="58093327"/>
    <w:rsid w:val="580A1AEF"/>
    <w:rsid w:val="580A51F2"/>
    <w:rsid w:val="580D7190"/>
    <w:rsid w:val="580D7529"/>
    <w:rsid w:val="580E1BF0"/>
    <w:rsid w:val="580E7831"/>
    <w:rsid w:val="580F192B"/>
    <w:rsid w:val="580F2C77"/>
    <w:rsid w:val="580F32B9"/>
    <w:rsid w:val="581035A9"/>
    <w:rsid w:val="5810551C"/>
    <w:rsid w:val="5810594D"/>
    <w:rsid w:val="58110E74"/>
    <w:rsid w:val="5811241E"/>
    <w:rsid w:val="58113DA1"/>
    <w:rsid w:val="5812190A"/>
    <w:rsid w:val="58130B85"/>
    <w:rsid w:val="58142175"/>
    <w:rsid w:val="5814369A"/>
    <w:rsid w:val="5814473E"/>
    <w:rsid w:val="5814625D"/>
    <w:rsid w:val="581476D0"/>
    <w:rsid w:val="58151317"/>
    <w:rsid w:val="581616F7"/>
    <w:rsid w:val="581A3733"/>
    <w:rsid w:val="581A3F0C"/>
    <w:rsid w:val="581B6ADF"/>
    <w:rsid w:val="581D5F68"/>
    <w:rsid w:val="581E1370"/>
    <w:rsid w:val="581E3D09"/>
    <w:rsid w:val="581F0CB3"/>
    <w:rsid w:val="581F2BDA"/>
    <w:rsid w:val="58205C46"/>
    <w:rsid w:val="58222C73"/>
    <w:rsid w:val="5822761C"/>
    <w:rsid w:val="58227A4D"/>
    <w:rsid w:val="5823306C"/>
    <w:rsid w:val="582367B8"/>
    <w:rsid w:val="58242BB1"/>
    <w:rsid w:val="58252215"/>
    <w:rsid w:val="5825330B"/>
    <w:rsid w:val="58262A5E"/>
    <w:rsid w:val="582651ED"/>
    <w:rsid w:val="5827049A"/>
    <w:rsid w:val="582708F3"/>
    <w:rsid w:val="582726A1"/>
    <w:rsid w:val="58284976"/>
    <w:rsid w:val="58284CD5"/>
    <w:rsid w:val="582940E7"/>
    <w:rsid w:val="582951BF"/>
    <w:rsid w:val="58295842"/>
    <w:rsid w:val="58296419"/>
    <w:rsid w:val="582A5808"/>
    <w:rsid w:val="582C0B68"/>
    <w:rsid w:val="582C48B7"/>
    <w:rsid w:val="582C7422"/>
    <w:rsid w:val="582D4257"/>
    <w:rsid w:val="582E3D7B"/>
    <w:rsid w:val="583024E1"/>
    <w:rsid w:val="583114F6"/>
    <w:rsid w:val="583123B9"/>
    <w:rsid w:val="583348BA"/>
    <w:rsid w:val="58350440"/>
    <w:rsid w:val="5835070A"/>
    <w:rsid w:val="58362591"/>
    <w:rsid w:val="58366B04"/>
    <w:rsid w:val="58374567"/>
    <w:rsid w:val="58381F6C"/>
    <w:rsid w:val="58382B00"/>
    <w:rsid w:val="583835F4"/>
    <w:rsid w:val="58387191"/>
    <w:rsid w:val="583912E0"/>
    <w:rsid w:val="58395CC0"/>
    <w:rsid w:val="583A0626"/>
    <w:rsid w:val="583A5161"/>
    <w:rsid w:val="583C439E"/>
    <w:rsid w:val="583D521D"/>
    <w:rsid w:val="583D72B6"/>
    <w:rsid w:val="583F3D2A"/>
    <w:rsid w:val="583F72E1"/>
    <w:rsid w:val="58410D6E"/>
    <w:rsid w:val="584147CA"/>
    <w:rsid w:val="58427CB3"/>
    <w:rsid w:val="58431438"/>
    <w:rsid w:val="58437CE1"/>
    <w:rsid w:val="584414A5"/>
    <w:rsid w:val="58450A07"/>
    <w:rsid w:val="584636E7"/>
    <w:rsid w:val="58464603"/>
    <w:rsid w:val="58467CB4"/>
    <w:rsid w:val="584721FB"/>
    <w:rsid w:val="584771DE"/>
    <w:rsid w:val="584A1390"/>
    <w:rsid w:val="584A6390"/>
    <w:rsid w:val="584B64EC"/>
    <w:rsid w:val="584B78DD"/>
    <w:rsid w:val="584C5EF5"/>
    <w:rsid w:val="584D01A7"/>
    <w:rsid w:val="584D4252"/>
    <w:rsid w:val="584D5401"/>
    <w:rsid w:val="584E7C2E"/>
    <w:rsid w:val="584F6F7E"/>
    <w:rsid w:val="5850159A"/>
    <w:rsid w:val="58502D54"/>
    <w:rsid w:val="58506862"/>
    <w:rsid w:val="58521E89"/>
    <w:rsid w:val="5853399A"/>
    <w:rsid w:val="5853677A"/>
    <w:rsid w:val="585422C8"/>
    <w:rsid w:val="58543994"/>
    <w:rsid w:val="58546B3F"/>
    <w:rsid w:val="58555EFF"/>
    <w:rsid w:val="58586714"/>
    <w:rsid w:val="58595CC5"/>
    <w:rsid w:val="585A076F"/>
    <w:rsid w:val="585B4ED6"/>
    <w:rsid w:val="585B7A5B"/>
    <w:rsid w:val="585D0B51"/>
    <w:rsid w:val="585D0BA4"/>
    <w:rsid w:val="585D536E"/>
    <w:rsid w:val="585E2C46"/>
    <w:rsid w:val="585E4C9C"/>
    <w:rsid w:val="586014D2"/>
    <w:rsid w:val="58601CC0"/>
    <w:rsid w:val="58602475"/>
    <w:rsid w:val="5860322D"/>
    <w:rsid w:val="58603A98"/>
    <w:rsid w:val="58605891"/>
    <w:rsid w:val="5862215A"/>
    <w:rsid w:val="58623230"/>
    <w:rsid w:val="58623574"/>
    <w:rsid w:val="58627B7D"/>
    <w:rsid w:val="58631095"/>
    <w:rsid w:val="58631232"/>
    <w:rsid w:val="58631D16"/>
    <w:rsid w:val="58632717"/>
    <w:rsid w:val="58640EBA"/>
    <w:rsid w:val="58667F89"/>
    <w:rsid w:val="58672927"/>
    <w:rsid w:val="586734AA"/>
    <w:rsid w:val="58685C90"/>
    <w:rsid w:val="58690F0C"/>
    <w:rsid w:val="58695B91"/>
    <w:rsid w:val="586B07E0"/>
    <w:rsid w:val="586C4C5A"/>
    <w:rsid w:val="586D2B2C"/>
    <w:rsid w:val="586E4418"/>
    <w:rsid w:val="586F0298"/>
    <w:rsid w:val="586F5155"/>
    <w:rsid w:val="5870229A"/>
    <w:rsid w:val="58712080"/>
    <w:rsid w:val="58712BBA"/>
    <w:rsid w:val="58713D7B"/>
    <w:rsid w:val="58715BE7"/>
    <w:rsid w:val="587160D8"/>
    <w:rsid w:val="587221CF"/>
    <w:rsid w:val="58723D88"/>
    <w:rsid w:val="58736CEA"/>
    <w:rsid w:val="587425A5"/>
    <w:rsid w:val="58753885"/>
    <w:rsid w:val="5876686B"/>
    <w:rsid w:val="58781A4A"/>
    <w:rsid w:val="58785923"/>
    <w:rsid w:val="5879339B"/>
    <w:rsid w:val="587A4EC7"/>
    <w:rsid w:val="587C0498"/>
    <w:rsid w:val="587F1238"/>
    <w:rsid w:val="58816331"/>
    <w:rsid w:val="588211A8"/>
    <w:rsid w:val="58826B02"/>
    <w:rsid w:val="58830E15"/>
    <w:rsid w:val="58833B98"/>
    <w:rsid w:val="588367EB"/>
    <w:rsid w:val="58837C50"/>
    <w:rsid w:val="58845AE8"/>
    <w:rsid w:val="58872F04"/>
    <w:rsid w:val="588743D1"/>
    <w:rsid w:val="58876D61"/>
    <w:rsid w:val="5887701A"/>
    <w:rsid w:val="588962EC"/>
    <w:rsid w:val="588A6E09"/>
    <w:rsid w:val="588D66DB"/>
    <w:rsid w:val="58906B0C"/>
    <w:rsid w:val="58910F7F"/>
    <w:rsid w:val="589124EF"/>
    <w:rsid w:val="58931118"/>
    <w:rsid w:val="58955D01"/>
    <w:rsid w:val="5895746F"/>
    <w:rsid w:val="58977655"/>
    <w:rsid w:val="58983AEB"/>
    <w:rsid w:val="58992394"/>
    <w:rsid w:val="58995D36"/>
    <w:rsid w:val="589A4781"/>
    <w:rsid w:val="589C442A"/>
    <w:rsid w:val="589D0B96"/>
    <w:rsid w:val="589D0BB5"/>
    <w:rsid w:val="589D2EB3"/>
    <w:rsid w:val="589E7A7A"/>
    <w:rsid w:val="589F0EF6"/>
    <w:rsid w:val="589F32FA"/>
    <w:rsid w:val="589F66B3"/>
    <w:rsid w:val="58A0720E"/>
    <w:rsid w:val="58A106A5"/>
    <w:rsid w:val="58A177A1"/>
    <w:rsid w:val="58A23F37"/>
    <w:rsid w:val="58A25F95"/>
    <w:rsid w:val="58A41F44"/>
    <w:rsid w:val="58A42635"/>
    <w:rsid w:val="58A46651"/>
    <w:rsid w:val="58A52C90"/>
    <w:rsid w:val="58A53D86"/>
    <w:rsid w:val="58A540DC"/>
    <w:rsid w:val="58A612FD"/>
    <w:rsid w:val="58A65CBC"/>
    <w:rsid w:val="58A77C59"/>
    <w:rsid w:val="58A80BFE"/>
    <w:rsid w:val="58A87748"/>
    <w:rsid w:val="58A91860"/>
    <w:rsid w:val="58A96F31"/>
    <w:rsid w:val="58AA3618"/>
    <w:rsid w:val="58AA37DC"/>
    <w:rsid w:val="58AB35F3"/>
    <w:rsid w:val="58AD3520"/>
    <w:rsid w:val="58AE14E6"/>
    <w:rsid w:val="58AE73DB"/>
    <w:rsid w:val="58B1275E"/>
    <w:rsid w:val="58B24C75"/>
    <w:rsid w:val="58B31F22"/>
    <w:rsid w:val="58B34AE2"/>
    <w:rsid w:val="58B472A9"/>
    <w:rsid w:val="58B51DB1"/>
    <w:rsid w:val="58B57CAD"/>
    <w:rsid w:val="58B57EAC"/>
    <w:rsid w:val="58B73A25"/>
    <w:rsid w:val="58B757D6"/>
    <w:rsid w:val="58B75AA8"/>
    <w:rsid w:val="58B80A02"/>
    <w:rsid w:val="58B82132"/>
    <w:rsid w:val="58BA76CE"/>
    <w:rsid w:val="58BB6419"/>
    <w:rsid w:val="58BC0E07"/>
    <w:rsid w:val="58BC5A66"/>
    <w:rsid w:val="58BC7AA8"/>
    <w:rsid w:val="58BD28DE"/>
    <w:rsid w:val="58BD3D04"/>
    <w:rsid w:val="58BD6A84"/>
    <w:rsid w:val="58BE247D"/>
    <w:rsid w:val="58BE55EE"/>
    <w:rsid w:val="58C161B4"/>
    <w:rsid w:val="58C2075D"/>
    <w:rsid w:val="58C224BF"/>
    <w:rsid w:val="58C26CBB"/>
    <w:rsid w:val="58C425E6"/>
    <w:rsid w:val="58C44394"/>
    <w:rsid w:val="58C51C5D"/>
    <w:rsid w:val="58C55072"/>
    <w:rsid w:val="58C62CC0"/>
    <w:rsid w:val="58C641C0"/>
    <w:rsid w:val="58C765B6"/>
    <w:rsid w:val="58C87A61"/>
    <w:rsid w:val="58C93758"/>
    <w:rsid w:val="58CA295E"/>
    <w:rsid w:val="58CB01FE"/>
    <w:rsid w:val="58CD6FE3"/>
    <w:rsid w:val="58CE075A"/>
    <w:rsid w:val="58CE0F37"/>
    <w:rsid w:val="58CE6F8E"/>
    <w:rsid w:val="58CF0B8B"/>
    <w:rsid w:val="58CF29C4"/>
    <w:rsid w:val="58CF33BC"/>
    <w:rsid w:val="58D027AF"/>
    <w:rsid w:val="58D177F1"/>
    <w:rsid w:val="58D2219E"/>
    <w:rsid w:val="58D23533"/>
    <w:rsid w:val="58D26AB1"/>
    <w:rsid w:val="58D330C0"/>
    <w:rsid w:val="58D356D2"/>
    <w:rsid w:val="58D41197"/>
    <w:rsid w:val="58D41B18"/>
    <w:rsid w:val="58D41D88"/>
    <w:rsid w:val="58D45022"/>
    <w:rsid w:val="58D45A54"/>
    <w:rsid w:val="58D46167"/>
    <w:rsid w:val="58D534BA"/>
    <w:rsid w:val="58D536CC"/>
    <w:rsid w:val="58D61911"/>
    <w:rsid w:val="58D62EE5"/>
    <w:rsid w:val="58D63201"/>
    <w:rsid w:val="58D66635"/>
    <w:rsid w:val="58D73BD1"/>
    <w:rsid w:val="58D92D4F"/>
    <w:rsid w:val="58D946B1"/>
    <w:rsid w:val="58D946F7"/>
    <w:rsid w:val="58DA3BB7"/>
    <w:rsid w:val="58DA5E43"/>
    <w:rsid w:val="58DD027A"/>
    <w:rsid w:val="58DE40AB"/>
    <w:rsid w:val="58DE7204"/>
    <w:rsid w:val="58E20155"/>
    <w:rsid w:val="58E660B8"/>
    <w:rsid w:val="58E6724D"/>
    <w:rsid w:val="58E86386"/>
    <w:rsid w:val="58E86F94"/>
    <w:rsid w:val="58E87218"/>
    <w:rsid w:val="58E90BE9"/>
    <w:rsid w:val="58E95F87"/>
    <w:rsid w:val="58EA204C"/>
    <w:rsid w:val="58EC2171"/>
    <w:rsid w:val="58EC6D45"/>
    <w:rsid w:val="58ED51CF"/>
    <w:rsid w:val="58ED5ED8"/>
    <w:rsid w:val="58EE4099"/>
    <w:rsid w:val="58F0498E"/>
    <w:rsid w:val="58F112D0"/>
    <w:rsid w:val="58F1329E"/>
    <w:rsid w:val="58F26E37"/>
    <w:rsid w:val="58F4020E"/>
    <w:rsid w:val="58F475CA"/>
    <w:rsid w:val="58F53BD9"/>
    <w:rsid w:val="58F62B32"/>
    <w:rsid w:val="58F721E3"/>
    <w:rsid w:val="58F83E64"/>
    <w:rsid w:val="58F929DB"/>
    <w:rsid w:val="58FA09F0"/>
    <w:rsid w:val="58FA1DFD"/>
    <w:rsid w:val="58FA2BAD"/>
    <w:rsid w:val="58FB5533"/>
    <w:rsid w:val="58FC6858"/>
    <w:rsid w:val="58FE01DE"/>
    <w:rsid w:val="58FE045E"/>
    <w:rsid w:val="58FE3C44"/>
    <w:rsid w:val="58FE6DA1"/>
    <w:rsid w:val="58FF53CC"/>
    <w:rsid w:val="58FF717A"/>
    <w:rsid w:val="5900647A"/>
    <w:rsid w:val="59011212"/>
    <w:rsid w:val="59023E26"/>
    <w:rsid w:val="59026DDF"/>
    <w:rsid w:val="59034EBC"/>
    <w:rsid w:val="59034F2B"/>
    <w:rsid w:val="5906350F"/>
    <w:rsid w:val="59065E48"/>
    <w:rsid w:val="590725AF"/>
    <w:rsid w:val="59072B6C"/>
    <w:rsid w:val="5907335D"/>
    <w:rsid w:val="5907336E"/>
    <w:rsid w:val="590766A7"/>
    <w:rsid w:val="5908598F"/>
    <w:rsid w:val="59087044"/>
    <w:rsid w:val="59087431"/>
    <w:rsid w:val="5909466C"/>
    <w:rsid w:val="590A5668"/>
    <w:rsid w:val="590C12BE"/>
    <w:rsid w:val="590C286E"/>
    <w:rsid w:val="590C36B9"/>
    <w:rsid w:val="590D0011"/>
    <w:rsid w:val="591000D4"/>
    <w:rsid w:val="59101207"/>
    <w:rsid w:val="591056E7"/>
    <w:rsid w:val="59116013"/>
    <w:rsid w:val="5912075A"/>
    <w:rsid w:val="59123665"/>
    <w:rsid w:val="591332A3"/>
    <w:rsid w:val="5914020D"/>
    <w:rsid w:val="59142174"/>
    <w:rsid w:val="59164226"/>
    <w:rsid w:val="5917349C"/>
    <w:rsid w:val="59182517"/>
    <w:rsid w:val="591946E0"/>
    <w:rsid w:val="591C1ADA"/>
    <w:rsid w:val="591C7C07"/>
    <w:rsid w:val="591E6A76"/>
    <w:rsid w:val="59202935"/>
    <w:rsid w:val="592117DB"/>
    <w:rsid w:val="592310BA"/>
    <w:rsid w:val="59244BE6"/>
    <w:rsid w:val="59246BE1"/>
    <w:rsid w:val="59247F34"/>
    <w:rsid w:val="592613B8"/>
    <w:rsid w:val="592620C9"/>
    <w:rsid w:val="59266DFD"/>
    <w:rsid w:val="59280C08"/>
    <w:rsid w:val="592863DC"/>
    <w:rsid w:val="59290942"/>
    <w:rsid w:val="592C469D"/>
    <w:rsid w:val="592C676D"/>
    <w:rsid w:val="592E34CE"/>
    <w:rsid w:val="592E3820"/>
    <w:rsid w:val="592F587F"/>
    <w:rsid w:val="593066F1"/>
    <w:rsid w:val="593368A1"/>
    <w:rsid w:val="593459EF"/>
    <w:rsid w:val="593612C5"/>
    <w:rsid w:val="59380668"/>
    <w:rsid w:val="59384784"/>
    <w:rsid w:val="5939309D"/>
    <w:rsid w:val="593A1111"/>
    <w:rsid w:val="593A597E"/>
    <w:rsid w:val="593A6404"/>
    <w:rsid w:val="593B3532"/>
    <w:rsid w:val="593B60AD"/>
    <w:rsid w:val="593C0CA9"/>
    <w:rsid w:val="593C217C"/>
    <w:rsid w:val="593C6994"/>
    <w:rsid w:val="593F0A05"/>
    <w:rsid w:val="593F20B7"/>
    <w:rsid w:val="593F3A1A"/>
    <w:rsid w:val="5940342F"/>
    <w:rsid w:val="59410B35"/>
    <w:rsid w:val="59412334"/>
    <w:rsid w:val="59412DE1"/>
    <w:rsid w:val="59415079"/>
    <w:rsid w:val="59420519"/>
    <w:rsid w:val="59421FDC"/>
    <w:rsid w:val="5942215D"/>
    <w:rsid w:val="59423346"/>
    <w:rsid w:val="59424433"/>
    <w:rsid w:val="59426E4E"/>
    <w:rsid w:val="5943110E"/>
    <w:rsid w:val="5943112E"/>
    <w:rsid w:val="59434AC4"/>
    <w:rsid w:val="59434F08"/>
    <w:rsid w:val="594432EF"/>
    <w:rsid w:val="59443C51"/>
    <w:rsid w:val="594445FC"/>
    <w:rsid w:val="594564B2"/>
    <w:rsid w:val="594612F2"/>
    <w:rsid w:val="59473E55"/>
    <w:rsid w:val="59482AA6"/>
    <w:rsid w:val="594873E4"/>
    <w:rsid w:val="594953CE"/>
    <w:rsid w:val="594975DD"/>
    <w:rsid w:val="594A5B4D"/>
    <w:rsid w:val="594B35C4"/>
    <w:rsid w:val="594B7EAF"/>
    <w:rsid w:val="594C0338"/>
    <w:rsid w:val="594D2448"/>
    <w:rsid w:val="594E6200"/>
    <w:rsid w:val="594F68EF"/>
    <w:rsid w:val="59501239"/>
    <w:rsid w:val="5951505E"/>
    <w:rsid w:val="595222AB"/>
    <w:rsid w:val="595272C1"/>
    <w:rsid w:val="595419DA"/>
    <w:rsid w:val="5954305C"/>
    <w:rsid w:val="59545051"/>
    <w:rsid w:val="59572B86"/>
    <w:rsid w:val="595764E2"/>
    <w:rsid w:val="59580388"/>
    <w:rsid w:val="5958611D"/>
    <w:rsid w:val="59590F80"/>
    <w:rsid w:val="595B05E7"/>
    <w:rsid w:val="595B648D"/>
    <w:rsid w:val="595B7B57"/>
    <w:rsid w:val="595C1E69"/>
    <w:rsid w:val="595C45CC"/>
    <w:rsid w:val="595E0A50"/>
    <w:rsid w:val="59601815"/>
    <w:rsid w:val="5961677D"/>
    <w:rsid w:val="59617A7C"/>
    <w:rsid w:val="5962565A"/>
    <w:rsid w:val="596377A1"/>
    <w:rsid w:val="59641EA2"/>
    <w:rsid w:val="596516D3"/>
    <w:rsid w:val="5965444C"/>
    <w:rsid w:val="59662674"/>
    <w:rsid w:val="5966458A"/>
    <w:rsid w:val="59665C11"/>
    <w:rsid w:val="59670EB0"/>
    <w:rsid w:val="596921AE"/>
    <w:rsid w:val="596A7DCD"/>
    <w:rsid w:val="596B0AA6"/>
    <w:rsid w:val="596C66E6"/>
    <w:rsid w:val="596D7189"/>
    <w:rsid w:val="59700C71"/>
    <w:rsid w:val="59710078"/>
    <w:rsid w:val="5972392C"/>
    <w:rsid w:val="59725AF3"/>
    <w:rsid w:val="59725B9E"/>
    <w:rsid w:val="59746740"/>
    <w:rsid w:val="59760330"/>
    <w:rsid w:val="59771588"/>
    <w:rsid w:val="597727E3"/>
    <w:rsid w:val="597933D0"/>
    <w:rsid w:val="59796F2C"/>
    <w:rsid w:val="597A1BE3"/>
    <w:rsid w:val="597A4A53"/>
    <w:rsid w:val="597B0D4A"/>
    <w:rsid w:val="597B7DE5"/>
    <w:rsid w:val="597B7E05"/>
    <w:rsid w:val="597C04CE"/>
    <w:rsid w:val="597C1D67"/>
    <w:rsid w:val="597C53CD"/>
    <w:rsid w:val="597E38B0"/>
    <w:rsid w:val="597E4825"/>
    <w:rsid w:val="597E69FA"/>
    <w:rsid w:val="597F13A4"/>
    <w:rsid w:val="597F4F29"/>
    <w:rsid w:val="598002BB"/>
    <w:rsid w:val="59814033"/>
    <w:rsid w:val="5982194E"/>
    <w:rsid w:val="5982618D"/>
    <w:rsid w:val="59826F78"/>
    <w:rsid w:val="59830A08"/>
    <w:rsid w:val="59831B59"/>
    <w:rsid w:val="59833D47"/>
    <w:rsid w:val="598377C9"/>
    <w:rsid w:val="59837DAB"/>
    <w:rsid w:val="598445D7"/>
    <w:rsid w:val="59855904"/>
    <w:rsid w:val="598619AA"/>
    <w:rsid w:val="59865323"/>
    <w:rsid w:val="598723FB"/>
    <w:rsid w:val="59874A90"/>
    <w:rsid w:val="59876A59"/>
    <w:rsid w:val="59885BA3"/>
    <w:rsid w:val="598870DA"/>
    <w:rsid w:val="59891641"/>
    <w:rsid w:val="5989462F"/>
    <w:rsid w:val="598A738C"/>
    <w:rsid w:val="598B4D2E"/>
    <w:rsid w:val="598B6C60"/>
    <w:rsid w:val="598C254A"/>
    <w:rsid w:val="598C4FDD"/>
    <w:rsid w:val="598D1B8C"/>
    <w:rsid w:val="598D6D7B"/>
    <w:rsid w:val="598E1A4B"/>
    <w:rsid w:val="598F40FD"/>
    <w:rsid w:val="599004C0"/>
    <w:rsid w:val="59953293"/>
    <w:rsid w:val="5996188C"/>
    <w:rsid w:val="59976A37"/>
    <w:rsid w:val="59977BFE"/>
    <w:rsid w:val="59983EBE"/>
    <w:rsid w:val="59992B12"/>
    <w:rsid w:val="5999312B"/>
    <w:rsid w:val="599A3342"/>
    <w:rsid w:val="599A3D7C"/>
    <w:rsid w:val="599B70B2"/>
    <w:rsid w:val="599C389F"/>
    <w:rsid w:val="599D3AED"/>
    <w:rsid w:val="599E2561"/>
    <w:rsid w:val="599E748D"/>
    <w:rsid w:val="59A01CE7"/>
    <w:rsid w:val="59A01E04"/>
    <w:rsid w:val="59A10841"/>
    <w:rsid w:val="59A146EF"/>
    <w:rsid w:val="59A23CB9"/>
    <w:rsid w:val="59A27223"/>
    <w:rsid w:val="59A3044D"/>
    <w:rsid w:val="59A324BD"/>
    <w:rsid w:val="59A440B3"/>
    <w:rsid w:val="59A51AAD"/>
    <w:rsid w:val="59A557EF"/>
    <w:rsid w:val="59A61035"/>
    <w:rsid w:val="59A62BC5"/>
    <w:rsid w:val="59A858EE"/>
    <w:rsid w:val="59A87728"/>
    <w:rsid w:val="59A96204"/>
    <w:rsid w:val="59AA73E6"/>
    <w:rsid w:val="59AB1C1C"/>
    <w:rsid w:val="59AC10B0"/>
    <w:rsid w:val="59AC11EF"/>
    <w:rsid w:val="59AC19B3"/>
    <w:rsid w:val="59AD0FCD"/>
    <w:rsid w:val="59AD53F3"/>
    <w:rsid w:val="59AE3068"/>
    <w:rsid w:val="59AF194C"/>
    <w:rsid w:val="59AF31AA"/>
    <w:rsid w:val="59B04EC1"/>
    <w:rsid w:val="59B23CDF"/>
    <w:rsid w:val="59B24684"/>
    <w:rsid w:val="59B3027F"/>
    <w:rsid w:val="59B32542"/>
    <w:rsid w:val="59B368E2"/>
    <w:rsid w:val="59B4682A"/>
    <w:rsid w:val="59B54A80"/>
    <w:rsid w:val="59B56945"/>
    <w:rsid w:val="59B61940"/>
    <w:rsid w:val="59B75B90"/>
    <w:rsid w:val="59B777C6"/>
    <w:rsid w:val="59B77D1A"/>
    <w:rsid w:val="59B822EC"/>
    <w:rsid w:val="59B85D5D"/>
    <w:rsid w:val="59B9363D"/>
    <w:rsid w:val="59BA1AFF"/>
    <w:rsid w:val="59BB12F3"/>
    <w:rsid w:val="59BB6525"/>
    <w:rsid w:val="59BC16A1"/>
    <w:rsid w:val="59BD32BD"/>
    <w:rsid w:val="59BD3F73"/>
    <w:rsid w:val="59BE18A7"/>
    <w:rsid w:val="59BF5E61"/>
    <w:rsid w:val="59BF62F8"/>
    <w:rsid w:val="59C0439F"/>
    <w:rsid w:val="59C05D5F"/>
    <w:rsid w:val="59C148D7"/>
    <w:rsid w:val="59C1603F"/>
    <w:rsid w:val="59C171FA"/>
    <w:rsid w:val="59C2281F"/>
    <w:rsid w:val="59C30A49"/>
    <w:rsid w:val="59C363FA"/>
    <w:rsid w:val="59C44F92"/>
    <w:rsid w:val="59C52172"/>
    <w:rsid w:val="59C76D47"/>
    <w:rsid w:val="59C81FC7"/>
    <w:rsid w:val="59C84CF3"/>
    <w:rsid w:val="59C86FEF"/>
    <w:rsid w:val="59C879D0"/>
    <w:rsid w:val="59C9173A"/>
    <w:rsid w:val="59CA3C2C"/>
    <w:rsid w:val="59CB03D4"/>
    <w:rsid w:val="59CB27DC"/>
    <w:rsid w:val="59CB72A0"/>
    <w:rsid w:val="59CC471F"/>
    <w:rsid w:val="59CD14A9"/>
    <w:rsid w:val="59CE718B"/>
    <w:rsid w:val="59CF2FF0"/>
    <w:rsid w:val="59CF5EBD"/>
    <w:rsid w:val="59D008FC"/>
    <w:rsid w:val="59D114AF"/>
    <w:rsid w:val="59D13728"/>
    <w:rsid w:val="59D303F7"/>
    <w:rsid w:val="59D46859"/>
    <w:rsid w:val="59D6437F"/>
    <w:rsid w:val="59D7546A"/>
    <w:rsid w:val="59D76434"/>
    <w:rsid w:val="59D77217"/>
    <w:rsid w:val="59D874BF"/>
    <w:rsid w:val="59DA60D8"/>
    <w:rsid w:val="59DB27BD"/>
    <w:rsid w:val="59DD0435"/>
    <w:rsid w:val="59DD28C5"/>
    <w:rsid w:val="59DD2EFB"/>
    <w:rsid w:val="59DD3310"/>
    <w:rsid w:val="59DE1485"/>
    <w:rsid w:val="59DE5CEC"/>
    <w:rsid w:val="59DE7BB8"/>
    <w:rsid w:val="59DF482A"/>
    <w:rsid w:val="59E00821"/>
    <w:rsid w:val="59E039B2"/>
    <w:rsid w:val="59E07248"/>
    <w:rsid w:val="59E07296"/>
    <w:rsid w:val="59E24AD2"/>
    <w:rsid w:val="59E27E5B"/>
    <w:rsid w:val="59E35E84"/>
    <w:rsid w:val="59E44A42"/>
    <w:rsid w:val="59E52AA6"/>
    <w:rsid w:val="59E57B15"/>
    <w:rsid w:val="59E6181C"/>
    <w:rsid w:val="59E736B1"/>
    <w:rsid w:val="59E7658C"/>
    <w:rsid w:val="59E92304"/>
    <w:rsid w:val="59EB7019"/>
    <w:rsid w:val="59EB7CCA"/>
    <w:rsid w:val="59EC150B"/>
    <w:rsid w:val="59EC4514"/>
    <w:rsid w:val="59EC5CC1"/>
    <w:rsid w:val="59ED7DCB"/>
    <w:rsid w:val="59EE2FE3"/>
    <w:rsid w:val="59EF5113"/>
    <w:rsid w:val="59EF5441"/>
    <w:rsid w:val="59F0601A"/>
    <w:rsid w:val="59F1240F"/>
    <w:rsid w:val="59F16733"/>
    <w:rsid w:val="59F23F00"/>
    <w:rsid w:val="59F31338"/>
    <w:rsid w:val="59F40973"/>
    <w:rsid w:val="59F474CF"/>
    <w:rsid w:val="59F57697"/>
    <w:rsid w:val="59F600D4"/>
    <w:rsid w:val="59F76FF3"/>
    <w:rsid w:val="59F82332"/>
    <w:rsid w:val="59F82C5A"/>
    <w:rsid w:val="59FB2025"/>
    <w:rsid w:val="59FE34D1"/>
    <w:rsid w:val="59FE5108"/>
    <w:rsid w:val="5A000038"/>
    <w:rsid w:val="5A003607"/>
    <w:rsid w:val="5A004DC5"/>
    <w:rsid w:val="5A025174"/>
    <w:rsid w:val="5A0314C7"/>
    <w:rsid w:val="5A033FD0"/>
    <w:rsid w:val="5A036A58"/>
    <w:rsid w:val="5A045FAC"/>
    <w:rsid w:val="5A055F9C"/>
    <w:rsid w:val="5A056A12"/>
    <w:rsid w:val="5A061ADA"/>
    <w:rsid w:val="5A06516A"/>
    <w:rsid w:val="5A0652E7"/>
    <w:rsid w:val="5A0A04CC"/>
    <w:rsid w:val="5A0A426F"/>
    <w:rsid w:val="5A0A6C1F"/>
    <w:rsid w:val="5A0A7B67"/>
    <w:rsid w:val="5A0C49A0"/>
    <w:rsid w:val="5A0C7F96"/>
    <w:rsid w:val="5A0D1F2D"/>
    <w:rsid w:val="5A0D6BDE"/>
    <w:rsid w:val="5A0E3B19"/>
    <w:rsid w:val="5A0E43F7"/>
    <w:rsid w:val="5A0E6E91"/>
    <w:rsid w:val="5A0F1BDE"/>
    <w:rsid w:val="5A1017B7"/>
    <w:rsid w:val="5A104F2B"/>
    <w:rsid w:val="5A1179C4"/>
    <w:rsid w:val="5A141852"/>
    <w:rsid w:val="5A141DEB"/>
    <w:rsid w:val="5A142A22"/>
    <w:rsid w:val="5A1432F7"/>
    <w:rsid w:val="5A155769"/>
    <w:rsid w:val="5A1645AB"/>
    <w:rsid w:val="5A171DE1"/>
    <w:rsid w:val="5A176C23"/>
    <w:rsid w:val="5A1844C8"/>
    <w:rsid w:val="5A1844F7"/>
    <w:rsid w:val="5A1867E8"/>
    <w:rsid w:val="5A1B10FF"/>
    <w:rsid w:val="5A1C7FD4"/>
    <w:rsid w:val="5A1D0200"/>
    <w:rsid w:val="5A1D1089"/>
    <w:rsid w:val="5A1D1FAE"/>
    <w:rsid w:val="5A1D41B7"/>
    <w:rsid w:val="5A1D5F5A"/>
    <w:rsid w:val="5A1F01E5"/>
    <w:rsid w:val="5A1F5E80"/>
    <w:rsid w:val="5A1F75E1"/>
    <w:rsid w:val="5A2013E8"/>
    <w:rsid w:val="5A201A9E"/>
    <w:rsid w:val="5A214787"/>
    <w:rsid w:val="5A221372"/>
    <w:rsid w:val="5A222A2B"/>
    <w:rsid w:val="5A22360B"/>
    <w:rsid w:val="5A226ABA"/>
    <w:rsid w:val="5A252C10"/>
    <w:rsid w:val="5A262421"/>
    <w:rsid w:val="5A26308B"/>
    <w:rsid w:val="5A263AEE"/>
    <w:rsid w:val="5A283B4A"/>
    <w:rsid w:val="5A290736"/>
    <w:rsid w:val="5A292701"/>
    <w:rsid w:val="5A296A09"/>
    <w:rsid w:val="5A2A29A6"/>
    <w:rsid w:val="5A2A3450"/>
    <w:rsid w:val="5A2A6F71"/>
    <w:rsid w:val="5A2B23A0"/>
    <w:rsid w:val="5A2D0972"/>
    <w:rsid w:val="5A2E0F1A"/>
    <w:rsid w:val="5A2E1A75"/>
    <w:rsid w:val="5A2E2CC9"/>
    <w:rsid w:val="5A2E2DE5"/>
    <w:rsid w:val="5A2F19F0"/>
    <w:rsid w:val="5A2F3452"/>
    <w:rsid w:val="5A2F34FB"/>
    <w:rsid w:val="5A2F4251"/>
    <w:rsid w:val="5A3201A4"/>
    <w:rsid w:val="5A32541C"/>
    <w:rsid w:val="5A3319A0"/>
    <w:rsid w:val="5A336A53"/>
    <w:rsid w:val="5A351F4D"/>
    <w:rsid w:val="5A3612C1"/>
    <w:rsid w:val="5A364B59"/>
    <w:rsid w:val="5A373959"/>
    <w:rsid w:val="5A3744BC"/>
    <w:rsid w:val="5A380C4D"/>
    <w:rsid w:val="5A38495A"/>
    <w:rsid w:val="5A3A006F"/>
    <w:rsid w:val="5A3B09E5"/>
    <w:rsid w:val="5A3B26BF"/>
    <w:rsid w:val="5A3B2D8E"/>
    <w:rsid w:val="5A3B5590"/>
    <w:rsid w:val="5A3B5777"/>
    <w:rsid w:val="5A3C57D7"/>
    <w:rsid w:val="5A3D1E99"/>
    <w:rsid w:val="5A3D31AE"/>
    <w:rsid w:val="5A3D41A9"/>
    <w:rsid w:val="5A3E3516"/>
    <w:rsid w:val="5A3F2AD6"/>
    <w:rsid w:val="5A4006AD"/>
    <w:rsid w:val="5A400957"/>
    <w:rsid w:val="5A401AEB"/>
    <w:rsid w:val="5A402ED2"/>
    <w:rsid w:val="5A410C83"/>
    <w:rsid w:val="5A443187"/>
    <w:rsid w:val="5A447DA9"/>
    <w:rsid w:val="5A4549C0"/>
    <w:rsid w:val="5A461504"/>
    <w:rsid w:val="5A464A33"/>
    <w:rsid w:val="5A464A9F"/>
    <w:rsid w:val="5A4825B9"/>
    <w:rsid w:val="5A485073"/>
    <w:rsid w:val="5A495791"/>
    <w:rsid w:val="5A496E9E"/>
    <w:rsid w:val="5A4B7ED6"/>
    <w:rsid w:val="5A4C2893"/>
    <w:rsid w:val="5A4D3A95"/>
    <w:rsid w:val="5A4E4EBF"/>
    <w:rsid w:val="5A4E4EC7"/>
    <w:rsid w:val="5A4F2199"/>
    <w:rsid w:val="5A4F6A7A"/>
    <w:rsid w:val="5A501756"/>
    <w:rsid w:val="5A512D1C"/>
    <w:rsid w:val="5A516674"/>
    <w:rsid w:val="5A5220D0"/>
    <w:rsid w:val="5A532462"/>
    <w:rsid w:val="5A533803"/>
    <w:rsid w:val="5A541296"/>
    <w:rsid w:val="5A546114"/>
    <w:rsid w:val="5A547EB1"/>
    <w:rsid w:val="5A551326"/>
    <w:rsid w:val="5A555D78"/>
    <w:rsid w:val="5A5654C0"/>
    <w:rsid w:val="5A5669C0"/>
    <w:rsid w:val="5A5709EA"/>
    <w:rsid w:val="5A5866B1"/>
    <w:rsid w:val="5A5A0B57"/>
    <w:rsid w:val="5A5A6358"/>
    <w:rsid w:val="5A5B444D"/>
    <w:rsid w:val="5A5C0657"/>
    <w:rsid w:val="5A5C3AE8"/>
    <w:rsid w:val="5A5D3887"/>
    <w:rsid w:val="5A5D7C3D"/>
    <w:rsid w:val="5A5F119F"/>
    <w:rsid w:val="5A5F5C3B"/>
    <w:rsid w:val="5A605398"/>
    <w:rsid w:val="5A60756D"/>
    <w:rsid w:val="5A625C12"/>
    <w:rsid w:val="5A633F8B"/>
    <w:rsid w:val="5A63501F"/>
    <w:rsid w:val="5A635F19"/>
    <w:rsid w:val="5A6379CB"/>
    <w:rsid w:val="5A644212"/>
    <w:rsid w:val="5A6459BF"/>
    <w:rsid w:val="5A655E0E"/>
    <w:rsid w:val="5A6636D6"/>
    <w:rsid w:val="5A68526F"/>
    <w:rsid w:val="5A68656B"/>
    <w:rsid w:val="5A686DB7"/>
    <w:rsid w:val="5A690D4F"/>
    <w:rsid w:val="5A695C2E"/>
    <w:rsid w:val="5A6B0321"/>
    <w:rsid w:val="5A6E4072"/>
    <w:rsid w:val="5A6E5EB4"/>
    <w:rsid w:val="5A6E6D68"/>
    <w:rsid w:val="5A6E6FF9"/>
    <w:rsid w:val="5A6F78F1"/>
    <w:rsid w:val="5A706581"/>
    <w:rsid w:val="5A710CEC"/>
    <w:rsid w:val="5A732A0C"/>
    <w:rsid w:val="5A734481"/>
    <w:rsid w:val="5A737E20"/>
    <w:rsid w:val="5A743A3B"/>
    <w:rsid w:val="5A744553"/>
    <w:rsid w:val="5A745534"/>
    <w:rsid w:val="5A7476F4"/>
    <w:rsid w:val="5A7573AF"/>
    <w:rsid w:val="5A7602B6"/>
    <w:rsid w:val="5A770ED5"/>
    <w:rsid w:val="5A772EEE"/>
    <w:rsid w:val="5A781F79"/>
    <w:rsid w:val="5A7A09D4"/>
    <w:rsid w:val="5A7A2F5C"/>
    <w:rsid w:val="5A7A72EA"/>
    <w:rsid w:val="5A7C4FD7"/>
    <w:rsid w:val="5A7C60D9"/>
    <w:rsid w:val="5A7E47EA"/>
    <w:rsid w:val="5A7F014E"/>
    <w:rsid w:val="5A7F4A16"/>
    <w:rsid w:val="5A8063F2"/>
    <w:rsid w:val="5A8073A9"/>
    <w:rsid w:val="5A816520"/>
    <w:rsid w:val="5A836351"/>
    <w:rsid w:val="5A840D97"/>
    <w:rsid w:val="5A850909"/>
    <w:rsid w:val="5A851DAC"/>
    <w:rsid w:val="5A866EA7"/>
    <w:rsid w:val="5A87351F"/>
    <w:rsid w:val="5A875679"/>
    <w:rsid w:val="5A8921D3"/>
    <w:rsid w:val="5A897643"/>
    <w:rsid w:val="5A8A7C23"/>
    <w:rsid w:val="5A8B1EB0"/>
    <w:rsid w:val="5A8B233A"/>
    <w:rsid w:val="5A8B2434"/>
    <w:rsid w:val="5A8B6FEB"/>
    <w:rsid w:val="5A8C0EE1"/>
    <w:rsid w:val="5A8C5C4E"/>
    <w:rsid w:val="5A8D11CD"/>
    <w:rsid w:val="5A8D2874"/>
    <w:rsid w:val="5A8D2E09"/>
    <w:rsid w:val="5A8D703A"/>
    <w:rsid w:val="5A8E2EB8"/>
    <w:rsid w:val="5A8F2484"/>
    <w:rsid w:val="5A902780"/>
    <w:rsid w:val="5A910E47"/>
    <w:rsid w:val="5A9130D1"/>
    <w:rsid w:val="5A922006"/>
    <w:rsid w:val="5A9226C1"/>
    <w:rsid w:val="5A93208E"/>
    <w:rsid w:val="5A933CC4"/>
    <w:rsid w:val="5A93582F"/>
    <w:rsid w:val="5A9424E8"/>
    <w:rsid w:val="5A956F0C"/>
    <w:rsid w:val="5A960EB7"/>
    <w:rsid w:val="5A9658BC"/>
    <w:rsid w:val="5A966E99"/>
    <w:rsid w:val="5A971BE5"/>
    <w:rsid w:val="5A971D60"/>
    <w:rsid w:val="5A974857"/>
    <w:rsid w:val="5A9817D2"/>
    <w:rsid w:val="5A9A25A2"/>
    <w:rsid w:val="5A9A4367"/>
    <w:rsid w:val="5A9B73A6"/>
    <w:rsid w:val="5A9E261C"/>
    <w:rsid w:val="5A9F443E"/>
    <w:rsid w:val="5A9F4787"/>
    <w:rsid w:val="5AA006AA"/>
    <w:rsid w:val="5AA049C5"/>
    <w:rsid w:val="5AA1498D"/>
    <w:rsid w:val="5AA17C75"/>
    <w:rsid w:val="5AA2024C"/>
    <w:rsid w:val="5AA25FBF"/>
    <w:rsid w:val="5AA37BFA"/>
    <w:rsid w:val="5AA51D39"/>
    <w:rsid w:val="5AA90FE3"/>
    <w:rsid w:val="5AA93C52"/>
    <w:rsid w:val="5AA95E0F"/>
    <w:rsid w:val="5AAA33BD"/>
    <w:rsid w:val="5AAB1D32"/>
    <w:rsid w:val="5AAB7E89"/>
    <w:rsid w:val="5AAC5D2F"/>
    <w:rsid w:val="5AAD553B"/>
    <w:rsid w:val="5AAD66C5"/>
    <w:rsid w:val="5AB01005"/>
    <w:rsid w:val="5AB026D8"/>
    <w:rsid w:val="5AB32C62"/>
    <w:rsid w:val="5AB4095F"/>
    <w:rsid w:val="5AB41A71"/>
    <w:rsid w:val="5AB4500B"/>
    <w:rsid w:val="5AB54B3D"/>
    <w:rsid w:val="5AB56474"/>
    <w:rsid w:val="5AB60226"/>
    <w:rsid w:val="5AB65981"/>
    <w:rsid w:val="5AB67D0C"/>
    <w:rsid w:val="5AB72D08"/>
    <w:rsid w:val="5AB75F5E"/>
    <w:rsid w:val="5AB8573A"/>
    <w:rsid w:val="5AB90B7F"/>
    <w:rsid w:val="5AB92CAB"/>
    <w:rsid w:val="5ABA35A2"/>
    <w:rsid w:val="5ABC3449"/>
    <w:rsid w:val="5ABD57E0"/>
    <w:rsid w:val="5ABE0CF7"/>
    <w:rsid w:val="5ABE2233"/>
    <w:rsid w:val="5ABF63A6"/>
    <w:rsid w:val="5ABF70CA"/>
    <w:rsid w:val="5AC015EA"/>
    <w:rsid w:val="5AC01B77"/>
    <w:rsid w:val="5AC02939"/>
    <w:rsid w:val="5AC07378"/>
    <w:rsid w:val="5AC076C9"/>
    <w:rsid w:val="5AC17406"/>
    <w:rsid w:val="5AC26C4B"/>
    <w:rsid w:val="5AC35791"/>
    <w:rsid w:val="5AC35F2E"/>
    <w:rsid w:val="5AC40943"/>
    <w:rsid w:val="5AC46060"/>
    <w:rsid w:val="5AC47D89"/>
    <w:rsid w:val="5AC643F3"/>
    <w:rsid w:val="5AC676C9"/>
    <w:rsid w:val="5AC75A14"/>
    <w:rsid w:val="5AC95C92"/>
    <w:rsid w:val="5ACB721C"/>
    <w:rsid w:val="5ACC2EAA"/>
    <w:rsid w:val="5ACC3ACD"/>
    <w:rsid w:val="5ACD26CB"/>
    <w:rsid w:val="5ACD39D4"/>
    <w:rsid w:val="5ACE0A2B"/>
    <w:rsid w:val="5ACE0C48"/>
    <w:rsid w:val="5ACF7D2C"/>
    <w:rsid w:val="5AD15071"/>
    <w:rsid w:val="5AD15490"/>
    <w:rsid w:val="5AD24E93"/>
    <w:rsid w:val="5AD2655E"/>
    <w:rsid w:val="5AD32184"/>
    <w:rsid w:val="5AD3266C"/>
    <w:rsid w:val="5AD37AF4"/>
    <w:rsid w:val="5AD60436"/>
    <w:rsid w:val="5AD63C32"/>
    <w:rsid w:val="5AD70FD5"/>
    <w:rsid w:val="5AD72002"/>
    <w:rsid w:val="5AD81B99"/>
    <w:rsid w:val="5AD84AEB"/>
    <w:rsid w:val="5AD84F11"/>
    <w:rsid w:val="5AD94DAE"/>
    <w:rsid w:val="5ADB07F9"/>
    <w:rsid w:val="5ADB1972"/>
    <w:rsid w:val="5ADB7F50"/>
    <w:rsid w:val="5ADC1E90"/>
    <w:rsid w:val="5ADC59C5"/>
    <w:rsid w:val="5ADE30F8"/>
    <w:rsid w:val="5ADE437E"/>
    <w:rsid w:val="5ADE790C"/>
    <w:rsid w:val="5ADF05BE"/>
    <w:rsid w:val="5ADF3818"/>
    <w:rsid w:val="5ADF5B4E"/>
    <w:rsid w:val="5ADF7500"/>
    <w:rsid w:val="5AE03098"/>
    <w:rsid w:val="5AE109B1"/>
    <w:rsid w:val="5AE13CFF"/>
    <w:rsid w:val="5AE141E7"/>
    <w:rsid w:val="5AE240ED"/>
    <w:rsid w:val="5AE3287C"/>
    <w:rsid w:val="5AE34AD6"/>
    <w:rsid w:val="5AE40174"/>
    <w:rsid w:val="5AE514C8"/>
    <w:rsid w:val="5AE53801"/>
    <w:rsid w:val="5AE7393E"/>
    <w:rsid w:val="5AE73BFA"/>
    <w:rsid w:val="5AE74990"/>
    <w:rsid w:val="5AE802F8"/>
    <w:rsid w:val="5AE91E90"/>
    <w:rsid w:val="5AEA2425"/>
    <w:rsid w:val="5AEB5D39"/>
    <w:rsid w:val="5AEB644A"/>
    <w:rsid w:val="5AEC1152"/>
    <w:rsid w:val="5AED1C1F"/>
    <w:rsid w:val="5AEE00E5"/>
    <w:rsid w:val="5AEF3D67"/>
    <w:rsid w:val="5AEF720A"/>
    <w:rsid w:val="5AF06CAB"/>
    <w:rsid w:val="5AF23219"/>
    <w:rsid w:val="5AF37BFF"/>
    <w:rsid w:val="5AF441EA"/>
    <w:rsid w:val="5AF5541F"/>
    <w:rsid w:val="5AF57114"/>
    <w:rsid w:val="5AF61EC6"/>
    <w:rsid w:val="5AF679B7"/>
    <w:rsid w:val="5AF70FCD"/>
    <w:rsid w:val="5AF727FF"/>
    <w:rsid w:val="5AF77072"/>
    <w:rsid w:val="5AF80325"/>
    <w:rsid w:val="5AF84D50"/>
    <w:rsid w:val="5AF87B55"/>
    <w:rsid w:val="5AFA6E60"/>
    <w:rsid w:val="5AFC0BB3"/>
    <w:rsid w:val="5AFC2477"/>
    <w:rsid w:val="5AFC6DAF"/>
    <w:rsid w:val="5AFD1C3B"/>
    <w:rsid w:val="5AFD256F"/>
    <w:rsid w:val="5AFE0644"/>
    <w:rsid w:val="5AFF16B3"/>
    <w:rsid w:val="5AFF74AC"/>
    <w:rsid w:val="5B026AD8"/>
    <w:rsid w:val="5B032363"/>
    <w:rsid w:val="5B03409B"/>
    <w:rsid w:val="5B062596"/>
    <w:rsid w:val="5B062A42"/>
    <w:rsid w:val="5B08503A"/>
    <w:rsid w:val="5B0867BA"/>
    <w:rsid w:val="5B092532"/>
    <w:rsid w:val="5B0928D0"/>
    <w:rsid w:val="5B0A5E51"/>
    <w:rsid w:val="5B0B4E63"/>
    <w:rsid w:val="5B0B4E8E"/>
    <w:rsid w:val="5B0D1FE8"/>
    <w:rsid w:val="5B0D2FCE"/>
    <w:rsid w:val="5B0D3DD0"/>
    <w:rsid w:val="5B0D577B"/>
    <w:rsid w:val="5B0D7F40"/>
    <w:rsid w:val="5B0F637C"/>
    <w:rsid w:val="5B0F7F42"/>
    <w:rsid w:val="5B105158"/>
    <w:rsid w:val="5B105354"/>
    <w:rsid w:val="5B105C48"/>
    <w:rsid w:val="5B105DDE"/>
    <w:rsid w:val="5B116E35"/>
    <w:rsid w:val="5B1502BF"/>
    <w:rsid w:val="5B1533D9"/>
    <w:rsid w:val="5B161574"/>
    <w:rsid w:val="5B170F8F"/>
    <w:rsid w:val="5B174697"/>
    <w:rsid w:val="5B175BCD"/>
    <w:rsid w:val="5B183DB2"/>
    <w:rsid w:val="5B193CC6"/>
    <w:rsid w:val="5B1B05D8"/>
    <w:rsid w:val="5B1B6909"/>
    <w:rsid w:val="5B1C2265"/>
    <w:rsid w:val="5B1C7CE6"/>
    <w:rsid w:val="5B1D26A9"/>
    <w:rsid w:val="5B1D7AB4"/>
    <w:rsid w:val="5B1E5215"/>
    <w:rsid w:val="5B1F6F47"/>
    <w:rsid w:val="5B202F43"/>
    <w:rsid w:val="5B2367B9"/>
    <w:rsid w:val="5B241A3E"/>
    <w:rsid w:val="5B246D9E"/>
    <w:rsid w:val="5B2532E8"/>
    <w:rsid w:val="5B2564F8"/>
    <w:rsid w:val="5B260139"/>
    <w:rsid w:val="5B264B90"/>
    <w:rsid w:val="5B2663C3"/>
    <w:rsid w:val="5B274456"/>
    <w:rsid w:val="5B28417F"/>
    <w:rsid w:val="5B2871D6"/>
    <w:rsid w:val="5B287ECC"/>
    <w:rsid w:val="5B2911EF"/>
    <w:rsid w:val="5B2B78C6"/>
    <w:rsid w:val="5B2C42DB"/>
    <w:rsid w:val="5B2D7786"/>
    <w:rsid w:val="5B2E478C"/>
    <w:rsid w:val="5B2E55C0"/>
    <w:rsid w:val="5B2E6991"/>
    <w:rsid w:val="5B2F6BD7"/>
    <w:rsid w:val="5B30071F"/>
    <w:rsid w:val="5B303A59"/>
    <w:rsid w:val="5B303F63"/>
    <w:rsid w:val="5B317D9E"/>
    <w:rsid w:val="5B3255E5"/>
    <w:rsid w:val="5B3319B1"/>
    <w:rsid w:val="5B334661"/>
    <w:rsid w:val="5B341205"/>
    <w:rsid w:val="5B3436B8"/>
    <w:rsid w:val="5B34507D"/>
    <w:rsid w:val="5B3475AF"/>
    <w:rsid w:val="5B353E88"/>
    <w:rsid w:val="5B3728E1"/>
    <w:rsid w:val="5B3A253C"/>
    <w:rsid w:val="5B3A4CB8"/>
    <w:rsid w:val="5B3B3A67"/>
    <w:rsid w:val="5B3B7B32"/>
    <w:rsid w:val="5B3B7BB5"/>
    <w:rsid w:val="5B3C5E8B"/>
    <w:rsid w:val="5B3C7526"/>
    <w:rsid w:val="5B3D7621"/>
    <w:rsid w:val="5B3E38F4"/>
    <w:rsid w:val="5B3F6646"/>
    <w:rsid w:val="5B405992"/>
    <w:rsid w:val="5B410B52"/>
    <w:rsid w:val="5B4450E7"/>
    <w:rsid w:val="5B463224"/>
    <w:rsid w:val="5B46490B"/>
    <w:rsid w:val="5B467D2A"/>
    <w:rsid w:val="5B4721A4"/>
    <w:rsid w:val="5B4721DC"/>
    <w:rsid w:val="5B487E87"/>
    <w:rsid w:val="5B492DC1"/>
    <w:rsid w:val="5B494EF4"/>
    <w:rsid w:val="5B4A5737"/>
    <w:rsid w:val="5B4B45EA"/>
    <w:rsid w:val="5B4C1439"/>
    <w:rsid w:val="5B4C1D1F"/>
    <w:rsid w:val="5B4D457C"/>
    <w:rsid w:val="5B4D6ED8"/>
    <w:rsid w:val="5B4D71D2"/>
    <w:rsid w:val="5B4E087A"/>
    <w:rsid w:val="5B4E5876"/>
    <w:rsid w:val="5B4F0BAF"/>
    <w:rsid w:val="5B4F61E9"/>
    <w:rsid w:val="5B4F7694"/>
    <w:rsid w:val="5B500161"/>
    <w:rsid w:val="5B50716E"/>
    <w:rsid w:val="5B516417"/>
    <w:rsid w:val="5B527780"/>
    <w:rsid w:val="5B530276"/>
    <w:rsid w:val="5B5312F2"/>
    <w:rsid w:val="5B545C1D"/>
    <w:rsid w:val="5B563EF6"/>
    <w:rsid w:val="5B566D33"/>
    <w:rsid w:val="5B5718F2"/>
    <w:rsid w:val="5B587751"/>
    <w:rsid w:val="5B5900DD"/>
    <w:rsid w:val="5B596DB6"/>
    <w:rsid w:val="5B5976A4"/>
    <w:rsid w:val="5B5A1146"/>
    <w:rsid w:val="5B5A2D8E"/>
    <w:rsid w:val="5B5B1C39"/>
    <w:rsid w:val="5B5B4626"/>
    <w:rsid w:val="5B5C0D15"/>
    <w:rsid w:val="5B5C436D"/>
    <w:rsid w:val="5B5C5660"/>
    <w:rsid w:val="5B5C73BE"/>
    <w:rsid w:val="5B5D626A"/>
    <w:rsid w:val="5B5E1068"/>
    <w:rsid w:val="5B5E3FD6"/>
    <w:rsid w:val="5B5F2152"/>
    <w:rsid w:val="5B61314E"/>
    <w:rsid w:val="5B620508"/>
    <w:rsid w:val="5B620669"/>
    <w:rsid w:val="5B6209E7"/>
    <w:rsid w:val="5B622E70"/>
    <w:rsid w:val="5B624559"/>
    <w:rsid w:val="5B626359"/>
    <w:rsid w:val="5B642E16"/>
    <w:rsid w:val="5B651D73"/>
    <w:rsid w:val="5B653C0C"/>
    <w:rsid w:val="5B654162"/>
    <w:rsid w:val="5B656F7D"/>
    <w:rsid w:val="5B6641ED"/>
    <w:rsid w:val="5B6775B8"/>
    <w:rsid w:val="5B6A69E5"/>
    <w:rsid w:val="5B6C1577"/>
    <w:rsid w:val="5B6C22F2"/>
    <w:rsid w:val="5B6E08AB"/>
    <w:rsid w:val="5B6E1B18"/>
    <w:rsid w:val="5B6E7783"/>
    <w:rsid w:val="5B6F5BFD"/>
    <w:rsid w:val="5B70096B"/>
    <w:rsid w:val="5B703BC1"/>
    <w:rsid w:val="5B70435F"/>
    <w:rsid w:val="5B714DC4"/>
    <w:rsid w:val="5B7174CC"/>
    <w:rsid w:val="5B723E47"/>
    <w:rsid w:val="5B724748"/>
    <w:rsid w:val="5B7331D9"/>
    <w:rsid w:val="5B7367AC"/>
    <w:rsid w:val="5B757A61"/>
    <w:rsid w:val="5B76313A"/>
    <w:rsid w:val="5B7705D8"/>
    <w:rsid w:val="5B773940"/>
    <w:rsid w:val="5B7770CB"/>
    <w:rsid w:val="5B791466"/>
    <w:rsid w:val="5B7A175B"/>
    <w:rsid w:val="5B7B07D5"/>
    <w:rsid w:val="5B7C6E79"/>
    <w:rsid w:val="5B7C71A8"/>
    <w:rsid w:val="5B7E680D"/>
    <w:rsid w:val="5B803869"/>
    <w:rsid w:val="5B816560"/>
    <w:rsid w:val="5B835E40"/>
    <w:rsid w:val="5B84427B"/>
    <w:rsid w:val="5B853696"/>
    <w:rsid w:val="5B864775"/>
    <w:rsid w:val="5B86789B"/>
    <w:rsid w:val="5B871EA9"/>
    <w:rsid w:val="5B87226B"/>
    <w:rsid w:val="5B877578"/>
    <w:rsid w:val="5B880B7C"/>
    <w:rsid w:val="5B89053F"/>
    <w:rsid w:val="5B891348"/>
    <w:rsid w:val="5B893B43"/>
    <w:rsid w:val="5B8A113B"/>
    <w:rsid w:val="5B8A6792"/>
    <w:rsid w:val="5B8B2F47"/>
    <w:rsid w:val="5B8C1D0F"/>
    <w:rsid w:val="5B8D315C"/>
    <w:rsid w:val="5B8D6CBF"/>
    <w:rsid w:val="5B8E1DED"/>
    <w:rsid w:val="5B8E2808"/>
    <w:rsid w:val="5B8F0C89"/>
    <w:rsid w:val="5B8F1398"/>
    <w:rsid w:val="5B905AD9"/>
    <w:rsid w:val="5B90718A"/>
    <w:rsid w:val="5B910182"/>
    <w:rsid w:val="5B9166A3"/>
    <w:rsid w:val="5B9240CB"/>
    <w:rsid w:val="5B9306C1"/>
    <w:rsid w:val="5B9348D6"/>
    <w:rsid w:val="5B955628"/>
    <w:rsid w:val="5B987310"/>
    <w:rsid w:val="5B987706"/>
    <w:rsid w:val="5B9A5508"/>
    <w:rsid w:val="5B9C0614"/>
    <w:rsid w:val="5B9C6F02"/>
    <w:rsid w:val="5B9D7C01"/>
    <w:rsid w:val="5B9E0ECC"/>
    <w:rsid w:val="5B9E6334"/>
    <w:rsid w:val="5BA00E99"/>
    <w:rsid w:val="5BA11C13"/>
    <w:rsid w:val="5BA1276A"/>
    <w:rsid w:val="5BA22B03"/>
    <w:rsid w:val="5BA230B9"/>
    <w:rsid w:val="5BA31FB4"/>
    <w:rsid w:val="5BA477A6"/>
    <w:rsid w:val="5BA504AD"/>
    <w:rsid w:val="5BA639C4"/>
    <w:rsid w:val="5BA858A7"/>
    <w:rsid w:val="5BA86C3F"/>
    <w:rsid w:val="5BA90BC9"/>
    <w:rsid w:val="5BA93FBD"/>
    <w:rsid w:val="5BA94D31"/>
    <w:rsid w:val="5BA95F91"/>
    <w:rsid w:val="5BAA68AB"/>
    <w:rsid w:val="5BAB0978"/>
    <w:rsid w:val="5BAB3E1F"/>
    <w:rsid w:val="5BAC7B83"/>
    <w:rsid w:val="5BAD12E6"/>
    <w:rsid w:val="5BAD364E"/>
    <w:rsid w:val="5BAE3FA6"/>
    <w:rsid w:val="5BB05C07"/>
    <w:rsid w:val="5BB06961"/>
    <w:rsid w:val="5BB1318C"/>
    <w:rsid w:val="5BB2091F"/>
    <w:rsid w:val="5BB20BF1"/>
    <w:rsid w:val="5BB21741"/>
    <w:rsid w:val="5BB268BB"/>
    <w:rsid w:val="5BB61F39"/>
    <w:rsid w:val="5BB679B1"/>
    <w:rsid w:val="5BB85F08"/>
    <w:rsid w:val="5BBA05CD"/>
    <w:rsid w:val="5BBA7DB4"/>
    <w:rsid w:val="5BBC2C60"/>
    <w:rsid w:val="5BBD06F3"/>
    <w:rsid w:val="5BBD57F6"/>
    <w:rsid w:val="5BC12FA5"/>
    <w:rsid w:val="5BC1423B"/>
    <w:rsid w:val="5BC16601"/>
    <w:rsid w:val="5BC261CE"/>
    <w:rsid w:val="5BC52561"/>
    <w:rsid w:val="5BC56630"/>
    <w:rsid w:val="5BC71EB1"/>
    <w:rsid w:val="5BC760F3"/>
    <w:rsid w:val="5BC76D7B"/>
    <w:rsid w:val="5BC77AD0"/>
    <w:rsid w:val="5BC835A7"/>
    <w:rsid w:val="5BC94477"/>
    <w:rsid w:val="5BC95A51"/>
    <w:rsid w:val="5BCA61A8"/>
    <w:rsid w:val="5BCC0F14"/>
    <w:rsid w:val="5BCC3945"/>
    <w:rsid w:val="5BCC3C8B"/>
    <w:rsid w:val="5BCC4E69"/>
    <w:rsid w:val="5BCD67E0"/>
    <w:rsid w:val="5BCF11AE"/>
    <w:rsid w:val="5BD0768A"/>
    <w:rsid w:val="5BD13BC9"/>
    <w:rsid w:val="5BD43D75"/>
    <w:rsid w:val="5BD45872"/>
    <w:rsid w:val="5BD51D05"/>
    <w:rsid w:val="5BD566AF"/>
    <w:rsid w:val="5BD668B8"/>
    <w:rsid w:val="5BD77678"/>
    <w:rsid w:val="5BD92D30"/>
    <w:rsid w:val="5BD935B6"/>
    <w:rsid w:val="5BDC4E3C"/>
    <w:rsid w:val="5BDC57DA"/>
    <w:rsid w:val="5BDC590D"/>
    <w:rsid w:val="5BDD2446"/>
    <w:rsid w:val="5BDE39BF"/>
    <w:rsid w:val="5BDF4A8F"/>
    <w:rsid w:val="5BDF5D95"/>
    <w:rsid w:val="5BDF6BBC"/>
    <w:rsid w:val="5BDF71A8"/>
    <w:rsid w:val="5BDF71E4"/>
    <w:rsid w:val="5BE03293"/>
    <w:rsid w:val="5BE05F4F"/>
    <w:rsid w:val="5BE07737"/>
    <w:rsid w:val="5BE16D8E"/>
    <w:rsid w:val="5BE20856"/>
    <w:rsid w:val="5BE34680"/>
    <w:rsid w:val="5BE469EC"/>
    <w:rsid w:val="5BE52CCA"/>
    <w:rsid w:val="5BE579D9"/>
    <w:rsid w:val="5BE57DB8"/>
    <w:rsid w:val="5BE6171B"/>
    <w:rsid w:val="5BE82147"/>
    <w:rsid w:val="5BE83874"/>
    <w:rsid w:val="5BEA261B"/>
    <w:rsid w:val="5BEA5EBF"/>
    <w:rsid w:val="5BEB6BC0"/>
    <w:rsid w:val="5BEC1A5C"/>
    <w:rsid w:val="5BEC2C8D"/>
    <w:rsid w:val="5BEC3CBC"/>
    <w:rsid w:val="5BEC60DC"/>
    <w:rsid w:val="5BED59B0"/>
    <w:rsid w:val="5BEE04E8"/>
    <w:rsid w:val="5BEE226D"/>
    <w:rsid w:val="5BEF18A9"/>
    <w:rsid w:val="5BEF27F5"/>
    <w:rsid w:val="5BF04597"/>
    <w:rsid w:val="5BF136F2"/>
    <w:rsid w:val="5BF154A0"/>
    <w:rsid w:val="5BF172E7"/>
    <w:rsid w:val="5BF2002D"/>
    <w:rsid w:val="5BF31926"/>
    <w:rsid w:val="5BF34BE0"/>
    <w:rsid w:val="5BF46D24"/>
    <w:rsid w:val="5BF6266E"/>
    <w:rsid w:val="5BF63943"/>
    <w:rsid w:val="5BF70A64"/>
    <w:rsid w:val="5BF90B21"/>
    <w:rsid w:val="5BF90F02"/>
    <w:rsid w:val="5BF95BF7"/>
    <w:rsid w:val="5BFA1F99"/>
    <w:rsid w:val="5BFB4B8D"/>
    <w:rsid w:val="5BFC62C9"/>
    <w:rsid w:val="5BFD0FB4"/>
    <w:rsid w:val="5BFD3E45"/>
    <w:rsid w:val="5BFD450A"/>
    <w:rsid w:val="5BFD49CE"/>
    <w:rsid w:val="5BFE7528"/>
    <w:rsid w:val="5BFE7BBD"/>
    <w:rsid w:val="5BFF0ABC"/>
    <w:rsid w:val="5BFF25D9"/>
    <w:rsid w:val="5BFF46E2"/>
    <w:rsid w:val="5BFF4D2F"/>
    <w:rsid w:val="5C0017AD"/>
    <w:rsid w:val="5C0427F6"/>
    <w:rsid w:val="5C06456D"/>
    <w:rsid w:val="5C074E77"/>
    <w:rsid w:val="5C074EE8"/>
    <w:rsid w:val="5C0764E2"/>
    <w:rsid w:val="5C076A71"/>
    <w:rsid w:val="5C080ABF"/>
    <w:rsid w:val="5C084598"/>
    <w:rsid w:val="5C0871F7"/>
    <w:rsid w:val="5C0A3706"/>
    <w:rsid w:val="5C0A6562"/>
    <w:rsid w:val="5C0A7E5D"/>
    <w:rsid w:val="5C0A7FEF"/>
    <w:rsid w:val="5C0B16CD"/>
    <w:rsid w:val="5C0B1FF6"/>
    <w:rsid w:val="5C0B7862"/>
    <w:rsid w:val="5C0C1A9E"/>
    <w:rsid w:val="5C0C7E31"/>
    <w:rsid w:val="5C0D1BAE"/>
    <w:rsid w:val="5C0D4B4D"/>
    <w:rsid w:val="5C1072E3"/>
    <w:rsid w:val="5C11169E"/>
    <w:rsid w:val="5C113810"/>
    <w:rsid w:val="5C1360AC"/>
    <w:rsid w:val="5C152EDA"/>
    <w:rsid w:val="5C17200E"/>
    <w:rsid w:val="5C186ED1"/>
    <w:rsid w:val="5C192E43"/>
    <w:rsid w:val="5C194704"/>
    <w:rsid w:val="5C19509B"/>
    <w:rsid w:val="5C195F6E"/>
    <w:rsid w:val="5C1A210E"/>
    <w:rsid w:val="5C1B19F6"/>
    <w:rsid w:val="5C1B79DA"/>
    <w:rsid w:val="5C1C06E1"/>
    <w:rsid w:val="5C1D7440"/>
    <w:rsid w:val="5C1E06D4"/>
    <w:rsid w:val="5C1E479A"/>
    <w:rsid w:val="5C1E6D45"/>
    <w:rsid w:val="5C1E7C90"/>
    <w:rsid w:val="5C1F31C3"/>
    <w:rsid w:val="5C20178C"/>
    <w:rsid w:val="5C217DC4"/>
    <w:rsid w:val="5C220C9C"/>
    <w:rsid w:val="5C221E63"/>
    <w:rsid w:val="5C2314C8"/>
    <w:rsid w:val="5C245C7D"/>
    <w:rsid w:val="5C250DA0"/>
    <w:rsid w:val="5C254D44"/>
    <w:rsid w:val="5C263B5B"/>
    <w:rsid w:val="5C263CF4"/>
    <w:rsid w:val="5C267CE8"/>
    <w:rsid w:val="5C267E27"/>
    <w:rsid w:val="5C292E8C"/>
    <w:rsid w:val="5C293A7C"/>
    <w:rsid w:val="5C29444E"/>
    <w:rsid w:val="5C296D51"/>
    <w:rsid w:val="5C296FB2"/>
    <w:rsid w:val="5C2B19E9"/>
    <w:rsid w:val="5C2B64E9"/>
    <w:rsid w:val="5C2C4A5B"/>
    <w:rsid w:val="5C2C5531"/>
    <w:rsid w:val="5C2E04A2"/>
    <w:rsid w:val="5C2E2250"/>
    <w:rsid w:val="5C316701"/>
    <w:rsid w:val="5C3317B3"/>
    <w:rsid w:val="5C335072"/>
    <w:rsid w:val="5C33711A"/>
    <w:rsid w:val="5C35673C"/>
    <w:rsid w:val="5C364F80"/>
    <w:rsid w:val="5C365391"/>
    <w:rsid w:val="5C381321"/>
    <w:rsid w:val="5C382608"/>
    <w:rsid w:val="5C38721E"/>
    <w:rsid w:val="5C390BF5"/>
    <w:rsid w:val="5C392508"/>
    <w:rsid w:val="5C3978BC"/>
    <w:rsid w:val="5C3A3E1D"/>
    <w:rsid w:val="5C3B4C65"/>
    <w:rsid w:val="5C3C4394"/>
    <w:rsid w:val="5C3D781A"/>
    <w:rsid w:val="5C3D7831"/>
    <w:rsid w:val="5C3F076D"/>
    <w:rsid w:val="5C3F612E"/>
    <w:rsid w:val="5C41558F"/>
    <w:rsid w:val="5C423DD8"/>
    <w:rsid w:val="5C423F4D"/>
    <w:rsid w:val="5C433822"/>
    <w:rsid w:val="5C433D3C"/>
    <w:rsid w:val="5C445C13"/>
    <w:rsid w:val="5C452FC8"/>
    <w:rsid w:val="5C457832"/>
    <w:rsid w:val="5C4672AF"/>
    <w:rsid w:val="5C473312"/>
    <w:rsid w:val="5C474B09"/>
    <w:rsid w:val="5C4750B5"/>
    <w:rsid w:val="5C487DBB"/>
    <w:rsid w:val="5C49226D"/>
    <w:rsid w:val="5C492F91"/>
    <w:rsid w:val="5C493FE5"/>
    <w:rsid w:val="5C4A12B0"/>
    <w:rsid w:val="5C4B444E"/>
    <w:rsid w:val="5C4C26D6"/>
    <w:rsid w:val="5C4C28AD"/>
    <w:rsid w:val="5C4D01D6"/>
    <w:rsid w:val="5C4E458C"/>
    <w:rsid w:val="5C501641"/>
    <w:rsid w:val="5C501AC6"/>
    <w:rsid w:val="5C50239C"/>
    <w:rsid w:val="5C531BBB"/>
    <w:rsid w:val="5C531CB7"/>
    <w:rsid w:val="5C536D10"/>
    <w:rsid w:val="5C5477DD"/>
    <w:rsid w:val="5C56162E"/>
    <w:rsid w:val="5C56542E"/>
    <w:rsid w:val="5C585659"/>
    <w:rsid w:val="5C585A2B"/>
    <w:rsid w:val="5C5B6963"/>
    <w:rsid w:val="5C5C5B3C"/>
    <w:rsid w:val="5C5E0D45"/>
    <w:rsid w:val="5C5E210D"/>
    <w:rsid w:val="5C5F7FE6"/>
    <w:rsid w:val="5C610054"/>
    <w:rsid w:val="5C61144A"/>
    <w:rsid w:val="5C612876"/>
    <w:rsid w:val="5C612E76"/>
    <w:rsid w:val="5C614145"/>
    <w:rsid w:val="5C617363"/>
    <w:rsid w:val="5C6207A8"/>
    <w:rsid w:val="5C627C53"/>
    <w:rsid w:val="5C6334A3"/>
    <w:rsid w:val="5C636DC0"/>
    <w:rsid w:val="5C6375C0"/>
    <w:rsid w:val="5C643492"/>
    <w:rsid w:val="5C645C72"/>
    <w:rsid w:val="5C655C22"/>
    <w:rsid w:val="5C657C3C"/>
    <w:rsid w:val="5C663A43"/>
    <w:rsid w:val="5C670E9C"/>
    <w:rsid w:val="5C674914"/>
    <w:rsid w:val="5C680238"/>
    <w:rsid w:val="5C6803E2"/>
    <w:rsid w:val="5C687F31"/>
    <w:rsid w:val="5C6913FE"/>
    <w:rsid w:val="5C6949CD"/>
    <w:rsid w:val="5C6A3177"/>
    <w:rsid w:val="5C6A7000"/>
    <w:rsid w:val="5C6B34A4"/>
    <w:rsid w:val="5C6C1E2A"/>
    <w:rsid w:val="5C6D4219"/>
    <w:rsid w:val="5C6D6519"/>
    <w:rsid w:val="5C6E2624"/>
    <w:rsid w:val="5C6E57F5"/>
    <w:rsid w:val="5C6F1132"/>
    <w:rsid w:val="5C70659A"/>
    <w:rsid w:val="5C707482"/>
    <w:rsid w:val="5C71213D"/>
    <w:rsid w:val="5C725121"/>
    <w:rsid w:val="5C727CF2"/>
    <w:rsid w:val="5C732FCD"/>
    <w:rsid w:val="5C755D8C"/>
    <w:rsid w:val="5C77403F"/>
    <w:rsid w:val="5C777D5B"/>
    <w:rsid w:val="5C780021"/>
    <w:rsid w:val="5C785B25"/>
    <w:rsid w:val="5C797AB8"/>
    <w:rsid w:val="5C7A4790"/>
    <w:rsid w:val="5C7B1BCE"/>
    <w:rsid w:val="5C7B2FBB"/>
    <w:rsid w:val="5C7B745F"/>
    <w:rsid w:val="5C7C1CA3"/>
    <w:rsid w:val="5C7D7FE2"/>
    <w:rsid w:val="5C7E1792"/>
    <w:rsid w:val="5C807715"/>
    <w:rsid w:val="5C813644"/>
    <w:rsid w:val="5C814A76"/>
    <w:rsid w:val="5C8209A3"/>
    <w:rsid w:val="5C8226B0"/>
    <w:rsid w:val="5C831D4C"/>
    <w:rsid w:val="5C8400C2"/>
    <w:rsid w:val="5C846E17"/>
    <w:rsid w:val="5C861F87"/>
    <w:rsid w:val="5C8A1451"/>
    <w:rsid w:val="5C8A65AB"/>
    <w:rsid w:val="5C8A7B5D"/>
    <w:rsid w:val="5C8B76A2"/>
    <w:rsid w:val="5C8C1275"/>
    <w:rsid w:val="5C8E035F"/>
    <w:rsid w:val="5C8E2747"/>
    <w:rsid w:val="5C8E2CEF"/>
    <w:rsid w:val="5C8F1519"/>
    <w:rsid w:val="5C8F2377"/>
    <w:rsid w:val="5C8F386B"/>
    <w:rsid w:val="5C8F4507"/>
    <w:rsid w:val="5C906884"/>
    <w:rsid w:val="5C913940"/>
    <w:rsid w:val="5C91668F"/>
    <w:rsid w:val="5C9173E2"/>
    <w:rsid w:val="5C92020D"/>
    <w:rsid w:val="5C930305"/>
    <w:rsid w:val="5C9421A2"/>
    <w:rsid w:val="5C950D18"/>
    <w:rsid w:val="5C951806"/>
    <w:rsid w:val="5C955894"/>
    <w:rsid w:val="5C962871"/>
    <w:rsid w:val="5C96334A"/>
    <w:rsid w:val="5C9654DF"/>
    <w:rsid w:val="5C9830D0"/>
    <w:rsid w:val="5C984A7A"/>
    <w:rsid w:val="5C991D7B"/>
    <w:rsid w:val="5C99218B"/>
    <w:rsid w:val="5C992723"/>
    <w:rsid w:val="5C9A3DD2"/>
    <w:rsid w:val="5C9C55D4"/>
    <w:rsid w:val="5C9C588E"/>
    <w:rsid w:val="5C9D207A"/>
    <w:rsid w:val="5C9E0E22"/>
    <w:rsid w:val="5C9E1237"/>
    <w:rsid w:val="5C9E158E"/>
    <w:rsid w:val="5C9E5FFE"/>
    <w:rsid w:val="5C9F329F"/>
    <w:rsid w:val="5C9F4AFE"/>
    <w:rsid w:val="5C9F639C"/>
    <w:rsid w:val="5CA06446"/>
    <w:rsid w:val="5CA23E0E"/>
    <w:rsid w:val="5CA3008C"/>
    <w:rsid w:val="5CA4207D"/>
    <w:rsid w:val="5CA50E48"/>
    <w:rsid w:val="5CA52EC4"/>
    <w:rsid w:val="5CA63169"/>
    <w:rsid w:val="5CA66A9A"/>
    <w:rsid w:val="5CA8320B"/>
    <w:rsid w:val="5CA8544F"/>
    <w:rsid w:val="5CA8660D"/>
    <w:rsid w:val="5CA976A3"/>
    <w:rsid w:val="5CAC012B"/>
    <w:rsid w:val="5CAC1086"/>
    <w:rsid w:val="5CAC25E0"/>
    <w:rsid w:val="5CAC586B"/>
    <w:rsid w:val="5CAD1F1A"/>
    <w:rsid w:val="5CAD354C"/>
    <w:rsid w:val="5CAD3ADA"/>
    <w:rsid w:val="5CAD5C4F"/>
    <w:rsid w:val="5CAD6E80"/>
    <w:rsid w:val="5CAE0FD9"/>
    <w:rsid w:val="5CB050E1"/>
    <w:rsid w:val="5CB130EE"/>
    <w:rsid w:val="5CB279C3"/>
    <w:rsid w:val="5CB35EB0"/>
    <w:rsid w:val="5CB4383A"/>
    <w:rsid w:val="5CB53485"/>
    <w:rsid w:val="5CB63F9A"/>
    <w:rsid w:val="5CB75ACB"/>
    <w:rsid w:val="5CB75B92"/>
    <w:rsid w:val="5CB76C3D"/>
    <w:rsid w:val="5CB9797E"/>
    <w:rsid w:val="5CB97D9E"/>
    <w:rsid w:val="5CBA3056"/>
    <w:rsid w:val="5CBB059A"/>
    <w:rsid w:val="5CBB34E5"/>
    <w:rsid w:val="5CBC3D00"/>
    <w:rsid w:val="5CBC5AAE"/>
    <w:rsid w:val="5CBD2F40"/>
    <w:rsid w:val="5CBD5AD6"/>
    <w:rsid w:val="5CBE3A3B"/>
    <w:rsid w:val="5CBF734C"/>
    <w:rsid w:val="5CC00BE3"/>
    <w:rsid w:val="5CC10D6F"/>
    <w:rsid w:val="5CC11FAF"/>
    <w:rsid w:val="5CC159BF"/>
    <w:rsid w:val="5CC169A6"/>
    <w:rsid w:val="5CC22A6E"/>
    <w:rsid w:val="5CC2508E"/>
    <w:rsid w:val="5CC25BDD"/>
    <w:rsid w:val="5CC32337"/>
    <w:rsid w:val="5CC41F82"/>
    <w:rsid w:val="5CC46711"/>
    <w:rsid w:val="5CC5405A"/>
    <w:rsid w:val="5CC57FD9"/>
    <w:rsid w:val="5CC701B8"/>
    <w:rsid w:val="5CC721E9"/>
    <w:rsid w:val="5CC76C66"/>
    <w:rsid w:val="5CC85055"/>
    <w:rsid w:val="5CC90B9A"/>
    <w:rsid w:val="5CC93FFF"/>
    <w:rsid w:val="5CCA6C30"/>
    <w:rsid w:val="5CCB042C"/>
    <w:rsid w:val="5CCD5585"/>
    <w:rsid w:val="5CCE45B4"/>
    <w:rsid w:val="5CCE4802"/>
    <w:rsid w:val="5CCF422F"/>
    <w:rsid w:val="5CD03A0F"/>
    <w:rsid w:val="5CD050B5"/>
    <w:rsid w:val="5CD059FB"/>
    <w:rsid w:val="5CD16455"/>
    <w:rsid w:val="5CD17CAC"/>
    <w:rsid w:val="5CD32A92"/>
    <w:rsid w:val="5CD4121D"/>
    <w:rsid w:val="5CD43EAD"/>
    <w:rsid w:val="5CD52465"/>
    <w:rsid w:val="5CD5759B"/>
    <w:rsid w:val="5CD66BD0"/>
    <w:rsid w:val="5CD70A35"/>
    <w:rsid w:val="5CD722AD"/>
    <w:rsid w:val="5CD73CDC"/>
    <w:rsid w:val="5CD8040E"/>
    <w:rsid w:val="5CD866D0"/>
    <w:rsid w:val="5CD95D98"/>
    <w:rsid w:val="5CDA22F5"/>
    <w:rsid w:val="5CDB3739"/>
    <w:rsid w:val="5CDB6651"/>
    <w:rsid w:val="5CDC25D7"/>
    <w:rsid w:val="5CDC2730"/>
    <w:rsid w:val="5CDC48C1"/>
    <w:rsid w:val="5CDD20FE"/>
    <w:rsid w:val="5CDD46AC"/>
    <w:rsid w:val="5CDE0AE1"/>
    <w:rsid w:val="5CDE1A17"/>
    <w:rsid w:val="5CDF2202"/>
    <w:rsid w:val="5CDF3BFA"/>
    <w:rsid w:val="5CE177F5"/>
    <w:rsid w:val="5CE2085D"/>
    <w:rsid w:val="5CE248CA"/>
    <w:rsid w:val="5CE24D2A"/>
    <w:rsid w:val="5CE26B83"/>
    <w:rsid w:val="5CE26C73"/>
    <w:rsid w:val="5CE30EC6"/>
    <w:rsid w:val="5CE37C51"/>
    <w:rsid w:val="5CE51B83"/>
    <w:rsid w:val="5CE53C41"/>
    <w:rsid w:val="5CE742FE"/>
    <w:rsid w:val="5CE80DDB"/>
    <w:rsid w:val="5CE86B05"/>
    <w:rsid w:val="5CE92CAA"/>
    <w:rsid w:val="5CE963D0"/>
    <w:rsid w:val="5CEB0BBD"/>
    <w:rsid w:val="5CEB1EEF"/>
    <w:rsid w:val="5CED0739"/>
    <w:rsid w:val="5CED1E80"/>
    <w:rsid w:val="5CEE12AB"/>
    <w:rsid w:val="5CEE19DF"/>
    <w:rsid w:val="5CEE378D"/>
    <w:rsid w:val="5CEE4C40"/>
    <w:rsid w:val="5CEF292A"/>
    <w:rsid w:val="5CEF3201"/>
    <w:rsid w:val="5CF01B47"/>
    <w:rsid w:val="5CF06D22"/>
    <w:rsid w:val="5CF06E1D"/>
    <w:rsid w:val="5CF0728E"/>
    <w:rsid w:val="5CF108C4"/>
    <w:rsid w:val="5CF1327E"/>
    <w:rsid w:val="5CF214D0"/>
    <w:rsid w:val="5CF30CF2"/>
    <w:rsid w:val="5CF376FB"/>
    <w:rsid w:val="5CF37C4E"/>
    <w:rsid w:val="5CF4729D"/>
    <w:rsid w:val="5CF47533"/>
    <w:rsid w:val="5CF5402E"/>
    <w:rsid w:val="5CF56D95"/>
    <w:rsid w:val="5CF654CB"/>
    <w:rsid w:val="5CF7423D"/>
    <w:rsid w:val="5CF76AE6"/>
    <w:rsid w:val="5CF86A03"/>
    <w:rsid w:val="5CF87257"/>
    <w:rsid w:val="5CF93E7B"/>
    <w:rsid w:val="5CF9752B"/>
    <w:rsid w:val="5CFA6087"/>
    <w:rsid w:val="5CFA65D6"/>
    <w:rsid w:val="5CFA74F2"/>
    <w:rsid w:val="5CFB7BB8"/>
    <w:rsid w:val="5CFB7CDB"/>
    <w:rsid w:val="5CFC1E1A"/>
    <w:rsid w:val="5CFC234E"/>
    <w:rsid w:val="5CFC6920"/>
    <w:rsid w:val="5CFC7EDD"/>
    <w:rsid w:val="5CFD17D9"/>
    <w:rsid w:val="5CFE1DA8"/>
    <w:rsid w:val="5CFE54F3"/>
    <w:rsid w:val="5CFE55B1"/>
    <w:rsid w:val="5CFE6274"/>
    <w:rsid w:val="5CFF6FC3"/>
    <w:rsid w:val="5D000012"/>
    <w:rsid w:val="5D003D37"/>
    <w:rsid w:val="5D0050E4"/>
    <w:rsid w:val="5D021703"/>
    <w:rsid w:val="5D022BFD"/>
    <w:rsid w:val="5D0336DD"/>
    <w:rsid w:val="5D0354EE"/>
    <w:rsid w:val="5D035663"/>
    <w:rsid w:val="5D037826"/>
    <w:rsid w:val="5D0444B0"/>
    <w:rsid w:val="5D05247F"/>
    <w:rsid w:val="5D06579F"/>
    <w:rsid w:val="5D080CF3"/>
    <w:rsid w:val="5D084B91"/>
    <w:rsid w:val="5D086716"/>
    <w:rsid w:val="5D0B69B5"/>
    <w:rsid w:val="5D0C1C8A"/>
    <w:rsid w:val="5D0C3366"/>
    <w:rsid w:val="5D0D1165"/>
    <w:rsid w:val="5D103FD3"/>
    <w:rsid w:val="5D104BD4"/>
    <w:rsid w:val="5D123920"/>
    <w:rsid w:val="5D126AC8"/>
    <w:rsid w:val="5D130198"/>
    <w:rsid w:val="5D150CC2"/>
    <w:rsid w:val="5D1551BE"/>
    <w:rsid w:val="5D156E6C"/>
    <w:rsid w:val="5D163B33"/>
    <w:rsid w:val="5D17334D"/>
    <w:rsid w:val="5D1800D8"/>
    <w:rsid w:val="5D1A5CB8"/>
    <w:rsid w:val="5D1A636B"/>
    <w:rsid w:val="5D1A6FF8"/>
    <w:rsid w:val="5D1B1DC3"/>
    <w:rsid w:val="5D1C4B80"/>
    <w:rsid w:val="5D1C5180"/>
    <w:rsid w:val="5D212BDB"/>
    <w:rsid w:val="5D222CA5"/>
    <w:rsid w:val="5D2279DF"/>
    <w:rsid w:val="5D235B2D"/>
    <w:rsid w:val="5D24236E"/>
    <w:rsid w:val="5D251039"/>
    <w:rsid w:val="5D253684"/>
    <w:rsid w:val="5D260C6D"/>
    <w:rsid w:val="5D2612E1"/>
    <w:rsid w:val="5D261E0F"/>
    <w:rsid w:val="5D265251"/>
    <w:rsid w:val="5D2670A4"/>
    <w:rsid w:val="5D276544"/>
    <w:rsid w:val="5D296EBB"/>
    <w:rsid w:val="5D2C1B2D"/>
    <w:rsid w:val="5D2C3C97"/>
    <w:rsid w:val="5D2C7006"/>
    <w:rsid w:val="5D2D4600"/>
    <w:rsid w:val="5D2E1F8C"/>
    <w:rsid w:val="5D302346"/>
    <w:rsid w:val="5D305B40"/>
    <w:rsid w:val="5D307FDF"/>
    <w:rsid w:val="5D31529E"/>
    <w:rsid w:val="5D321109"/>
    <w:rsid w:val="5D321CB1"/>
    <w:rsid w:val="5D324115"/>
    <w:rsid w:val="5D325781"/>
    <w:rsid w:val="5D325C2D"/>
    <w:rsid w:val="5D3327F4"/>
    <w:rsid w:val="5D332C2E"/>
    <w:rsid w:val="5D336E41"/>
    <w:rsid w:val="5D343809"/>
    <w:rsid w:val="5D34475D"/>
    <w:rsid w:val="5D357A22"/>
    <w:rsid w:val="5D365454"/>
    <w:rsid w:val="5D386C2B"/>
    <w:rsid w:val="5D390ACA"/>
    <w:rsid w:val="5D3A3FB8"/>
    <w:rsid w:val="5D3B04F7"/>
    <w:rsid w:val="5D3C5BE7"/>
    <w:rsid w:val="5D3D366C"/>
    <w:rsid w:val="5D3E0B98"/>
    <w:rsid w:val="5D3E0F31"/>
    <w:rsid w:val="5D3E2967"/>
    <w:rsid w:val="5D3E3B09"/>
    <w:rsid w:val="5D3E65AD"/>
    <w:rsid w:val="5D3F5FFD"/>
    <w:rsid w:val="5D3F66DF"/>
    <w:rsid w:val="5D401AB7"/>
    <w:rsid w:val="5D403DEE"/>
    <w:rsid w:val="5D404DD9"/>
    <w:rsid w:val="5D4131BD"/>
    <w:rsid w:val="5D415FB3"/>
    <w:rsid w:val="5D4319EC"/>
    <w:rsid w:val="5D431D2B"/>
    <w:rsid w:val="5D435D18"/>
    <w:rsid w:val="5D4400DB"/>
    <w:rsid w:val="5D44101C"/>
    <w:rsid w:val="5D4463D1"/>
    <w:rsid w:val="5D4476DA"/>
    <w:rsid w:val="5D45751B"/>
    <w:rsid w:val="5D471115"/>
    <w:rsid w:val="5D47373E"/>
    <w:rsid w:val="5D47627E"/>
    <w:rsid w:val="5D476EE2"/>
    <w:rsid w:val="5D4844AA"/>
    <w:rsid w:val="5D484754"/>
    <w:rsid w:val="5D487AAF"/>
    <w:rsid w:val="5D494895"/>
    <w:rsid w:val="5D4A3BF5"/>
    <w:rsid w:val="5D4B2794"/>
    <w:rsid w:val="5D4B58BE"/>
    <w:rsid w:val="5D4C32E7"/>
    <w:rsid w:val="5D4E06D0"/>
    <w:rsid w:val="5D4F0812"/>
    <w:rsid w:val="5D4F7EBF"/>
    <w:rsid w:val="5D50707B"/>
    <w:rsid w:val="5D517B46"/>
    <w:rsid w:val="5D52630E"/>
    <w:rsid w:val="5D533B8E"/>
    <w:rsid w:val="5D5425F2"/>
    <w:rsid w:val="5D551A5E"/>
    <w:rsid w:val="5D573A29"/>
    <w:rsid w:val="5D5932FD"/>
    <w:rsid w:val="5D5A2D9A"/>
    <w:rsid w:val="5D5C6CE9"/>
    <w:rsid w:val="5D5D39B1"/>
    <w:rsid w:val="5D5D549E"/>
    <w:rsid w:val="5D5E4DAF"/>
    <w:rsid w:val="5D5F0A1B"/>
    <w:rsid w:val="5D600FE8"/>
    <w:rsid w:val="5D606272"/>
    <w:rsid w:val="5D606C00"/>
    <w:rsid w:val="5D60791C"/>
    <w:rsid w:val="5D6303A7"/>
    <w:rsid w:val="5D633729"/>
    <w:rsid w:val="5D635829"/>
    <w:rsid w:val="5D636026"/>
    <w:rsid w:val="5D643E41"/>
    <w:rsid w:val="5D644335"/>
    <w:rsid w:val="5D6459E3"/>
    <w:rsid w:val="5D664BB3"/>
    <w:rsid w:val="5D6679D6"/>
    <w:rsid w:val="5D686F12"/>
    <w:rsid w:val="5D6919BB"/>
    <w:rsid w:val="5D6923E4"/>
    <w:rsid w:val="5D69537A"/>
    <w:rsid w:val="5D696197"/>
    <w:rsid w:val="5D6A11E7"/>
    <w:rsid w:val="5D6B1930"/>
    <w:rsid w:val="5D6B37A0"/>
    <w:rsid w:val="5D6B62F8"/>
    <w:rsid w:val="5D6B76F5"/>
    <w:rsid w:val="5D6C4EBE"/>
    <w:rsid w:val="5D6D6DA8"/>
    <w:rsid w:val="5D6E5861"/>
    <w:rsid w:val="5D703C04"/>
    <w:rsid w:val="5D704AEA"/>
    <w:rsid w:val="5D707CD3"/>
    <w:rsid w:val="5D717C84"/>
    <w:rsid w:val="5D7657DF"/>
    <w:rsid w:val="5D767178"/>
    <w:rsid w:val="5D77349C"/>
    <w:rsid w:val="5D774E08"/>
    <w:rsid w:val="5D777C27"/>
    <w:rsid w:val="5D79399F"/>
    <w:rsid w:val="5D7A14C5"/>
    <w:rsid w:val="5D7A267C"/>
    <w:rsid w:val="5D7A2DEC"/>
    <w:rsid w:val="5D7C5FBA"/>
    <w:rsid w:val="5D7D04B0"/>
    <w:rsid w:val="5D7D1CC2"/>
    <w:rsid w:val="5D7E7879"/>
    <w:rsid w:val="5D7F5E78"/>
    <w:rsid w:val="5D8020D0"/>
    <w:rsid w:val="5D80324F"/>
    <w:rsid w:val="5D813535"/>
    <w:rsid w:val="5D82078D"/>
    <w:rsid w:val="5D821579"/>
    <w:rsid w:val="5D82232C"/>
    <w:rsid w:val="5D823CAC"/>
    <w:rsid w:val="5D837CBB"/>
    <w:rsid w:val="5D847209"/>
    <w:rsid w:val="5D855DF2"/>
    <w:rsid w:val="5D876BC7"/>
    <w:rsid w:val="5D881DC3"/>
    <w:rsid w:val="5D892A85"/>
    <w:rsid w:val="5D893DE5"/>
    <w:rsid w:val="5D897EE5"/>
    <w:rsid w:val="5D8C14AB"/>
    <w:rsid w:val="5D8D2FA6"/>
    <w:rsid w:val="5D8D542F"/>
    <w:rsid w:val="5D8E67A5"/>
    <w:rsid w:val="5D8E7717"/>
    <w:rsid w:val="5D8F3629"/>
    <w:rsid w:val="5D8F5E65"/>
    <w:rsid w:val="5D9046A1"/>
    <w:rsid w:val="5D911872"/>
    <w:rsid w:val="5D911D6B"/>
    <w:rsid w:val="5D917FAE"/>
    <w:rsid w:val="5D92153A"/>
    <w:rsid w:val="5D9440FD"/>
    <w:rsid w:val="5D94787C"/>
    <w:rsid w:val="5D957880"/>
    <w:rsid w:val="5D9642C5"/>
    <w:rsid w:val="5D9854A9"/>
    <w:rsid w:val="5D992F6F"/>
    <w:rsid w:val="5D994293"/>
    <w:rsid w:val="5D9A0DA9"/>
    <w:rsid w:val="5D9A56C3"/>
    <w:rsid w:val="5D9B46E1"/>
    <w:rsid w:val="5D9C143B"/>
    <w:rsid w:val="5D9D3A0C"/>
    <w:rsid w:val="5D9D53A8"/>
    <w:rsid w:val="5D9F468E"/>
    <w:rsid w:val="5D9F72CC"/>
    <w:rsid w:val="5DA01872"/>
    <w:rsid w:val="5DA0210D"/>
    <w:rsid w:val="5DA0579B"/>
    <w:rsid w:val="5DA2076D"/>
    <w:rsid w:val="5DA232CA"/>
    <w:rsid w:val="5DA27112"/>
    <w:rsid w:val="5DA31B36"/>
    <w:rsid w:val="5DA367D2"/>
    <w:rsid w:val="5DA43E97"/>
    <w:rsid w:val="5DA6050C"/>
    <w:rsid w:val="5DA762B7"/>
    <w:rsid w:val="5DA76675"/>
    <w:rsid w:val="5DA76ABE"/>
    <w:rsid w:val="5DAA0F07"/>
    <w:rsid w:val="5DB04D5F"/>
    <w:rsid w:val="5DB176D2"/>
    <w:rsid w:val="5DB237B0"/>
    <w:rsid w:val="5DB24B00"/>
    <w:rsid w:val="5DB40D31"/>
    <w:rsid w:val="5DB56E70"/>
    <w:rsid w:val="5DB62203"/>
    <w:rsid w:val="5DB70023"/>
    <w:rsid w:val="5DB72254"/>
    <w:rsid w:val="5DB73211"/>
    <w:rsid w:val="5DB77164"/>
    <w:rsid w:val="5DB81AFC"/>
    <w:rsid w:val="5DB85725"/>
    <w:rsid w:val="5DBA6A71"/>
    <w:rsid w:val="5DBB3FB7"/>
    <w:rsid w:val="5DBC4A28"/>
    <w:rsid w:val="5DBD2BF9"/>
    <w:rsid w:val="5DBD7DFF"/>
    <w:rsid w:val="5DBD7F10"/>
    <w:rsid w:val="5DBE29D7"/>
    <w:rsid w:val="5DBE2E7D"/>
    <w:rsid w:val="5DBE3D69"/>
    <w:rsid w:val="5DBE5C92"/>
    <w:rsid w:val="5DC203F0"/>
    <w:rsid w:val="5DC263CD"/>
    <w:rsid w:val="5DC32E6C"/>
    <w:rsid w:val="5DC650F3"/>
    <w:rsid w:val="5DC71C2C"/>
    <w:rsid w:val="5DC740D4"/>
    <w:rsid w:val="5DC75B6C"/>
    <w:rsid w:val="5DC84057"/>
    <w:rsid w:val="5DC87EAF"/>
    <w:rsid w:val="5DC93298"/>
    <w:rsid w:val="5DC9454F"/>
    <w:rsid w:val="5DC94959"/>
    <w:rsid w:val="5DC97463"/>
    <w:rsid w:val="5DCA3994"/>
    <w:rsid w:val="5DCA3CCC"/>
    <w:rsid w:val="5DCA671F"/>
    <w:rsid w:val="5DCA6C62"/>
    <w:rsid w:val="5DCB0B02"/>
    <w:rsid w:val="5DCB69FB"/>
    <w:rsid w:val="5DCC4114"/>
    <w:rsid w:val="5DCC7F2C"/>
    <w:rsid w:val="5DCD7665"/>
    <w:rsid w:val="5DCE3543"/>
    <w:rsid w:val="5DCE778C"/>
    <w:rsid w:val="5DCE7C26"/>
    <w:rsid w:val="5DD051EF"/>
    <w:rsid w:val="5DD262E3"/>
    <w:rsid w:val="5DD3082E"/>
    <w:rsid w:val="5DD3169B"/>
    <w:rsid w:val="5DD5492F"/>
    <w:rsid w:val="5DD54BCD"/>
    <w:rsid w:val="5DD64975"/>
    <w:rsid w:val="5DD70496"/>
    <w:rsid w:val="5DD73B54"/>
    <w:rsid w:val="5DD77EFF"/>
    <w:rsid w:val="5DD90176"/>
    <w:rsid w:val="5DDA597C"/>
    <w:rsid w:val="5DDB4167"/>
    <w:rsid w:val="5DDC30B5"/>
    <w:rsid w:val="5DDC49C3"/>
    <w:rsid w:val="5DDC7A8A"/>
    <w:rsid w:val="5DDD14DB"/>
    <w:rsid w:val="5DDD2002"/>
    <w:rsid w:val="5DDD79E1"/>
    <w:rsid w:val="5DDD7C88"/>
    <w:rsid w:val="5DDE175E"/>
    <w:rsid w:val="5DDE49CF"/>
    <w:rsid w:val="5DDF59C7"/>
    <w:rsid w:val="5DE01893"/>
    <w:rsid w:val="5DE03D69"/>
    <w:rsid w:val="5DE06B8B"/>
    <w:rsid w:val="5DE136CE"/>
    <w:rsid w:val="5DE177B7"/>
    <w:rsid w:val="5DE2253A"/>
    <w:rsid w:val="5DE352BC"/>
    <w:rsid w:val="5DE36025"/>
    <w:rsid w:val="5DE53350"/>
    <w:rsid w:val="5DE57E9C"/>
    <w:rsid w:val="5DE60909"/>
    <w:rsid w:val="5DE70D68"/>
    <w:rsid w:val="5DE745A6"/>
    <w:rsid w:val="5DE77A12"/>
    <w:rsid w:val="5DE80564"/>
    <w:rsid w:val="5DE838F6"/>
    <w:rsid w:val="5DE84681"/>
    <w:rsid w:val="5DE856FA"/>
    <w:rsid w:val="5DE9275A"/>
    <w:rsid w:val="5DE93CEA"/>
    <w:rsid w:val="5DEA29FC"/>
    <w:rsid w:val="5DEA4CE6"/>
    <w:rsid w:val="5DEB11A8"/>
    <w:rsid w:val="5DEB5308"/>
    <w:rsid w:val="5DED73FB"/>
    <w:rsid w:val="5DED7EE9"/>
    <w:rsid w:val="5DEE6FA7"/>
    <w:rsid w:val="5DEE7AA4"/>
    <w:rsid w:val="5DEF09A6"/>
    <w:rsid w:val="5DEF4877"/>
    <w:rsid w:val="5DF0631C"/>
    <w:rsid w:val="5DF12B00"/>
    <w:rsid w:val="5DF14631"/>
    <w:rsid w:val="5DF15941"/>
    <w:rsid w:val="5DF254FF"/>
    <w:rsid w:val="5DF36984"/>
    <w:rsid w:val="5DF444C3"/>
    <w:rsid w:val="5DF50B4C"/>
    <w:rsid w:val="5DF56948"/>
    <w:rsid w:val="5DF80913"/>
    <w:rsid w:val="5DF8324B"/>
    <w:rsid w:val="5DF93079"/>
    <w:rsid w:val="5DF97BF1"/>
    <w:rsid w:val="5DFB2606"/>
    <w:rsid w:val="5DFB6860"/>
    <w:rsid w:val="5DFC06A3"/>
    <w:rsid w:val="5DFC7083"/>
    <w:rsid w:val="5DFD2192"/>
    <w:rsid w:val="5DFD275E"/>
    <w:rsid w:val="5DFE46BD"/>
    <w:rsid w:val="5E000F3D"/>
    <w:rsid w:val="5E003B31"/>
    <w:rsid w:val="5E005AAD"/>
    <w:rsid w:val="5E0078F1"/>
    <w:rsid w:val="5E015EA1"/>
    <w:rsid w:val="5E01756A"/>
    <w:rsid w:val="5E022C03"/>
    <w:rsid w:val="5E0234A1"/>
    <w:rsid w:val="5E02425E"/>
    <w:rsid w:val="5E041A8D"/>
    <w:rsid w:val="5E045783"/>
    <w:rsid w:val="5E055E66"/>
    <w:rsid w:val="5E056363"/>
    <w:rsid w:val="5E070FAB"/>
    <w:rsid w:val="5E082F75"/>
    <w:rsid w:val="5E083B3D"/>
    <w:rsid w:val="5E095F43"/>
    <w:rsid w:val="5E0A2849"/>
    <w:rsid w:val="5E0A33AF"/>
    <w:rsid w:val="5E0B6844"/>
    <w:rsid w:val="5E0C4813"/>
    <w:rsid w:val="5E0C7B07"/>
    <w:rsid w:val="5E0D1262"/>
    <w:rsid w:val="5E0E10DF"/>
    <w:rsid w:val="5E0E4C86"/>
    <w:rsid w:val="5E0E5C68"/>
    <w:rsid w:val="5E0E65C4"/>
    <w:rsid w:val="5E0E7C71"/>
    <w:rsid w:val="5E111E29"/>
    <w:rsid w:val="5E1174B8"/>
    <w:rsid w:val="5E1216FE"/>
    <w:rsid w:val="5E121F2E"/>
    <w:rsid w:val="5E137441"/>
    <w:rsid w:val="5E145476"/>
    <w:rsid w:val="5E151873"/>
    <w:rsid w:val="5E171EED"/>
    <w:rsid w:val="5E176181"/>
    <w:rsid w:val="5E186172"/>
    <w:rsid w:val="5E1945C0"/>
    <w:rsid w:val="5E195133"/>
    <w:rsid w:val="5E1B2ED5"/>
    <w:rsid w:val="5E1C5B50"/>
    <w:rsid w:val="5E1E02CA"/>
    <w:rsid w:val="5E1E09A6"/>
    <w:rsid w:val="5E1E14CC"/>
    <w:rsid w:val="5E1E164A"/>
    <w:rsid w:val="5E1E24E7"/>
    <w:rsid w:val="5E1E55F9"/>
    <w:rsid w:val="5E1E5693"/>
    <w:rsid w:val="5E1E62F4"/>
    <w:rsid w:val="5E1E6F5C"/>
    <w:rsid w:val="5E1F64BA"/>
    <w:rsid w:val="5E2157AD"/>
    <w:rsid w:val="5E215D93"/>
    <w:rsid w:val="5E224037"/>
    <w:rsid w:val="5E231749"/>
    <w:rsid w:val="5E2356B9"/>
    <w:rsid w:val="5E2437F4"/>
    <w:rsid w:val="5E2467F1"/>
    <w:rsid w:val="5E250292"/>
    <w:rsid w:val="5E266397"/>
    <w:rsid w:val="5E275274"/>
    <w:rsid w:val="5E2775D5"/>
    <w:rsid w:val="5E2861E3"/>
    <w:rsid w:val="5E2A4C99"/>
    <w:rsid w:val="5E2A70C6"/>
    <w:rsid w:val="5E2B02ED"/>
    <w:rsid w:val="5E2B49EF"/>
    <w:rsid w:val="5E2C27BF"/>
    <w:rsid w:val="5E2C53BA"/>
    <w:rsid w:val="5E2D27C9"/>
    <w:rsid w:val="5E2D30F6"/>
    <w:rsid w:val="5E2D6774"/>
    <w:rsid w:val="5E2E3F58"/>
    <w:rsid w:val="5E2F578E"/>
    <w:rsid w:val="5E302E63"/>
    <w:rsid w:val="5E304CD0"/>
    <w:rsid w:val="5E312A3D"/>
    <w:rsid w:val="5E3214BF"/>
    <w:rsid w:val="5E340A11"/>
    <w:rsid w:val="5E343D6A"/>
    <w:rsid w:val="5E3527BB"/>
    <w:rsid w:val="5E372B91"/>
    <w:rsid w:val="5E373550"/>
    <w:rsid w:val="5E3755D5"/>
    <w:rsid w:val="5E384133"/>
    <w:rsid w:val="5E3B0544"/>
    <w:rsid w:val="5E3B2A02"/>
    <w:rsid w:val="5E3B4EC4"/>
    <w:rsid w:val="5E3E0DB9"/>
    <w:rsid w:val="5E3F2181"/>
    <w:rsid w:val="5E402537"/>
    <w:rsid w:val="5E406065"/>
    <w:rsid w:val="5E406B7A"/>
    <w:rsid w:val="5E407D3D"/>
    <w:rsid w:val="5E414979"/>
    <w:rsid w:val="5E425D20"/>
    <w:rsid w:val="5E4340D7"/>
    <w:rsid w:val="5E437B09"/>
    <w:rsid w:val="5E442C20"/>
    <w:rsid w:val="5E443363"/>
    <w:rsid w:val="5E452AAD"/>
    <w:rsid w:val="5E453881"/>
    <w:rsid w:val="5E4775F9"/>
    <w:rsid w:val="5E4976C6"/>
    <w:rsid w:val="5E4A4746"/>
    <w:rsid w:val="5E4A57F6"/>
    <w:rsid w:val="5E4B3B2C"/>
    <w:rsid w:val="5E4B7FF1"/>
    <w:rsid w:val="5E4C476B"/>
    <w:rsid w:val="5E4C52CF"/>
    <w:rsid w:val="5E4F16AA"/>
    <w:rsid w:val="5E4F6D8C"/>
    <w:rsid w:val="5E512226"/>
    <w:rsid w:val="5E546896"/>
    <w:rsid w:val="5E5539B1"/>
    <w:rsid w:val="5E5541B9"/>
    <w:rsid w:val="5E570B9C"/>
    <w:rsid w:val="5E571FFC"/>
    <w:rsid w:val="5E5A16CB"/>
    <w:rsid w:val="5E5B30A5"/>
    <w:rsid w:val="5E5D049F"/>
    <w:rsid w:val="5E5D6E1D"/>
    <w:rsid w:val="5E5E1C45"/>
    <w:rsid w:val="5E5E46B1"/>
    <w:rsid w:val="5E5F25B6"/>
    <w:rsid w:val="5E5F3B71"/>
    <w:rsid w:val="5E6014E1"/>
    <w:rsid w:val="5E602469"/>
    <w:rsid w:val="5E60324E"/>
    <w:rsid w:val="5E606FDF"/>
    <w:rsid w:val="5E611936"/>
    <w:rsid w:val="5E62015D"/>
    <w:rsid w:val="5E6274D1"/>
    <w:rsid w:val="5E635A43"/>
    <w:rsid w:val="5E64127C"/>
    <w:rsid w:val="5E654B19"/>
    <w:rsid w:val="5E665A7A"/>
    <w:rsid w:val="5E666BB1"/>
    <w:rsid w:val="5E672F0F"/>
    <w:rsid w:val="5E6859B9"/>
    <w:rsid w:val="5E685B2F"/>
    <w:rsid w:val="5E687DD5"/>
    <w:rsid w:val="5E6913B3"/>
    <w:rsid w:val="5E69659B"/>
    <w:rsid w:val="5E6A153A"/>
    <w:rsid w:val="5E6B076C"/>
    <w:rsid w:val="5E6C3D39"/>
    <w:rsid w:val="5E6C46AE"/>
    <w:rsid w:val="5E6D4F05"/>
    <w:rsid w:val="5E6E09E2"/>
    <w:rsid w:val="5E6E102A"/>
    <w:rsid w:val="5E6E69F1"/>
    <w:rsid w:val="5E6F08FE"/>
    <w:rsid w:val="5E6F1128"/>
    <w:rsid w:val="5E6F6282"/>
    <w:rsid w:val="5E70731E"/>
    <w:rsid w:val="5E7110A1"/>
    <w:rsid w:val="5E71214E"/>
    <w:rsid w:val="5E71323D"/>
    <w:rsid w:val="5E716ED1"/>
    <w:rsid w:val="5E73185A"/>
    <w:rsid w:val="5E74361D"/>
    <w:rsid w:val="5E744D97"/>
    <w:rsid w:val="5E756851"/>
    <w:rsid w:val="5E765FD4"/>
    <w:rsid w:val="5E76708C"/>
    <w:rsid w:val="5E773A29"/>
    <w:rsid w:val="5E773B98"/>
    <w:rsid w:val="5E7841E4"/>
    <w:rsid w:val="5E790894"/>
    <w:rsid w:val="5E79139F"/>
    <w:rsid w:val="5E79420B"/>
    <w:rsid w:val="5E7951E3"/>
    <w:rsid w:val="5E7C4479"/>
    <w:rsid w:val="5E7D10AC"/>
    <w:rsid w:val="5E7D2C2D"/>
    <w:rsid w:val="5E7F07D9"/>
    <w:rsid w:val="5E7F1DFA"/>
    <w:rsid w:val="5E7F26CA"/>
    <w:rsid w:val="5E8051FF"/>
    <w:rsid w:val="5E824AD5"/>
    <w:rsid w:val="5E825343"/>
    <w:rsid w:val="5E8263FA"/>
    <w:rsid w:val="5E837009"/>
    <w:rsid w:val="5E837932"/>
    <w:rsid w:val="5E865589"/>
    <w:rsid w:val="5E866146"/>
    <w:rsid w:val="5E866BEB"/>
    <w:rsid w:val="5E881B12"/>
    <w:rsid w:val="5E891C7B"/>
    <w:rsid w:val="5E8B2644"/>
    <w:rsid w:val="5E8B3525"/>
    <w:rsid w:val="5E8C1E1D"/>
    <w:rsid w:val="5E8D4D9E"/>
    <w:rsid w:val="5E8D6822"/>
    <w:rsid w:val="5E8F2D4E"/>
    <w:rsid w:val="5E8F4D7A"/>
    <w:rsid w:val="5E9051E7"/>
    <w:rsid w:val="5E92405B"/>
    <w:rsid w:val="5E933EB4"/>
    <w:rsid w:val="5E9468D1"/>
    <w:rsid w:val="5E9640DD"/>
    <w:rsid w:val="5E967583"/>
    <w:rsid w:val="5E9862CC"/>
    <w:rsid w:val="5E986B75"/>
    <w:rsid w:val="5E987E55"/>
    <w:rsid w:val="5E990A29"/>
    <w:rsid w:val="5E997CEB"/>
    <w:rsid w:val="5E9A432D"/>
    <w:rsid w:val="5E9A5B81"/>
    <w:rsid w:val="5E9B32AB"/>
    <w:rsid w:val="5E9D4E86"/>
    <w:rsid w:val="5E9E4478"/>
    <w:rsid w:val="5E9F4D52"/>
    <w:rsid w:val="5E9F695F"/>
    <w:rsid w:val="5EA03A71"/>
    <w:rsid w:val="5EA1158C"/>
    <w:rsid w:val="5EA20542"/>
    <w:rsid w:val="5EA273CE"/>
    <w:rsid w:val="5EA339D0"/>
    <w:rsid w:val="5EA43F9A"/>
    <w:rsid w:val="5EA45C5F"/>
    <w:rsid w:val="5EA66A16"/>
    <w:rsid w:val="5EA7148B"/>
    <w:rsid w:val="5EA747FB"/>
    <w:rsid w:val="5EA7731F"/>
    <w:rsid w:val="5EA93E48"/>
    <w:rsid w:val="5EAA0DD9"/>
    <w:rsid w:val="5EAA1FE8"/>
    <w:rsid w:val="5EAA4A4C"/>
    <w:rsid w:val="5EAB497D"/>
    <w:rsid w:val="5EAC1B52"/>
    <w:rsid w:val="5EAD4099"/>
    <w:rsid w:val="5EAD7E18"/>
    <w:rsid w:val="5EAF64C4"/>
    <w:rsid w:val="5EB033F0"/>
    <w:rsid w:val="5EB0712E"/>
    <w:rsid w:val="5EB33332"/>
    <w:rsid w:val="5EB423E0"/>
    <w:rsid w:val="5EB63CF1"/>
    <w:rsid w:val="5EB6783E"/>
    <w:rsid w:val="5EB9425C"/>
    <w:rsid w:val="5EB94E0A"/>
    <w:rsid w:val="5EBA021D"/>
    <w:rsid w:val="5EBA426F"/>
    <w:rsid w:val="5EBA5EA2"/>
    <w:rsid w:val="5EBB6782"/>
    <w:rsid w:val="5EBD4D49"/>
    <w:rsid w:val="5EBF0824"/>
    <w:rsid w:val="5EC032AD"/>
    <w:rsid w:val="5EC2722F"/>
    <w:rsid w:val="5EC27532"/>
    <w:rsid w:val="5EC62291"/>
    <w:rsid w:val="5EC92B76"/>
    <w:rsid w:val="5EC94517"/>
    <w:rsid w:val="5EC9640F"/>
    <w:rsid w:val="5ECA45A2"/>
    <w:rsid w:val="5ECB695E"/>
    <w:rsid w:val="5ECC7AFE"/>
    <w:rsid w:val="5ECD3B61"/>
    <w:rsid w:val="5ECD7C46"/>
    <w:rsid w:val="5ECE1AC8"/>
    <w:rsid w:val="5ECE2E8E"/>
    <w:rsid w:val="5ECE2EF6"/>
    <w:rsid w:val="5ED115B9"/>
    <w:rsid w:val="5ED136E3"/>
    <w:rsid w:val="5ED24F38"/>
    <w:rsid w:val="5ED2780B"/>
    <w:rsid w:val="5ED27F21"/>
    <w:rsid w:val="5ED422DB"/>
    <w:rsid w:val="5ED60A36"/>
    <w:rsid w:val="5ED65E52"/>
    <w:rsid w:val="5ED958FA"/>
    <w:rsid w:val="5EDA1B2A"/>
    <w:rsid w:val="5EDA2095"/>
    <w:rsid w:val="5EDB0C66"/>
    <w:rsid w:val="5EDB1138"/>
    <w:rsid w:val="5EDB204B"/>
    <w:rsid w:val="5EDB41E5"/>
    <w:rsid w:val="5EE059A9"/>
    <w:rsid w:val="5EE063A4"/>
    <w:rsid w:val="5EE172D7"/>
    <w:rsid w:val="5EE24974"/>
    <w:rsid w:val="5EE25490"/>
    <w:rsid w:val="5EE27FBB"/>
    <w:rsid w:val="5EE32794"/>
    <w:rsid w:val="5EE33A4C"/>
    <w:rsid w:val="5EE344A4"/>
    <w:rsid w:val="5EE421F7"/>
    <w:rsid w:val="5EE616CA"/>
    <w:rsid w:val="5EE66E12"/>
    <w:rsid w:val="5EE67FFE"/>
    <w:rsid w:val="5EE726D2"/>
    <w:rsid w:val="5EE7529D"/>
    <w:rsid w:val="5EE910D6"/>
    <w:rsid w:val="5EE9551E"/>
    <w:rsid w:val="5EEA30DB"/>
    <w:rsid w:val="5EEB1FF6"/>
    <w:rsid w:val="5EEB6327"/>
    <w:rsid w:val="5EEC23C7"/>
    <w:rsid w:val="5EEC5095"/>
    <w:rsid w:val="5EED0143"/>
    <w:rsid w:val="5EED557D"/>
    <w:rsid w:val="5EEE2886"/>
    <w:rsid w:val="5EEF2417"/>
    <w:rsid w:val="5EF13A09"/>
    <w:rsid w:val="5EF15F30"/>
    <w:rsid w:val="5EF17565"/>
    <w:rsid w:val="5EF25664"/>
    <w:rsid w:val="5EF30CFF"/>
    <w:rsid w:val="5EF32D59"/>
    <w:rsid w:val="5EF332DD"/>
    <w:rsid w:val="5EF37781"/>
    <w:rsid w:val="5EF53AE7"/>
    <w:rsid w:val="5EF72E6A"/>
    <w:rsid w:val="5EF77387"/>
    <w:rsid w:val="5EF80929"/>
    <w:rsid w:val="5EF87DF8"/>
    <w:rsid w:val="5EF932DE"/>
    <w:rsid w:val="5EF94B68"/>
    <w:rsid w:val="5EF94CA0"/>
    <w:rsid w:val="5EF97364"/>
    <w:rsid w:val="5EF973EA"/>
    <w:rsid w:val="5EFA2236"/>
    <w:rsid w:val="5EFA7A48"/>
    <w:rsid w:val="5EFB4076"/>
    <w:rsid w:val="5EFB56D7"/>
    <w:rsid w:val="5EFD1D5F"/>
    <w:rsid w:val="5EFE2307"/>
    <w:rsid w:val="5EFF55BF"/>
    <w:rsid w:val="5EFF5A32"/>
    <w:rsid w:val="5F0017F8"/>
    <w:rsid w:val="5F007AFC"/>
    <w:rsid w:val="5F011F4D"/>
    <w:rsid w:val="5F02470D"/>
    <w:rsid w:val="5F025C16"/>
    <w:rsid w:val="5F0313B7"/>
    <w:rsid w:val="5F031A2F"/>
    <w:rsid w:val="5F043DC9"/>
    <w:rsid w:val="5F045EB0"/>
    <w:rsid w:val="5F064C0A"/>
    <w:rsid w:val="5F066694"/>
    <w:rsid w:val="5F0720C7"/>
    <w:rsid w:val="5F0722EB"/>
    <w:rsid w:val="5F073DA7"/>
    <w:rsid w:val="5F075251"/>
    <w:rsid w:val="5F0766D4"/>
    <w:rsid w:val="5F085021"/>
    <w:rsid w:val="5F09188C"/>
    <w:rsid w:val="5F096184"/>
    <w:rsid w:val="5F0A095D"/>
    <w:rsid w:val="5F0A4587"/>
    <w:rsid w:val="5F0A4B93"/>
    <w:rsid w:val="5F0B05B1"/>
    <w:rsid w:val="5F0B1038"/>
    <w:rsid w:val="5F0B326B"/>
    <w:rsid w:val="5F0B4960"/>
    <w:rsid w:val="5F0C1F19"/>
    <w:rsid w:val="5F0D3768"/>
    <w:rsid w:val="5F0D542C"/>
    <w:rsid w:val="5F0E43F3"/>
    <w:rsid w:val="5F104507"/>
    <w:rsid w:val="5F106888"/>
    <w:rsid w:val="5F1121E0"/>
    <w:rsid w:val="5F12119D"/>
    <w:rsid w:val="5F1229CA"/>
    <w:rsid w:val="5F12497B"/>
    <w:rsid w:val="5F1278EA"/>
    <w:rsid w:val="5F13572D"/>
    <w:rsid w:val="5F14045A"/>
    <w:rsid w:val="5F15379A"/>
    <w:rsid w:val="5F165D03"/>
    <w:rsid w:val="5F170E14"/>
    <w:rsid w:val="5F170F81"/>
    <w:rsid w:val="5F17422E"/>
    <w:rsid w:val="5F182F4E"/>
    <w:rsid w:val="5F1867C1"/>
    <w:rsid w:val="5F1A21F3"/>
    <w:rsid w:val="5F1A2B43"/>
    <w:rsid w:val="5F1A2C05"/>
    <w:rsid w:val="5F1C0816"/>
    <w:rsid w:val="5F1C2834"/>
    <w:rsid w:val="5F1C5883"/>
    <w:rsid w:val="5F1D5866"/>
    <w:rsid w:val="5F1D5E35"/>
    <w:rsid w:val="5F1F2324"/>
    <w:rsid w:val="5F2166C6"/>
    <w:rsid w:val="5F222DF0"/>
    <w:rsid w:val="5F241760"/>
    <w:rsid w:val="5F242A12"/>
    <w:rsid w:val="5F2458C9"/>
    <w:rsid w:val="5F2573DC"/>
    <w:rsid w:val="5F264AF7"/>
    <w:rsid w:val="5F2843F3"/>
    <w:rsid w:val="5F286923"/>
    <w:rsid w:val="5F292BD8"/>
    <w:rsid w:val="5F293B33"/>
    <w:rsid w:val="5F2A3D98"/>
    <w:rsid w:val="5F2A70CC"/>
    <w:rsid w:val="5F2B1225"/>
    <w:rsid w:val="5F2B257B"/>
    <w:rsid w:val="5F2C2AA5"/>
    <w:rsid w:val="5F2D2F6C"/>
    <w:rsid w:val="5F2E7113"/>
    <w:rsid w:val="5F2E7DA2"/>
    <w:rsid w:val="5F2F1646"/>
    <w:rsid w:val="5F2F1DB5"/>
    <w:rsid w:val="5F301A85"/>
    <w:rsid w:val="5F3240EA"/>
    <w:rsid w:val="5F327234"/>
    <w:rsid w:val="5F334021"/>
    <w:rsid w:val="5F335B62"/>
    <w:rsid w:val="5F3411D1"/>
    <w:rsid w:val="5F353BE9"/>
    <w:rsid w:val="5F354DD5"/>
    <w:rsid w:val="5F3636B8"/>
    <w:rsid w:val="5F380709"/>
    <w:rsid w:val="5F385194"/>
    <w:rsid w:val="5F392547"/>
    <w:rsid w:val="5F3929E2"/>
    <w:rsid w:val="5F3A0820"/>
    <w:rsid w:val="5F3C1C69"/>
    <w:rsid w:val="5F3C640C"/>
    <w:rsid w:val="5F3D09FC"/>
    <w:rsid w:val="5F3D1770"/>
    <w:rsid w:val="5F3D246E"/>
    <w:rsid w:val="5F3D27AA"/>
    <w:rsid w:val="5F3D5208"/>
    <w:rsid w:val="5F3E567C"/>
    <w:rsid w:val="5F3E584B"/>
    <w:rsid w:val="5F3F5E4E"/>
    <w:rsid w:val="5F402C26"/>
    <w:rsid w:val="5F4104EC"/>
    <w:rsid w:val="5F42010A"/>
    <w:rsid w:val="5F424B33"/>
    <w:rsid w:val="5F440DAF"/>
    <w:rsid w:val="5F443A2A"/>
    <w:rsid w:val="5F447F56"/>
    <w:rsid w:val="5F4563B3"/>
    <w:rsid w:val="5F4611D3"/>
    <w:rsid w:val="5F462AB0"/>
    <w:rsid w:val="5F476D70"/>
    <w:rsid w:val="5F483B48"/>
    <w:rsid w:val="5F49114F"/>
    <w:rsid w:val="5F4912B5"/>
    <w:rsid w:val="5F4973A1"/>
    <w:rsid w:val="5F4A3402"/>
    <w:rsid w:val="5F4A75BD"/>
    <w:rsid w:val="5F4B4EC7"/>
    <w:rsid w:val="5F4B70D9"/>
    <w:rsid w:val="5F4C248B"/>
    <w:rsid w:val="5F4C421E"/>
    <w:rsid w:val="5F4D6610"/>
    <w:rsid w:val="5F4E336D"/>
    <w:rsid w:val="5F4E491B"/>
    <w:rsid w:val="5F4E5419"/>
    <w:rsid w:val="5F501111"/>
    <w:rsid w:val="5F51229A"/>
    <w:rsid w:val="5F513431"/>
    <w:rsid w:val="5F5160BD"/>
    <w:rsid w:val="5F520C2D"/>
    <w:rsid w:val="5F52238D"/>
    <w:rsid w:val="5F5244A8"/>
    <w:rsid w:val="5F52518D"/>
    <w:rsid w:val="5F5267FD"/>
    <w:rsid w:val="5F536152"/>
    <w:rsid w:val="5F5471CD"/>
    <w:rsid w:val="5F547467"/>
    <w:rsid w:val="5F5528E0"/>
    <w:rsid w:val="5F565AB3"/>
    <w:rsid w:val="5F574E91"/>
    <w:rsid w:val="5F577D10"/>
    <w:rsid w:val="5F583F37"/>
    <w:rsid w:val="5F585836"/>
    <w:rsid w:val="5F5875E4"/>
    <w:rsid w:val="5F5A08A9"/>
    <w:rsid w:val="5F5B5967"/>
    <w:rsid w:val="5F5C01D6"/>
    <w:rsid w:val="5F5D147D"/>
    <w:rsid w:val="5F5D1E22"/>
    <w:rsid w:val="5F5D2E4C"/>
    <w:rsid w:val="5F5D62EB"/>
    <w:rsid w:val="5F5E71D5"/>
    <w:rsid w:val="5F5F3310"/>
    <w:rsid w:val="5F5F4D68"/>
    <w:rsid w:val="5F604A67"/>
    <w:rsid w:val="5F605E18"/>
    <w:rsid w:val="5F6060D2"/>
    <w:rsid w:val="5F606F74"/>
    <w:rsid w:val="5F611700"/>
    <w:rsid w:val="5F6134BC"/>
    <w:rsid w:val="5F6142AC"/>
    <w:rsid w:val="5F630D70"/>
    <w:rsid w:val="5F636DB1"/>
    <w:rsid w:val="5F641F4D"/>
    <w:rsid w:val="5F643E1A"/>
    <w:rsid w:val="5F644418"/>
    <w:rsid w:val="5F652B85"/>
    <w:rsid w:val="5F65471B"/>
    <w:rsid w:val="5F654A3B"/>
    <w:rsid w:val="5F6678AD"/>
    <w:rsid w:val="5F67508F"/>
    <w:rsid w:val="5F675EC1"/>
    <w:rsid w:val="5F6771E5"/>
    <w:rsid w:val="5F683CCB"/>
    <w:rsid w:val="5F685A79"/>
    <w:rsid w:val="5F692271"/>
    <w:rsid w:val="5F6B5281"/>
    <w:rsid w:val="5F6C171E"/>
    <w:rsid w:val="5F6D12E1"/>
    <w:rsid w:val="5F6D7533"/>
    <w:rsid w:val="5F6E2102"/>
    <w:rsid w:val="5F6E6B3C"/>
    <w:rsid w:val="5F6F60D7"/>
    <w:rsid w:val="5F706AF9"/>
    <w:rsid w:val="5F7146AA"/>
    <w:rsid w:val="5F723A2A"/>
    <w:rsid w:val="5F7408C2"/>
    <w:rsid w:val="5F7446F7"/>
    <w:rsid w:val="5F745D18"/>
    <w:rsid w:val="5F747927"/>
    <w:rsid w:val="5F751094"/>
    <w:rsid w:val="5F754E2E"/>
    <w:rsid w:val="5F76011A"/>
    <w:rsid w:val="5F767411"/>
    <w:rsid w:val="5F770048"/>
    <w:rsid w:val="5F776C90"/>
    <w:rsid w:val="5F787E59"/>
    <w:rsid w:val="5F7923C6"/>
    <w:rsid w:val="5F7C1C35"/>
    <w:rsid w:val="5F7C3A26"/>
    <w:rsid w:val="5F7D0D70"/>
    <w:rsid w:val="5F7D704B"/>
    <w:rsid w:val="5F7E0680"/>
    <w:rsid w:val="5F7E6055"/>
    <w:rsid w:val="5F7F7267"/>
    <w:rsid w:val="5F8057DF"/>
    <w:rsid w:val="5F806B81"/>
    <w:rsid w:val="5F8148D1"/>
    <w:rsid w:val="5F816B3B"/>
    <w:rsid w:val="5F824CD8"/>
    <w:rsid w:val="5F844466"/>
    <w:rsid w:val="5F857331"/>
    <w:rsid w:val="5F861AB1"/>
    <w:rsid w:val="5F867A84"/>
    <w:rsid w:val="5F87348C"/>
    <w:rsid w:val="5F875435"/>
    <w:rsid w:val="5F8806D7"/>
    <w:rsid w:val="5F891EBB"/>
    <w:rsid w:val="5F8959EF"/>
    <w:rsid w:val="5F8A09FF"/>
    <w:rsid w:val="5F8B1A27"/>
    <w:rsid w:val="5F8B5FE8"/>
    <w:rsid w:val="5F8B6E5C"/>
    <w:rsid w:val="5F8C2C68"/>
    <w:rsid w:val="5F8C712D"/>
    <w:rsid w:val="5F8D18E8"/>
    <w:rsid w:val="5F8D1972"/>
    <w:rsid w:val="5F8D1984"/>
    <w:rsid w:val="5F8E05B4"/>
    <w:rsid w:val="5F8E2104"/>
    <w:rsid w:val="5F911F8F"/>
    <w:rsid w:val="5F913AA4"/>
    <w:rsid w:val="5F913B35"/>
    <w:rsid w:val="5F920D48"/>
    <w:rsid w:val="5F93632D"/>
    <w:rsid w:val="5F94609C"/>
    <w:rsid w:val="5F9575E2"/>
    <w:rsid w:val="5F966400"/>
    <w:rsid w:val="5F97010C"/>
    <w:rsid w:val="5F975C34"/>
    <w:rsid w:val="5F976D51"/>
    <w:rsid w:val="5F98227E"/>
    <w:rsid w:val="5F987EBA"/>
    <w:rsid w:val="5F9C303A"/>
    <w:rsid w:val="5F9C3975"/>
    <w:rsid w:val="5F9C6C04"/>
    <w:rsid w:val="5F9C78F5"/>
    <w:rsid w:val="5F9D2979"/>
    <w:rsid w:val="5F9E3772"/>
    <w:rsid w:val="5FA07358"/>
    <w:rsid w:val="5FA14874"/>
    <w:rsid w:val="5FA17DC3"/>
    <w:rsid w:val="5FA26B43"/>
    <w:rsid w:val="5FA34D03"/>
    <w:rsid w:val="5FA36C54"/>
    <w:rsid w:val="5FA37C40"/>
    <w:rsid w:val="5FA40660"/>
    <w:rsid w:val="5FA43A47"/>
    <w:rsid w:val="5FA51D48"/>
    <w:rsid w:val="5FA63778"/>
    <w:rsid w:val="5FA7490E"/>
    <w:rsid w:val="5FA806F1"/>
    <w:rsid w:val="5FA97224"/>
    <w:rsid w:val="5FAB1E0A"/>
    <w:rsid w:val="5FAD6818"/>
    <w:rsid w:val="5FB011CE"/>
    <w:rsid w:val="5FB06DFC"/>
    <w:rsid w:val="5FB06F24"/>
    <w:rsid w:val="5FB112FA"/>
    <w:rsid w:val="5FB20A5E"/>
    <w:rsid w:val="5FB37165"/>
    <w:rsid w:val="5FB40D7F"/>
    <w:rsid w:val="5FB52740"/>
    <w:rsid w:val="5FB567E4"/>
    <w:rsid w:val="5FB75FD7"/>
    <w:rsid w:val="5FB806C6"/>
    <w:rsid w:val="5FB837BB"/>
    <w:rsid w:val="5FB87C1B"/>
    <w:rsid w:val="5FB91EA8"/>
    <w:rsid w:val="5FB95739"/>
    <w:rsid w:val="5FB97663"/>
    <w:rsid w:val="5FBA034F"/>
    <w:rsid w:val="5FBA3FD4"/>
    <w:rsid w:val="5FBA5903"/>
    <w:rsid w:val="5FBA63E8"/>
    <w:rsid w:val="5FBB135F"/>
    <w:rsid w:val="5FBC1B20"/>
    <w:rsid w:val="5FBC7B73"/>
    <w:rsid w:val="5FBE5526"/>
    <w:rsid w:val="5FBE6CBA"/>
    <w:rsid w:val="5FBF0D56"/>
    <w:rsid w:val="5FC00C22"/>
    <w:rsid w:val="5FC01DA8"/>
    <w:rsid w:val="5FC213FE"/>
    <w:rsid w:val="5FC25281"/>
    <w:rsid w:val="5FC31A26"/>
    <w:rsid w:val="5FC375DF"/>
    <w:rsid w:val="5FC51698"/>
    <w:rsid w:val="5FC54A9A"/>
    <w:rsid w:val="5FC61376"/>
    <w:rsid w:val="5FC63166"/>
    <w:rsid w:val="5FC645A9"/>
    <w:rsid w:val="5FC65386"/>
    <w:rsid w:val="5FC77002"/>
    <w:rsid w:val="5FC80F6F"/>
    <w:rsid w:val="5FC8147B"/>
    <w:rsid w:val="5FC85D8B"/>
    <w:rsid w:val="5FC861FC"/>
    <w:rsid w:val="5FCD1D80"/>
    <w:rsid w:val="5FCD5F7A"/>
    <w:rsid w:val="5FCE1877"/>
    <w:rsid w:val="5FCF2B9E"/>
    <w:rsid w:val="5FCF5AF8"/>
    <w:rsid w:val="5FCF7D0E"/>
    <w:rsid w:val="5FD01DB1"/>
    <w:rsid w:val="5FD25B63"/>
    <w:rsid w:val="5FD33831"/>
    <w:rsid w:val="5FD40E0A"/>
    <w:rsid w:val="5FD4235B"/>
    <w:rsid w:val="5FD4310E"/>
    <w:rsid w:val="5FD4359B"/>
    <w:rsid w:val="5FD62FC2"/>
    <w:rsid w:val="5FD6479B"/>
    <w:rsid w:val="5FD65CC0"/>
    <w:rsid w:val="5FD745BE"/>
    <w:rsid w:val="5FD76942"/>
    <w:rsid w:val="5FD82805"/>
    <w:rsid w:val="5FD87BEB"/>
    <w:rsid w:val="5FD902E5"/>
    <w:rsid w:val="5FD92098"/>
    <w:rsid w:val="5FD92EA7"/>
    <w:rsid w:val="5FDC2A2C"/>
    <w:rsid w:val="5FDC6467"/>
    <w:rsid w:val="5FDD1B83"/>
    <w:rsid w:val="5FDE3539"/>
    <w:rsid w:val="5FDE4793"/>
    <w:rsid w:val="5FDE5D3B"/>
    <w:rsid w:val="5FDF7968"/>
    <w:rsid w:val="5FDF7A51"/>
    <w:rsid w:val="5FE00DBF"/>
    <w:rsid w:val="5FE05E10"/>
    <w:rsid w:val="5FE11BB4"/>
    <w:rsid w:val="5FE22CC2"/>
    <w:rsid w:val="5FE43A1F"/>
    <w:rsid w:val="5FE45E99"/>
    <w:rsid w:val="5FE47241"/>
    <w:rsid w:val="5FE700E0"/>
    <w:rsid w:val="5FE84E0C"/>
    <w:rsid w:val="5FE95750"/>
    <w:rsid w:val="5FE9663B"/>
    <w:rsid w:val="5FEA2184"/>
    <w:rsid w:val="5FEA6F81"/>
    <w:rsid w:val="5FEB2206"/>
    <w:rsid w:val="5FEC21E6"/>
    <w:rsid w:val="5FED22F2"/>
    <w:rsid w:val="5FED762F"/>
    <w:rsid w:val="5FEE2C38"/>
    <w:rsid w:val="5FF210B5"/>
    <w:rsid w:val="5FF3293C"/>
    <w:rsid w:val="5FF41624"/>
    <w:rsid w:val="5FF41DC1"/>
    <w:rsid w:val="5FF53085"/>
    <w:rsid w:val="5FF6759A"/>
    <w:rsid w:val="5FF843E0"/>
    <w:rsid w:val="5FF855BF"/>
    <w:rsid w:val="5FF85DDC"/>
    <w:rsid w:val="5FF90DC7"/>
    <w:rsid w:val="5FF94923"/>
    <w:rsid w:val="5FFA4DA1"/>
    <w:rsid w:val="5FFB0776"/>
    <w:rsid w:val="5FFB17CF"/>
    <w:rsid w:val="5FFC2665"/>
    <w:rsid w:val="5FFC4413"/>
    <w:rsid w:val="5FFD0829"/>
    <w:rsid w:val="5FFE63DD"/>
    <w:rsid w:val="60002CB9"/>
    <w:rsid w:val="60010CF2"/>
    <w:rsid w:val="60011A2A"/>
    <w:rsid w:val="60031327"/>
    <w:rsid w:val="60036265"/>
    <w:rsid w:val="600523E9"/>
    <w:rsid w:val="60075313"/>
    <w:rsid w:val="60076DA2"/>
    <w:rsid w:val="60091E1E"/>
    <w:rsid w:val="600B04A8"/>
    <w:rsid w:val="600C0AFA"/>
    <w:rsid w:val="600C4F71"/>
    <w:rsid w:val="600D2E68"/>
    <w:rsid w:val="600E3CC0"/>
    <w:rsid w:val="600E4FC7"/>
    <w:rsid w:val="600F51A1"/>
    <w:rsid w:val="600F797D"/>
    <w:rsid w:val="601170CA"/>
    <w:rsid w:val="60117463"/>
    <w:rsid w:val="60123798"/>
    <w:rsid w:val="601242CB"/>
    <w:rsid w:val="60126C71"/>
    <w:rsid w:val="60135574"/>
    <w:rsid w:val="6014175D"/>
    <w:rsid w:val="60145C01"/>
    <w:rsid w:val="60160219"/>
    <w:rsid w:val="60163727"/>
    <w:rsid w:val="60165A76"/>
    <w:rsid w:val="601721F9"/>
    <w:rsid w:val="6017749F"/>
    <w:rsid w:val="601851FB"/>
    <w:rsid w:val="601918C7"/>
    <w:rsid w:val="601A3BE2"/>
    <w:rsid w:val="601C3030"/>
    <w:rsid w:val="601D2D07"/>
    <w:rsid w:val="601E44FA"/>
    <w:rsid w:val="601F12F0"/>
    <w:rsid w:val="601F633C"/>
    <w:rsid w:val="60203A5F"/>
    <w:rsid w:val="602108FC"/>
    <w:rsid w:val="602128D8"/>
    <w:rsid w:val="6022031E"/>
    <w:rsid w:val="60222667"/>
    <w:rsid w:val="60241192"/>
    <w:rsid w:val="60242AFC"/>
    <w:rsid w:val="60243309"/>
    <w:rsid w:val="60275934"/>
    <w:rsid w:val="60276087"/>
    <w:rsid w:val="602816AC"/>
    <w:rsid w:val="602820DB"/>
    <w:rsid w:val="60290D41"/>
    <w:rsid w:val="602A2D2E"/>
    <w:rsid w:val="602B7D47"/>
    <w:rsid w:val="602C3463"/>
    <w:rsid w:val="602C60E9"/>
    <w:rsid w:val="602E02DB"/>
    <w:rsid w:val="60302D59"/>
    <w:rsid w:val="603103D8"/>
    <w:rsid w:val="603113C8"/>
    <w:rsid w:val="6031230F"/>
    <w:rsid w:val="60320310"/>
    <w:rsid w:val="60321F3D"/>
    <w:rsid w:val="60322627"/>
    <w:rsid w:val="603259FB"/>
    <w:rsid w:val="603307F1"/>
    <w:rsid w:val="60343BAD"/>
    <w:rsid w:val="603514B1"/>
    <w:rsid w:val="603552AE"/>
    <w:rsid w:val="60362700"/>
    <w:rsid w:val="60371312"/>
    <w:rsid w:val="6037369D"/>
    <w:rsid w:val="60377279"/>
    <w:rsid w:val="603820C1"/>
    <w:rsid w:val="60382E46"/>
    <w:rsid w:val="603948F1"/>
    <w:rsid w:val="603962A1"/>
    <w:rsid w:val="603A1A0D"/>
    <w:rsid w:val="603A5DA5"/>
    <w:rsid w:val="603B0F14"/>
    <w:rsid w:val="603B13E0"/>
    <w:rsid w:val="603C5EA0"/>
    <w:rsid w:val="603C6CB2"/>
    <w:rsid w:val="604007A4"/>
    <w:rsid w:val="60404FE1"/>
    <w:rsid w:val="60410807"/>
    <w:rsid w:val="60425D9E"/>
    <w:rsid w:val="6043202A"/>
    <w:rsid w:val="604359C9"/>
    <w:rsid w:val="6044650F"/>
    <w:rsid w:val="604472A7"/>
    <w:rsid w:val="60455DBA"/>
    <w:rsid w:val="604638E0"/>
    <w:rsid w:val="604817B1"/>
    <w:rsid w:val="604850D1"/>
    <w:rsid w:val="60486C22"/>
    <w:rsid w:val="60495B9B"/>
    <w:rsid w:val="604A041B"/>
    <w:rsid w:val="604A2238"/>
    <w:rsid w:val="604B4B42"/>
    <w:rsid w:val="604C7401"/>
    <w:rsid w:val="604C787F"/>
    <w:rsid w:val="604D2A75"/>
    <w:rsid w:val="604E5F51"/>
    <w:rsid w:val="604F5CFA"/>
    <w:rsid w:val="605149B5"/>
    <w:rsid w:val="60517079"/>
    <w:rsid w:val="60520005"/>
    <w:rsid w:val="60523D2F"/>
    <w:rsid w:val="60527815"/>
    <w:rsid w:val="60536729"/>
    <w:rsid w:val="60540907"/>
    <w:rsid w:val="6055023C"/>
    <w:rsid w:val="605553B8"/>
    <w:rsid w:val="6056657B"/>
    <w:rsid w:val="60572681"/>
    <w:rsid w:val="6057730F"/>
    <w:rsid w:val="60592711"/>
    <w:rsid w:val="60597AB8"/>
    <w:rsid w:val="605A7EC0"/>
    <w:rsid w:val="605B3AF8"/>
    <w:rsid w:val="605B6670"/>
    <w:rsid w:val="605D72A0"/>
    <w:rsid w:val="605E3101"/>
    <w:rsid w:val="605E4430"/>
    <w:rsid w:val="605F64EC"/>
    <w:rsid w:val="60600E46"/>
    <w:rsid w:val="606049A2"/>
    <w:rsid w:val="6061321E"/>
    <w:rsid w:val="606250D4"/>
    <w:rsid w:val="606326E4"/>
    <w:rsid w:val="606330C7"/>
    <w:rsid w:val="60634711"/>
    <w:rsid w:val="606379A9"/>
    <w:rsid w:val="60642D4C"/>
    <w:rsid w:val="6067679E"/>
    <w:rsid w:val="60681D25"/>
    <w:rsid w:val="606841E1"/>
    <w:rsid w:val="60692A07"/>
    <w:rsid w:val="60694D96"/>
    <w:rsid w:val="60695E68"/>
    <w:rsid w:val="6069663A"/>
    <w:rsid w:val="606A2BE1"/>
    <w:rsid w:val="606A4A81"/>
    <w:rsid w:val="606A5821"/>
    <w:rsid w:val="606B04BE"/>
    <w:rsid w:val="606B1106"/>
    <w:rsid w:val="606B4F11"/>
    <w:rsid w:val="606C2260"/>
    <w:rsid w:val="606C77EB"/>
    <w:rsid w:val="606D4402"/>
    <w:rsid w:val="606E3E56"/>
    <w:rsid w:val="606F1089"/>
    <w:rsid w:val="606F2250"/>
    <w:rsid w:val="607130EF"/>
    <w:rsid w:val="60717428"/>
    <w:rsid w:val="6072384D"/>
    <w:rsid w:val="60726D18"/>
    <w:rsid w:val="60731389"/>
    <w:rsid w:val="607356A3"/>
    <w:rsid w:val="60741882"/>
    <w:rsid w:val="6075288F"/>
    <w:rsid w:val="60755CD4"/>
    <w:rsid w:val="607572F6"/>
    <w:rsid w:val="60771ED2"/>
    <w:rsid w:val="60776672"/>
    <w:rsid w:val="60786C49"/>
    <w:rsid w:val="60791CF4"/>
    <w:rsid w:val="607A217D"/>
    <w:rsid w:val="607D7CE3"/>
    <w:rsid w:val="607E1196"/>
    <w:rsid w:val="607E12CC"/>
    <w:rsid w:val="607E751E"/>
    <w:rsid w:val="607E75A5"/>
    <w:rsid w:val="6080050E"/>
    <w:rsid w:val="6080362F"/>
    <w:rsid w:val="6080389B"/>
    <w:rsid w:val="60803BB5"/>
    <w:rsid w:val="6080630D"/>
    <w:rsid w:val="60813170"/>
    <w:rsid w:val="60823374"/>
    <w:rsid w:val="6082598F"/>
    <w:rsid w:val="6082700E"/>
    <w:rsid w:val="608303E1"/>
    <w:rsid w:val="60847F04"/>
    <w:rsid w:val="608508AD"/>
    <w:rsid w:val="6085252C"/>
    <w:rsid w:val="60856608"/>
    <w:rsid w:val="60856C7A"/>
    <w:rsid w:val="6086585B"/>
    <w:rsid w:val="6087032B"/>
    <w:rsid w:val="6087217C"/>
    <w:rsid w:val="60872860"/>
    <w:rsid w:val="60874E8B"/>
    <w:rsid w:val="60874F14"/>
    <w:rsid w:val="60877315"/>
    <w:rsid w:val="60895CFE"/>
    <w:rsid w:val="60897CDB"/>
    <w:rsid w:val="608A06BD"/>
    <w:rsid w:val="608A4D36"/>
    <w:rsid w:val="608A5121"/>
    <w:rsid w:val="608A5EC3"/>
    <w:rsid w:val="608A67AE"/>
    <w:rsid w:val="608C1F1A"/>
    <w:rsid w:val="608C7AE2"/>
    <w:rsid w:val="608D04CC"/>
    <w:rsid w:val="608F3337"/>
    <w:rsid w:val="608F599A"/>
    <w:rsid w:val="60941221"/>
    <w:rsid w:val="60942984"/>
    <w:rsid w:val="60951F5B"/>
    <w:rsid w:val="60961329"/>
    <w:rsid w:val="60963565"/>
    <w:rsid w:val="60967ACB"/>
    <w:rsid w:val="60970049"/>
    <w:rsid w:val="60972238"/>
    <w:rsid w:val="609824F2"/>
    <w:rsid w:val="60993CF7"/>
    <w:rsid w:val="60994A28"/>
    <w:rsid w:val="609B6EBE"/>
    <w:rsid w:val="609C29CE"/>
    <w:rsid w:val="609D5CEE"/>
    <w:rsid w:val="609D6F86"/>
    <w:rsid w:val="609E54CA"/>
    <w:rsid w:val="60A21910"/>
    <w:rsid w:val="60A24FBB"/>
    <w:rsid w:val="60A37532"/>
    <w:rsid w:val="60A45BEC"/>
    <w:rsid w:val="60A45D59"/>
    <w:rsid w:val="60A51E8D"/>
    <w:rsid w:val="60A5232A"/>
    <w:rsid w:val="60A725D1"/>
    <w:rsid w:val="60A743D0"/>
    <w:rsid w:val="60A800F7"/>
    <w:rsid w:val="60A9117C"/>
    <w:rsid w:val="60AA0F20"/>
    <w:rsid w:val="60AA3B27"/>
    <w:rsid w:val="60AB0835"/>
    <w:rsid w:val="60AB322B"/>
    <w:rsid w:val="60AB3537"/>
    <w:rsid w:val="60AB68B3"/>
    <w:rsid w:val="60AB7BA9"/>
    <w:rsid w:val="60AC2024"/>
    <w:rsid w:val="60AE0C40"/>
    <w:rsid w:val="60AE6D7B"/>
    <w:rsid w:val="60AF67DA"/>
    <w:rsid w:val="60AF76D8"/>
    <w:rsid w:val="60B002F2"/>
    <w:rsid w:val="60B01413"/>
    <w:rsid w:val="60B03E3E"/>
    <w:rsid w:val="60B10DEB"/>
    <w:rsid w:val="60B43920"/>
    <w:rsid w:val="60B52E19"/>
    <w:rsid w:val="60BA0443"/>
    <w:rsid w:val="60BA12F1"/>
    <w:rsid w:val="60BB4C2A"/>
    <w:rsid w:val="60BB7D05"/>
    <w:rsid w:val="60BC4A8E"/>
    <w:rsid w:val="60BC7A6F"/>
    <w:rsid w:val="60BD3399"/>
    <w:rsid w:val="60BF5F24"/>
    <w:rsid w:val="60C004A0"/>
    <w:rsid w:val="60C0680C"/>
    <w:rsid w:val="60C077F7"/>
    <w:rsid w:val="60C1510E"/>
    <w:rsid w:val="60C216B7"/>
    <w:rsid w:val="60C500DE"/>
    <w:rsid w:val="60C571DC"/>
    <w:rsid w:val="60C6701F"/>
    <w:rsid w:val="60C83358"/>
    <w:rsid w:val="60C87362"/>
    <w:rsid w:val="60C9048C"/>
    <w:rsid w:val="60CA4511"/>
    <w:rsid w:val="60CA62C0"/>
    <w:rsid w:val="60CB17EC"/>
    <w:rsid w:val="60CB6CDC"/>
    <w:rsid w:val="60CC1962"/>
    <w:rsid w:val="60CC2038"/>
    <w:rsid w:val="60CC405A"/>
    <w:rsid w:val="60CD0216"/>
    <w:rsid w:val="60CD1251"/>
    <w:rsid w:val="60CD14FF"/>
    <w:rsid w:val="60CD5F46"/>
    <w:rsid w:val="60CE0901"/>
    <w:rsid w:val="60CE4EFC"/>
    <w:rsid w:val="60CE7540"/>
    <w:rsid w:val="60CF0CBA"/>
    <w:rsid w:val="60CF0F9E"/>
    <w:rsid w:val="60CF1899"/>
    <w:rsid w:val="60CF2ACE"/>
    <w:rsid w:val="60CF5519"/>
    <w:rsid w:val="60D1170B"/>
    <w:rsid w:val="60D175F9"/>
    <w:rsid w:val="60D32BE4"/>
    <w:rsid w:val="60D33AFC"/>
    <w:rsid w:val="60D4395A"/>
    <w:rsid w:val="60D4713E"/>
    <w:rsid w:val="60D5662D"/>
    <w:rsid w:val="60D811A7"/>
    <w:rsid w:val="60D85C0F"/>
    <w:rsid w:val="60D872C5"/>
    <w:rsid w:val="60D951CD"/>
    <w:rsid w:val="60DA6424"/>
    <w:rsid w:val="60DB661A"/>
    <w:rsid w:val="60DC0995"/>
    <w:rsid w:val="60DD16C4"/>
    <w:rsid w:val="60DD2497"/>
    <w:rsid w:val="60DD3FFC"/>
    <w:rsid w:val="60DD78F6"/>
    <w:rsid w:val="60DE12A9"/>
    <w:rsid w:val="60DE18D8"/>
    <w:rsid w:val="60DE61D1"/>
    <w:rsid w:val="60DF43B8"/>
    <w:rsid w:val="60DF7018"/>
    <w:rsid w:val="60E05509"/>
    <w:rsid w:val="60E3435C"/>
    <w:rsid w:val="60E366F7"/>
    <w:rsid w:val="60E44798"/>
    <w:rsid w:val="60E47381"/>
    <w:rsid w:val="60E611A1"/>
    <w:rsid w:val="60E641FB"/>
    <w:rsid w:val="60E71C3C"/>
    <w:rsid w:val="60E7320C"/>
    <w:rsid w:val="60E77AF3"/>
    <w:rsid w:val="60E828BF"/>
    <w:rsid w:val="60E9374C"/>
    <w:rsid w:val="60EA47E6"/>
    <w:rsid w:val="60EA6962"/>
    <w:rsid w:val="60EA6B31"/>
    <w:rsid w:val="60EA6C76"/>
    <w:rsid w:val="60EC05A3"/>
    <w:rsid w:val="60ED0103"/>
    <w:rsid w:val="60ED39F7"/>
    <w:rsid w:val="60EF1651"/>
    <w:rsid w:val="60F33813"/>
    <w:rsid w:val="60F35CDF"/>
    <w:rsid w:val="60F361DE"/>
    <w:rsid w:val="60F37A28"/>
    <w:rsid w:val="60F451ED"/>
    <w:rsid w:val="60F55653"/>
    <w:rsid w:val="60F60B3E"/>
    <w:rsid w:val="60F614FE"/>
    <w:rsid w:val="60F6318B"/>
    <w:rsid w:val="60F670B5"/>
    <w:rsid w:val="60F91BD1"/>
    <w:rsid w:val="60F92280"/>
    <w:rsid w:val="60F9429D"/>
    <w:rsid w:val="60F97775"/>
    <w:rsid w:val="60FA0FCC"/>
    <w:rsid w:val="60FB4FE0"/>
    <w:rsid w:val="60FB5B7C"/>
    <w:rsid w:val="60FB5FDE"/>
    <w:rsid w:val="60FC1A77"/>
    <w:rsid w:val="60FD5FFB"/>
    <w:rsid w:val="60FE0503"/>
    <w:rsid w:val="60FE2B92"/>
    <w:rsid w:val="60FE4A9B"/>
    <w:rsid w:val="60FF18EE"/>
    <w:rsid w:val="60FF5F91"/>
    <w:rsid w:val="60FF692F"/>
    <w:rsid w:val="61001CE1"/>
    <w:rsid w:val="61002E67"/>
    <w:rsid w:val="61016185"/>
    <w:rsid w:val="6102084C"/>
    <w:rsid w:val="61031E51"/>
    <w:rsid w:val="610429D0"/>
    <w:rsid w:val="61047A23"/>
    <w:rsid w:val="61053DFB"/>
    <w:rsid w:val="61055A91"/>
    <w:rsid w:val="61060DAA"/>
    <w:rsid w:val="61076A9C"/>
    <w:rsid w:val="610A2B60"/>
    <w:rsid w:val="610A4081"/>
    <w:rsid w:val="610B122E"/>
    <w:rsid w:val="610B22DF"/>
    <w:rsid w:val="610C0AD6"/>
    <w:rsid w:val="610D4BAF"/>
    <w:rsid w:val="610E0EE3"/>
    <w:rsid w:val="610F29FC"/>
    <w:rsid w:val="6110284E"/>
    <w:rsid w:val="611063C8"/>
    <w:rsid w:val="61111E90"/>
    <w:rsid w:val="61112140"/>
    <w:rsid w:val="61114C61"/>
    <w:rsid w:val="611160B7"/>
    <w:rsid w:val="6111672B"/>
    <w:rsid w:val="61120BCE"/>
    <w:rsid w:val="61127F42"/>
    <w:rsid w:val="611301C4"/>
    <w:rsid w:val="61134E3C"/>
    <w:rsid w:val="611375EC"/>
    <w:rsid w:val="61156B33"/>
    <w:rsid w:val="61163AEC"/>
    <w:rsid w:val="61172404"/>
    <w:rsid w:val="61182C11"/>
    <w:rsid w:val="61190EFE"/>
    <w:rsid w:val="61191741"/>
    <w:rsid w:val="6119261D"/>
    <w:rsid w:val="611937A1"/>
    <w:rsid w:val="61193917"/>
    <w:rsid w:val="611A72B8"/>
    <w:rsid w:val="611B4D6D"/>
    <w:rsid w:val="611C4413"/>
    <w:rsid w:val="611C62AF"/>
    <w:rsid w:val="611D64FB"/>
    <w:rsid w:val="611E3D1A"/>
    <w:rsid w:val="612131FF"/>
    <w:rsid w:val="612257F7"/>
    <w:rsid w:val="61233DAC"/>
    <w:rsid w:val="612410B1"/>
    <w:rsid w:val="61243C22"/>
    <w:rsid w:val="612449F9"/>
    <w:rsid w:val="61244B31"/>
    <w:rsid w:val="61252A4E"/>
    <w:rsid w:val="612544C0"/>
    <w:rsid w:val="61261FD1"/>
    <w:rsid w:val="61265BEC"/>
    <w:rsid w:val="61272359"/>
    <w:rsid w:val="6129460F"/>
    <w:rsid w:val="612A1FD4"/>
    <w:rsid w:val="612A3989"/>
    <w:rsid w:val="612A4D78"/>
    <w:rsid w:val="612B2283"/>
    <w:rsid w:val="612B3202"/>
    <w:rsid w:val="612D0138"/>
    <w:rsid w:val="612D4ED2"/>
    <w:rsid w:val="612D60B2"/>
    <w:rsid w:val="612E4AA0"/>
    <w:rsid w:val="612E5558"/>
    <w:rsid w:val="612E71A2"/>
    <w:rsid w:val="612F4DDB"/>
    <w:rsid w:val="613020AA"/>
    <w:rsid w:val="61303A8D"/>
    <w:rsid w:val="61305B3E"/>
    <w:rsid w:val="61330A1D"/>
    <w:rsid w:val="61332EDE"/>
    <w:rsid w:val="61332F5F"/>
    <w:rsid w:val="61340B38"/>
    <w:rsid w:val="61370A9E"/>
    <w:rsid w:val="61371BA7"/>
    <w:rsid w:val="613743AE"/>
    <w:rsid w:val="613744C2"/>
    <w:rsid w:val="613876CD"/>
    <w:rsid w:val="613A222C"/>
    <w:rsid w:val="613A57CD"/>
    <w:rsid w:val="613C2FAA"/>
    <w:rsid w:val="613C71BD"/>
    <w:rsid w:val="613D0967"/>
    <w:rsid w:val="613F3E7B"/>
    <w:rsid w:val="613F6BCF"/>
    <w:rsid w:val="61401C26"/>
    <w:rsid w:val="61407937"/>
    <w:rsid w:val="61412D1A"/>
    <w:rsid w:val="614211A7"/>
    <w:rsid w:val="61421ECC"/>
    <w:rsid w:val="614220AB"/>
    <w:rsid w:val="614232B9"/>
    <w:rsid w:val="61430D8B"/>
    <w:rsid w:val="61442276"/>
    <w:rsid w:val="614432E9"/>
    <w:rsid w:val="61445987"/>
    <w:rsid w:val="61451C22"/>
    <w:rsid w:val="61454EF5"/>
    <w:rsid w:val="61463005"/>
    <w:rsid w:val="61465440"/>
    <w:rsid w:val="61467B38"/>
    <w:rsid w:val="614744E8"/>
    <w:rsid w:val="6147537E"/>
    <w:rsid w:val="61475B62"/>
    <w:rsid w:val="61483DB4"/>
    <w:rsid w:val="61490499"/>
    <w:rsid w:val="614918DA"/>
    <w:rsid w:val="61495DB3"/>
    <w:rsid w:val="6149614D"/>
    <w:rsid w:val="614A01C3"/>
    <w:rsid w:val="614A11D9"/>
    <w:rsid w:val="614A20A0"/>
    <w:rsid w:val="614A6B53"/>
    <w:rsid w:val="614C0FFA"/>
    <w:rsid w:val="614C1E03"/>
    <w:rsid w:val="61501C59"/>
    <w:rsid w:val="61502C69"/>
    <w:rsid w:val="61503C15"/>
    <w:rsid w:val="61516932"/>
    <w:rsid w:val="61520D43"/>
    <w:rsid w:val="615275C0"/>
    <w:rsid w:val="61531554"/>
    <w:rsid w:val="615362B5"/>
    <w:rsid w:val="61567A71"/>
    <w:rsid w:val="61581B1D"/>
    <w:rsid w:val="61586D69"/>
    <w:rsid w:val="615A0B52"/>
    <w:rsid w:val="615A11B0"/>
    <w:rsid w:val="615B0137"/>
    <w:rsid w:val="615B3887"/>
    <w:rsid w:val="615C4E29"/>
    <w:rsid w:val="615C5723"/>
    <w:rsid w:val="615C6E9A"/>
    <w:rsid w:val="615D0EE2"/>
    <w:rsid w:val="615E30E7"/>
    <w:rsid w:val="61602A7E"/>
    <w:rsid w:val="61602E34"/>
    <w:rsid w:val="61621152"/>
    <w:rsid w:val="6162299C"/>
    <w:rsid w:val="6162474A"/>
    <w:rsid w:val="6163002B"/>
    <w:rsid w:val="6164138B"/>
    <w:rsid w:val="61642626"/>
    <w:rsid w:val="61645FDA"/>
    <w:rsid w:val="61661884"/>
    <w:rsid w:val="61665FE8"/>
    <w:rsid w:val="61666B6D"/>
    <w:rsid w:val="6167636B"/>
    <w:rsid w:val="616850B8"/>
    <w:rsid w:val="61686746"/>
    <w:rsid w:val="616926D2"/>
    <w:rsid w:val="616934AB"/>
    <w:rsid w:val="616946B4"/>
    <w:rsid w:val="61696AF2"/>
    <w:rsid w:val="616B1851"/>
    <w:rsid w:val="616C01D1"/>
    <w:rsid w:val="616C15E1"/>
    <w:rsid w:val="616C6E0A"/>
    <w:rsid w:val="616D630B"/>
    <w:rsid w:val="616D6C84"/>
    <w:rsid w:val="616E0512"/>
    <w:rsid w:val="616E0A2F"/>
    <w:rsid w:val="616E30EF"/>
    <w:rsid w:val="616E36C3"/>
    <w:rsid w:val="617225D3"/>
    <w:rsid w:val="6172300E"/>
    <w:rsid w:val="6172738C"/>
    <w:rsid w:val="61750921"/>
    <w:rsid w:val="61750BDB"/>
    <w:rsid w:val="61752DEE"/>
    <w:rsid w:val="61761FA3"/>
    <w:rsid w:val="617815C5"/>
    <w:rsid w:val="61791382"/>
    <w:rsid w:val="61792AB6"/>
    <w:rsid w:val="61796622"/>
    <w:rsid w:val="617A6251"/>
    <w:rsid w:val="617B1738"/>
    <w:rsid w:val="617B40F4"/>
    <w:rsid w:val="617B5BB3"/>
    <w:rsid w:val="617C3C84"/>
    <w:rsid w:val="617C5EAF"/>
    <w:rsid w:val="617D3319"/>
    <w:rsid w:val="617D5FC6"/>
    <w:rsid w:val="617F065B"/>
    <w:rsid w:val="617F49AB"/>
    <w:rsid w:val="61810A39"/>
    <w:rsid w:val="61826FA0"/>
    <w:rsid w:val="618317B8"/>
    <w:rsid w:val="61837713"/>
    <w:rsid w:val="618428D5"/>
    <w:rsid w:val="61844D26"/>
    <w:rsid w:val="61854F26"/>
    <w:rsid w:val="61864D31"/>
    <w:rsid w:val="618728DF"/>
    <w:rsid w:val="618741B1"/>
    <w:rsid w:val="61882403"/>
    <w:rsid w:val="618A0309"/>
    <w:rsid w:val="618A42C4"/>
    <w:rsid w:val="618A7B7E"/>
    <w:rsid w:val="618B50F5"/>
    <w:rsid w:val="618B5848"/>
    <w:rsid w:val="618E070F"/>
    <w:rsid w:val="618E3791"/>
    <w:rsid w:val="618F5992"/>
    <w:rsid w:val="61906D29"/>
    <w:rsid w:val="61914972"/>
    <w:rsid w:val="619460CD"/>
    <w:rsid w:val="619563F8"/>
    <w:rsid w:val="61962CDB"/>
    <w:rsid w:val="61981FAA"/>
    <w:rsid w:val="61997B04"/>
    <w:rsid w:val="619A189C"/>
    <w:rsid w:val="619A292A"/>
    <w:rsid w:val="619C3574"/>
    <w:rsid w:val="619E01E9"/>
    <w:rsid w:val="619E1282"/>
    <w:rsid w:val="619E1C26"/>
    <w:rsid w:val="619F2197"/>
    <w:rsid w:val="619F599E"/>
    <w:rsid w:val="61A22192"/>
    <w:rsid w:val="61A30156"/>
    <w:rsid w:val="61A317D2"/>
    <w:rsid w:val="61A3351F"/>
    <w:rsid w:val="61A3723C"/>
    <w:rsid w:val="61A437AF"/>
    <w:rsid w:val="61A45EA8"/>
    <w:rsid w:val="61A5537A"/>
    <w:rsid w:val="61A57B04"/>
    <w:rsid w:val="61A61C0B"/>
    <w:rsid w:val="61A620A0"/>
    <w:rsid w:val="61A66D2D"/>
    <w:rsid w:val="61A72B98"/>
    <w:rsid w:val="61A759CB"/>
    <w:rsid w:val="61A84C3A"/>
    <w:rsid w:val="61A905CB"/>
    <w:rsid w:val="61AA42A2"/>
    <w:rsid w:val="61AB122F"/>
    <w:rsid w:val="61AB211F"/>
    <w:rsid w:val="61AB3BD5"/>
    <w:rsid w:val="61AC3AC3"/>
    <w:rsid w:val="61AC4029"/>
    <w:rsid w:val="61AC54B5"/>
    <w:rsid w:val="61AC5DF7"/>
    <w:rsid w:val="61AC7ED6"/>
    <w:rsid w:val="61AD0ECA"/>
    <w:rsid w:val="61AD3F63"/>
    <w:rsid w:val="61AE1C70"/>
    <w:rsid w:val="61AE2CEA"/>
    <w:rsid w:val="61AF4217"/>
    <w:rsid w:val="61B01959"/>
    <w:rsid w:val="61B04DD8"/>
    <w:rsid w:val="61B10243"/>
    <w:rsid w:val="61B14E95"/>
    <w:rsid w:val="61B2122D"/>
    <w:rsid w:val="61B33346"/>
    <w:rsid w:val="61B416DD"/>
    <w:rsid w:val="61B52D47"/>
    <w:rsid w:val="61B63CC9"/>
    <w:rsid w:val="61B70C1F"/>
    <w:rsid w:val="61B86174"/>
    <w:rsid w:val="61B873E5"/>
    <w:rsid w:val="61B94B9C"/>
    <w:rsid w:val="61BC043B"/>
    <w:rsid w:val="61BC04B7"/>
    <w:rsid w:val="61BE2E31"/>
    <w:rsid w:val="61BE5C50"/>
    <w:rsid w:val="61BF1C34"/>
    <w:rsid w:val="61C1622C"/>
    <w:rsid w:val="61C20E01"/>
    <w:rsid w:val="61C24C36"/>
    <w:rsid w:val="61C25D8B"/>
    <w:rsid w:val="61C41D2A"/>
    <w:rsid w:val="61C55405"/>
    <w:rsid w:val="61C60E4D"/>
    <w:rsid w:val="61C8064C"/>
    <w:rsid w:val="61C83897"/>
    <w:rsid w:val="61CB4448"/>
    <w:rsid w:val="61CD0C41"/>
    <w:rsid w:val="61CF5A62"/>
    <w:rsid w:val="61D109A2"/>
    <w:rsid w:val="61D11C4D"/>
    <w:rsid w:val="61D27EB7"/>
    <w:rsid w:val="61D31E9F"/>
    <w:rsid w:val="61D336F1"/>
    <w:rsid w:val="61D37FB7"/>
    <w:rsid w:val="61D5317B"/>
    <w:rsid w:val="61D57ACF"/>
    <w:rsid w:val="61D96521"/>
    <w:rsid w:val="61DB4C61"/>
    <w:rsid w:val="61DC62AA"/>
    <w:rsid w:val="61DC7EB8"/>
    <w:rsid w:val="61DD24BD"/>
    <w:rsid w:val="61DE0274"/>
    <w:rsid w:val="61DE2022"/>
    <w:rsid w:val="61E215D8"/>
    <w:rsid w:val="61E62043"/>
    <w:rsid w:val="61E62B18"/>
    <w:rsid w:val="61E635CD"/>
    <w:rsid w:val="61E641BA"/>
    <w:rsid w:val="61E67129"/>
    <w:rsid w:val="61E87343"/>
    <w:rsid w:val="61E956CC"/>
    <w:rsid w:val="61EA389F"/>
    <w:rsid w:val="61EB43F8"/>
    <w:rsid w:val="61EB473F"/>
    <w:rsid w:val="61EC3613"/>
    <w:rsid w:val="61EC517E"/>
    <w:rsid w:val="61EC61C3"/>
    <w:rsid w:val="61ED24E8"/>
    <w:rsid w:val="61EE122D"/>
    <w:rsid w:val="61EF130A"/>
    <w:rsid w:val="61EF550E"/>
    <w:rsid w:val="61EF7CBE"/>
    <w:rsid w:val="61F07FA8"/>
    <w:rsid w:val="61F10556"/>
    <w:rsid w:val="61F11EE2"/>
    <w:rsid w:val="61F126CE"/>
    <w:rsid w:val="61F135BD"/>
    <w:rsid w:val="61F14975"/>
    <w:rsid w:val="61F23D20"/>
    <w:rsid w:val="61F33D11"/>
    <w:rsid w:val="61F36661"/>
    <w:rsid w:val="61F40325"/>
    <w:rsid w:val="61F63676"/>
    <w:rsid w:val="61F71336"/>
    <w:rsid w:val="61F8543F"/>
    <w:rsid w:val="61F93300"/>
    <w:rsid w:val="61FA23CF"/>
    <w:rsid w:val="61FA403B"/>
    <w:rsid w:val="61FA7E59"/>
    <w:rsid w:val="61FB1BC6"/>
    <w:rsid w:val="61FD0BB4"/>
    <w:rsid w:val="61FD21B6"/>
    <w:rsid w:val="61FE2528"/>
    <w:rsid w:val="61FE65BB"/>
    <w:rsid w:val="61FF24F8"/>
    <w:rsid w:val="61FF63B2"/>
    <w:rsid w:val="61FF748B"/>
    <w:rsid w:val="62000C34"/>
    <w:rsid w:val="62006B2F"/>
    <w:rsid w:val="62015F82"/>
    <w:rsid w:val="620242A7"/>
    <w:rsid w:val="6203647C"/>
    <w:rsid w:val="620418F9"/>
    <w:rsid w:val="62050858"/>
    <w:rsid w:val="62056AA8"/>
    <w:rsid w:val="62057A04"/>
    <w:rsid w:val="620702DF"/>
    <w:rsid w:val="62095CF4"/>
    <w:rsid w:val="620B125E"/>
    <w:rsid w:val="620C3D7F"/>
    <w:rsid w:val="620C70CF"/>
    <w:rsid w:val="620C799F"/>
    <w:rsid w:val="620D3E77"/>
    <w:rsid w:val="620D61F3"/>
    <w:rsid w:val="620E18D5"/>
    <w:rsid w:val="620E34CD"/>
    <w:rsid w:val="620F2616"/>
    <w:rsid w:val="621138D1"/>
    <w:rsid w:val="621153E0"/>
    <w:rsid w:val="62130075"/>
    <w:rsid w:val="62131322"/>
    <w:rsid w:val="62162057"/>
    <w:rsid w:val="6217112C"/>
    <w:rsid w:val="621719D8"/>
    <w:rsid w:val="6217491F"/>
    <w:rsid w:val="6218588A"/>
    <w:rsid w:val="621876E4"/>
    <w:rsid w:val="621912AD"/>
    <w:rsid w:val="621930F1"/>
    <w:rsid w:val="62195FA2"/>
    <w:rsid w:val="621A1D8B"/>
    <w:rsid w:val="621A7A46"/>
    <w:rsid w:val="621B3775"/>
    <w:rsid w:val="621B460E"/>
    <w:rsid w:val="621B4BF2"/>
    <w:rsid w:val="621B4CA0"/>
    <w:rsid w:val="621C238F"/>
    <w:rsid w:val="621C41CF"/>
    <w:rsid w:val="621C72A8"/>
    <w:rsid w:val="621D31D5"/>
    <w:rsid w:val="621E4F75"/>
    <w:rsid w:val="621F7E52"/>
    <w:rsid w:val="622031EE"/>
    <w:rsid w:val="62214CA7"/>
    <w:rsid w:val="62216061"/>
    <w:rsid w:val="62217E3D"/>
    <w:rsid w:val="6223501F"/>
    <w:rsid w:val="62261303"/>
    <w:rsid w:val="62264C7F"/>
    <w:rsid w:val="62265778"/>
    <w:rsid w:val="62273BD2"/>
    <w:rsid w:val="62273DA7"/>
    <w:rsid w:val="62286381"/>
    <w:rsid w:val="62287742"/>
    <w:rsid w:val="622901D1"/>
    <w:rsid w:val="622939CF"/>
    <w:rsid w:val="622A0588"/>
    <w:rsid w:val="622C233E"/>
    <w:rsid w:val="622C52FC"/>
    <w:rsid w:val="622D2FAA"/>
    <w:rsid w:val="622E19B6"/>
    <w:rsid w:val="622E5525"/>
    <w:rsid w:val="622F6D22"/>
    <w:rsid w:val="6230128B"/>
    <w:rsid w:val="623021C1"/>
    <w:rsid w:val="623074DA"/>
    <w:rsid w:val="623123DD"/>
    <w:rsid w:val="62312EED"/>
    <w:rsid w:val="623135A8"/>
    <w:rsid w:val="623274EA"/>
    <w:rsid w:val="6233115E"/>
    <w:rsid w:val="62331635"/>
    <w:rsid w:val="623534E8"/>
    <w:rsid w:val="6236092E"/>
    <w:rsid w:val="6236436B"/>
    <w:rsid w:val="62364782"/>
    <w:rsid w:val="62365E81"/>
    <w:rsid w:val="623B0B3E"/>
    <w:rsid w:val="623C1F64"/>
    <w:rsid w:val="623C4C6F"/>
    <w:rsid w:val="623D431D"/>
    <w:rsid w:val="623D61BE"/>
    <w:rsid w:val="623D7558"/>
    <w:rsid w:val="623E5155"/>
    <w:rsid w:val="623E7086"/>
    <w:rsid w:val="623E7A46"/>
    <w:rsid w:val="623F04E1"/>
    <w:rsid w:val="623F5AE4"/>
    <w:rsid w:val="62402CDD"/>
    <w:rsid w:val="62407591"/>
    <w:rsid w:val="62411ECB"/>
    <w:rsid w:val="62422029"/>
    <w:rsid w:val="624468E7"/>
    <w:rsid w:val="62451B7B"/>
    <w:rsid w:val="62453860"/>
    <w:rsid w:val="62461A4A"/>
    <w:rsid w:val="624801C9"/>
    <w:rsid w:val="62480B32"/>
    <w:rsid w:val="6248340F"/>
    <w:rsid w:val="624835A5"/>
    <w:rsid w:val="62494FB4"/>
    <w:rsid w:val="6249566B"/>
    <w:rsid w:val="6249669D"/>
    <w:rsid w:val="624B368F"/>
    <w:rsid w:val="624B4007"/>
    <w:rsid w:val="624D5980"/>
    <w:rsid w:val="624E19E9"/>
    <w:rsid w:val="624F2F20"/>
    <w:rsid w:val="62515565"/>
    <w:rsid w:val="62517525"/>
    <w:rsid w:val="6252467C"/>
    <w:rsid w:val="62545823"/>
    <w:rsid w:val="625716FC"/>
    <w:rsid w:val="6258314E"/>
    <w:rsid w:val="625964BC"/>
    <w:rsid w:val="625A2A7D"/>
    <w:rsid w:val="625A488E"/>
    <w:rsid w:val="625B0BCE"/>
    <w:rsid w:val="625C5CF8"/>
    <w:rsid w:val="625C6F49"/>
    <w:rsid w:val="625D388F"/>
    <w:rsid w:val="625D6E7D"/>
    <w:rsid w:val="625D7AFC"/>
    <w:rsid w:val="625E56B2"/>
    <w:rsid w:val="6260166C"/>
    <w:rsid w:val="62602940"/>
    <w:rsid w:val="62613A54"/>
    <w:rsid w:val="62620735"/>
    <w:rsid w:val="62622788"/>
    <w:rsid w:val="62622C39"/>
    <w:rsid w:val="62623858"/>
    <w:rsid w:val="626246A9"/>
    <w:rsid w:val="6264142C"/>
    <w:rsid w:val="626611A0"/>
    <w:rsid w:val="62662D41"/>
    <w:rsid w:val="62663C4F"/>
    <w:rsid w:val="62680B2A"/>
    <w:rsid w:val="62687E3A"/>
    <w:rsid w:val="626B3065"/>
    <w:rsid w:val="626D3930"/>
    <w:rsid w:val="626D4F49"/>
    <w:rsid w:val="626E0591"/>
    <w:rsid w:val="626E5909"/>
    <w:rsid w:val="626F25DB"/>
    <w:rsid w:val="626F3587"/>
    <w:rsid w:val="626F4B7D"/>
    <w:rsid w:val="626F6DDA"/>
    <w:rsid w:val="626F711E"/>
    <w:rsid w:val="626F7870"/>
    <w:rsid w:val="627043A1"/>
    <w:rsid w:val="62711AC5"/>
    <w:rsid w:val="627347CA"/>
    <w:rsid w:val="62742987"/>
    <w:rsid w:val="62753523"/>
    <w:rsid w:val="627543D9"/>
    <w:rsid w:val="62760032"/>
    <w:rsid w:val="62762C81"/>
    <w:rsid w:val="6277440F"/>
    <w:rsid w:val="627A375B"/>
    <w:rsid w:val="627A7977"/>
    <w:rsid w:val="627C3930"/>
    <w:rsid w:val="627D4393"/>
    <w:rsid w:val="627E67FA"/>
    <w:rsid w:val="627F05C5"/>
    <w:rsid w:val="627F33F6"/>
    <w:rsid w:val="62806A1B"/>
    <w:rsid w:val="628232AE"/>
    <w:rsid w:val="62826216"/>
    <w:rsid w:val="62831757"/>
    <w:rsid w:val="62831F13"/>
    <w:rsid w:val="62832185"/>
    <w:rsid w:val="6283443C"/>
    <w:rsid w:val="6284633D"/>
    <w:rsid w:val="628541F2"/>
    <w:rsid w:val="62854B94"/>
    <w:rsid w:val="62856D9F"/>
    <w:rsid w:val="62861BE5"/>
    <w:rsid w:val="62871A36"/>
    <w:rsid w:val="62882256"/>
    <w:rsid w:val="62896A82"/>
    <w:rsid w:val="628A737B"/>
    <w:rsid w:val="628B3DEA"/>
    <w:rsid w:val="628B7288"/>
    <w:rsid w:val="628C0538"/>
    <w:rsid w:val="628C511D"/>
    <w:rsid w:val="628D3737"/>
    <w:rsid w:val="628D5BE1"/>
    <w:rsid w:val="62900078"/>
    <w:rsid w:val="62903704"/>
    <w:rsid w:val="62913539"/>
    <w:rsid w:val="62916B94"/>
    <w:rsid w:val="62922F91"/>
    <w:rsid w:val="6293361B"/>
    <w:rsid w:val="629337DA"/>
    <w:rsid w:val="62933BFD"/>
    <w:rsid w:val="62941BB3"/>
    <w:rsid w:val="629427F0"/>
    <w:rsid w:val="629524E1"/>
    <w:rsid w:val="6295273B"/>
    <w:rsid w:val="6295419A"/>
    <w:rsid w:val="629628FD"/>
    <w:rsid w:val="62974075"/>
    <w:rsid w:val="62977D69"/>
    <w:rsid w:val="62983094"/>
    <w:rsid w:val="62987525"/>
    <w:rsid w:val="629934BE"/>
    <w:rsid w:val="629A1773"/>
    <w:rsid w:val="629D4877"/>
    <w:rsid w:val="629E291D"/>
    <w:rsid w:val="629F4090"/>
    <w:rsid w:val="62A02221"/>
    <w:rsid w:val="62A03106"/>
    <w:rsid w:val="62A0536D"/>
    <w:rsid w:val="62A21A48"/>
    <w:rsid w:val="62A2498A"/>
    <w:rsid w:val="62A34943"/>
    <w:rsid w:val="62A414BE"/>
    <w:rsid w:val="62A44272"/>
    <w:rsid w:val="62A577A2"/>
    <w:rsid w:val="62A620AE"/>
    <w:rsid w:val="62A67099"/>
    <w:rsid w:val="62A679A7"/>
    <w:rsid w:val="62A8489C"/>
    <w:rsid w:val="62A866DF"/>
    <w:rsid w:val="62A87505"/>
    <w:rsid w:val="62AB43FD"/>
    <w:rsid w:val="62AB7243"/>
    <w:rsid w:val="62AD4BC1"/>
    <w:rsid w:val="62AE3FDB"/>
    <w:rsid w:val="62AF1013"/>
    <w:rsid w:val="62B0245C"/>
    <w:rsid w:val="62B103C8"/>
    <w:rsid w:val="62B15989"/>
    <w:rsid w:val="62B15C0F"/>
    <w:rsid w:val="62B25325"/>
    <w:rsid w:val="62B25E81"/>
    <w:rsid w:val="62B35D29"/>
    <w:rsid w:val="62B37FD7"/>
    <w:rsid w:val="62B64D4D"/>
    <w:rsid w:val="62B67795"/>
    <w:rsid w:val="62B81F9F"/>
    <w:rsid w:val="62B848B8"/>
    <w:rsid w:val="62B84BE9"/>
    <w:rsid w:val="62B86105"/>
    <w:rsid w:val="62B9483E"/>
    <w:rsid w:val="62B97472"/>
    <w:rsid w:val="62B975B9"/>
    <w:rsid w:val="62BA2C49"/>
    <w:rsid w:val="62BB0F40"/>
    <w:rsid w:val="62BE2A81"/>
    <w:rsid w:val="62BF3C6B"/>
    <w:rsid w:val="62C05712"/>
    <w:rsid w:val="62C11478"/>
    <w:rsid w:val="62C25380"/>
    <w:rsid w:val="62C30481"/>
    <w:rsid w:val="62C34EBD"/>
    <w:rsid w:val="62C35E50"/>
    <w:rsid w:val="62C4052C"/>
    <w:rsid w:val="62C456BC"/>
    <w:rsid w:val="62C51C5D"/>
    <w:rsid w:val="62C531E2"/>
    <w:rsid w:val="62C54DE6"/>
    <w:rsid w:val="62C57A5A"/>
    <w:rsid w:val="62C6187F"/>
    <w:rsid w:val="62C630EB"/>
    <w:rsid w:val="62C638BF"/>
    <w:rsid w:val="62C63975"/>
    <w:rsid w:val="62C71F29"/>
    <w:rsid w:val="62C83AAD"/>
    <w:rsid w:val="62C85820"/>
    <w:rsid w:val="62C917F8"/>
    <w:rsid w:val="62CC3E08"/>
    <w:rsid w:val="62CC4C1D"/>
    <w:rsid w:val="62CD155E"/>
    <w:rsid w:val="62CD37C2"/>
    <w:rsid w:val="62CE02E9"/>
    <w:rsid w:val="62CF747E"/>
    <w:rsid w:val="62D10644"/>
    <w:rsid w:val="62D17DD9"/>
    <w:rsid w:val="62D21E6C"/>
    <w:rsid w:val="62D27A51"/>
    <w:rsid w:val="62D313B4"/>
    <w:rsid w:val="62D32392"/>
    <w:rsid w:val="62D3245E"/>
    <w:rsid w:val="62D4590C"/>
    <w:rsid w:val="62D4701C"/>
    <w:rsid w:val="62D529F4"/>
    <w:rsid w:val="62D62432"/>
    <w:rsid w:val="62D83C1B"/>
    <w:rsid w:val="62D85613"/>
    <w:rsid w:val="62DA0DD6"/>
    <w:rsid w:val="62DA4EE0"/>
    <w:rsid w:val="62DA71D4"/>
    <w:rsid w:val="62DB230A"/>
    <w:rsid w:val="62DB2A06"/>
    <w:rsid w:val="62DB3ADA"/>
    <w:rsid w:val="62DB73EA"/>
    <w:rsid w:val="62DD0994"/>
    <w:rsid w:val="62DD39AE"/>
    <w:rsid w:val="62DD677E"/>
    <w:rsid w:val="62DD74C7"/>
    <w:rsid w:val="62DE49FD"/>
    <w:rsid w:val="62DE559F"/>
    <w:rsid w:val="62DE7EA1"/>
    <w:rsid w:val="62DF24F6"/>
    <w:rsid w:val="62E036FC"/>
    <w:rsid w:val="62E1583B"/>
    <w:rsid w:val="62E21966"/>
    <w:rsid w:val="62E27A4D"/>
    <w:rsid w:val="62E334F4"/>
    <w:rsid w:val="62E40895"/>
    <w:rsid w:val="62E4418A"/>
    <w:rsid w:val="62E44BA9"/>
    <w:rsid w:val="62E464DA"/>
    <w:rsid w:val="62E466BB"/>
    <w:rsid w:val="62E53885"/>
    <w:rsid w:val="62E5478B"/>
    <w:rsid w:val="62E67686"/>
    <w:rsid w:val="62E821E8"/>
    <w:rsid w:val="62E870B8"/>
    <w:rsid w:val="62EA1E06"/>
    <w:rsid w:val="62EA44F9"/>
    <w:rsid w:val="62EC076F"/>
    <w:rsid w:val="62EC38D6"/>
    <w:rsid w:val="62EC72EE"/>
    <w:rsid w:val="62ED7EEF"/>
    <w:rsid w:val="62EF1129"/>
    <w:rsid w:val="62F004BC"/>
    <w:rsid w:val="62F01A35"/>
    <w:rsid w:val="62F02490"/>
    <w:rsid w:val="62F162BF"/>
    <w:rsid w:val="62F2363D"/>
    <w:rsid w:val="62F40D9C"/>
    <w:rsid w:val="62F70B09"/>
    <w:rsid w:val="62F85366"/>
    <w:rsid w:val="62F8789B"/>
    <w:rsid w:val="62F931D3"/>
    <w:rsid w:val="62F94818"/>
    <w:rsid w:val="62FB298B"/>
    <w:rsid w:val="62FB2B43"/>
    <w:rsid w:val="62FC2AC5"/>
    <w:rsid w:val="62FC3330"/>
    <w:rsid w:val="62FD239D"/>
    <w:rsid w:val="62FD35AF"/>
    <w:rsid w:val="62FD630C"/>
    <w:rsid w:val="62FD749B"/>
    <w:rsid w:val="62FD78EA"/>
    <w:rsid w:val="62FE3F28"/>
    <w:rsid w:val="62FF034E"/>
    <w:rsid w:val="6300039E"/>
    <w:rsid w:val="630219C2"/>
    <w:rsid w:val="63021D41"/>
    <w:rsid w:val="63022111"/>
    <w:rsid w:val="63051A28"/>
    <w:rsid w:val="63076AED"/>
    <w:rsid w:val="630815B6"/>
    <w:rsid w:val="630833AD"/>
    <w:rsid w:val="630839CA"/>
    <w:rsid w:val="63086388"/>
    <w:rsid w:val="63093D37"/>
    <w:rsid w:val="63096F44"/>
    <w:rsid w:val="630A5710"/>
    <w:rsid w:val="630B40E8"/>
    <w:rsid w:val="630B7877"/>
    <w:rsid w:val="630D56A5"/>
    <w:rsid w:val="630E561D"/>
    <w:rsid w:val="630F24AC"/>
    <w:rsid w:val="630F60B1"/>
    <w:rsid w:val="63111F3C"/>
    <w:rsid w:val="631305E5"/>
    <w:rsid w:val="63132898"/>
    <w:rsid w:val="63134002"/>
    <w:rsid w:val="63134AF3"/>
    <w:rsid w:val="63144205"/>
    <w:rsid w:val="63147715"/>
    <w:rsid w:val="63147CC6"/>
    <w:rsid w:val="63156E29"/>
    <w:rsid w:val="63163DFC"/>
    <w:rsid w:val="631663EA"/>
    <w:rsid w:val="63180CB3"/>
    <w:rsid w:val="6318238A"/>
    <w:rsid w:val="631A1780"/>
    <w:rsid w:val="631B3FB7"/>
    <w:rsid w:val="631D02EA"/>
    <w:rsid w:val="631E3962"/>
    <w:rsid w:val="631F076C"/>
    <w:rsid w:val="6320199E"/>
    <w:rsid w:val="63204CA4"/>
    <w:rsid w:val="63212D25"/>
    <w:rsid w:val="6321489A"/>
    <w:rsid w:val="63215454"/>
    <w:rsid w:val="63220635"/>
    <w:rsid w:val="63224191"/>
    <w:rsid w:val="632308AC"/>
    <w:rsid w:val="63246830"/>
    <w:rsid w:val="63247E77"/>
    <w:rsid w:val="63270CF3"/>
    <w:rsid w:val="6327469E"/>
    <w:rsid w:val="632755BC"/>
    <w:rsid w:val="63294394"/>
    <w:rsid w:val="63296ABC"/>
    <w:rsid w:val="632A0520"/>
    <w:rsid w:val="632A47D0"/>
    <w:rsid w:val="632C1CD4"/>
    <w:rsid w:val="632C47B1"/>
    <w:rsid w:val="632F4BB7"/>
    <w:rsid w:val="6332421C"/>
    <w:rsid w:val="63335ABB"/>
    <w:rsid w:val="63351F2A"/>
    <w:rsid w:val="63371B28"/>
    <w:rsid w:val="63381C06"/>
    <w:rsid w:val="633873D0"/>
    <w:rsid w:val="633964B6"/>
    <w:rsid w:val="633973A8"/>
    <w:rsid w:val="633A010B"/>
    <w:rsid w:val="633A3E98"/>
    <w:rsid w:val="633A5116"/>
    <w:rsid w:val="633A597E"/>
    <w:rsid w:val="633A772C"/>
    <w:rsid w:val="633D23E9"/>
    <w:rsid w:val="633D71A0"/>
    <w:rsid w:val="633D7244"/>
    <w:rsid w:val="63416D0D"/>
    <w:rsid w:val="634266A3"/>
    <w:rsid w:val="634364A3"/>
    <w:rsid w:val="63437559"/>
    <w:rsid w:val="63462575"/>
    <w:rsid w:val="63464323"/>
    <w:rsid w:val="634654A8"/>
    <w:rsid w:val="63466BD6"/>
    <w:rsid w:val="63473A5C"/>
    <w:rsid w:val="63482FD5"/>
    <w:rsid w:val="63494BBB"/>
    <w:rsid w:val="634974EA"/>
    <w:rsid w:val="634A63B9"/>
    <w:rsid w:val="634B193A"/>
    <w:rsid w:val="634B7220"/>
    <w:rsid w:val="634C29BE"/>
    <w:rsid w:val="634C3EB6"/>
    <w:rsid w:val="634D0987"/>
    <w:rsid w:val="634D793D"/>
    <w:rsid w:val="634F4C3B"/>
    <w:rsid w:val="634F531E"/>
    <w:rsid w:val="635038A5"/>
    <w:rsid w:val="63504048"/>
    <w:rsid w:val="635135F2"/>
    <w:rsid w:val="63550A49"/>
    <w:rsid w:val="6355231A"/>
    <w:rsid w:val="63554989"/>
    <w:rsid w:val="63557368"/>
    <w:rsid w:val="63565B89"/>
    <w:rsid w:val="63580EBA"/>
    <w:rsid w:val="63584057"/>
    <w:rsid w:val="63595A08"/>
    <w:rsid w:val="635A7DCF"/>
    <w:rsid w:val="635B0592"/>
    <w:rsid w:val="635B1F4B"/>
    <w:rsid w:val="635B4AEC"/>
    <w:rsid w:val="635C3C2B"/>
    <w:rsid w:val="635D21B2"/>
    <w:rsid w:val="635D7C38"/>
    <w:rsid w:val="635E4D67"/>
    <w:rsid w:val="63602AA9"/>
    <w:rsid w:val="63603AA8"/>
    <w:rsid w:val="63616FD8"/>
    <w:rsid w:val="63626E22"/>
    <w:rsid w:val="63631239"/>
    <w:rsid w:val="63633A21"/>
    <w:rsid w:val="6364688B"/>
    <w:rsid w:val="63657A94"/>
    <w:rsid w:val="63660521"/>
    <w:rsid w:val="63666C32"/>
    <w:rsid w:val="63675F9F"/>
    <w:rsid w:val="63687DF0"/>
    <w:rsid w:val="63690958"/>
    <w:rsid w:val="636A3A3A"/>
    <w:rsid w:val="636D006B"/>
    <w:rsid w:val="636F62F9"/>
    <w:rsid w:val="63710654"/>
    <w:rsid w:val="63717671"/>
    <w:rsid w:val="637278F8"/>
    <w:rsid w:val="637314B4"/>
    <w:rsid w:val="6373701D"/>
    <w:rsid w:val="637502EA"/>
    <w:rsid w:val="63763992"/>
    <w:rsid w:val="63770981"/>
    <w:rsid w:val="637710D9"/>
    <w:rsid w:val="637750E0"/>
    <w:rsid w:val="63780255"/>
    <w:rsid w:val="6378478A"/>
    <w:rsid w:val="63794E02"/>
    <w:rsid w:val="637D17FC"/>
    <w:rsid w:val="637E524A"/>
    <w:rsid w:val="637F5362"/>
    <w:rsid w:val="63806119"/>
    <w:rsid w:val="638110C6"/>
    <w:rsid w:val="638212EC"/>
    <w:rsid w:val="63824145"/>
    <w:rsid w:val="638271BE"/>
    <w:rsid w:val="63831DC1"/>
    <w:rsid w:val="63834804"/>
    <w:rsid w:val="63847A6C"/>
    <w:rsid w:val="63853B98"/>
    <w:rsid w:val="63874C22"/>
    <w:rsid w:val="63875CB7"/>
    <w:rsid w:val="63880ADD"/>
    <w:rsid w:val="63893C86"/>
    <w:rsid w:val="63895F8A"/>
    <w:rsid w:val="638C3517"/>
    <w:rsid w:val="638C7940"/>
    <w:rsid w:val="638D3447"/>
    <w:rsid w:val="638E237F"/>
    <w:rsid w:val="638F3CC8"/>
    <w:rsid w:val="638F6767"/>
    <w:rsid w:val="63904138"/>
    <w:rsid w:val="639041BF"/>
    <w:rsid w:val="6390447E"/>
    <w:rsid w:val="6390606B"/>
    <w:rsid w:val="63912E94"/>
    <w:rsid w:val="63932EEA"/>
    <w:rsid w:val="63935FC0"/>
    <w:rsid w:val="63936B01"/>
    <w:rsid w:val="6394356A"/>
    <w:rsid w:val="63944673"/>
    <w:rsid w:val="63956F8D"/>
    <w:rsid w:val="63963E12"/>
    <w:rsid w:val="639711CB"/>
    <w:rsid w:val="63974B7F"/>
    <w:rsid w:val="639775D1"/>
    <w:rsid w:val="639826A5"/>
    <w:rsid w:val="639943D9"/>
    <w:rsid w:val="63996E71"/>
    <w:rsid w:val="639A01CB"/>
    <w:rsid w:val="639B0BC9"/>
    <w:rsid w:val="639C6DF5"/>
    <w:rsid w:val="639E662F"/>
    <w:rsid w:val="639F05C5"/>
    <w:rsid w:val="639F400B"/>
    <w:rsid w:val="63A04029"/>
    <w:rsid w:val="63A1576A"/>
    <w:rsid w:val="63A159FD"/>
    <w:rsid w:val="63A21487"/>
    <w:rsid w:val="63A30A4A"/>
    <w:rsid w:val="63A33C86"/>
    <w:rsid w:val="63A34582"/>
    <w:rsid w:val="63A412A8"/>
    <w:rsid w:val="63A5631A"/>
    <w:rsid w:val="63A634F7"/>
    <w:rsid w:val="63A728E8"/>
    <w:rsid w:val="63A76420"/>
    <w:rsid w:val="63A77DC2"/>
    <w:rsid w:val="63A8065D"/>
    <w:rsid w:val="63A84427"/>
    <w:rsid w:val="63A845E8"/>
    <w:rsid w:val="63A86D8C"/>
    <w:rsid w:val="63AA76C4"/>
    <w:rsid w:val="63AB23D8"/>
    <w:rsid w:val="63AB45E2"/>
    <w:rsid w:val="63AB5B32"/>
    <w:rsid w:val="63AE1EC8"/>
    <w:rsid w:val="63AE5D14"/>
    <w:rsid w:val="63AF041B"/>
    <w:rsid w:val="63AF106E"/>
    <w:rsid w:val="63AF3F9F"/>
    <w:rsid w:val="63B11BBD"/>
    <w:rsid w:val="63B1569C"/>
    <w:rsid w:val="63B26E0F"/>
    <w:rsid w:val="63B27A52"/>
    <w:rsid w:val="63B27CD2"/>
    <w:rsid w:val="63B3602F"/>
    <w:rsid w:val="63B45BFE"/>
    <w:rsid w:val="63B50B61"/>
    <w:rsid w:val="63B540E0"/>
    <w:rsid w:val="63B55005"/>
    <w:rsid w:val="63B62FF8"/>
    <w:rsid w:val="63B85CF5"/>
    <w:rsid w:val="63B913AC"/>
    <w:rsid w:val="63B92C64"/>
    <w:rsid w:val="63B93FAB"/>
    <w:rsid w:val="63BA1377"/>
    <w:rsid w:val="63BA4C01"/>
    <w:rsid w:val="63BA5108"/>
    <w:rsid w:val="63BC0B42"/>
    <w:rsid w:val="63BC18BA"/>
    <w:rsid w:val="63BC45E5"/>
    <w:rsid w:val="63BC5D29"/>
    <w:rsid w:val="63BD4AAC"/>
    <w:rsid w:val="63C00085"/>
    <w:rsid w:val="63C12B4F"/>
    <w:rsid w:val="63C42488"/>
    <w:rsid w:val="63C447EB"/>
    <w:rsid w:val="63C46E55"/>
    <w:rsid w:val="63C5799F"/>
    <w:rsid w:val="63C61B2C"/>
    <w:rsid w:val="63C621DC"/>
    <w:rsid w:val="63C65464"/>
    <w:rsid w:val="63C71798"/>
    <w:rsid w:val="63C8252E"/>
    <w:rsid w:val="63C8796E"/>
    <w:rsid w:val="63C95D8A"/>
    <w:rsid w:val="63CA67D1"/>
    <w:rsid w:val="63CC15D6"/>
    <w:rsid w:val="63CC1966"/>
    <w:rsid w:val="63CC3B27"/>
    <w:rsid w:val="63CD3C00"/>
    <w:rsid w:val="63D00091"/>
    <w:rsid w:val="63D02666"/>
    <w:rsid w:val="63D40BE9"/>
    <w:rsid w:val="63D47B81"/>
    <w:rsid w:val="63D55F45"/>
    <w:rsid w:val="63D616AC"/>
    <w:rsid w:val="63D72AAD"/>
    <w:rsid w:val="63D75030"/>
    <w:rsid w:val="63D8685A"/>
    <w:rsid w:val="63D911CF"/>
    <w:rsid w:val="63DA0F0F"/>
    <w:rsid w:val="63DA4FBB"/>
    <w:rsid w:val="63DA5E45"/>
    <w:rsid w:val="63DA7914"/>
    <w:rsid w:val="63DC4C88"/>
    <w:rsid w:val="63DC5AC7"/>
    <w:rsid w:val="63DD3AE4"/>
    <w:rsid w:val="63DE3D4B"/>
    <w:rsid w:val="63DE428C"/>
    <w:rsid w:val="63DF61C4"/>
    <w:rsid w:val="63E0233E"/>
    <w:rsid w:val="63E04F10"/>
    <w:rsid w:val="63E072AA"/>
    <w:rsid w:val="63E07673"/>
    <w:rsid w:val="63E112CE"/>
    <w:rsid w:val="63E13B2C"/>
    <w:rsid w:val="63E15138"/>
    <w:rsid w:val="63E24985"/>
    <w:rsid w:val="63E26D94"/>
    <w:rsid w:val="63E57BB9"/>
    <w:rsid w:val="63E57F48"/>
    <w:rsid w:val="63E71ADF"/>
    <w:rsid w:val="63E72C29"/>
    <w:rsid w:val="63E77BC1"/>
    <w:rsid w:val="63E83E60"/>
    <w:rsid w:val="63E87F10"/>
    <w:rsid w:val="63E90F19"/>
    <w:rsid w:val="63E92877"/>
    <w:rsid w:val="63EA3CF9"/>
    <w:rsid w:val="63EA76F9"/>
    <w:rsid w:val="63EB2BEC"/>
    <w:rsid w:val="63EB7D48"/>
    <w:rsid w:val="63ED1C6E"/>
    <w:rsid w:val="63ED4C17"/>
    <w:rsid w:val="63EF5EE8"/>
    <w:rsid w:val="63EF79C8"/>
    <w:rsid w:val="63F0354C"/>
    <w:rsid w:val="63F15C79"/>
    <w:rsid w:val="63F21824"/>
    <w:rsid w:val="63F22BDE"/>
    <w:rsid w:val="63F23722"/>
    <w:rsid w:val="63F24DE2"/>
    <w:rsid w:val="63F36B6B"/>
    <w:rsid w:val="63F42B94"/>
    <w:rsid w:val="63F57E7F"/>
    <w:rsid w:val="63F6018E"/>
    <w:rsid w:val="63F72284"/>
    <w:rsid w:val="63F81502"/>
    <w:rsid w:val="63F860DF"/>
    <w:rsid w:val="63FA4DA2"/>
    <w:rsid w:val="63FA510E"/>
    <w:rsid w:val="63FB20E7"/>
    <w:rsid w:val="63FB5A2B"/>
    <w:rsid w:val="63FC2C34"/>
    <w:rsid w:val="63FC3ADC"/>
    <w:rsid w:val="63FC68A5"/>
    <w:rsid w:val="63FC6C25"/>
    <w:rsid w:val="63FD7B2C"/>
    <w:rsid w:val="64004F8F"/>
    <w:rsid w:val="64014D97"/>
    <w:rsid w:val="64020752"/>
    <w:rsid w:val="640242D6"/>
    <w:rsid w:val="640352EA"/>
    <w:rsid w:val="64050E5B"/>
    <w:rsid w:val="640642A1"/>
    <w:rsid w:val="6406789D"/>
    <w:rsid w:val="64077D02"/>
    <w:rsid w:val="640877E7"/>
    <w:rsid w:val="6409352E"/>
    <w:rsid w:val="640A0F29"/>
    <w:rsid w:val="640B15B8"/>
    <w:rsid w:val="640B54DA"/>
    <w:rsid w:val="640D2481"/>
    <w:rsid w:val="640D3970"/>
    <w:rsid w:val="640F17B3"/>
    <w:rsid w:val="64100492"/>
    <w:rsid w:val="64102431"/>
    <w:rsid w:val="64116F63"/>
    <w:rsid w:val="64125B99"/>
    <w:rsid w:val="64134503"/>
    <w:rsid w:val="6413711C"/>
    <w:rsid w:val="6414275C"/>
    <w:rsid w:val="641440F0"/>
    <w:rsid w:val="64145841"/>
    <w:rsid w:val="641544DC"/>
    <w:rsid w:val="64155441"/>
    <w:rsid w:val="641626D8"/>
    <w:rsid w:val="64162E7C"/>
    <w:rsid w:val="64164340"/>
    <w:rsid w:val="641679A8"/>
    <w:rsid w:val="6417181C"/>
    <w:rsid w:val="64182D0A"/>
    <w:rsid w:val="64193185"/>
    <w:rsid w:val="641A1101"/>
    <w:rsid w:val="641A4479"/>
    <w:rsid w:val="641A755E"/>
    <w:rsid w:val="641B7397"/>
    <w:rsid w:val="641C03D5"/>
    <w:rsid w:val="641D4AE3"/>
    <w:rsid w:val="641F4E9A"/>
    <w:rsid w:val="641F6AA1"/>
    <w:rsid w:val="6420220E"/>
    <w:rsid w:val="64211833"/>
    <w:rsid w:val="642133A1"/>
    <w:rsid w:val="64213BF9"/>
    <w:rsid w:val="64213E86"/>
    <w:rsid w:val="64214699"/>
    <w:rsid w:val="64230A26"/>
    <w:rsid w:val="64251AA0"/>
    <w:rsid w:val="642566DD"/>
    <w:rsid w:val="64260977"/>
    <w:rsid w:val="64262B52"/>
    <w:rsid w:val="64281C7B"/>
    <w:rsid w:val="64282923"/>
    <w:rsid w:val="64283A91"/>
    <w:rsid w:val="642942C5"/>
    <w:rsid w:val="642A0FA4"/>
    <w:rsid w:val="642A1E67"/>
    <w:rsid w:val="642A1F39"/>
    <w:rsid w:val="642B01FE"/>
    <w:rsid w:val="642B176B"/>
    <w:rsid w:val="642C3B65"/>
    <w:rsid w:val="642C41FC"/>
    <w:rsid w:val="642C54CE"/>
    <w:rsid w:val="642C5EEC"/>
    <w:rsid w:val="642C68C2"/>
    <w:rsid w:val="642C78B8"/>
    <w:rsid w:val="642D103F"/>
    <w:rsid w:val="642F7BED"/>
    <w:rsid w:val="64311048"/>
    <w:rsid w:val="64317910"/>
    <w:rsid w:val="64324F11"/>
    <w:rsid w:val="6435343A"/>
    <w:rsid w:val="64357AD2"/>
    <w:rsid w:val="64370110"/>
    <w:rsid w:val="6437542F"/>
    <w:rsid w:val="64385BD1"/>
    <w:rsid w:val="6438796F"/>
    <w:rsid w:val="64391971"/>
    <w:rsid w:val="64394550"/>
    <w:rsid w:val="643A71AD"/>
    <w:rsid w:val="643B2921"/>
    <w:rsid w:val="643B73AB"/>
    <w:rsid w:val="643C28B4"/>
    <w:rsid w:val="643C6DA3"/>
    <w:rsid w:val="643D3320"/>
    <w:rsid w:val="643D6E2D"/>
    <w:rsid w:val="643E219A"/>
    <w:rsid w:val="643E76BF"/>
    <w:rsid w:val="643F08D6"/>
    <w:rsid w:val="643F0C33"/>
    <w:rsid w:val="643F2C1D"/>
    <w:rsid w:val="643F365D"/>
    <w:rsid w:val="644227A4"/>
    <w:rsid w:val="64430863"/>
    <w:rsid w:val="644441DE"/>
    <w:rsid w:val="64451F2A"/>
    <w:rsid w:val="64456DCE"/>
    <w:rsid w:val="64460353"/>
    <w:rsid w:val="64462101"/>
    <w:rsid w:val="64467A73"/>
    <w:rsid w:val="64487C27"/>
    <w:rsid w:val="6449313A"/>
    <w:rsid w:val="644943C6"/>
    <w:rsid w:val="644A1E4E"/>
    <w:rsid w:val="644A615E"/>
    <w:rsid w:val="644A6B73"/>
    <w:rsid w:val="644A6C01"/>
    <w:rsid w:val="644A7E43"/>
    <w:rsid w:val="644B4B96"/>
    <w:rsid w:val="644C3BBB"/>
    <w:rsid w:val="644E6134"/>
    <w:rsid w:val="644F0FB6"/>
    <w:rsid w:val="644F362F"/>
    <w:rsid w:val="64500072"/>
    <w:rsid w:val="645016EF"/>
    <w:rsid w:val="645102AF"/>
    <w:rsid w:val="64525C09"/>
    <w:rsid w:val="645262F3"/>
    <w:rsid w:val="64526DC8"/>
    <w:rsid w:val="6453190A"/>
    <w:rsid w:val="64545B37"/>
    <w:rsid w:val="6456200E"/>
    <w:rsid w:val="645639F0"/>
    <w:rsid w:val="64571C8B"/>
    <w:rsid w:val="6458042E"/>
    <w:rsid w:val="645830D2"/>
    <w:rsid w:val="645966CA"/>
    <w:rsid w:val="645A5A3A"/>
    <w:rsid w:val="645B159D"/>
    <w:rsid w:val="645B45D0"/>
    <w:rsid w:val="645B6166"/>
    <w:rsid w:val="645C42C0"/>
    <w:rsid w:val="645D6801"/>
    <w:rsid w:val="645D7776"/>
    <w:rsid w:val="645E1621"/>
    <w:rsid w:val="645E1CF7"/>
    <w:rsid w:val="645E25EF"/>
    <w:rsid w:val="645E69C9"/>
    <w:rsid w:val="645F5392"/>
    <w:rsid w:val="645F7E0A"/>
    <w:rsid w:val="64630F05"/>
    <w:rsid w:val="6463171A"/>
    <w:rsid w:val="64641727"/>
    <w:rsid w:val="6464464F"/>
    <w:rsid w:val="6464663E"/>
    <w:rsid w:val="64656ED0"/>
    <w:rsid w:val="6468651B"/>
    <w:rsid w:val="646A5DEF"/>
    <w:rsid w:val="646B4315"/>
    <w:rsid w:val="646B7DB9"/>
    <w:rsid w:val="646D261F"/>
    <w:rsid w:val="646E290D"/>
    <w:rsid w:val="646E6ED2"/>
    <w:rsid w:val="646F5D5E"/>
    <w:rsid w:val="64701ECC"/>
    <w:rsid w:val="64713DD5"/>
    <w:rsid w:val="64723494"/>
    <w:rsid w:val="64730C41"/>
    <w:rsid w:val="64731F9B"/>
    <w:rsid w:val="64733D0A"/>
    <w:rsid w:val="64740360"/>
    <w:rsid w:val="6474549B"/>
    <w:rsid w:val="64754794"/>
    <w:rsid w:val="64761C34"/>
    <w:rsid w:val="647629E6"/>
    <w:rsid w:val="64777C29"/>
    <w:rsid w:val="647874BC"/>
    <w:rsid w:val="64793A74"/>
    <w:rsid w:val="647C300F"/>
    <w:rsid w:val="647C3D75"/>
    <w:rsid w:val="647C5B23"/>
    <w:rsid w:val="647C5EBE"/>
    <w:rsid w:val="647E1F79"/>
    <w:rsid w:val="647E270F"/>
    <w:rsid w:val="647E3DF3"/>
    <w:rsid w:val="647E5D3F"/>
    <w:rsid w:val="647F15F1"/>
    <w:rsid w:val="64800F8E"/>
    <w:rsid w:val="648033C0"/>
    <w:rsid w:val="64810247"/>
    <w:rsid w:val="64810779"/>
    <w:rsid w:val="64811D7A"/>
    <w:rsid w:val="64814A2B"/>
    <w:rsid w:val="6482057F"/>
    <w:rsid w:val="648228D9"/>
    <w:rsid w:val="64832F8E"/>
    <w:rsid w:val="64835103"/>
    <w:rsid w:val="64844409"/>
    <w:rsid w:val="648478D7"/>
    <w:rsid w:val="6486074F"/>
    <w:rsid w:val="64863DEE"/>
    <w:rsid w:val="64870176"/>
    <w:rsid w:val="64875A85"/>
    <w:rsid w:val="64884A90"/>
    <w:rsid w:val="64892316"/>
    <w:rsid w:val="64892AFE"/>
    <w:rsid w:val="648B1ED0"/>
    <w:rsid w:val="648B7F50"/>
    <w:rsid w:val="648C045C"/>
    <w:rsid w:val="648C6A1E"/>
    <w:rsid w:val="648D275F"/>
    <w:rsid w:val="648E3FA5"/>
    <w:rsid w:val="648E6FCD"/>
    <w:rsid w:val="64901440"/>
    <w:rsid w:val="649015CE"/>
    <w:rsid w:val="6492052F"/>
    <w:rsid w:val="649235CD"/>
    <w:rsid w:val="649345D3"/>
    <w:rsid w:val="64937B8F"/>
    <w:rsid w:val="6494687B"/>
    <w:rsid w:val="64951394"/>
    <w:rsid w:val="649602A9"/>
    <w:rsid w:val="64960658"/>
    <w:rsid w:val="649643FF"/>
    <w:rsid w:val="649714F1"/>
    <w:rsid w:val="64973D08"/>
    <w:rsid w:val="64974DFC"/>
    <w:rsid w:val="6498672C"/>
    <w:rsid w:val="64986C22"/>
    <w:rsid w:val="649937E2"/>
    <w:rsid w:val="64994CFB"/>
    <w:rsid w:val="649A3146"/>
    <w:rsid w:val="649A5D56"/>
    <w:rsid w:val="649A7E4B"/>
    <w:rsid w:val="649B244D"/>
    <w:rsid w:val="649B24AB"/>
    <w:rsid w:val="649C208A"/>
    <w:rsid w:val="649C3E0B"/>
    <w:rsid w:val="649C4C9A"/>
    <w:rsid w:val="649C61C5"/>
    <w:rsid w:val="649C74E0"/>
    <w:rsid w:val="649D0BDB"/>
    <w:rsid w:val="649D397A"/>
    <w:rsid w:val="649D6209"/>
    <w:rsid w:val="649E018F"/>
    <w:rsid w:val="649F7F21"/>
    <w:rsid w:val="64A04F67"/>
    <w:rsid w:val="64A07389"/>
    <w:rsid w:val="64A10C94"/>
    <w:rsid w:val="64A1338B"/>
    <w:rsid w:val="64A17B10"/>
    <w:rsid w:val="64A301FC"/>
    <w:rsid w:val="64A40C28"/>
    <w:rsid w:val="64A454D2"/>
    <w:rsid w:val="64A455D5"/>
    <w:rsid w:val="64A5243A"/>
    <w:rsid w:val="64A608C7"/>
    <w:rsid w:val="64A7091F"/>
    <w:rsid w:val="64A82DBC"/>
    <w:rsid w:val="64A8300B"/>
    <w:rsid w:val="64A84B6A"/>
    <w:rsid w:val="64A931DE"/>
    <w:rsid w:val="64A96E62"/>
    <w:rsid w:val="64AA764B"/>
    <w:rsid w:val="64AB624D"/>
    <w:rsid w:val="64AD27BF"/>
    <w:rsid w:val="64AF5054"/>
    <w:rsid w:val="64AF7D20"/>
    <w:rsid w:val="64B117D3"/>
    <w:rsid w:val="64B17EC2"/>
    <w:rsid w:val="64B21206"/>
    <w:rsid w:val="64B21544"/>
    <w:rsid w:val="64B23FA3"/>
    <w:rsid w:val="64B259E8"/>
    <w:rsid w:val="64B27DC1"/>
    <w:rsid w:val="64B361C9"/>
    <w:rsid w:val="64B42823"/>
    <w:rsid w:val="64B4688F"/>
    <w:rsid w:val="64B5324F"/>
    <w:rsid w:val="64B624A1"/>
    <w:rsid w:val="64B6461D"/>
    <w:rsid w:val="64B66E59"/>
    <w:rsid w:val="64B71B8C"/>
    <w:rsid w:val="64B75762"/>
    <w:rsid w:val="64B819BB"/>
    <w:rsid w:val="64B876D3"/>
    <w:rsid w:val="64B90B25"/>
    <w:rsid w:val="64B965E2"/>
    <w:rsid w:val="64BA4054"/>
    <w:rsid w:val="64BB39A2"/>
    <w:rsid w:val="64BC2393"/>
    <w:rsid w:val="64BC4A4A"/>
    <w:rsid w:val="64BD0615"/>
    <w:rsid w:val="64BD405B"/>
    <w:rsid w:val="64BD6E63"/>
    <w:rsid w:val="64BD767D"/>
    <w:rsid w:val="64BE2B05"/>
    <w:rsid w:val="64BE4E50"/>
    <w:rsid w:val="64C0032C"/>
    <w:rsid w:val="64C10821"/>
    <w:rsid w:val="64C10C94"/>
    <w:rsid w:val="64C12591"/>
    <w:rsid w:val="64C32654"/>
    <w:rsid w:val="64C37D8C"/>
    <w:rsid w:val="64C60430"/>
    <w:rsid w:val="64C73242"/>
    <w:rsid w:val="64C80D68"/>
    <w:rsid w:val="64C936A0"/>
    <w:rsid w:val="64C9494D"/>
    <w:rsid w:val="64C95D08"/>
    <w:rsid w:val="64CA0C27"/>
    <w:rsid w:val="64CA7303"/>
    <w:rsid w:val="64CE03CB"/>
    <w:rsid w:val="64CE0BC3"/>
    <w:rsid w:val="64CE2822"/>
    <w:rsid w:val="64CE76E8"/>
    <w:rsid w:val="64CF3AB2"/>
    <w:rsid w:val="64D01D0F"/>
    <w:rsid w:val="64D11EF6"/>
    <w:rsid w:val="64D164EB"/>
    <w:rsid w:val="64D1758F"/>
    <w:rsid w:val="64D2333F"/>
    <w:rsid w:val="64D25750"/>
    <w:rsid w:val="64D35A36"/>
    <w:rsid w:val="64D361F5"/>
    <w:rsid w:val="64D445BC"/>
    <w:rsid w:val="64D47158"/>
    <w:rsid w:val="64D47324"/>
    <w:rsid w:val="64D65EDB"/>
    <w:rsid w:val="64D8772E"/>
    <w:rsid w:val="64D91692"/>
    <w:rsid w:val="64DB0325"/>
    <w:rsid w:val="64DB2745"/>
    <w:rsid w:val="64DB37D2"/>
    <w:rsid w:val="64DD4EB4"/>
    <w:rsid w:val="64DE058B"/>
    <w:rsid w:val="64DE4548"/>
    <w:rsid w:val="64DF2F0A"/>
    <w:rsid w:val="64DF46E4"/>
    <w:rsid w:val="64E10EA1"/>
    <w:rsid w:val="64E2007C"/>
    <w:rsid w:val="64E41490"/>
    <w:rsid w:val="64E43A78"/>
    <w:rsid w:val="64E536C8"/>
    <w:rsid w:val="64E7239C"/>
    <w:rsid w:val="64E77440"/>
    <w:rsid w:val="64E82714"/>
    <w:rsid w:val="64EA33D4"/>
    <w:rsid w:val="64EA6F30"/>
    <w:rsid w:val="64EA6F7A"/>
    <w:rsid w:val="64EB00FD"/>
    <w:rsid w:val="64EB5D26"/>
    <w:rsid w:val="64ED73DD"/>
    <w:rsid w:val="64EE1A9D"/>
    <w:rsid w:val="64EE229F"/>
    <w:rsid w:val="64EE6887"/>
    <w:rsid w:val="64EE6A20"/>
    <w:rsid w:val="64EE7D66"/>
    <w:rsid w:val="64EF09EB"/>
    <w:rsid w:val="64EF4547"/>
    <w:rsid w:val="64F1046E"/>
    <w:rsid w:val="64F14325"/>
    <w:rsid w:val="64F25DE5"/>
    <w:rsid w:val="64F34606"/>
    <w:rsid w:val="64F45202"/>
    <w:rsid w:val="64F527DB"/>
    <w:rsid w:val="64F531DE"/>
    <w:rsid w:val="64F55A5F"/>
    <w:rsid w:val="64F71B0F"/>
    <w:rsid w:val="64F74CF1"/>
    <w:rsid w:val="64F75897"/>
    <w:rsid w:val="64F8204B"/>
    <w:rsid w:val="64F91452"/>
    <w:rsid w:val="64F947D0"/>
    <w:rsid w:val="64FA1F39"/>
    <w:rsid w:val="64FB0175"/>
    <w:rsid w:val="64FB030F"/>
    <w:rsid w:val="64FB113D"/>
    <w:rsid w:val="64FB4660"/>
    <w:rsid w:val="64FB6356"/>
    <w:rsid w:val="64FC39E3"/>
    <w:rsid w:val="64FC63FB"/>
    <w:rsid w:val="64FD6D3E"/>
    <w:rsid w:val="64FF2A7F"/>
    <w:rsid w:val="65001BA1"/>
    <w:rsid w:val="650030F4"/>
    <w:rsid w:val="65016E63"/>
    <w:rsid w:val="65025F60"/>
    <w:rsid w:val="650261AD"/>
    <w:rsid w:val="65044496"/>
    <w:rsid w:val="650603A5"/>
    <w:rsid w:val="6506590F"/>
    <w:rsid w:val="650748B6"/>
    <w:rsid w:val="65076D69"/>
    <w:rsid w:val="65081561"/>
    <w:rsid w:val="650A312E"/>
    <w:rsid w:val="650A591E"/>
    <w:rsid w:val="650B4E7A"/>
    <w:rsid w:val="650B58CE"/>
    <w:rsid w:val="650C4D8A"/>
    <w:rsid w:val="650D12A5"/>
    <w:rsid w:val="650E29EA"/>
    <w:rsid w:val="650E7865"/>
    <w:rsid w:val="650F1CA5"/>
    <w:rsid w:val="651144BD"/>
    <w:rsid w:val="6512303B"/>
    <w:rsid w:val="65130B02"/>
    <w:rsid w:val="65144B87"/>
    <w:rsid w:val="65146F24"/>
    <w:rsid w:val="65146F64"/>
    <w:rsid w:val="65156791"/>
    <w:rsid w:val="65165E6D"/>
    <w:rsid w:val="65175A45"/>
    <w:rsid w:val="65185A4E"/>
    <w:rsid w:val="65186406"/>
    <w:rsid w:val="65186B63"/>
    <w:rsid w:val="651902DE"/>
    <w:rsid w:val="651972B3"/>
    <w:rsid w:val="651A75E6"/>
    <w:rsid w:val="651B3B2E"/>
    <w:rsid w:val="651D27F2"/>
    <w:rsid w:val="651D2E62"/>
    <w:rsid w:val="651E2555"/>
    <w:rsid w:val="651F1C70"/>
    <w:rsid w:val="65206DF6"/>
    <w:rsid w:val="65222141"/>
    <w:rsid w:val="65261D41"/>
    <w:rsid w:val="652634CB"/>
    <w:rsid w:val="65271F32"/>
    <w:rsid w:val="65273EF4"/>
    <w:rsid w:val="65283799"/>
    <w:rsid w:val="652933C7"/>
    <w:rsid w:val="652C1518"/>
    <w:rsid w:val="652D19B6"/>
    <w:rsid w:val="652E1513"/>
    <w:rsid w:val="652E32C1"/>
    <w:rsid w:val="652F0510"/>
    <w:rsid w:val="652F2AD2"/>
    <w:rsid w:val="652F5CA0"/>
    <w:rsid w:val="65310AE5"/>
    <w:rsid w:val="65316DAD"/>
    <w:rsid w:val="65324892"/>
    <w:rsid w:val="65335C7E"/>
    <w:rsid w:val="65336B29"/>
    <w:rsid w:val="653531CF"/>
    <w:rsid w:val="65373578"/>
    <w:rsid w:val="653839FE"/>
    <w:rsid w:val="65385EEE"/>
    <w:rsid w:val="653900FF"/>
    <w:rsid w:val="653909C3"/>
    <w:rsid w:val="65394BB2"/>
    <w:rsid w:val="653B0DF0"/>
    <w:rsid w:val="653B7019"/>
    <w:rsid w:val="653C1922"/>
    <w:rsid w:val="653E0615"/>
    <w:rsid w:val="653F0327"/>
    <w:rsid w:val="654059AA"/>
    <w:rsid w:val="65406CBC"/>
    <w:rsid w:val="654070B3"/>
    <w:rsid w:val="65411B50"/>
    <w:rsid w:val="65412AC0"/>
    <w:rsid w:val="654208F2"/>
    <w:rsid w:val="6545273C"/>
    <w:rsid w:val="65454A2A"/>
    <w:rsid w:val="65456205"/>
    <w:rsid w:val="654662A2"/>
    <w:rsid w:val="65470E6F"/>
    <w:rsid w:val="65490FFC"/>
    <w:rsid w:val="65497BF6"/>
    <w:rsid w:val="654A5B0A"/>
    <w:rsid w:val="654B5E55"/>
    <w:rsid w:val="654C467F"/>
    <w:rsid w:val="654D0376"/>
    <w:rsid w:val="65507B38"/>
    <w:rsid w:val="655145F6"/>
    <w:rsid w:val="65516BDF"/>
    <w:rsid w:val="65532228"/>
    <w:rsid w:val="65541807"/>
    <w:rsid w:val="65545F85"/>
    <w:rsid w:val="655463A6"/>
    <w:rsid w:val="65550066"/>
    <w:rsid w:val="655508D0"/>
    <w:rsid w:val="65556AA0"/>
    <w:rsid w:val="65562241"/>
    <w:rsid w:val="65573A11"/>
    <w:rsid w:val="65581833"/>
    <w:rsid w:val="65581BF3"/>
    <w:rsid w:val="65581E8F"/>
    <w:rsid w:val="65585E22"/>
    <w:rsid w:val="65590F59"/>
    <w:rsid w:val="65594859"/>
    <w:rsid w:val="655A143A"/>
    <w:rsid w:val="655A67CD"/>
    <w:rsid w:val="655B070D"/>
    <w:rsid w:val="655B1BDC"/>
    <w:rsid w:val="655B276F"/>
    <w:rsid w:val="655C3D15"/>
    <w:rsid w:val="655C3FED"/>
    <w:rsid w:val="655C5C4B"/>
    <w:rsid w:val="655D2676"/>
    <w:rsid w:val="655D5954"/>
    <w:rsid w:val="655F1C41"/>
    <w:rsid w:val="655F2BF6"/>
    <w:rsid w:val="655F33E3"/>
    <w:rsid w:val="656071F2"/>
    <w:rsid w:val="6561637C"/>
    <w:rsid w:val="65622B56"/>
    <w:rsid w:val="65623BD0"/>
    <w:rsid w:val="65633D3E"/>
    <w:rsid w:val="656354F8"/>
    <w:rsid w:val="65646CE3"/>
    <w:rsid w:val="65647FDB"/>
    <w:rsid w:val="65650C3F"/>
    <w:rsid w:val="656767D3"/>
    <w:rsid w:val="656A23B6"/>
    <w:rsid w:val="656A3D49"/>
    <w:rsid w:val="656A5D45"/>
    <w:rsid w:val="656A61E5"/>
    <w:rsid w:val="656B1821"/>
    <w:rsid w:val="656B5E53"/>
    <w:rsid w:val="656B65FE"/>
    <w:rsid w:val="656B7256"/>
    <w:rsid w:val="656C1BB6"/>
    <w:rsid w:val="656D60BD"/>
    <w:rsid w:val="656E3956"/>
    <w:rsid w:val="656F66BC"/>
    <w:rsid w:val="65706EEC"/>
    <w:rsid w:val="65733B32"/>
    <w:rsid w:val="65742DCD"/>
    <w:rsid w:val="65743778"/>
    <w:rsid w:val="657520FC"/>
    <w:rsid w:val="657533B6"/>
    <w:rsid w:val="65753ABE"/>
    <w:rsid w:val="65764C68"/>
    <w:rsid w:val="657766EB"/>
    <w:rsid w:val="6578278E"/>
    <w:rsid w:val="657834F6"/>
    <w:rsid w:val="65784102"/>
    <w:rsid w:val="65793723"/>
    <w:rsid w:val="657A2E23"/>
    <w:rsid w:val="657A7E75"/>
    <w:rsid w:val="657C0722"/>
    <w:rsid w:val="657C6803"/>
    <w:rsid w:val="657C6E00"/>
    <w:rsid w:val="657C7C42"/>
    <w:rsid w:val="657D1B52"/>
    <w:rsid w:val="657F2B37"/>
    <w:rsid w:val="657F363A"/>
    <w:rsid w:val="657F4BE1"/>
    <w:rsid w:val="65807F5A"/>
    <w:rsid w:val="65814EA2"/>
    <w:rsid w:val="65814F65"/>
    <w:rsid w:val="65823885"/>
    <w:rsid w:val="65824ABE"/>
    <w:rsid w:val="65824DE8"/>
    <w:rsid w:val="658253BB"/>
    <w:rsid w:val="6583435E"/>
    <w:rsid w:val="65841BE9"/>
    <w:rsid w:val="65852D20"/>
    <w:rsid w:val="6585425C"/>
    <w:rsid w:val="65856C59"/>
    <w:rsid w:val="65857680"/>
    <w:rsid w:val="65857F66"/>
    <w:rsid w:val="6586208C"/>
    <w:rsid w:val="65864EAB"/>
    <w:rsid w:val="6586689B"/>
    <w:rsid w:val="65876E75"/>
    <w:rsid w:val="65880EB8"/>
    <w:rsid w:val="65890D89"/>
    <w:rsid w:val="65893776"/>
    <w:rsid w:val="658B4D6B"/>
    <w:rsid w:val="658B7717"/>
    <w:rsid w:val="658C28A5"/>
    <w:rsid w:val="658C5CC8"/>
    <w:rsid w:val="658D3753"/>
    <w:rsid w:val="658D5FEE"/>
    <w:rsid w:val="658E3D60"/>
    <w:rsid w:val="658E48CA"/>
    <w:rsid w:val="65913F60"/>
    <w:rsid w:val="659153DB"/>
    <w:rsid w:val="65923124"/>
    <w:rsid w:val="65923FDD"/>
    <w:rsid w:val="6593083E"/>
    <w:rsid w:val="65934190"/>
    <w:rsid w:val="659344B1"/>
    <w:rsid w:val="65944ACD"/>
    <w:rsid w:val="659550EE"/>
    <w:rsid w:val="65961AE8"/>
    <w:rsid w:val="65972EF6"/>
    <w:rsid w:val="659850A5"/>
    <w:rsid w:val="65985212"/>
    <w:rsid w:val="65985CB5"/>
    <w:rsid w:val="659A6818"/>
    <w:rsid w:val="659B194F"/>
    <w:rsid w:val="659B2CA2"/>
    <w:rsid w:val="659D0447"/>
    <w:rsid w:val="659D1A95"/>
    <w:rsid w:val="659D4AEF"/>
    <w:rsid w:val="65A1269B"/>
    <w:rsid w:val="65A14011"/>
    <w:rsid w:val="65A15BC1"/>
    <w:rsid w:val="65A22940"/>
    <w:rsid w:val="65A24EF8"/>
    <w:rsid w:val="65A44914"/>
    <w:rsid w:val="65A475AF"/>
    <w:rsid w:val="65A66112"/>
    <w:rsid w:val="65A915E6"/>
    <w:rsid w:val="65A962D2"/>
    <w:rsid w:val="65A973F1"/>
    <w:rsid w:val="65AA3913"/>
    <w:rsid w:val="65AA4330"/>
    <w:rsid w:val="65AC2438"/>
    <w:rsid w:val="65AC5C4C"/>
    <w:rsid w:val="65AD0D24"/>
    <w:rsid w:val="65AF7BDC"/>
    <w:rsid w:val="65B017F2"/>
    <w:rsid w:val="65B028CF"/>
    <w:rsid w:val="65B0624D"/>
    <w:rsid w:val="65B35574"/>
    <w:rsid w:val="65B54E1A"/>
    <w:rsid w:val="65B55592"/>
    <w:rsid w:val="65B5753E"/>
    <w:rsid w:val="65B578E4"/>
    <w:rsid w:val="65B60B5E"/>
    <w:rsid w:val="65B70150"/>
    <w:rsid w:val="65B75139"/>
    <w:rsid w:val="65B842EF"/>
    <w:rsid w:val="65B8472C"/>
    <w:rsid w:val="65B9337D"/>
    <w:rsid w:val="65B9530D"/>
    <w:rsid w:val="65B96466"/>
    <w:rsid w:val="65BA0C37"/>
    <w:rsid w:val="65BA26DC"/>
    <w:rsid w:val="65BA29E3"/>
    <w:rsid w:val="65BB1B1C"/>
    <w:rsid w:val="65BC08CD"/>
    <w:rsid w:val="65BC2446"/>
    <w:rsid w:val="65BD11E2"/>
    <w:rsid w:val="65BE7ECC"/>
    <w:rsid w:val="65BF3146"/>
    <w:rsid w:val="65BF4B59"/>
    <w:rsid w:val="65C17F2A"/>
    <w:rsid w:val="65C21F8A"/>
    <w:rsid w:val="65C23A5D"/>
    <w:rsid w:val="65C626D8"/>
    <w:rsid w:val="65C67BA8"/>
    <w:rsid w:val="65C71810"/>
    <w:rsid w:val="65C83BE6"/>
    <w:rsid w:val="65C854C3"/>
    <w:rsid w:val="65C87563"/>
    <w:rsid w:val="65C9123C"/>
    <w:rsid w:val="65CA59DF"/>
    <w:rsid w:val="65CA5F22"/>
    <w:rsid w:val="65CB5FED"/>
    <w:rsid w:val="65CB62FC"/>
    <w:rsid w:val="65CF4C88"/>
    <w:rsid w:val="65D00F7F"/>
    <w:rsid w:val="65D03889"/>
    <w:rsid w:val="65D226F6"/>
    <w:rsid w:val="65D37340"/>
    <w:rsid w:val="65D558F4"/>
    <w:rsid w:val="65D61644"/>
    <w:rsid w:val="65D71D19"/>
    <w:rsid w:val="65D774B5"/>
    <w:rsid w:val="65D77897"/>
    <w:rsid w:val="65D8701B"/>
    <w:rsid w:val="65D915F5"/>
    <w:rsid w:val="65D9333F"/>
    <w:rsid w:val="65DA6FA5"/>
    <w:rsid w:val="65DB1D44"/>
    <w:rsid w:val="65DC5823"/>
    <w:rsid w:val="65DD3E8F"/>
    <w:rsid w:val="65DD7EA6"/>
    <w:rsid w:val="65E02D53"/>
    <w:rsid w:val="65E10986"/>
    <w:rsid w:val="65E322FD"/>
    <w:rsid w:val="65E34090"/>
    <w:rsid w:val="65E4038D"/>
    <w:rsid w:val="65E46072"/>
    <w:rsid w:val="65E5210F"/>
    <w:rsid w:val="65E52B41"/>
    <w:rsid w:val="65E54254"/>
    <w:rsid w:val="65E639F1"/>
    <w:rsid w:val="65E6505A"/>
    <w:rsid w:val="65E769E6"/>
    <w:rsid w:val="65E837D7"/>
    <w:rsid w:val="65E90B64"/>
    <w:rsid w:val="65E90CF9"/>
    <w:rsid w:val="65E92768"/>
    <w:rsid w:val="65E92835"/>
    <w:rsid w:val="65E92BDC"/>
    <w:rsid w:val="65E93B0A"/>
    <w:rsid w:val="65E93B42"/>
    <w:rsid w:val="65EA12B2"/>
    <w:rsid w:val="65EC57AF"/>
    <w:rsid w:val="65EE18F4"/>
    <w:rsid w:val="65EE1E0C"/>
    <w:rsid w:val="65EE2A50"/>
    <w:rsid w:val="65EE5B76"/>
    <w:rsid w:val="65EF2647"/>
    <w:rsid w:val="65F21966"/>
    <w:rsid w:val="65F512FC"/>
    <w:rsid w:val="65F708CD"/>
    <w:rsid w:val="65F74478"/>
    <w:rsid w:val="65F74F06"/>
    <w:rsid w:val="65F77B57"/>
    <w:rsid w:val="65F80484"/>
    <w:rsid w:val="65F829AF"/>
    <w:rsid w:val="65F8742B"/>
    <w:rsid w:val="65F92844"/>
    <w:rsid w:val="65FB127E"/>
    <w:rsid w:val="65FB56F2"/>
    <w:rsid w:val="65FC17A6"/>
    <w:rsid w:val="65FC1B2F"/>
    <w:rsid w:val="65FC2323"/>
    <w:rsid w:val="65FC4EC6"/>
    <w:rsid w:val="65FC75B6"/>
    <w:rsid w:val="65FE674C"/>
    <w:rsid w:val="6601258C"/>
    <w:rsid w:val="6602017B"/>
    <w:rsid w:val="66033E5C"/>
    <w:rsid w:val="66042274"/>
    <w:rsid w:val="660450F7"/>
    <w:rsid w:val="66046B6C"/>
    <w:rsid w:val="66060433"/>
    <w:rsid w:val="66062B75"/>
    <w:rsid w:val="660631F7"/>
    <w:rsid w:val="66064317"/>
    <w:rsid w:val="66064A69"/>
    <w:rsid w:val="66065D0B"/>
    <w:rsid w:val="66070263"/>
    <w:rsid w:val="66072A2A"/>
    <w:rsid w:val="66081B38"/>
    <w:rsid w:val="66081D0A"/>
    <w:rsid w:val="66083ABC"/>
    <w:rsid w:val="66086B58"/>
    <w:rsid w:val="6608762D"/>
    <w:rsid w:val="66091052"/>
    <w:rsid w:val="66096B26"/>
    <w:rsid w:val="660A33D9"/>
    <w:rsid w:val="660C0B68"/>
    <w:rsid w:val="660D1BFD"/>
    <w:rsid w:val="660F30F2"/>
    <w:rsid w:val="660F4EEC"/>
    <w:rsid w:val="660F6F8F"/>
    <w:rsid w:val="661225E7"/>
    <w:rsid w:val="6613130D"/>
    <w:rsid w:val="661324B7"/>
    <w:rsid w:val="661339EA"/>
    <w:rsid w:val="66140A40"/>
    <w:rsid w:val="66144F66"/>
    <w:rsid w:val="6614653D"/>
    <w:rsid w:val="66151F5D"/>
    <w:rsid w:val="66153145"/>
    <w:rsid w:val="66154481"/>
    <w:rsid w:val="66157FDD"/>
    <w:rsid w:val="66166008"/>
    <w:rsid w:val="661A375B"/>
    <w:rsid w:val="661A60EA"/>
    <w:rsid w:val="661B7A7B"/>
    <w:rsid w:val="661C72AC"/>
    <w:rsid w:val="661C73BB"/>
    <w:rsid w:val="661D0BBE"/>
    <w:rsid w:val="661D10E3"/>
    <w:rsid w:val="661D1A29"/>
    <w:rsid w:val="661E1EFD"/>
    <w:rsid w:val="6620164F"/>
    <w:rsid w:val="66212E26"/>
    <w:rsid w:val="66217E43"/>
    <w:rsid w:val="66225C7F"/>
    <w:rsid w:val="662266AC"/>
    <w:rsid w:val="66240220"/>
    <w:rsid w:val="66242232"/>
    <w:rsid w:val="66257E67"/>
    <w:rsid w:val="662621EA"/>
    <w:rsid w:val="66274313"/>
    <w:rsid w:val="6628127E"/>
    <w:rsid w:val="66291019"/>
    <w:rsid w:val="6629599D"/>
    <w:rsid w:val="662A461C"/>
    <w:rsid w:val="662B444E"/>
    <w:rsid w:val="662C3EEF"/>
    <w:rsid w:val="662D5327"/>
    <w:rsid w:val="662E0695"/>
    <w:rsid w:val="662E5D3E"/>
    <w:rsid w:val="66300A97"/>
    <w:rsid w:val="66311F3B"/>
    <w:rsid w:val="66313DF4"/>
    <w:rsid w:val="66320EB5"/>
    <w:rsid w:val="66323834"/>
    <w:rsid w:val="66325E20"/>
    <w:rsid w:val="663366B5"/>
    <w:rsid w:val="66352E4B"/>
    <w:rsid w:val="66363D29"/>
    <w:rsid w:val="663652B8"/>
    <w:rsid w:val="66365D4E"/>
    <w:rsid w:val="66377F12"/>
    <w:rsid w:val="6639028E"/>
    <w:rsid w:val="66391F1D"/>
    <w:rsid w:val="663927E7"/>
    <w:rsid w:val="66394741"/>
    <w:rsid w:val="663A58EC"/>
    <w:rsid w:val="663B3A15"/>
    <w:rsid w:val="663B6E2F"/>
    <w:rsid w:val="663C23B7"/>
    <w:rsid w:val="663C3323"/>
    <w:rsid w:val="663D2F3F"/>
    <w:rsid w:val="663D56D8"/>
    <w:rsid w:val="663E4988"/>
    <w:rsid w:val="66402F91"/>
    <w:rsid w:val="66411879"/>
    <w:rsid w:val="664123AD"/>
    <w:rsid w:val="66440E6F"/>
    <w:rsid w:val="66441ED4"/>
    <w:rsid w:val="66442670"/>
    <w:rsid w:val="66482160"/>
    <w:rsid w:val="66482652"/>
    <w:rsid w:val="66486795"/>
    <w:rsid w:val="664A412A"/>
    <w:rsid w:val="664B4F71"/>
    <w:rsid w:val="664C235B"/>
    <w:rsid w:val="664C3412"/>
    <w:rsid w:val="664C5180"/>
    <w:rsid w:val="664D4B22"/>
    <w:rsid w:val="664E608E"/>
    <w:rsid w:val="66503342"/>
    <w:rsid w:val="665037BA"/>
    <w:rsid w:val="66504202"/>
    <w:rsid w:val="66507D62"/>
    <w:rsid w:val="66541FC6"/>
    <w:rsid w:val="6654669A"/>
    <w:rsid w:val="6655493B"/>
    <w:rsid w:val="665568AE"/>
    <w:rsid w:val="66556903"/>
    <w:rsid w:val="6655777B"/>
    <w:rsid w:val="66566EFB"/>
    <w:rsid w:val="6657270A"/>
    <w:rsid w:val="66582F8A"/>
    <w:rsid w:val="66595A79"/>
    <w:rsid w:val="665B514A"/>
    <w:rsid w:val="665C17D3"/>
    <w:rsid w:val="665C5C0C"/>
    <w:rsid w:val="665E2E08"/>
    <w:rsid w:val="665E3EF7"/>
    <w:rsid w:val="665E50FA"/>
    <w:rsid w:val="665E66B2"/>
    <w:rsid w:val="66607074"/>
    <w:rsid w:val="66611BDF"/>
    <w:rsid w:val="66614344"/>
    <w:rsid w:val="66627E67"/>
    <w:rsid w:val="66636ADA"/>
    <w:rsid w:val="66640B88"/>
    <w:rsid w:val="6664353B"/>
    <w:rsid w:val="66645B83"/>
    <w:rsid w:val="66646F19"/>
    <w:rsid w:val="666578D3"/>
    <w:rsid w:val="6666051F"/>
    <w:rsid w:val="66673047"/>
    <w:rsid w:val="666942F7"/>
    <w:rsid w:val="66695834"/>
    <w:rsid w:val="666963A3"/>
    <w:rsid w:val="666A3495"/>
    <w:rsid w:val="666B02A8"/>
    <w:rsid w:val="666B6422"/>
    <w:rsid w:val="666C22A1"/>
    <w:rsid w:val="666C40DC"/>
    <w:rsid w:val="666D15ED"/>
    <w:rsid w:val="666E322C"/>
    <w:rsid w:val="666E3DE5"/>
    <w:rsid w:val="666F593F"/>
    <w:rsid w:val="66702DDC"/>
    <w:rsid w:val="66702DEE"/>
    <w:rsid w:val="66705B03"/>
    <w:rsid w:val="667075CF"/>
    <w:rsid w:val="6673552A"/>
    <w:rsid w:val="667473F9"/>
    <w:rsid w:val="667879BB"/>
    <w:rsid w:val="667A4930"/>
    <w:rsid w:val="667A4D55"/>
    <w:rsid w:val="667B23F0"/>
    <w:rsid w:val="667B6D2E"/>
    <w:rsid w:val="667C673E"/>
    <w:rsid w:val="667D3013"/>
    <w:rsid w:val="66807C8E"/>
    <w:rsid w:val="66810EBA"/>
    <w:rsid w:val="66815781"/>
    <w:rsid w:val="66824416"/>
    <w:rsid w:val="66825791"/>
    <w:rsid w:val="668372D9"/>
    <w:rsid w:val="66843CCC"/>
    <w:rsid w:val="66846F11"/>
    <w:rsid w:val="66847D59"/>
    <w:rsid w:val="668523D3"/>
    <w:rsid w:val="6686151F"/>
    <w:rsid w:val="66867A4F"/>
    <w:rsid w:val="66874649"/>
    <w:rsid w:val="66874845"/>
    <w:rsid w:val="66882EA5"/>
    <w:rsid w:val="66887ADC"/>
    <w:rsid w:val="66893234"/>
    <w:rsid w:val="6689346D"/>
    <w:rsid w:val="668A4DF4"/>
    <w:rsid w:val="668D71B2"/>
    <w:rsid w:val="668E2437"/>
    <w:rsid w:val="668F0385"/>
    <w:rsid w:val="668F4B2E"/>
    <w:rsid w:val="668F4E0D"/>
    <w:rsid w:val="668F63AB"/>
    <w:rsid w:val="668F7E92"/>
    <w:rsid w:val="66907256"/>
    <w:rsid w:val="66913899"/>
    <w:rsid w:val="669153ED"/>
    <w:rsid w:val="6691787C"/>
    <w:rsid w:val="669224FD"/>
    <w:rsid w:val="66923D54"/>
    <w:rsid w:val="66932E83"/>
    <w:rsid w:val="66934C9A"/>
    <w:rsid w:val="669363A2"/>
    <w:rsid w:val="669453A6"/>
    <w:rsid w:val="669553F0"/>
    <w:rsid w:val="6696590F"/>
    <w:rsid w:val="66966E54"/>
    <w:rsid w:val="66970D8A"/>
    <w:rsid w:val="66975B5A"/>
    <w:rsid w:val="66975F2D"/>
    <w:rsid w:val="66993728"/>
    <w:rsid w:val="669A2314"/>
    <w:rsid w:val="669B0A59"/>
    <w:rsid w:val="669B6575"/>
    <w:rsid w:val="669C1F4E"/>
    <w:rsid w:val="669C425A"/>
    <w:rsid w:val="669C6C82"/>
    <w:rsid w:val="669D6AE8"/>
    <w:rsid w:val="669F08D1"/>
    <w:rsid w:val="669F45CE"/>
    <w:rsid w:val="66A104F0"/>
    <w:rsid w:val="66A10D8D"/>
    <w:rsid w:val="66A14E2F"/>
    <w:rsid w:val="66A23805"/>
    <w:rsid w:val="66A2664D"/>
    <w:rsid w:val="66A26699"/>
    <w:rsid w:val="66A27413"/>
    <w:rsid w:val="66A3119F"/>
    <w:rsid w:val="66A404E5"/>
    <w:rsid w:val="66A432E5"/>
    <w:rsid w:val="66A54AA4"/>
    <w:rsid w:val="66A60E52"/>
    <w:rsid w:val="66A66A53"/>
    <w:rsid w:val="66A739A7"/>
    <w:rsid w:val="66A75DD2"/>
    <w:rsid w:val="66AA0167"/>
    <w:rsid w:val="66AA18C9"/>
    <w:rsid w:val="66AA1D31"/>
    <w:rsid w:val="66AA39BD"/>
    <w:rsid w:val="66AA3DFB"/>
    <w:rsid w:val="66AB788F"/>
    <w:rsid w:val="66AC7CDA"/>
    <w:rsid w:val="66AD6467"/>
    <w:rsid w:val="66AE6E58"/>
    <w:rsid w:val="66AF2D1D"/>
    <w:rsid w:val="66AF71DD"/>
    <w:rsid w:val="66AF760B"/>
    <w:rsid w:val="66B01DF2"/>
    <w:rsid w:val="66B063B7"/>
    <w:rsid w:val="66B11BD6"/>
    <w:rsid w:val="66B202D6"/>
    <w:rsid w:val="66B23A7E"/>
    <w:rsid w:val="66B23F30"/>
    <w:rsid w:val="66B447C4"/>
    <w:rsid w:val="66B477F6"/>
    <w:rsid w:val="66B64B58"/>
    <w:rsid w:val="66B654C2"/>
    <w:rsid w:val="66B71094"/>
    <w:rsid w:val="66B75BCB"/>
    <w:rsid w:val="66B777E6"/>
    <w:rsid w:val="66B86032"/>
    <w:rsid w:val="66B92142"/>
    <w:rsid w:val="66B92767"/>
    <w:rsid w:val="66B951ED"/>
    <w:rsid w:val="66BB184C"/>
    <w:rsid w:val="66BC00C3"/>
    <w:rsid w:val="66BC693E"/>
    <w:rsid w:val="66BD4F57"/>
    <w:rsid w:val="66BF33CF"/>
    <w:rsid w:val="66BF72CF"/>
    <w:rsid w:val="66C25CFB"/>
    <w:rsid w:val="66C3422A"/>
    <w:rsid w:val="66C41F8E"/>
    <w:rsid w:val="66C428F8"/>
    <w:rsid w:val="66C859B4"/>
    <w:rsid w:val="66C90637"/>
    <w:rsid w:val="66C96325"/>
    <w:rsid w:val="66CA601C"/>
    <w:rsid w:val="66CC1FC9"/>
    <w:rsid w:val="66CC2D91"/>
    <w:rsid w:val="66CD08B8"/>
    <w:rsid w:val="66CD11B7"/>
    <w:rsid w:val="66CD6B09"/>
    <w:rsid w:val="66CD6C80"/>
    <w:rsid w:val="66CE1C4A"/>
    <w:rsid w:val="66CE7374"/>
    <w:rsid w:val="66CF184F"/>
    <w:rsid w:val="66D05441"/>
    <w:rsid w:val="66D070DC"/>
    <w:rsid w:val="66D13C42"/>
    <w:rsid w:val="66D32372"/>
    <w:rsid w:val="66D3267D"/>
    <w:rsid w:val="66D40FF7"/>
    <w:rsid w:val="66D4239C"/>
    <w:rsid w:val="66D44604"/>
    <w:rsid w:val="66D460EA"/>
    <w:rsid w:val="66D47FE2"/>
    <w:rsid w:val="66D631EB"/>
    <w:rsid w:val="66D65732"/>
    <w:rsid w:val="66D6592B"/>
    <w:rsid w:val="66D66080"/>
    <w:rsid w:val="66D76931"/>
    <w:rsid w:val="66D84AFC"/>
    <w:rsid w:val="66DA13B5"/>
    <w:rsid w:val="66DB08E9"/>
    <w:rsid w:val="66DB1226"/>
    <w:rsid w:val="66DB55B6"/>
    <w:rsid w:val="66DC0046"/>
    <w:rsid w:val="66DD11A3"/>
    <w:rsid w:val="66DD3470"/>
    <w:rsid w:val="66DD4064"/>
    <w:rsid w:val="66DE122B"/>
    <w:rsid w:val="66DE5504"/>
    <w:rsid w:val="66DE705A"/>
    <w:rsid w:val="66DF247F"/>
    <w:rsid w:val="66E00E45"/>
    <w:rsid w:val="66E22E3A"/>
    <w:rsid w:val="66E3480E"/>
    <w:rsid w:val="66E3632D"/>
    <w:rsid w:val="66E43E62"/>
    <w:rsid w:val="66E70FB5"/>
    <w:rsid w:val="66E77BCB"/>
    <w:rsid w:val="66E856F1"/>
    <w:rsid w:val="66E93E94"/>
    <w:rsid w:val="66EA76BB"/>
    <w:rsid w:val="66EC01FC"/>
    <w:rsid w:val="66EC4C32"/>
    <w:rsid w:val="66ED57BF"/>
    <w:rsid w:val="66ED6B49"/>
    <w:rsid w:val="66EE3743"/>
    <w:rsid w:val="66EF209F"/>
    <w:rsid w:val="66EF3642"/>
    <w:rsid w:val="66F04EA5"/>
    <w:rsid w:val="66F0777E"/>
    <w:rsid w:val="66F2031E"/>
    <w:rsid w:val="66F30D38"/>
    <w:rsid w:val="66F351FD"/>
    <w:rsid w:val="66F37000"/>
    <w:rsid w:val="66F46775"/>
    <w:rsid w:val="66F54B2C"/>
    <w:rsid w:val="66F6494C"/>
    <w:rsid w:val="66F67E0E"/>
    <w:rsid w:val="66F7507F"/>
    <w:rsid w:val="66F80ED6"/>
    <w:rsid w:val="66F86AF6"/>
    <w:rsid w:val="66F964E3"/>
    <w:rsid w:val="66FA5B03"/>
    <w:rsid w:val="66FB41E5"/>
    <w:rsid w:val="66FD119D"/>
    <w:rsid w:val="66FD3345"/>
    <w:rsid w:val="66FE558E"/>
    <w:rsid w:val="66FE5833"/>
    <w:rsid w:val="66FE75ED"/>
    <w:rsid w:val="66FF2D1F"/>
    <w:rsid w:val="66FF58EE"/>
    <w:rsid w:val="670012B4"/>
    <w:rsid w:val="670202EC"/>
    <w:rsid w:val="670267B3"/>
    <w:rsid w:val="67042216"/>
    <w:rsid w:val="67047226"/>
    <w:rsid w:val="67064939"/>
    <w:rsid w:val="67065FD2"/>
    <w:rsid w:val="670670F5"/>
    <w:rsid w:val="67070F74"/>
    <w:rsid w:val="67076F40"/>
    <w:rsid w:val="670778EA"/>
    <w:rsid w:val="67080476"/>
    <w:rsid w:val="67094E24"/>
    <w:rsid w:val="670A14C6"/>
    <w:rsid w:val="670B6E54"/>
    <w:rsid w:val="670B7FAD"/>
    <w:rsid w:val="670C736B"/>
    <w:rsid w:val="670D3CD5"/>
    <w:rsid w:val="670E1D4E"/>
    <w:rsid w:val="670E721C"/>
    <w:rsid w:val="67107970"/>
    <w:rsid w:val="671129B9"/>
    <w:rsid w:val="67114C36"/>
    <w:rsid w:val="671211AE"/>
    <w:rsid w:val="671258EB"/>
    <w:rsid w:val="67134B20"/>
    <w:rsid w:val="671365E2"/>
    <w:rsid w:val="6714469B"/>
    <w:rsid w:val="671466CC"/>
    <w:rsid w:val="671508DC"/>
    <w:rsid w:val="6715254B"/>
    <w:rsid w:val="671604B0"/>
    <w:rsid w:val="67171ED0"/>
    <w:rsid w:val="6717322E"/>
    <w:rsid w:val="67174793"/>
    <w:rsid w:val="6717695C"/>
    <w:rsid w:val="67190718"/>
    <w:rsid w:val="671B149A"/>
    <w:rsid w:val="671C15EA"/>
    <w:rsid w:val="671C4358"/>
    <w:rsid w:val="671D41CF"/>
    <w:rsid w:val="671E4DD5"/>
    <w:rsid w:val="671E7126"/>
    <w:rsid w:val="671F124A"/>
    <w:rsid w:val="671F440C"/>
    <w:rsid w:val="671F55B7"/>
    <w:rsid w:val="67201EB0"/>
    <w:rsid w:val="672229B1"/>
    <w:rsid w:val="672435D7"/>
    <w:rsid w:val="67251ABB"/>
    <w:rsid w:val="672708EB"/>
    <w:rsid w:val="67275836"/>
    <w:rsid w:val="6728233A"/>
    <w:rsid w:val="672828F2"/>
    <w:rsid w:val="67283D40"/>
    <w:rsid w:val="67284472"/>
    <w:rsid w:val="672A100A"/>
    <w:rsid w:val="672A66F0"/>
    <w:rsid w:val="672B5784"/>
    <w:rsid w:val="672C55DE"/>
    <w:rsid w:val="672D7140"/>
    <w:rsid w:val="672E101D"/>
    <w:rsid w:val="672E4BB1"/>
    <w:rsid w:val="672F3BA5"/>
    <w:rsid w:val="67305062"/>
    <w:rsid w:val="67305118"/>
    <w:rsid w:val="67305AB9"/>
    <w:rsid w:val="67310E46"/>
    <w:rsid w:val="673172A6"/>
    <w:rsid w:val="6731760E"/>
    <w:rsid w:val="67330BA1"/>
    <w:rsid w:val="673342A7"/>
    <w:rsid w:val="67372C6B"/>
    <w:rsid w:val="67382266"/>
    <w:rsid w:val="673B4C7A"/>
    <w:rsid w:val="673B4EB6"/>
    <w:rsid w:val="673C0AA8"/>
    <w:rsid w:val="673D39E3"/>
    <w:rsid w:val="673D6B89"/>
    <w:rsid w:val="673D79F1"/>
    <w:rsid w:val="673D7B10"/>
    <w:rsid w:val="673F344D"/>
    <w:rsid w:val="673F3B51"/>
    <w:rsid w:val="67405684"/>
    <w:rsid w:val="67407F65"/>
    <w:rsid w:val="674265BA"/>
    <w:rsid w:val="67431958"/>
    <w:rsid w:val="67432035"/>
    <w:rsid w:val="674324D9"/>
    <w:rsid w:val="6743601C"/>
    <w:rsid w:val="67436C85"/>
    <w:rsid w:val="6744449F"/>
    <w:rsid w:val="67447B91"/>
    <w:rsid w:val="67453124"/>
    <w:rsid w:val="67457B3C"/>
    <w:rsid w:val="67484C5E"/>
    <w:rsid w:val="674943E2"/>
    <w:rsid w:val="674A1F08"/>
    <w:rsid w:val="674B0F96"/>
    <w:rsid w:val="674B186D"/>
    <w:rsid w:val="674C3ED2"/>
    <w:rsid w:val="674D37A6"/>
    <w:rsid w:val="674E12A6"/>
    <w:rsid w:val="674F79E2"/>
    <w:rsid w:val="675109E2"/>
    <w:rsid w:val="675164DF"/>
    <w:rsid w:val="6751773B"/>
    <w:rsid w:val="67526575"/>
    <w:rsid w:val="6753054C"/>
    <w:rsid w:val="67536F6C"/>
    <w:rsid w:val="67547642"/>
    <w:rsid w:val="67550ABC"/>
    <w:rsid w:val="67555886"/>
    <w:rsid w:val="6755788C"/>
    <w:rsid w:val="6755798F"/>
    <w:rsid w:val="675755E1"/>
    <w:rsid w:val="67580AC9"/>
    <w:rsid w:val="67580D57"/>
    <w:rsid w:val="675905A1"/>
    <w:rsid w:val="675916CF"/>
    <w:rsid w:val="67593167"/>
    <w:rsid w:val="675A2BBC"/>
    <w:rsid w:val="675A57F0"/>
    <w:rsid w:val="675B3480"/>
    <w:rsid w:val="675C27E1"/>
    <w:rsid w:val="675C59AB"/>
    <w:rsid w:val="675C648D"/>
    <w:rsid w:val="675C6A84"/>
    <w:rsid w:val="675D60DF"/>
    <w:rsid w:val="675E5C76"/>
    <w:rsid w:val="675F6F51"/>
    <w:rsid w:val="67605738"/>
    <w:rsid w:val="67612606"/>
    <w:rsid w:val="67612B5A"/>
    <w:rsid w:val="67614B4E"/>
    <w:rsid w:val="676231A5"/>
    <w:rsid w:val="676263B8"/>
    <w:rsid w:val="676312C4"/>
    <w:rsid w:val="6763786C"/>
    <w:rsid w:val="67642502"/>
    <w:rsid w:val="676439E9"/>
    <w:rsid w:val="67673CE2"/>
    <w:rsid w:val="67676C03"/>
    <w:rsid w:val="67693400"/>
    <w:rsid w:val="67694A84"/>
    <w:rsid w:val="676964A1"/>
    <w:rsid w:val="676968EB"/>
    <w:rsid w:val="676969B0"/>
    <w:rsid w:val="67696F71"/>
    <w:rsid w:val="676A25AA"/>
    <w:rsid w:val="676B5F50"/>
    <w:rsid w:val="676C00D0"/>
    <w:rsid w:val="676C5631"/>
    <w:rsid w:val="676C5977"/>
    <w:rsid w:val="676C6322"/>
    <w:rsid w:val="676D2ACF"/>
    <w:rsid w:val="676E209B"/>
    <w:rsid w:val="676E55E3"/>
    <w:rsid w:val="676E79CF"/>
    <w:rsid w:val="676F4C73"/>
    <w:rsid w:val="676F5911"/>
    <w:rsid w:val="67700A95"/>
    <w:rsid w:val="67732925"/>
    <w:rsid w:val="67740341"/>
    <w:rsid w:val="67741A06"/>
    <w:rsid w:val="677452E3"/>
    <w:rsid w:val="67746F85"/>
    <w:rsid w:val="677473DB"/>
    <w:rsid w:val="67751212"/>
    <w:rsid w:val="67761D40"/>
    <w:rsid w:val="677663AD"/>
    <w:rsid w:val="67772299"/>
    <w:rsid w:val="677A1CDC"/>
    <w:rsid w:val="677A235F"/>
    <w:rsid w:val="677A27ED"/>
    <w:rsid w:val="677A2C0C"/>
    <w:rsid w:val="677A33C6"/>
    <w:rsid w:val="677B0314"/>
    <w:rsid w:val="677D2D6D"/>
    <w:rsid w:val="677D5E3A"/>
    <w:rsid w:val="677D75C4"/>
    <w:rsid w:val="677E4FA3"/>
    <w:rsid w:val="677E5AF8"/>
    <w:rsid w:val="677F2F74"/>
    <w:rsid w:val="677F71CE"/>
    <w:rsid w:val="677F7528"/>
    <w:rsid w:val="67801DCE"/>
    <w:rsid w:val="67812DB3"/>
    <w:rsid w:val="67814202"/>
    <w:rsid w:val="67816E39"/>
    <w:rsid w:val="67826B5C"/>
    <w:rsid w:val="678309C0"/>
    <w:rsid w:val="678324AD"/>
    <w:rsid w:val="67836631"/>
    <w:rsid w:val="67845B3B"/>
    <w:rsid w:val="6784642E"/>
    <w:rsid w:val="67854016"/>
    <w:rsid w:val="6787166C"/>
    <w:rsid w:val="6787315C"/>
    <w:rsid w:val="67881905"/>
    <w:rsid w:val="67881DA8"/>
    <w:rsid w:val="6788602C"/>
    <w:rsid w:val="6788637D"/>
    <w:rsid w:val="678949D7"/>
    <w:rsid w:val="678964E9"/>
    <w:rsid w:val="67896A25"/>
    <w:rsid w:val="678A20D3"/>
    <w:rsid w:val="678B08FA"/>
    <w:rsid w:val="678B3BC6"/>
    <w:rsid w:val="678D0B50"/>
    <w:rsid w:val="678D18D1"/>
    <w:rsid w:val="678D5B45"/>
    <w:rsid w:val="678D67C1"/>
    <w:rsid w:val="678E0A10"/>
    <w:rsid w:val="678E693A"/>
    <w:rsid w:val="678E732F"/>
    <w:rsid w:val="678F01F0"/>
    <w:rsid w:val="678F753D"/>
    <w:rsid w:val="678F77C3"/>
    <w:rsid w:val="678F7AEF"/>
    <w:rsid w:val="6790047B"/>
    <w:rsid w:val="6790629C"/>
    <w:rsid w:val="67907FEC"/>
    <w:rsid w:val="67914EC2"/>
    <w:rsid w:val="67915D89"/>
    <w:rsid w:val="67917689"/>
    <w:rsid w:val="67925940"/>
    <w:rsid w:val="679349A0"/>
    <w:rsid w:val="67934EAB"/>
    <w:rsid w:val="67942DCB"/>
    <w:rsid w:val="67943874"/>
    <w:rsid w:val="67956C74"/>
    <w:rsid w:val="67964723"/>
    <w:rsid w:val="67977CFC"/>
    <w:rsid w:val="6798088C"/>
    <w:rsid w:val="67987117"/>
    <w:rsid w:val="67991094"/>
    <w:rsid w:val="67991459"/>
    <w:rsid w:val="679A2E90"/>
    <w:rsid w:val="679A6E7D"/>
    <w:rsid w:val="679B0981"/>
    <w:rsid w:val="679B50CD"/>
    <w:rsid w:val="679D4096"/>
    <w:rsid w:val="679E036B"/>
    <w:rsid w:val="679E3BC7"/>
    <w:rsid w:val="679F0B40"/>
    <w:rsid w:val="67A06292"/>
    <w:rsid w:val="67A1095D"/>
    <w:rsid w:val="67A17F6B"/>
    <w:rsid w:val="67A20C4E"/>
    <w:rsid w:val="67A22FF4"/>
    <w:rsid w:val="67A23A50"/>
    <w:rsid w:val="67A267DE"/>
    <w:rsid w:val="67A3060F"/>
    <w:rsid w:val="67A31707"/>
    <w:rsid w:val="67A46930"/>
    <w:rsid w:val="67A535E2"/>
    <w:rsid w:val="67A53CD9"/>
    <w:rsid w:val="67A64734"/>
    <w:rsid w:val="67A75314"/>
    <w:rsid w:val="67A7735B"/>
    <w:rsid w:val="67A85C30"/>
    <w:rsid w:val="67A94CC4"/>
    <w:rsid w:val="67AB3A7E"/>
    <w:rsid w:val="67AC4971"/>
    <w:rsid w:val="67AD210A"/>
    <w:rsid w:val="67AD49B9"/>
    <w:rsid w:val="67AE12E2"/>
    <w:rsid w:val="67AE151D"/>
    <w:rsid w:val="67AE774D"/>
    <w:rsid w:val="67AE7E73"/>
    <w:rsid w:val="67AF314E"/>
    <w:rsid w:val="67AF4A4F"/>
    <w:rsid w:val="67B0092F"/>
    <w:rsid w:val="67B121B4"/>
    <w:rsid w:val="67B22A6E"/>
    <w:rsid w:val="67B25566"/>
    <w:rsid w:val="67B27253"/>
    <w:rsid w:val="67B275BA"/>
    <w:rsid w:val="67B57CC9"/>
    <w:rsid w:val="67B83316"/>
    <w:rsid w:val="67B850C4"/>
    <w:rsid w:val="67B9169B"/>
    <w:rsid w:val="67BA13C7"/>
    <w:rsid w:val="67BA1FE6"/>
    <w:rsid w:val="67BB4267"/>
    <w:rsid w:val="67BB4BB4"/>
    <w:rsid w:val="67BB755A"/>
    <w:rsid w:val="67BC1058"/>
    <w:rsid w:val="67BC2E06"/>
    <w:rsid w:val="67BD092C"/>
    <w:rsid w:val="67BD4932"/>
    <w:rsid w:val="67BF2AE0"/>
    <w:rsid w:val="67C04ADD"/>
    <w:rsid w:val="67C2713E"/>
    <w:rsid w:val="67C41CBB"/>
    <w:rsid w:val="67C63C85"/>
    <w:rsid w:val="67C66E39"/>
    <w:rsid w:val="67C70F3A"/>
    <w:rsid w:val="67C73559"/>
    <w:rsid w:val="67C77A7C"/>
    <w:rsid w:val="67C84AC1"/>
    <w:rsid w:val="67C86A9E"/>
    <w:rsid w:val="67C92937"/>
    <w:rsid w:val="67C93626"/>
    <w:rsid w:val="67CA3A45"/>
    <w:rsid w:val="67CA760E"/>
    <w:rsid w:val="67CC4D0B"/>
    <w:rsid w:val="67CD1721"/>
    <w:rsid w:val="67CE5009"/>
    <w:rsid w:val="67CF795B"/>
    <w:rsid w:val="67CF7962"/>
    <w:rsid w:val="67D119B6"/>
    <w:rsid w:val="67D142F4"/>
    <w:rsid w:val="67D23884"/>
    <w:rsid w:val="67D32017"/>
    <w:rsid w:val="67D463D6"/>
    <w:rsid w:val="67D575DB"/>
    <w:rsid w:val="67D67033"/>
    <w:rsid w:val="67D75348"/>
    <w:rsid w:val="67DA0154"/>
    <w:rsid w:val="67DA42C5"/>
    <w:rsid w:val="67DB12FC"/>
    <w:rsid w:val="67DB24FC"/>
    <w:rsid w:val="67DD753E"/>
    <w:rsid w:val="67DE7986"/>
    <w:rsid w:val="67DE7DB2"/>
    <w:rsid w:val="67DF08A2"/>
    <w:rsid w:val="67DF664A"/>
    <w:rsid w:val="67DF760B"/>
    <w:rsid w:val="67E0405E"/>
    <w:rsid w:val="67E1028B"/>
    <w:rsid w:val="67E14FE7"/>
    <w:rsid w:val="67E22882"/>
    <w:rsid w:val="67E31CBC"/>
    <w:rsid w:val="67E5231F"/>
    <w:rsid w:val="67E74E8C"/>
    <w:rsid w:val="67E759A9"/>
    <w:rsid w:val="67E80E1B"/>
    <w:rsid w:val="67E851EF"/>
    <w:rsid w:val="67E873F0"/>
    <w:rsid w:val="67E934CF"/>
    <w:rsid w:val="67EA1C4B"/>
    <w:rsid w:val="67EB35C9"/>
    <w:rsid w:val="67EB36EB"/>
    <w:rsid w:val="67EB5499"/>
    <w:rsid w:val="67EC0B72"/>
    <w:rsid w:val="67EC1E5E"/>
    <w:rsid w:val="67EC76B3"/>
    <w:rsid w:val="67ED7927"/>
    <w:rsid w:val="67EF6CA2"/>
    <w:rsid w:val="67F00396"/>
    <w:rsid w:val="67F00A74"/>
    <w:rsid w:val="67F00C52"/>
    <w:rsid w:val="67F1371B"/>
    <w:rsid w:val="67F1606E"/>
    <w:rsid w:val="67F309E4"/>
    <w:rsid w:val="67F40565"/>
    <w:rsid w:val="67F40B2A"/>
    <w:rsid w:val="67F42B7B"/>
    <w:rsid w:val="67F6286E"/>
    <w:rsid w:val="67F67610"/>
    <w:rsid w:val="67F72090"/>
    <w:rsid w:val="67F727EB"/>
    <w:rsid w:val="67F772A3"/>
    <w:rsid w:val="67F85E08"/>
    <w:rsid w:val="67FA0E36"/>
    <w:rsid w:val="67FB0D7F"/>
    <w:rsid w:val="67FB14FF"/>
    <w:rsid w:val="67FB4F06"/>
    <w:rsid w:val="67FC0265"/>
    <w:rsid w:val="67FC045D"/>
    <w:rsid w:val="67FD05C4"/>
    <w:rsid w:val="67FD071F"/>
    <w:rsid w:val="67FD38D1"/>
    <w:rsid w:val="67FF027B"/>
    <w:rsid w:val="680065B4"/>
    <w:rsid w:val="68010BE0"/>
    <w:rsid w:val="680140B4"/>
    <w:rsid w:val="6801525B"/>
    <w:rsid w:val="680221BB"/>
    <w:rsid w:val="68046AA6"/>
    <w:rsid w:val="68051E09"/>
    <w:rsid w:val="68062CD0"/>
    <w:rsid w:val="68071BA7"/>
    <w:rsid w:val="68073E3B"/>
    <w:rsid w:val="68074147"/>
    <w:rsid w:val="6807448C"/>
    <w:rsid w:val="6807624E"/>
    <w:rsid w:val="68083C42"/>
    <w:rsid w:val="680855B0"/>
    <w:rsid w:val="68093998"/>
    <w:rsid w:val="68095599"/>
    <w:rsid w:val="6809591F"/>
    <w:rsid w:val="68096880"/>
    <w:rsid w:val="680C7F5E"/>
    <w:rsid w:val="680D51AE"/>
    <w:rsid w:val="680E1188"/>
    <w:rsid w:val="680F3075"/>
    <w:rsid w:val="68130A66"/>
    <w:rsid w:val="68135A4D"/>
    <w:rsid w:val="681364FB"/>
    <w:rsid w:val="68140112"/>
    <w:rsid w:val="68147FBA"/>
    <w:rsid w:val="68150768"/>
    <w:rsid w:val="68152516"/>
    <w:rsid w:val="68157507"/>
    <w:rsid w:val="68162270"/>
    <w:rsid w:val="68166807"/>
    <w:rsid w:val="681724BF"/>
    <w:rsid w:val="681811CF"/>
    <w:rsid w:val="68196400"/>
    <w:rsid w:val="681A1141"/>
    <w:rsid w:val="681B1194"/>
    <w:rsid w:val="681B5581"/>
    <w:rsid w:val="681C38A5"/>
    <w:rsid w:val="681C7364"/>
    <w:rsid w:val="681E75D8"/>
    <w:rsid w:val="681F2E53"/>
    <w:rsid w:val="681F5143"/>
    <w:rsid w:val="681F6539"/>
    <w:rsid w:val="681F6961"/>
    <w:rsid w:val="68206F53"/>
    <w:rsid w:val="682107E8"/>
    <w:rsid w:val="6821437C"/>
    <w:rsid w:val="68214540"/>
    <w:rsid w:val="68216C09"/>
    <w:rsid w:val="6822076C"/>
    <w:rsid w:val="6822518A"/>
    <w:rsid w:val="68225FE7"/>
    <w:rsid w:val="68230786"/>
    <w:rsid w:val="68233672"/>
    <w:rsid w:val="6823613B"/>
    <w:rsid w:val="68245215"/>
    <w:rsid w:val="68246C11"/>
    <w:rsid w:val="68254626"/>
    <w:rsid w:val="6826136B"/>
    <w:rsid w:val="68264723"/>
    <w:rsid w:val="68267A59"/>
    <w:rsid w:val="682701E4"/>
    <w:rsid w:val="68280885"/>
    <w:rsid w:val="68295FC1"/>
    <w:rsid w:val="682A6E82"/>
    <w:rsid w:val="682B2CFC"/>
    <w:rsid w:val="682C3629"/>
    <w:rsid w:val="682C72CF"/>
    <w:rsid w:val="682E03A0"/>
    <w:rsid w:val="682E6353"/>
    <w:rsid w:val="682F0B31"/>
    <w:rsid w:val="682F784C"/>
    <w:rsid w:val="68302E06"/>
    <w:rsid w:val="68303369"/>
    <w:rsid w:val="6831405D"/>
    <w:rsid w:val="68321F7F"/>
    <w:rsid w:val="68327346"/>
    <w:rsid w:val="6832745C"/>
    <w:rsid w:val="68340471"/>
    <w:rsid w:val="68347E5C"/>
    <w:rsid w:val="68351F66"/>
    <w:rsid w:val="683570C8"/>
    <w:rsid w:val="68376930"/>
    <w:rsid w:val="68377396"/>
    <w:rsid w:val="6837762F"/>
    <w:rsid w:val="68390E13"/>
    <w:rsid w:val="68392A11"/>
    <w:rsid w:val="683A727D"/>
    <w:rsid w:val="683B2D9B"/>
    <w:rsid w:val="683C0A26"/>
    <w:rsid w:val="683C1FCE"/>
    <w:rsid w:val="683C5CF5"/>
    <w:rsid w:val="683D146B"/>
    <w:rsid w:val="683D66FD"/>
    <w:rsid w:val="683E57B5"/>
    <w:rsid w:val="683E7E00"/>
    <w:rsid w:val="683F2D2C"/>
    <w:rsid w:val="683F5F93"/>
    <w:rsid w:val="68407F40"/>
    <w:rsid w:val="68414F55"/>
    <w:rsid w:val="684150B9"/>
    <w:rsid w:val="68436182"/>
    <w:rsid w:val="68442DFB"/>
    <w:rsid w:val="684438D8"/>
    <w:rsid w:val="68447090"/>
    <w:rsid w:val="68455C79"/>
    <w:rsid w:val="68460635"/>
    <w:rsid w:val="684814BA"/>
    <w:rsid w:val="68481EE0"/>
    <w:rsid w:val="68484A36"/>
    <w:rsid w:val="684A3A8D"/>
    <w:rsid w:val="684A4BFE"/>
    <w:rsid w:val="684A68A4"/>
    <w:rsid w:val="684A7EF2"/>
    <w:rsid w:val="684B54F0"/>
    <w:rsid w:val="684B5F38"/>
    <w:rsid w:val="684B75A8"/>
    <w:rsid w:val="684C043F"/>
    <w:rsid w:val="684C1A79"/>
    <w:rsid w:val="684D3304"/>
    <w:rsid w:val="684E5B15"/>
    <w:rsid w:val="684E7628"/>
    <w:rsid w:val="684F2581"/>
    <w:rsid w:val="6850297D"/>
    <w:rsid w:val="6852088B"/>
    <w:rsid w:val="68520F31"/>
    <w:rsid w:val="68552CA8"/>
    <w:rsid w:val="68565FDD"/>
    <w:rsid w:val="6857149D"/>
    <w:rsid w:val="685719AF"/>
    <w:rsid w:val="68574505"/>
    <w:rsid w:val="68582403"/>
    <w:rsid w:val="6858278A"/>
    <w:rsid w:val="68584D92"/>
    <w:rsid w:val="685905DA"/>
    <w:rsid w:val="685A461A"/>
    <w:rsid w:val="685A6D46"/>
    <w:rsid w:val="685B1272"/>
    <w:rsid w:val="685B3953"/>
    <w:rsid w:val="685B63A5"/>
    <w:rsid w:val="685C0145"/>
    <w:rsid w:val="685D2785"/>
    <w:rsid w:val="685D3918"/>
    <w:rsid w:val="685D7832"/>
    <w:rsid w:val="685E0C79"/>
    <w:rsid w:val="685E3EBD"/>
    <w:rsid w:val="685E413B"/>
    <w:rsid w:val="685E78A7"/>
    <w:rsid w:val="685F4FB8"/>
    <w:rsid w:val="686075FD"/>
    <w:rsid w:val="68610A2F"/>
    <w:rsid w:val="68612A2C"/>
    <w:rsid w:val="68626A24"/>
    <w:rsid w:val="68636B37"/>
    <w:rsid w:val="68643789"/>
    <w:rsid w:val="6864524C"/>
    <w:rsid w:val="68653AEA"/>
    <w:rsid w:val="68655759"/>
    <w:rsid w:val="686649A9"/>
    <w:rsid w:val="68671FFB"/>
    <w:rsid w:val="68690B7B"/>
    <w:rsid w:val="686B0388"/>
    <w:rsid w:val="686B482C"/>
    <w:rsid w:val="686C07FD"/>
    <w:rsid w:val="686D4100"/>
    <w:rsid w:val="686F1184"/>
    <w:rsid w:val="686F7D5E"/>
    <w:rsid w:val="68707759"/>
    <w:rsid w:val="68710AA7"/>
    <w:rsid w:val="68720214"/>
    <w:rsid w:val="68720BF2"/>
    <w:rsid w:val="68732E13"/>
    <w:rsid w:val="68734283"/>
    <w:rsid w:val="6873548F"/>
    <w:rsid w:val="68737F67"/>
    <w:rsid w:val="68741642"/>
    <w:rsid w:val="687507B3"/>
    <w:rsid w:val="68751207"/>
    <w:rsid w:val="687A0655"/>
    <w:rsid w:val="687A3819"/>
    <w:rsid w:val="687A490A"/>
    <w:rsid w:val="687A4D67"/>
    <w:rsid w:val="687A5AA9"/>
    <w:rsid w:val="687B5B0B"/>
    <w:rsid w:val="687C4E65"/>
    <w:rsid w:val="687D0270"/>
    <w:rsid w:val="687D2863"/>
    <w:rsid w:val="687D58CA"/>
    <w:rsid w:val="687E10BD"/>
    <w:rsid w:val="68805514"/>
    <w:rsid w:val="688172E8"/>
    <w:rsid w:val="688267DC"/>
    <w:rsid w:val="68826FE9"/>
    <w:rsid w:val="6883334F"/>
    <w:rsid w:val="68833C1A"/>
    <w:rsid w:val="68843D3A"/>
    <w:rsid w:val="68861A5B"/>
    <w:rsid w:val="6888528D"/>
    <w:rsid w:val="6889100B"/>
    <w:rsid w:val="68892A5C"/>
    <w:rsid w:val="68897E7E"/>
    <w:rsid w:val="688D3AF6"/>
    <w:rsid w:val="688F3B29"/>
    <w:rsid w:val="688F3B3E"/>
    <w:rsid w:val="688F7BB0"/>
    <w:rsid w:val="68902046"/>
    <w:rsid w:val="68905759"/>
    <w:rsid w:val="6891248B"/>
    <w:rsid w:val="68921D4C"/>
    <w:rsid w:val="68925620"/>
    <w:rsid w:val="68926C84"/>
    <w:rsid w:val="68935C09"/>
    <w:rsid w:val="6894050C"/>
    <w:rsid w:val="689565A5"/>
    <w:rsid w:val="68956A9C"/>
    <w:rsid w:val="68960152"/>
    <w:rsid w:val="68971879"/>
    <w:rsid w:val="68975621"/>
    <w:rsid w:val="689866A0"/>
    <w:rsid w:val="68990218"/>
    <w:rsid w:val="68992B8B"/>
    <w:rsid w:val="689940CE"/>
    <w:rsid w:val="689B0A7E"/>
    <w:rsid w:val="689B6B72"/>
    <w:rsid w:val="689D2D57"/>
    <w:rsid w:val="689D7D79"/>
    <w:rsid w:val="689E60A1"/>
    <w:rsid w:val="689E77DF"/>
    <w:rsid w:val="689E7BBD"/>
    <w:rsid w:val="689F6284"/>
    <w:rsid w:val="689F6721"/>
    <w:rsid w:val="689F6795"/>
    <w:rsid w:val="68A11228"/>
    <w:rsid w:val="68A11EF6"/>
    <w:rsid w:val="68A16EA7"/>
    <w:rsid w:val="68A25D8C"/>
    <w:rsid w:val="68A33FC6"/>
    <w:rsid w:val="68A43DA6"/>
    <w:rsid w:val="68A44035"/>
    <w:rsid w:val="68A67612"/>
    <w:rsid w:val="68A76BE8"/>
    <w:rsid w:val="68A82363"/>
    <w:rsid w:val="68A86406"/>
    <w:rsid w:val="68A87D36"/>
    <w:rsid w:val="68A919F1"/>
    <w:rsid w:val="68AA12EE"/>
    <w:rsid w:val="68AB3EB0"/>
    <w:rsid w:val="68AB3EB3"/>
    <w:rsid w:val="68AB72A6"/>
    <w:rsid w:val="68AC7B2F"/>
    <w:rsid w:val="68AD4487"/>
    <w:rsid w:val="68AE5D05"/>
    <w:rsid w:val="68AF752B"/>
    <w:rsid w:val="68B0271E"/>
    <w:rsid w:val="68B027EB"/>
    <w:rsid w:val="68B12463"/>
    <w:rsid w:val="68B140C3"/>
    <w:rsid w:val="68B23C75"/>
    <w:rsid w:val="68B24391"/>
    <w:rsid w:val="68B556F6"/>
    <w:rsid w:val="68BA5362"/>
    <w:rsid w:val="68BB208C"/>
    <w:rsid w:val="68BB350F"/>
    <w:rsid w:val="68BB54B2"/>
    <w:rsid w:val="68BE2B84"/>
    <w:rsid w:val="68BE495C"/>
    <w:rsid w:val="68BE624F"/>
    <w:rsid w:val="68BE67FC"/>
    <w:rsid w:val="68BF03DA"/>
    <w:rsid w:val="68C1269E"/>
    <w:rsid w:val="68C13CB8"/>
    <w:rsid w:val="68C15C1C"/>
    <w:rsid w:val="68C1603E"/>
    <w:rsid w:val="68C16876"/>
    <w:rsid w:val="68C2230E"/>
    <w:rsid w:val="68C242FB"/>
    <w:rsid w:val="68C47890"/>
    <w:rsid w:val="68C51912"/>
    <w:rsid w:val="68C5694A"/>
    <w:rsid w:val="68C63810"/>
    <w:rsid w:val="68C70F53"/>
    <w:rsid w:val="68C7256E"/>
    <w:rsid w:val="68C86FA3"/>
    <w:rsid w:val="68C93706"/>
    <w:rsid w:val="68CA0D5E"/>
    <w:rsid w:val="68CA2296"/>
    <w:rsid w:val="68CA5201"/>
    <w:rsid w:val="68CB04AF"/>
    <w:rsid w:val="68CD2BE3"/>
    <w:rsid w:val="68CE12AD"/>
    <w:rsid w:val="68CE2D7B"/>
    <w:rsid w:val="68CE58C2"/>
    <w:rsid w:val="68CF5C24"/>
    <w:rsid w:val="68D0421C"/>
    <w:rsid w:val="68D20407"/>
    <w:rsid w:val="68D221B5"/>
    <w:rsid w:val="68D227EB"/>
    <w:rsid w:val="68D4417F"/>
    <w:rsid w:val="68D52911"/>
    <w:rsid w:val="68D66149"/>
    <w:rsid w:val="68D85962"/>
    <w:rsid w:val="68D86BE3"/>
    <w:rsid w:val="68DA2A33"/>
    <w:rsid w:val="68DA37D8"/>
    <w:rsid w:val="68DB3760"/>
    <w:rsid w:val="68DC0FFC"/>
    <w:rsid w:val="68DC2C8F"/>
    <w:rsid w:val="68DC2EB0"/>
    <w:rsid w:val="68DD0C95"/>
    <w:rsid w:val="68DD624E"/>
    <w:rsid w:val="68DD74D8"/>
    <w:rsid w:val="68DE6DAC"/>
    <w:rsid w:val="68DF359C"/>
    <w:rsid w:val="68E01595"/>
    <w:rsid w:val="68E0186C"/>
    <w:rsid w:val="68E01BBE"/>
    <w:rsid w:val="68E02B24"/>
    <w:rsid w:val="68E06672"/>
    <w:rsid w:val="68E06936"/>
    <w:rsid w:val="68E20C80"/>
    <w:rsid w:val="68E338C4"/>
    <w:rsid w:val="68E42FA1"/>
    <w:rsid w:val="68E44E19"/>
    <w:rsid w:val="68E63BF2"/>
    <w:rsid w:val="68E66C15"/>
    <w:rsid w:val="68E82175"/>
    <w:rsid w:val="68E86D22"/>
    <w:rsid w:val="68EB03A0"/>
    <w:rsid w:val="68EB33E6"/>
    <w:rsid w:val="68EC14C9"/>
    <w:rsid w:val="68EC1AC5"/>
    <w:rsid w:val="68EF7A7C"/>
    <w:rsid w:val="68F12F8A"/>
    <w:rsid w:val="68F17BF8"/>
    <w:rsid w:val="68F41267"/>
    <w:rsid w:val="68F54026"/>
    <w:rsid w:val="68F55EA4"/>
    <w:rsid w:val="68F752C7"/>
    <w:rsid w:val="68F77E6E"/>
    <w:rsid w:val="68F91600"/>
    <w:rsid w:val="68F91E38"/>
    <w:rsid w:val="68F93BE6"/>
    <w:rsid w:val="68FA36FE"/>
    <w:rsid w:val="68FA3800"/>
    <w:rsid w:val="68FB170C"/>
    <w:rsid w:val="68FC213B"/>
    <w:rsid w:val="68FD315A"/>
    <w:rsid w:val="68FE744E"/>
    <w:rsid w:val="68FF3958"/>
    <w:rsid w:val="690031C6"/>
    <w:rsid w:val="690228D5"/>
    <w:rsid w:val="69023424"/>
    <w:rsid w:val="69034A64"/>
    <w:rsid w:val="690464ED"/>
    <w:rsid w:val="69046F67"/>
    <w:rsid w:val="690516EB"/>
    <w:rsid w:val="690538F4"/>
    <w:rsid w:val="690650C6"/>
    <w:rsid w:val="69071121"/>
    <w:rsid w:val="69076303"/>
    <w:rsid w:val="6909134A"/>
    <w:rsid w:val="690920AC"/>
    <w:rsid w:val="690928AD"/>
    <w:rsid w:val="690A1A57"/>
    <w:rsid w:val="690A6B79"/>
    <w:rsid w:val="690A75AC"/>
    <w:rsid w:val="690A7F53"/>
    <w:rsid w:val="690B6E01"/>
    <w:rsid w:val="690D0B3B"/>
    <w:rsid w:val="690D0ED6"/>
    <w:rsid w:val="69106DD3"/>
    <w:rsid w:val="691072E6"/>
    <w:rsid w:val="6911409C"/>
    <w:rsid w:val="69121546"/>
    <w:rsid w:val="69131933"/>
    <w:rsid w:val="691479FB"/>
    <w:rsid w:val="69147ACE"/>
    <w:rsid w:val="69147D9A"/>
    <w:rsid w:val="69147E90"/>
    <w:rsid w:val="691703FF"/>
    <w:rsid w:val="69170ECE"/>
    <w:rsid w:val="691818B6"/>
    <w:rsid w:val="69183D0F"/>
    <w:rsid w:val="691A5161"/>
    <w:rsid w:val="691B3B5C"/>
    <w:rsid w:val="691B6B3D"/>
    <w:rsid w:val="691C2A97"/>
    <w:rsid w:val="691F706F"/>
    <w:rsid w:val="69205D8A"/>
    <w:rsid w:val="692101B6"/>
    <w:rsid w:val="69226418"/>
    <w:rsid w:val="69226828"/>
    <w:rsid w:val="69227F62"/>
    <w:rsid w:val="6923451E"/>
    <w:rsid w:val="69256652"/>
    <w:rsid w:val="69271B30"/>
    <w:rsid w:val="69272310"/>
    <w:rsid w:val="69277095"/>
    <w:rsid w:val="69277932"/>
    <w:rsid w:val="69280D35"/>
    <w:rsid w:val="6928409F"/>
    <w:rsid w:val="692863C6"/>
    <w:rsid w:val="692948F0"/>
    <w:rsid w:val="692A3D9F"/>
    <w:rsid w:val="692C1675"/>
    <w:rsid w:val="692D2A07"/>
    <w:rsid w:val="692D47AA"/>
    <w:rsid w:val="692E211E"/>
    <w:rsid w:val="692E6398"/>
    <w:rsid w:val="692F6F09"/>
    <w:rsid w:val="69306A78"/>
    <w:rsid w:val="69316E2F"/>
    <w:rsid w:val="69325549"/>
    <w:rsid w:val="6934356D"/>
    <w:rsid w:val="693476A5"/>
    <w:rsid w:val="69350EF8"/>
    <w:rsid w:val="693750B5"/>
    <w:rsid w:val="693761F2"/>
    <w:rsid w:val="69382960"/>
    <w:rsid w:val="69386994"/>
    <w:rsid w:val="693B021A"/>
    <w:rsid w:val="693B0491"/>
    <w:rsid w:val="693B0D1C"/>
    <w:rsid w:val="693B587D"/>
    <w:rsid w:val="693B7D5A"/>
    <w:rsid w:val="693D6F14"/>
    <w:rsid w:val="693D7155"/>
    <w:rsid w:val="693E3CEF"/>
    <w:rsid w:val="693E754B"/>
    <w:rsid w:val="69421C1A"/>
    <w:rsid w:val="69423A82"/>
    <w:rsid w:val="6943531C"/>
    <w:rsid w:val="69436679"/>
    <w:rsid w:val="694374F0"/>
    <w:rsid w:val="69451D6A"/>
    <w:rsid w:val="69456E2B"/>
    <w:rsid w:val="694678FB"/>
    <w:rsid w:val="694739BA"/>
    <w:rsid w:val="69473C43"/>
    <w:rsid w:val="69484EE1"/>
    <w:rsid w:val="69495016"/>
    <w:rsid w:val="694B0A3E"/>
    <w:rsid w:val="694B1044"/>
    <w:rsid w:val="694B7093"/>
    <w:rsid w:val="694D6274"/>
    <w:rsid w:val="694E2071"/>
    <w:rsid w:val="694E222C"/>
    <w:rsid w:val="69511BF0"/>
    <w:rsid w:val="695157D0"/>
    <w:rsid w:val="695215BE"/>
    <w:rsid w:val="6953101A"/>
    <w:rsid w:val="6954673C"/>
    <w:rsid w:val="695825CA"/>
    <w:rsid w:val="69584626"/>
    <w:rsid w:val="69584DB0"/>
    <w:rsid w:val="695B39CE"/>
    <w:rsid w:val="695B466D"/>
    <w:rsid w:val="695D5F6E"/>
    <w:rsid w:val="695E3F2C"/>
    <w:rsid w:val="695F613F"/>
    <w:rsid w:val="696020DE"/>
    <w:rsid w:val="69611E3E"/>
    <w:rsid w:val="69615B47"/>
    <w:rsid w:val="696208B4"/>
    <w:rsid w:val="6962178B"/>
    <w:rsid w:val="69623B57"/>
    <w:rsid w:val="696258A1"/>
    <w:rsid w:val="696279DD"/>
    <w:rsid w:val="69645201"/>
    <w:rsid w:val="69654062"/>
    <w:rsid w:val="69656630"/>
    <w:rsid w:val="69671C9E"/>
    <w:rsid w:val="6968198B"/>
    <w:rsid w:val="69687FCB"/>
    <w:rsid w:val="696A1787"/>
    <w:rsid w:val="696D799C"/>
    <w:rsid w:val="696E2BCD"/>
    <w:rsid w:val="696E661E"/>
    <w:rsid w:val="696F37F0"/>
    <w:rsid w:val="697119CE"/>
    <w:rsid w:val="69712894"/>
    <w:rsid w:val="6971323A"/>
    <w:rsid w:val="69723739"/>
    <w:rsid w:val="69724656"/>
    <w:rsid w:val="697247CE"/>
    <w:rsid w:val="6973686D"/>
    <w:rsid w:val="69742586"/>
    <w:rsid w:val="69744E7F"/>
    <w:rsid w:val="69754B37"/>
    <w:rsid w:val="69763488"/>
    <w:rsid w:val="69765B2F"/>
    <w:rsid w:val="69766163"/>
    <w:rsid w:val="697742C5"/>
    <w:rsid w:val="6978524E"/>
    <w:rsid w:val="697A3B33"/>
    <w:rsid w:val="697C480A"/>
    <w:rsid w:val="697C4B5E"/>
    <w:rsid w:val="697C5DBD"/>
    <w:rsid w:val="697D4817"/>
    <w:rsid w:val="697E0F11"/>
    <w:rsid w:val="697E1642"/>
    <w:rsid w:val="697E7DF1"/>
    <w:rsid w:val="697F6E4E"/>
    <w:rsid w:val="69801F62"/>
    <w:rsid w:val="69802983"/>
    <w:rsid w:val="69820459"/>
    <w:rsid w:val="69820A92"/>
    <w:rsid w:val="698237F8"/>
    <w:rsid w:val="69825F37"/>
    <w:rsid w:val="6983217D"/>
    <w:rsid w:val="69840C15"/>
    <w:rsid w:val="69841953"/>
    <w:rsid w:val="69843881"/>
    <w:rsid w:val="69851AE7"/>
    <w:rsid w:val="69854A3F"/>
    <w:rsid w:val="69855479"/>
    <w:rsid w:val="69857063"/>
    <w:rsid w:val="6986299E"/>
    <w:rsid w:val="6986339A"/>
    <w:rsid w:val="69865817"/>
    <w:rsid w:val="698739A3"/>
    <w:rsid w:val="698756DD"/>
    <w:rsid w:val="69876A00"/>
    <w:rsid w:val="6988016A"/>
    <w:rsid w:val="698811C2"/>
    <w:rsid w:val="69886C12"/>
    <w:rsid w:val="698A208D"/>
    <w:rsid w:val="698A25D3"/>
    <w:rsid w:val="698A6D01"/>
    <w:rsid w:val="698A6F34"/>
    <w:rsid w:val="698A719F"/>
    <w:rsid w:val="698C10D3"/>
    <w:rsid w:val="698C4A5A"/>
    <w:rsid w:val="698D0A32"/>
    <w:rsid w:val="698D2C89"/>
    <w:rsid w:val="698E04B4"/>
    <w:rsid w:val="699102C2"/>
    <w:rsid w:val="699236F9"/>
    <w:rsid w:val="69927CB7"/>
    <w:rsid w:val="69931944"/>
    <w:rsid w:val="69963C27"/>
    <w:rsid w:val="69975BDE"/>
    <w:rsid w:val="69980398"/>
    <w:rsid w:val="69981651"/>
    <w:rsid w:val="699833FF"/>
    <w:rsid w:val="69992CD3"/>
    <w:rsid w:val="699A15A0"/>
    <w:rsid w:val="699B1EFE"/>
    <w:rsid w:val="699B562A"/>
    <w:rsid w:val="699B6A4B"/>
    <w:rsid w:val="699C50D9"/>
    <w:rsid w:val="699C6181"/>
    <w:rsid w:val="699C6738"/>
    <w:rsid w:val="699D2C51"/>
    <w:rsid w:val="699E0401"/>
    <w:rsid w:val="699E0597"/>
    <w:rsid w:val="699F7CD5"/>
    <w:rsid w:val="69A022B3"/>
    <w:rsid w:val="69A127CB"/>
    <w:rsid w:val="69A20FA1"/>
    <w:rsid w:val="69A224C1"/>
    <w:rsid w:val="69A2427D"/>
    <w:rsid w:val="69A40EEB"/>
    <w:rsid w:val="69A43B52"/>
    <w:rsid w:val="69A5443F"/>
    <w:rsid w:val="69A5619D"/>
    <w:rsid w:val="69A57C19"/>
    <w:rsid w:val="69A650A8"/>
    <w:rsid w:val="69A676A3"/>
    <w:rsid w:val="69A7045C"/>
    <w:rsid w:val="69A706AA"/>
    <w:rsid w:val="69A83492"/>
    <w:rsid w:val="69A837C3"/>
    <w:rsid w:val="69A93E28"/>
    <w:rsid w:val="69A94999"/>
    <w:rsid w:val="69AA395D"/>
    <w:rsid w:val="69AA6040"/>
    <w:rsid w:val="69AB5118"/>
    <w:rsid w:val="69AD485F"/>
    <w:rsid w:val="69AE12B4"/>
    <w:rsid w:val="69AE675C"/>
    <w:rsid w:val="69AF244E"/>
    <w:rsid w:val="69B007BF"/>
    <w:rsid w:val="69B0576D"/>
    <w:rsid w:val="69B12D71"/>
    <w:rsid w:val="69B13688"/>
    <w:rsid w:val="69B139FA"/>
    <w:rsid w:val="69B47B0D"/>
    <w:rsid w:val="69B56A19"/>
    <w:rsid w:val="69B5711B"/>
    <w:rsid w:val="69B65652"/>
    <w:rsid w:val="69B72DAD"/>
    <w:rsid w:val="69B871AE"/>
    <w:rsid w:val="69B8727D"/>
    <w:rsid w:val="69B87503"/>
    <w:rsid w:val="69B90A2D"/>
    <w:rsid w:val="69B97348"/>
    <w:rsid w:val="69BA553A"/>
    <w:rsid w:val="69BB07BA"/>
    <w:rsid w:val="69BB1106"/>
    <w:rsid w:val="69BB70ED"/>
    <w:rsid w:val="69BC2F4B"/>
    <w:rsid w:val="69BC768B"/>
    <w:rsid w:val="69BD2E65"/>
    <w:rsid w:val="69BD3BD9"/>
    <w:rsid w:val="69BD4C19"/>
    <w:rsid w:val="69BE2739"/>
    <w:rsid w:val="69BE3FDE"/>
    <w:rsid w:val="69BF5BED"/>
    <w:rsid w:val="69BF6449"/>
    <w:rsid w:val="69C13904"/>
    <w:rsid w:val="69C170AB"/>
    <w:rsid w:val="69C1795B"/>
    <w:rsid w:val="69C3147F"/>
    <w:rsid w:val="69C322BF"/>
    <w:rsid w:val="69C547D1"/>
    <w:rsid w:val="69C70418"/>
    <w:rsid w:val="69C7643F"/>
    <w:rsid w:val="69C86F38"/>
    <w:rsid w:val="69C95270"/>
    <w:rsid w:val="69CC333F"/>
    <w:rsid w:val="69CC66B7"/>
    <w:rsid w:val="69CC698E"/>
    <w:rsid w:val="69CE3A14"/>
    <w:rsid w:val="69CE6E20"/>
    <w:rsid w:val="69D04B68"/>
    <w:rsid w:val="69D31A64"/>
    <w:rsid w:val="69D361F4"/>
    <w:rsid w:val="69D43E39"/>
    <w:rsid w:val="69D44760"/>
    <w:rsid w:val="69D46070"/>
    <w:rsid w:val="69D55D07"/>
    <w:rsid w:val="69D6393C"/>
    <w:rsid w:val="69D67428"/>
    <w:rsid w:val="69D829CE"/>
    <w:rsid w:val="69D92430"/>
    <w:rsid w:val="69DD1420"/>
    <w:rsid w:val="69DD1CAC"/>
    <w:rsid w:val="69DE01C6"/>
    <w:rsid w:val="69DE4476"/>
    <w:rsid w:val="69DF1A6F"/>
    <w:rsid w:val="69E14DA6"/>
    <w:rsid w:val="69E1696B"/>
    <w:rsid w:val="69E339CC"/>
    <w:rsid w:val="69E36EF2"/>
    <w:rsid w:val="69E421A0"/>
    <w:rsid w:val="69E47E9E"/>
    <w:rsid w:val="69E57878"/>
    <w:rsid w:val="69E61D0B"/>
    <w:rsid w:val="69E70D53"/>
    <w:rsid w:val="69E73471"/>
    <w:rsid w:val="69E8635E"/>
    <w:rsid w:val="69E8798B"/>
    <w:rsid w:val="69EB12D1"/>
    <w:rsid w:val="69EB3288"/>
    <w:rsid w:val="69EB75C3"/>
    <w:rsid w:val="69ED6EFD"/>
    <w:rsid w:val="69EE3CB3"/>
    <w:rsid w:val="69EE5D98"/>
    <w:rsid w:val="69EF1287"/>
    <w:rsid w:val="69EF6DCC"/>
    <w:rsid w:val="69F027B2"/>
    <w:rsid w:val="69F03587"/>
    <w:rsid w:val="69F14C4F"/>
    <w:rsid w:val="69F22DB4"/>
    <w:rsid w:val="69F27A1E"/>
    <w:rsid w:val="69F3151A"/>
    <w:rsid w:val="69F4353D"/>
    <w:rsid w:val="69F53C96"/>
    <w:rsid w:val="69F61CBA"/>
    <w:rsid w:val="69F61ED3"/>
    <w:rsid w:val="69F6662C"/>
    <w:rsid w:val="69F72B1E"/>
    <w:rsid w:val="69F747DB"/>
    <w:rsid w:val="69F7667E"/>
    <w:rsid w:val="69F857F9"/>
    <w:rsid w:val="69F86501"/>
    <w:rsid w:val="69FA2D67"/>
    <w:rsid w:val="69FA5E67"/>
    <w:rsid w:val="69FA64F0"/>
    <w:rsid w:val="69FC051E"/>
    <w:rsid w:val="69FE61B0"/>
    <w:rsid w:val="69FE62B3"/>
    <w:rsid w:val="69FF0EEA"/>
    <w:rsid w:val="6A016700"/>
    <w:rsid w:val="6A024108"/>
    <w:rsid w:val="6A042842"/>
    <w:rsid w:val="6A07182A"/>
    <w:rsid w:val="6A080947"/>
    <w:rsid w:val="6A091EB5"/>
    <w:rsid w:val="6A0B0ABC"/>
    <w:rsid w:val="6A0C2B67"/>
    <w:rsid w:val="6A0E0ACC"/>
    <w:rsid w:val="6A0E2084"/>
    <w:rsid w:val="6A0E4851"/>
    <w:rsid w:val="6A0F4353"/>
    <w:rsid w:val="6A1014EE"/>
    <w:rsid w:val="6A102277"/>
    <w:rsid w:val="6A110887"/>
    <w:rsid w:val="6A115784"/>
    <w:rsid w:val="6A132A85"/>
    <w:rsid w:val="6A133B67"/>
    <w:rsid w:val="6A136F29"/>
    <w:rsid w:val="6A146749"/>
    <w:rsid w:val="6A153684"/>
    <w:rsid w:val="6A1570BB"/>
    <w:rsid w:val="6A161567"/>
    <w:rsid w:val="6A162453"/>
    <w:rsid w:val="6A16587B"/>
    <w:rsid w:val="6A1714A4"/>
    <w:rsid w:val="6A17250B"/>
    <w:rsid w:val="6A184385"/>
    <w:rsid w:val="6A187C3B"/>
    <w:rsid w:val="6A1905D7"/>
    <w:rsid w:val="6A1A6189"/>
    <w:rsid w:val="6A1D7A03"/>
    <w:rsid w:val="6A1F646E"/>
    <w:rsid w:val="6A201656"/>
    <w:rsid w:val="6A213D34"/>
    <w:rsid w:val="6A22482F"/>
    <w:rsid w:val="6A2322C7"/>
    <w:rsid w:val="6A2633B2"/>
    <w:rsid w:val="6A266C5C"/>
    <w:rsid w:val="6A2724C3"/>
    <w:rsid w:val="6A274DB2"/>
    <w:rsid w:val="6A2756DC"/>
    <w:rsid w:val="6A29067E"/>
    <w:rsid w:val="6A2957C3"/>
    <w:rsid w:val="6A2B7DCF"/>
    <w:rsid w:val="6A2F0676"/>
    <w:rsid w:val="6A303637"/>
    <w:rsid w:val="6A313D76"/>
    <w:rsid w:val="6A314DED"/>
    <w:rsid w:val="6A37580C"/>
    <w:rsid w:val="6A3870A7"/>
    <w:rsid w:val="6A39519D"/>
    <w:rsid w:val="6A39623E"/>
    <w:rsid w:val="6A3966A5"/>
    <w:rsid w:val="6A3972DA"/>
    <w:rsid w:val="6A3A26E2"/>
    <w:rsid w:val="6A3A4E35"/>
    <w:rsid w:val="6A3C0A8D"/>
    <w:rsid w:val="6A3C53AF"/>
    <w:rsid w:val="6A3D1075"/>
    <w:rsid w:val="6A3D3FF2"/>
    <w:rsid w:val="6A3E07FC"/>
    <w:rsid w:val="6A3E43C2"/>
    <w:rsid w:val="6A3E4DB6"/>
    <w:rsid w:val="6A3E4FB1"/>
    <w:rsid w:val="6A3F5AD8"/>
    <w:rsid w:val="6A401DA9"/>
    <w:rsid w:val="6A41057D"/>
    <w:rsid w:val="6A4214B7"/>
    <w:rsid w:val="6A4466A8"/>
    <w:rsid w:val="6A45766A"/>
    <w:rsid w:val="6A462E5B"/>
    <w:rsid w:val="6A470644"/>
    <w:rsid w:val="6A475782"/>
    <w:rsid w:val="6A48041E"/>
    <w:rsid w:val="6A485682"/>
    <w:rsid w:val="6A492E4F"/>
    <w:rsid w:val="6A4A2287"/>
    <w:rsid w:val="6A4A51C0"/>
    <w:rsid w:val="6A4B11E7"/>
    <w:rsid w:val="6A4C1496"/>
    <w:rsid w:val="6A4C5F97"/>
    <w:rsid w:val="6A4D2DE0"/>
    <w:rsid w:val="6A4E24FF"/>
    <w:rsid w:val="6A4F2E18"/>
    <w:rsid w:val="6A4F4501"/>
    <w:rsid w:val="6A4F50D4"/>
    <w:rsid w:val="6A503CA1"/>
    <w:rsid w:val="6A50644F"/>
    <w:rsid w:val="6A513120"/>
    <w:rsid w:val="6A52042B"/>
    <w:rsid w:val="6A520EC7"/>
    <w:rsid w:val="6A522394"/>
    <w:rsid w:val="6A5266CD"/>
    <w:rsid w:val="6A526DB6"/>
    <w:rsid w:val="6A541BD4"/>
    <w:rsid w:val="6A545D7A"/>
    <w:rsid w:val="6A54769C"/>
    <w:rsid w:val="6A552686"/>
    <w:rsid w:val="6A56186A"/>
    <w:rsid w:val="6A562BD8"/>
    <w:rsid w:val="6A567D36"/>
    <w:rsid w:val="6A572428"/>
    <w:rsid w:val="6A583E4F"/>
    <w:rsid w:val="6A597F8E"/>
    <w:rsid w:val="6A5A06B4"/>
    <w:rsid w:val="6A5A28A8"/>
    <w:rsid w:val="6A5A3A5A"/>
    <w:rsid w:val="6A5A5055"/>
    <w:rsid w:val="6A5A7A77"/>
    <w:rsid w:val="6A5B1036"/>
    <w:rsid w:val="6A5B754F"/>
    <w:rsid w:val="6A5C1A6F"/>
    <w:rsid w:val="6A5C32BD"/>
    <w:rsid w:val="6A5C344C"/>
    <w:rsid w:val="6A5E2065"/>
    <w:rsid w:val="6A5E36DA"/>
    <w:rsid w:val="6A5E63F6"/>
    <w:rsid w:val="6A5F32A1"/>
    <w:rsid w:val="6A5F496F"/>
    <w:rsid w:val="6A5F5E7F"/>
    <w:rsid w:val="6A601658"/>
    <w:rsid w:val="6A606EBB"/>
    <w:rsid w:val="6A6147E6"/>
    <w:rsid w:val="6A620A2B"/>
    <w:rsid w:val="6A622DBE"/>
    <w:rsid w:val="6A62558C"/>
    <w:rsid w:val="6A626EAF"/>
    <w:rsid w:val="6A63120A"/>
    <w:rsid w:val="6A63265B"/>
    <w:rsid w:val="6A634465"/>
    <w:rsid w:val="6A644177"/>
    <w:rsid w:val="6A6668CE"/>
    <w:rsid w:val="6A68198A"/>
    <w:rsid w:val="6A687C5F"/>
    <w:rsid w:val="6A6B139E"/>
    <w:rsid w:val="6A6C0441"/>
    <w:rsid w:val="6A6D70B4"/>
    <w:rsid w:val="6A6E1D88"/>
    <w:rsid w:val="6A6E4ABD"/>
    <w:rsid w:val="6A705D27"/>
    <w:rsid w:val="6A705DB1"/>
    <w:rsid w:val="6A717B99"/>
    <w:rsid w:val="6A721113"/>
    <w:rsid w:val="6A7279F8"/>
    <w:rsid w:val="6A731776"/>
    <w:rsid w:val="6A743FF8"/>
    <w:rsid w:val="6A747D2D"/>
    <w:rsid w:val="6A766E8E"/>
    <w:rsid w:val="6A771A0E"/>
    <w:rsid w:val="6A775327"/>
    <w:rsid w:val="6A786D8C"/>
    <w:rsid w:val="6A7906FC"/>
    <w:rsid w:val="6A7A3159"/>
    <w:rsid w:val="6A7B2EC1"/>
    <w:rsid w:val="6A7C062B"/>
    <w:rsid w:val="6A7C0F59"/>
    <w:rsid w:val="6A7D7D49"/>
    <w:rsid w:val="6A7E1754"/>
    <w:rsid w:val="6A7E3AD1"/>
    <w:rsid w:val="6A7F39FD"/>
    <w:rsid w:val="6A7F45BF"/>
    <w:rsid w:val="6A7F5402"/>
    <w:rsid w:val="6A7F690E"/>
    <w:rsid w:val="6A80763F"/>
    <w:rsid w:val="6A8120E5"/>
    <w:rsid w:val="6A81306D"/>
    <w:rsid w:val="6A81579B"/>
    <w:rsid w:val="6A831DF7"/>
    <w:rsid w:val="6A841F2A"/>
    <w:rsid w:val="6A844D2F"/>
    <w:rsid w:val="6A845922"/>
    <w:rsid w:val="6A867028"/>
    <w:rsid w:val="6A877182"/>
    <w:rsid w:val="6A8919B9"/>
    <w:rsid w:val="6A8966AD"/>
    <w:rsid w:val="6A8B4D12"/>
    <w:rsid w:val="6A8D43C4"/>
    <w:rsid w:val="6A8D45BC"/>
    <w:rsid w:val="6A8E0838"/>
    <w:rsid w:val="6A8F4052"/>
    <w:rsid w:val="6A8F4802"/>
    <w:rsid w:val="6A926B52"/>
    <w:rsid w:val="6A933E37"/>
    <w:rsid w:val="6A935974"/>
    <w:rsid w:val="6A943CB2"/>
    <w:rsid w:val="6A945A47"/>
    <w:rsid w:val="6A950A69"/>
    <w:rsid w:val="6A955B90"/>
    <w:rsid w:val="6A971C86"/>
    <w:rsid w:val="6A972D26"/>
    <w:rsid w:val="6A990397"/>
    <w:rsid w:val="6A993775"/>
    <w:rsid w:val="6A9A66D9"/>
    <w:rsid w:val="6A9B3E40"/>
    <w:rsid w:val="6A9B5E91"/>
    <w:rsid w:val="6A9C1536"/>
    <w:rsid w:val="6A9C3834"/>
    <w:rsid w:val="6A9C69B3"/>
    <w:rsid w:val="6A9C69D0"/>
    <w:rsid w:val="6A9E5F44"/>
    <w:rsid w:val="6AA01BDD"/>
    <w:rsid w:val="6AA05CF3"/>
    <w:rsid w:val="6AA06083"/>
    <w:rsid w:val="6AA26947"/>
    <w:rsid w:val="6AA27B73"/>
    <w:rsid w:val="6AA40425"/>
    <w:rsid w:val="6AA47874"/>
    <w:rsid w:val="6AA55194"/>
    <w:rsid w:val="6AA55B3D"/>
    <w:rsid w:val="6AA61B4B"/>
    <w:rsid w:val="6AA74E69"/>
    <w:rsid w:val="6AA7617C"/>
    <w:rsid w:val="6AA90413"/>
    <w:rsid w:val="6AAB7091"/>
    <w:rsid w:val="6AAC5675"/>
    <w:rsid w:val="6AAD0FDC"/>
    <w:rsid w:val="6AB01A4C"/>
    <w:rsid w:val="6AB21489"/>
    <w:rsid w:val="6AB24E01"/>
    <w:rsid w:val="6AB3141C"/>
    <w:rsid w:val="6AB31B13"/>
    <w:rsid w:val="6AB31B41"/>
    <w:rsid w:val="6AB37DC4"/>
    <w:rsid w:val="6AB46016"/>
    <w:rsid w:val="6AB52CF2"/>
    <w:rsid w:val="6AB53B3C"/>
    <w:rsid w:val="6AB55830"/>
    <w:rsid w:val="6AB63CAE"/>
    <w:rsid w:val="6AB7328F"/>
    <w:rsid w:val="6AB7447F"/>
    <w:rsid w:val="6AB83120"/>
    <w:rsid w:val="6AB87CD8"/>
    <w:rsid w:val="6AB91C7E"/>
    <w:rsid w:val="6AB92593"/>
    <w:rsid w:val="6ABA55F7"/>
    <w:rsid w:val="6ABA631B"/>
    <w:rsid w:val="6ABC1CE1"/>
    <w:rsid w:val="6ABD0B09"/>
    <w:rsid w:val="6ABD7EB9"/>
    <w:rsid w:val="6ABF2841"/>
    <w:rsid w:val="6ABF3C53"/>
    <w:rsid w:val="6ABF3F4A"/>
    <w:rsid w:val="6ABF454A"/>
    <w:rsid w:val="6AC05966"/>
    <w:rsid w:val="6AC102FC"/>
    <w:rsid w:val="6AC10733"/>
    <w:rsid w:val="6AC202F6"/>
    <w:rsid w:val="6AC26D14"/>
    <w:rsid w:val="6AC332CC"/>
    <w:rsid w:val="6AC40314"/>
    <w:rsid w:val="6AC41411"/>
    <w:rsid w:val="6AC51803"/>
    <w:rsid w:val="6AC5597F"/>
    <w:rsid w:val="6AC560D4"/>
    <w:rsid w:val="6AC56475"/>
    <w:rsid w:val="6AC56CDD"/>
    <w:rsid w:val="6AC65D4A"/>
    <w:rsid w:val="6AC67868"/>
    <w:rsid w:val="6AC87D14"/>
    <w:rsid w:val="6AC90F58"/>
    <w:rsid w:val="6AC92AB8"/>
    <w:rsid w:val="6ACB393E"/>
    <w:rsid w:val="6ACD435A"/>
    <w:rsid w:val="6ACD6899"/>
    <w:rsid w:val="6ACD6944"/>
    <w:rsid w:val="6ACE0490"/>
    <w:rsid w:val="6ACE04CB"/>
    <w:rsid w:val="6ACE2DA2"/>
    <w:rsid w:val="6ACE49D7"/>
    <w:rsid w:val="6ACE4A5B"/>
    <w:rsid w:val="6ACE5C60"/>
    <w:rsid w:val="6ACF6B4A"/>
    <w:rsid w:val="6AD0659B"/>
    <w:rsid w:val="6AD14A77"/>
    <w:rsid w:val="6AD30E30"/>
    <w:rsid w:val="6AD43739"/>
    <w:rsid w:val="6AD4679F"/>
    <w:rsid w:val="6AD55B21"/>
    <w:rsid w:val="6AD66476"/>
    <w:rsid w:val="6AD70D9D"/>
    <w:rsid w:val="6AD81937"/>
    <w:rsid w:val="6AD85A35"/>
    <w:rsid w:val="6ADA30F4"/>
    <w:rsid w:val="6ADB2AD2"/>
    <w:rsid w:val="6ADC780A"/>
    <w:rsid w:val="6ADD20E7"/>
    <w:rsid w:val="6ADF6E0B"/>
    <w:rsid w:val="6AE05804"/>
    <w:rsid w:val="6AE12B83"/>
    <w:rsid w:val="6AE306AA"/>
    <w:rsid w:val="6AE331C0"/>
    <w:rsid w:val="6AE34B4E"/>
    <w:rsid w:val="6AE400AD"/>
    <w:rsid w:val="6AE406E4"/>
    <w:rsid w:val="6AE461D0"/>
    <w:rsid w:val="6AE622CD"/>
    <w:rsid w:val="6AE627D2"/>
    <w:rsid w:val="6AE70CCA"/>
    <w:rsid w:val="6AE715DB"/>
    <w:rsid w:val="6AE72A0E"/>
    <w:rsid w:val="6AE74312"/>
    <w:rsid w:val="6AE832A7"/>
    <w:rsid w:val="6AE85CC0"/>
    <w:rsid w:val="6AEB2500"/>
    <w:rsid w:val="6AEB5A2B"/>
    <w:rsid w:val="6AEC6ED0"/>
    <w:rsid w:val="6AED232B"/>
    <w:rsid w:val="6AED64C8"/>
    <w:rsid w:val="6AF02DC7"/>
    <w:rsid w:val="6AF06853"/>
    <w:rsid w:val="6AF17293"/>
    <w:rsid w:val="6AF2205D"/>
    <w:rsid w:val="6AF36542"/>
    <w:rsid w:val="6AF54154"/>
    <w:rsid w:val="6AF56BA1"/>
    <w:rsid w:val="6AF605F3"/>
    <w:rsid w:val="6AF60ABC"/>
    <w:rsid w:val="6AF64A64"/>
    <w:rsid w:val="6AF652C2"/>
    <w:rsid w:val="6AF74E11"/>
    <w:rsid w:val="6AF75DB5"/>
    <w:rsid w:val="6AF77B29"/>
    <w:rsid w:val="6AF85ADD"/>
    <w:rsid w:val="6AF87AD5"/>
    <w:rsid w:val="6AF87E20"/>
    <w:rsid w:val="6AF9059F"/>
    <w:rsid w:val="6AF97ECD"/>
    <w:rsid w:val="6AFB6D02"/>
    <w:rsid w:val="6AFC1318"/>
    <w:rsid w:val="6AFC436F"/>
    <w:rsid w:val="6AFD2686"/>
    <w:rsid w:val="6AFD5B48"/>
    <w:rsid w:val="6AFE4962"/>
    <w:rsid w:val="6AFE54E3"/>
    <w:rsid w:val="6B003A54"/>
    <w:rsid w:val="6B025F15"/>
    <w:rsid w:val="6B03572E"/>
    <w:rsid w:val="6B050FE6"/>
    <w:rsid w:val="6B0511BA"/>
    <w:rsid w:val="6B0807D1"/>
    <w:rsid w:val="6B0810A2"/>
    <w:rsid w:val="6B082D98"/>
    <w:rsid w:val="6B093645"/>
    <w:rsid w:val="6B096AEE"/>
    <w:rsid w:val="6B0A0941"/>
    <w:rsid w:val="6B0A6824"/>
    <w:rsid w:val="6B0C22D6"/>
    <w:rsid w:val="6B0C7390"/>
    <w:rsid w:val="6B0D00D7"/>
    <w:rsid w:val="6B0E7E3A"/>
    <w:rsid w:val="6B0F45E5"/>
    <w:rsid w:val="6B0F6861"/>
    <w:rsid w:val="6B111D6B"/>
    <w:rsid w:val="6B1342D7"/>
    <w:rsid w:val="6B167C5E"/>
    <w:rsid w:val="6B18174A"/>
    <w:rsid w:val="6B1857E1"/>
    <w:rsid w:val="6B195253"/>
    <w:rsid w:val="6B197DD7"/>
    <w:rsid w:val="6B1A3D1C"/>
    <w:rsid w:val="6B1A6EEE"/>
    <w:rsid w:val="6B1C2930"/>
    <w:rsid w:val="6B1E4A23"/>
    <w:rsid w:val="6B1E7934"/>
    <w:rsid w:val="6B1E7954"/>
    <w:rsid w:val="6B1F1182"/>
    <w:rsid w:val="6B2018FE"/>
    <w:rsid w:val="6B2036AC"/>
    <w:rsid w:val="6B2057BE"/>
    <w:rsid w:val="6B2103CE"/>
    <w:rsid w:val="6B2105B6"/>
    <w:rsid w:val="6B233C07"/>
    <w:rsid w:val="6B235E81"/>
    <w:rsid w:val="6B2445BD"/>
    <w:rsid w:val="6B2461B9"/>
    <w:rsid w:val="6B255CF4"/>
    <w:rsid w:val="6B256F14"/>
    <w:rsid w:val="6B262122"/>
    <w:rsid w:val="6B26274F"/>
    <w:rsid w:val="6B264A3A"/>
    <w:rsid w:val="6B26675D"/>
    <w:rsid w:val="6B274718"/>
    <w:rsid w:val="6B2766F9"/>
    <w:rsid w:val="6B285A80"/>
    <w:rsid w:val="6B2A1688"/>
    <w:rsid w:val="6B2C02A3"/>
    <w:rsid w:val="6B2C186D"/>
    <w:rsid w:val="6B2F1AE8"/>
    <w:rsid w:val="6B305A5E"/>
    <w:rsid w:val="6B314CFF"/>
    <w:rsid w:val="6B322639"/>
    <w:rsid w:val="6B3233DF"/>
    <w:rsid w:val="6B3258C0"/>
    <w:rsid w:val="6B325B96"/>
    <w:rsid w:val="6B3269F9"/>
    <w:rsid w:val="6B336B63"/>
    <w:rsid w:val="6B364C16"/>
    <w:rsid w:val="6B364E48"/>
    <w:rsid w:val="6B3657B6"/>
    <w:rsid w:val="6B3761AE"/>
    <w:rsid w:val="6B377E40"/>
    <w:rsid w:val="6B384912"/>
    <w:rsid w:val="6B3A3561"/>
    <w:rsid w:val="6B3A5B2C"/>
    <w:rsid w:val="6B3A676A"/>
    <w:rsid w:val="6B3B0F8E"/>
    <w:rsid w:val="6B3B6DF2"/>
    <w:rsid w:val="6B3C55A5"/>
    <w:rsid w:val="6B3D4627"/>
    <w:rsid w:val="6B3D4ECA"/>
    <w:rsid w:val="6B3E1D84"/>
    <w:rsid w:val="6B4045F8"/>
    <w:rsid w:val="6B421874"/>
    <w:rsid w:val="6B42498D"/>
    <w:rsid w:val="6B4353A2"/>
    <w:rsid w:val="6B453112"/>
    <w:rsid w:val="6B4626FB"/>
    <w:rsid w:val="6B470DA4"/>
    <w:rsid w:val="6B4720F8"/>
    <w:rsid w:val="6B4839C7"/>
    <w:rsid w:val="6B48612D"/>
    <w:rsid w:val="6B491303"/>
    <w:rsid w:val="6B492632"/>
    <w:rsid w:val="6B4A24D7"/>
    <w:rsid w:val="6B4A315B"/>
    <w:rsid w:val="6B4A76BF"/>
    <w:rsid w:val="6B4A7B73"/>
    <w:rsid w:val="6B4B32EE"/>
    <w:rsid w:val="6B4B3860"/>
    <w:rsid w:val="6B4E36FC"/>
    <w:rsid w:val="6B4F1B0C"/>
    <w:rsid w:val="6B502BDC"/>
    <w:rsid w:val="6B520696"/>
    <w:rsid w:val="6B524A9D"/>
    <w:rsid w:val="6B525E77"/>
    <w:rsid w:val="6B5519D8"/>
    <w:rsid w:val="6B553E5F"/>
    <w:rsid w:val="6B556EDB"/>
    <w:rsid w:val="6B5604E6"/>
    <w:rsid w:val="6B563571"/>
    <w:rsid w:val="6B593399"/>
    <w:rsid w:val="6B5A517F"/>
    <w:rsid w:val="6B5A6073"/>
    <w:rsid w:val="6B5A69BB"/>
    <w:rsid w:val="6B5C045C"/>
    <w:rsid w:val="6B5C7F60"/>
    <w:rsid w:val="6B5E3ABE"/>
    <w:rsid w:val="6B5E457E"/>
    <w:rsid w:val="6B5F58D6"/>
    <w:rsid w:val="6B601CFA"/>
    <w:rsid w:val="6B603C82"/>
    <w:rsid w:val="6B603EF6"/>
    <w:rsid w:val="6B615CDD"/>
    <w:rsid w:val="6B625A72"/>
    <w:rsid w:val="6B6372B8"/>
    <w:rsid w:val="6B64734E"/>
    <w:rsid w:val="6B665591"/>
    <w:rsid w:val="6B6665AC"/>
    <w:rsid w:val="6B69379C"/>
    <w:rsid w:val="6B694BAA"/>
    <w:rsid w:val="6B6A14C2"/>
    <w:rsid w:val="6B6A3698"/>
    <w:rsid w:val="6B6A597B"/>
    <w:rsid w:val="6B6C069F"/>
    <w:rsid w:val="6B6C4B43"/>
    <w:rsid w:val="6B6E00CF"/>
    <w:rsid w:val="6B6E2B17"/>
    <w:rsid w:val="6B6E59C8"/>
    <w:rsid w:val="6B6F5CB7"/>
    <w:rsid w:val="6B6F7080"/>
    <w:rsid w:val="6B70193C"/>
    <w:rsid w:val="6B7141D8"/>
    <w:rsid w:val="6B720495"/>
    <w:rsid w:val="6B725ABA"/>
    <w:rsid w:val="6B7400B4"/>
    <w:rsid w:val="6B7457A6"/>
    <w:rsid w:val="6B751F2E"/>
    <w:rsid w:val="6B760605"/>
    <w:rsid w:val="6B7632CC"/>
    <w:rsid w:val="6B781F5A"/>
    <w:rsid w:val="6B7A0211"/>
    <w:rsid w:val="6B7A7C00"/>
    <w:rsid w:val="6B7B3FE4"/>
    <w:rsid w:val="6B7D0AFE"/>
    <w:rsid w:val="6B7D5667"/>
    <w:rsid w:val="6B7E1240"/>
    <w:rsid w:val="6B7E47C2"/>
    <w:rsid w:val="6B7E4876"/>
    <w:rsid w:val="6B7F53F3"/>
    <w:rsid w:val="6B80239C"/>
    <w:rsid w:val="6B8223F5"/>
    <w:rsid w:val="6B83544C"/>
    <w:rsid w:val="6B837684"/>
    <w:rsid w:val="6B844DD3"/>
    <w:rsid w:val="6B8465D3"/>
    <w:rsid w:val="6B85370F"/>
    <w:rsid w:val="6B85430B"/>
    <w:rsid w:val="6B8743E4"/>
    <w:rsid w:val="6B881251"/>
    <w:rsid w:val="6B885584"/>
    <w:rsid w:val="6B890753"/>
    <w:rsid w:val="6B8952E8"/>
    <w:rsid w:val="6B8A731B"/>
    <w:rsid w:val="6B8A7A27"/>
    <w:rsid w:val="6B8B2204"/>
    <w:rsid w:val="6B8B4168"/>
    <w:rsid w:val="6B8C0682"/>
    <w:rsid w:val="6B8C13F3"/>
    <w:rsid w:val="6B8D163E"/>
    <w:rsid w:val="6B8D2105"/>
    <w:rsid w:val="6B8D2B9F"/>
    <w:rsid w:val="6B8E062E"/>
    <w:rsid w:val="6B8E197E"/>
    <w:rsid w:val="6B8E4092"/>
    <w:rsid w:val="6B8E4AB9"/>
    <w:rsid w:val="6B907150"/>
    <w:rsid w:val="6B9071CF"/>
    <w:rsid w:val="6B910A34"/>
    <w:rsid w:val="6B91760B"/>
    <w:rsid w:val="6B9238D4"/>
    <w:rsid w:val="6B924142"/>
    <w:rsid w:val="6B930322"/>
    <w:rsid w:val="6B932D2D"/>
    <w:rsid w:val="6B940197"/>
    <w:rsid w:val="6B94426C"/>
    <w:rsid w:val="6B95159F"/>
    <w:rsid w:val="6B953DC6"/>
    <w:rsid w:val="6B954908"/>
    <w:rsid w:val="6B95630C"/>
    <w:rsid w:val="6B971A09"/>
    <w:rsid w:val="6B983AF6"/>
    <w:rsid w:val="6B99580A"/>
    <w:rsid w:val="6B997FA7"/>
    <w:rsid w:val="6B9B6FD6"/>
    <w:rsid w:val="6B9C5FAD"/>
    <w:rsid w:val="6B9F1F40"/>
    <w:rsid w:val="6B9F6CC6"/>
    <w:rsid w:val="6BA0659B"/>
    <w:rsid w:val="6BA065E0"/>
    <w:rsid w:val="6BA2545B"/>
    <w:rsid w:val="6BA4103D"/>
    <w:rsid w:val="6BA510EB"/>
    <w:rsid w:val="6BA81DC0"/>
    <w:rsid w:val="6BA940E0"/>
    <w:rsid w:val="6BAA432A"/>
    <w:rsid w:val="6BAA61FB"/>
    <w:rsid w:val="6BAB2EA7"/>
    <w:rsid w:val="6BAB54F4"/>
    <w:rsid w:val="6BAB709E"/>
    <w:rsid w:val="6BAC311E"/>
    <w:rsid w:val="6BAC3191"/>
    <w:rsid w:val="6BAD3913"/>
    <w:rsid w:val="6BAD787D"/>
    <w:rsid w:val="6BAE0C7A"/>
    <w:rsid w:val="6BAE1A18"/>
    <w:rsid w:val="6BAE6F0A"/>
    <w:rsid w:val="6BAF0456"/>
    <w:rsid w:val="6BAF3B15"/>
    <w:rsid w:val="6BAF63A7"/>
    <w:rsid w:val="6BB24C52"/>
    <w:rsid w:val="6BB35A48"/>
    <w:rsid w:val="6BB43DF4"/>
    <w:rsid w:val="6BB5094A"/>
    <w:rsid w:val="6BB64C7B"/>
    <w:rsid w:val="6BB67B6C"/>
    <w:rsid w:val="6BB75731"/>
    <w:rsid w:val="6BB83F2C"/>
    <w:rsid w:val="6BB85477"/>
    <w:rsid w:val="6BB9500C"/>
    <w:rsid w:val="6BBA3B00"/>
    <w:rsid w:val="6BBA4F76"/>
    <w:rsid w:val="6BBA5C71"/>
    <w:rsid w:val="6BBB5EAF"/>
    <w:rsid w:val="6BBC0B53"/>
    <w:rsid w:val="6BBD6E18"/>
    <w:rsid w:val="6BBD75EC"/>
    <w:rsid w:val="6BBE16CA"/>
    <w:rsid w:val="6BBF3D83"/>
    <w:rsid w:val="6BBF7046"/>
    <w:rsid w:val="6BC06C3D"/>
    <w:rsid w:val="6BC168C6"/>
    <w:rsid w:val="6BC25822"/>
    <w:rsid w:val="6BC34A27"/>
    <w:rsid w:val="6BC35469"/>
    <w:rsid w:val="6BC37D77"/>
    <w:rsid w:val="6BC37E09"/>
    <w:rsid w:val="6BC57FA6"/>
    <w:rsid w:val="6BC76F9F"/>
    <w:rsid w:val="6BC84EEE"/>
    <w:rsid w:val="6BC90EC5"/>
    <w:rsid w:val="6BC926C5"/>
    <w:rsid w:val="6BC934DD"/>
    <w:rsid w:val="6BCA0F9A"/>
    <w:rsid w:val="6BCA3EC0"/>
    <w:rsid w:val="6BCA5F97"/>
    <w:rsid w:val="6BCC7390"/>
    <w:rsid w:val="6BCE5436"/>
    <w:rsid w:val="6BCF65B1"/>
    <w:rsid w:val="6BD11C33"/>
    <w:rsid w:val="6BD21BD2"/>
    <w:rsid w:val="6BD257E8"/>
    <w:rsid w:val="6BD359A2"/>
    <w:rsid w:val="6BD50693"/>
    <w:rsid w:val="6BD54B45"/>
    <w:rsid w:val="6BD61E2E"/>
    <w:rsid w:val="6BD77DD9"/>
    <w:rsid w:val="6BDA223B"/>
    <w:rsid w:val="6BDA53B5"/>
    <w:rsid w:val="6BDB7A8C"/>
    <w:rsid w:val="6BDC0955"/>
    <w:rsid w:val="6BDC7308"/>
    <w:rsid w:val="6BDD0689"/>
    <w:rsid w:val="6BDD1099"/>
    <w:rsid w:val="6BDE5228"/>
    <w:rsid w:val="6BDF45E8"/>
    <w:rsid w:val="6BDF6061"/>
    <w:rsid w:val="6BDF6E28"/>
    <w:rsid w:val="6BE13B05"/>
    <w:rsid w:val="6BE16A54"/>
    <w:rsid w:val="6BE17DD5"/>
    <w:rsid w:val="6BE4292B"/>
    <w:rsid w:val="6BE458F0"/>
    <w:rsid w:val="6BE4598E"/>
    <w:rsid w:val="6BE50451"/>
    <w:rsid w:val="6BE55EB2"/>
    <w:rsid w:val="6BE66F5C"/>
    <w:rsid w:val="6BE93849"/>
    <w:rsid w:val="6BEA2CB5"/>
    <w:rsid w:val="6BEC17E0"/>
    <w:rsid w:val="6BEC79A1"/>
    <w:rsid w:val="6BEE37AA"/>
    <w:rsid w:val="6BEE4A92"/>
    <w:rsid w:val="6BF012D0"/>
    <w:rsid w:val="6BF03712"/>
    <w:rsid w:val="6BF22B17"/>
    <w:rsid w:val="6BF30ED6"/>
    <w:rsid w:val="6BF32AD4"/>
    <w:rsid w:val="6BF44592"/>
    <w:rsid w:val="6BF52482"/>
    <w:rsid w:val="6BF56955"/>
    <w:rsid w:val="6BF66546"/>
    <w:rsid w:val="6BF66D52"/>
    <w:rsid w:val="6BF76882"/>
    <w:rsid w:val="6BF817D1"/>
    <w:rsid w:val="6BFA02A5"/>
    <w:rsid w:val="6BFB3C2F"/>
    <w:rsid w:val="6BFB7C75"/>
    <w:rsid w:val="6BFC106D"/>
    <w:rsid w:val="6BFC1859"/>
    <w:rsid w:val="6BFD0136"/>
    <w:rsid w:val="6BFF5AB2"/>
    <w:rsid w:val="6C00340F"/>
    <w:rsid w:val="6C00439F"/>
    <w:rsid w:val="6C0048E3"/>
    <w:rsid w:val="6C007039"/>
    <w:rsid w:val="6C012EB7"/>
    <w:rsid w:val="6C036203"/>
    <w:rsid w:val="6C04397A"/>
    <w:rsid w:val="6C050983"/>
    <w:rsid w:val="6C0528A2"/>
    <w:rsid w:val="6C071B75"/>
    <w:rsid w:val="6C074BF7"/>
    <w:rsid w:val="6C08526F"/>
    <w:rsid w:val="6C0872A7"/>
    <w:rsid w:val="6C096AF8"/>
    <w:rsid w:val="6C0A6595"/>
    <w:rsid w:val="6C0B0A0F"/>
    <w:rsid w:val="6C0B1BC7"/>
    <w:rsid w:val="6C0C1E82"/>
    <w:rsid w:val="6C0E1756"/>
    <w:rsid w:val="6C1113A0"/>
    <w:rsid w:val="6C115BE0"/>
    <w:rsid w:val="6C134FBF"/>
    <w:rsid w:val="6C13500E"/>
    <w:rsid w:val="6C147514"/>
    <w:rsid w:val="6C156A6A"/>
    <w:rsid w:val="6C156C6B"/>
    <w:rsid w:val="6C164478"/>
    <w:rsid w:val="6C16552D"/>
    <w:rsid w:val="6C183168"/>
    <w:rsid w:val="6C184855"/>
    <w:rsid w:val="6C190C46"/>
    <w:rsid w:val="6C192DAA"/>
    <w:rsid w:val="6C1C2845"/>
    <w:rsid w:val="6C1D039B"/>
    <w:rsid w:val="6C1D153D"/>
    <w:rsid w:val="6C1D5D73"/>
    <w:rsid w:val="6C1D6B8A"/>
    <w:rsid w:val="6C1E224E"/>
    <w:rsid w:val="6C1E697C"/>
    <w:rsid w:val="6C1F048A"/>
    <w:rsid w:val="6C1F1275"/>
    <w:rsid w:val="6C1F72E3"/>
    <w:rsid w:val="6C20324B"/>
    <w:rsid w:val="6C215B15"/>
    <w:rsid w:val="6C216B43"/>
    <w:rsid w:val="6C227E8E"/>
    <w:rsid w:val="6C244080"/>
    <w:rsid w:val="6C2519F5"/>
    <w:rsid w:val="6C262F44"/>
    <w:rsid w:val="6C264CF2"/>
    <w:rsid w:val="6C267E07"/>
    <w:rsid w:val="6C2747E8"/>
    <w:rsid w:val="6C283E08"/>
    <w:rsid w:val="6C292A34"/>
    <w:rsid w:val="6C2A003F"/>
    <w:rsid w:val="6C2B2559"/>
    <w:rsid w:val="6C2C4626"/>
    <w:rsid w:val="6C2C5CC2"/>
    <w:rsid w:val="6C2D0305"/>
    <w:rsid w:val="6C2D16C3"/>
    <w:rsid w:val="6C2D1D71"/>
    <w:rsid w:val="6C2D78A2"/>
    <w:rsid w:val="6C2E042E"/>
    <w:rsid w:val="6C2E1DF8"/>
    <w:rsid w:val="6C2E30D8"/>
    <w:rsid w:val="6C2F0939"/>
    <w:rsid w:val="6C30322D"/>
    <w:rsid w:val="6C304074"/>
    <w:rsid w:val="6C304A1A"/>
    <w:rsid w:val="6C305B5B"/>
    <w:rsid w:val="6C30647A"/>
    <w:rsid w:val="6C306916"/>
    <w:rsid w:val="6C314AC6"/>
    <w:rsid w:val="6C324D40"/>
    <w:rsid w:val="6C330125"/>
    <w:rsid w:val="6C3344AB"/>
    <w:rsid w:val="6C3361BE"/>
    <w:rsid w:val="6C336E2D"/>
    <w:rsid w:val="6C347ABF"/>
    <w:rsid w:val="6C353187"/>
    <w:rsid w:val="6C355DCB"/>
    <w:rsid w:val="6C360543"/>
    <w:rsid w:val="6C370E8F"/>
    <w:rsid w:val="6C375784"/>
    <w:rsid w:val="6C376EFF"/>
    <w:rsid w:val="6C3953F5"/>
    <w:rsid w:val="6C3A62AA"/>
    <w:rsid w:val="6C3B628C"/>
    <w:rsid w:val="6C3C612D"/>
    <w:rsid w:val="6C3C61AE"/>
    <w:rsid w:val="6C3C69C2"/>
    <w:rsid w:val="6C3D2B39"/>
    <w:rsid w:val="6C3E1E6F"/>
    <w:rsid w:val="6C3E5F0F"/>
    <w:rsid w:val="6C3F72A4"/>
    <w:rsid w:val="6C411B2C"/>
    <w:rsid w:val="6C411C3F"/>
    <w:rsid w:val="6C41570E"/>
    <w:rsid w:val="6C435C74"/>
    <w:rsid w:val="6C464AB7"/>
    <w:rsid w:val="6C466329"/>
    <w:rsid w:val="6C471623"/>
    <w:rsid w:val="6C4767BC"/>
    <w:rsid w:val="6C4850C1"/>
    <w:rsid w:val="6C4933A0"/>
    <w:rsid w:val="6C4939AA"/>
    <w:rsid w:val="6C4B305B"/>
    <w:rsid w:val="6C4C04D0"/>
    <w:rsid w:val="6C4D699F"/>
    <w:rsid w:val="6C4F3FDF"/>
    <w:rsid w:val="6C4F53D2"/>
    <w:rsid w:val="6C506213"/>
    <w:rsid w:val="6C507B8C"/>
    <w:rsid w:val="6C5231A5"/>
    <w:rsid w:val="6C525DDF"/>
    <w:rsid w:val="6C530AD1"/>
    <w:rsid w:val="6C53185F"/>
    <w:rsid w:val="6C5318CC"/>
    <w:rsid w:val="6C531CB6"/>
    <w:rsid w:val="6C553217"/>
    <w:rsid w:val="6C553829"/>
    <w:rsid w:val="6C557A13"/>
    <w:rsid w:val="6C562614"/>
    <w:rsid w:val="6C575381"/>
    <w:rsid w:val="6C583611"/>
    <w:rsid w:val="6C585822"/>
    <w:rsid w:val="6C591900"/>
    <w:rsid w:val="6C5A0241"/>
    <w:rsid w:val="6C5A126F"/>
    <w:rsid w:val="6C5A23C9"/>
    <w:rsid w:val="6C5B31DA"/>
    <w:rsid w:val="6C5C247B"/>
    <w:rsid w:val="6C5D168E"/>
    <w:rsid w:val="6C5D5F26"/>
    <w:rsid w:val="6C5D665C"/>
    <w:rsid w:val="6C5D685A"/>
    <w:rsid w:val="6C5E0609"/>
    <w:rsid w:val="6C5E554C"/>
    <w:rsid w:val="6C5F31E0"/>
    <w:rsid w:val="6C5F719A"/>
    <w:rsid w:val="6C600E7C"/>
    <w:rsid w:val="6C6203E0"/>
    <w:rsid w:val="6C621AA2"/>
    <w:rsid w:val="6C624148"/>
    <w:rsid w:val="6C62769C"/>
    <w:rsid w:val="6C627CF4"/>
    <w:rsid w:val="6C630B72"/>
    <w:rsid w:val="6C632D2D"/>
    <w:rsid w:val="6C636C38"/>
    <w:rsid w:val="6C6404FA"/>
    <w:rsid w:val="6C645B4E"/>
    <w:rsid w:val="6C66223B"/>
    <w:rsid w:val="6C6670D7"/>
    <w:rsid w:val="6C667F74"/>
    <w:rsid w:val="6C671861"/>
    <w:rsid w:val="6C697280"/>
    <w:rsid w:val="6C6A4D4A"/>
    <w:rsid w:val="6C6A7AF7"/>
    <w:rsid w:val="6C6B65E0"/>
    <w:rsid w:val="6C6B6BA9"/>
    <w:rsid w:val="6C6B7438"/>
    <w:rsid w:val="6C6C6D23"/>
    <w:rsid w:val="6C6D0B73"/>
    <w:rsid w:val="6C6F3F81"/>
    <w:rsid w:val="6C6F4819"/>
    <w:rsid w:val="6C700348"/>
    <w:rsid w:val="6C700663"/>
    <w:rsid w:val="6C7055D4"/>
    <w:rsid w:val="6C723A80"/>
    <w:rsid w:val="6C7321E0"/>
    <w:rsid w:val="6C733CAF"/>
    <w:rsid w:val="6C734895"/>
    <w:rsid w:val="6C756576"/>
    <w:rsid w:val="6C76042B"/>
    <w:rsid w:val="6C7633F1"/>
    <w:rsid w:val="6C765D11"/>
    <w:rsid w:val="6C770B6C"/>
    <w:rsid w:val="6C774780"/>
    <w:rsid w:val="6C774D8C"/>
    <w:rsid w:val="6C78022F"/>
    <w:rsid w:val="6C7815C3"/>
    <w:rsid w:val="6C7A60CE"/>
    <w:rsid w:val="6C7B0AF4"/>
    <w:rsid w:val="6C7C0286"/>
    <w:rsid w:val="6C7D17E1"/>
    <w:rsid w:val="6C7D300C"/>
    <w:rsid w:val="6C7D37D3"/>
    <w:rsid w:val="6C816E46"/>
    <w:rsid w:val="6C82233C"/>
    <w:rsid w:val="6C824071"/>
    <w:rsid w:val="6C827D59"/>
    <w:rsid w:val="6C832144"/>
    <w:rsid w:val="6C870C34"/>
    <w:rsid w:val="6C8714F7"/>
    <w:rsid w:val="6C880A65"/>
    <w:rsid w:val="6C882042"/>
    <w:rsid w:val="6C89401B"/>
    <w:rsid w:val="6C8950A2"/>
    <w:rsid w:val="6C8A26AA"/>
    <w:rsid w:val="6C8A3DBD"/>
    <w:rsid w:val="6C8D6098"/>
    <w:rsid w:val="6C8E0177"/>
    <w:rsid w:val="6C910174"/>
    <w:rsid w:val="6C912829"/>
    <w:rsid w:val="6C914043"/>
    <w:rsid w:val="6C920101"/>
    <w:rsid w:val="6C931433"/>
    <w:rsid w:val="6C940BF4"/>
    <w:rsid w:val="6C944351"/>
    <w:rsid w:val="6C947713"/>
    <w:rsid w:val="6C961B12"/>
    <w:rsid w:val="6C962196"/>
    <w:rsid w:val="6C975BF0"/>
    <w:rsid w:val="6C976B79"/>
    <w:rsid w:val="6C97799E"/>
    <w:rsid w:val="6C9821D3"/>
    <w:rsid w:val="6C9867AB"/>
    <w:rsid w:val="6C9A02F1"/>
    <w:rsid w:val="6C9A123C"/>
    <w:rsid w:val="6C9C1458"/>
    <w:rsid w:val="6C9C3206"/>
    <w:rsid w:val="6C9D0E62"/>
    <w:rsid w:val="6C9E0085"/>
    <w:rsid w:val="6C9E07B8"/>
    <w:rsid w:val="6C9E12C3"/>
    <w:rsid w:val="6C9E54DD"/>
    <w:rsid w:val="6C9F105F"/>
    <w:rsid w:val="6CA02204"/>
    <w:rsid w:val="6CA04582"/>
    <w:rsid w:val="6CA0672B"/>
    <w:rsid w:val="6CA101E9"/>
    <w:rsid w:val="6CA16A6E"/>
    <w:rsid w:val="6CA21463"/>
    <w:rsid w:val="6CA23AAB"/>
    <w:rsid w:val="6CA336A1"/>
    <w:rsid w:val="6CA6617A"/>
    <w:rsid w:val="6CA70D5D"/>
    <w:rsid w:val="6CA74B03"/>
    <w:rsid w:val="6CA755F6"/>
    <w:rsid w:val="6CA76731"/>
    <w:rsid w:val="6CA76BA2"/>
    <w:rsid w:val="6CAB3449"/>
    <w:rsid w:val="6CAB7D77"/>
    <w:rsid w:val="6CAC18F2"/>
    <w:rsid w:val="6CAD0D99"/>
    <w:rsid w:val="6CAF118B"/>
    <w:rsid w:val="6CB0377A"/>
    <w:rsid w:val="6CB051C2"/>
    <w:rsid w:val="6CB15DA6"/>
    <w:rsid w:val="6CB22A29"/>
    <w:rsid w:val="6CB23970"/>
    <w:rsid w:val="6CB30A34"/>
    <w:rsid w:val="6CB3245F"/>
    <w:rsid w:val="6CB408A8"/>
    <w:rsid w:val="6CB41900"/>
    <w:rsid w:val="6CB44C0D"/>
    <w:rsid w:val="6CB46873"/>
    <w:rsid w:val="6CB542C8"/>
    <w:rsid w:val="6CB57E24"/>
    <w:rsid w:val="6CB7133F"/>
    <w:rsid w:val="6CB71564"/>
    <w:rsid w:val="6CB727A3"/>
    <w:rsid w:val="6CB810F5"/>
    <w:rsid w:val="6CB91600"/>
    <w:rsid w:val="6CB97887"/>
    <w:rsid w:val="6CBA28C7"/>
    <w:rsid w:val="6CBC11B2"/>
    <w:rsid w:val="6CBD1A44"/>
    <w:rsid w:val="6CBD213F"/>
    <w:rsid w:val="6CBD4359"/>
    <w:rsid w:val="6CBD4F2A"/>
    <w:rsid w:val="6CBE112C"/>
    <w:rsid w:val="6CBE25D7"/>
    <w:rsid w:val="6CBF1C1C"/>
    <w:rsid w:val="6CBF1D0A"/>
    <w:rsid w:val="6CBF564D"/>
    <w:rsid w:val="6CC008FD"/>
    <w:rsid w:val="6CC00DD4"/>
    <w:rsid w:val="6CC07497"/>
    <w:rsid w:val="6CC131E5"/>
    <w:rsid w:val="6CC1344F"/>
    <w:rsid w:val="6CC2541F"/>
    <w:rsid w:val="6CC462B9"/>
    <w:rsid w:val="6CC60972"/>
    <w:rsid w:val="6CC63C93"/>
    <w:rsid w:val="6CC71532"/>
    <w:rsid w:val="6CC84ED2"/>
    <w:rsid w:val="6CC8760E"/>
    <w:rsid w:val="6CC926F8"/>
    <w:rsid w:val="6CCB33AC"/>
    <w:rsid w:val="6CCD0BD4"/>
    <w:rsid w:val="6CCD2C56"/>
    <w:rsid w:val="6CCE7F95"/>
    <w:rsid w:val="6CCF087B"/>
    <w:rsid w:val="6CCF2574"/>
    <w:rsid w:val="6CCF25A3"/>
    <w:rsid w:val="6CCF6287"/>
    <w:rsid w:val="6CD143EF"/>
    <w:rsid w:val="6CD2264A"/>
    <w:rsid w:val="6CD35E80"/>
    <w:rsid w:val="6CD41BED"/>
    <w:rsid w:val="6CD47248"/>
    <w:rsid w:val="6CD60948"/>
    <w:rsid w:val="6CD63852"/>
    <w:rsid w:val="6CD7423E"/>
    <w:rsid w:val="6CD97912"/>
    <w:rsid w:val="6CDC6D32"/>
    <w:rsid w:val="6CDC7434"/>
    <w:rsid w:val="6CDD20BD"/>
    <w:rsid w:val="6CDD6754"/>
    <w:rsid w:val="6CDE34DB"/>
    <w:rsid w:val="6CDF2F51"/>
    <w:rsid w:val="6CE037ED"/>
    <w:rsid w:val="6CE04E8A"/>
    <w:rsid w:val="6CE1330F"/>
    <w:rsid w:val="6CE21128"/>
    <w:rsid w:val="6CE230A4"/>
    <w:rsid w:val="6CE3136F"/>
    <w:rsid w:val="6CE32CCA"/>
    <w:rsid w:val="6CE40B70"/>
    <w:rsid w:val="6CE4761B"/>
    <w:rsid w:val="6CE6694F"/>
    <w:rsid w:val="6CE7368A"/>
    <w:rsid w:val="6CE73A51"/>
    <w:rsid w:val="6CE84741"/>
    <w:rsid w:val="6CE9242B"/>
    <w:rsid w:val="6CE92922"/>
    <w:rsid w:val="6CEB398F"/>
    <w:rsid w:val="6CEB7140"/>
    <w:rsid w:val="6CEB7E0F"/>
    <w:rsid w:val="6CEC008C"/>
    <w:rsid w:val="6CEC3519"/>
    <w:rsid w:val="6CED0BAF"/>
    <w:rsid w:val="6CEF3893"/>
    <w:rsid w:val="6CEF70B6"/>
    <w:rsid w:val="6CF05300"/>
    <w:rsid w:val="6CF070AE"/>
    <w:rsid w:val="6CF14720"/>
    <w:rsid w:val="6CF249EC"/>
    <w:rsid w:val="6CF5030C"/>
    <w:rsid w:val="6CF52916"/>
    <w:rsid w:val="6CF63323"/>
    <w:rsid w:val="6CF65C61"/>
    <w:rsid w:val="6CF75FFE"/>
    <w:rsid w:val="6CF80E33"/>
    <w:rsid w:val="6CF918AD"/>
    <w:rsid w:val="6CF94468"/>
    <w:rsid w:val="6CFA1F84"/>
    <w:rsid w:val="6CFA2076"/>
    <w:rsid w:val="6CFA3DC4"/>
    <w:rsid w:val="6CFA4E4C"/>
    <w:rsid w:val="6CFA7F2C"/>
    <w:rsid w:val="6CFB07D9"/>
    <w:rsid w:val="6CFC1EF7"/>
    <w:rsid w:val="6CFC3F2C"/>
    <w:rsid w:val="6CFD54F3"/>
    <w:rsid w:val="6CFD7C41"/>
    <w:rsid w:val="6CFE5C6F"/>
    <w:rsid w:val="6CFE61F2"/>
    <w:rsid w:val="6D022CF9"/>
    <w:rsid w:val="6D030EEE"/>
    <w:rsid w:val="6D031357"/>
    <w:rsid w:val="6D05649C"/>
    <w:rsid w:val="6D057682"/>
    <w:rsid w:val="6D062D75"/>
    <w:rsid w:val="6D0634C3"/>
    <w:rsid w:val="6D065BA5"/>
    <w:rsid w:val="6D0668D1"/>
    <w:rsid w:val="6D07253F"/>
    <w:rsid w:val="6D08248F"/>
    <w:rsid w:val="6D096B94"/>
    <w:rsid w:val="6D0A0E29"/>
    <w:rsid w:val="6D0A63C2"/>
    <w:rsid w:val="6D0B3F38"/>
    <w:rsid w:val="6D0B758F"/>
    <w:rsid w:val="6D0C6516"/>
    <w:rsid w:val="6D0D7FC9"/>
    <w:rsid w:val="6D0E2E7E"/>
    <w:rsid w:val="6D0E4542"/>
    <w:rsid w:val="6D0E5D52"/>
    <w:rsid w:val="6D0E5D89"/>
    <w:rsid w:val="6D0F44B7"/>
    <w:rsid w:val="6D10039F"/>
    <w:rsid w:val="6D10070D"/>
    <w:rsid w:val="6D105E98"/>
    <w:rsid w:val="6D107B3A"/>
    <w:rsid w:val="6D11512A"/>
    <w:rsid w:val="6D152631"/>
    <w:rsid w:val="6D154930"/>
    <w:rsid w:val="6D15739E"/>
    <w:rsid w:val="6D1657E1"/>
    <w:rsid w:val="6D177E1E"/>
    <w:rsid w:val="6D187D25"/>
    <w:rsid w:val="6D187D46"/>
    <w:rsid w:val="6D196605"/>
    <w:rsid w:val="6D1B128B"/>
    <w:rsid w:val="6D1C2C31"/>
    <w:rsid w:val="6D1C3859"/>
    <w:rsid w:val="6D1D0375"/>
    <w:rsid w:val="6D1D2CFE"/>
    <w:rsid w:val="6D1E5D16"/>
    <w:rsid w:val="6D1F5F77"/>
    <w:rsid w:val="6D1F64C4"/>
    <w:rsid w:val="6D21370B"/>
    <w:rsid w:val="6D2225C7"/>
    <w:rsid w:val="6D2248C1"/>
    <w:rsid w:val="6D235DA9"/>
    <w:rsid w:val="6D2371C9"/>
    <w:rsid w:val="6D2477FA"/>
    <w:rsid w:val="6D251FBF"/>
    <w:rsid w:val="6D263DE7"/>
    <w:rsid w:val="6D284922"/>
    <w:rsid w:val="6D2869AA"/>
    <w:rsid w:val="6D2876FB"/>
    <w:rsid w:val="6D2A0812"/>
    <w:rsid w:val="6D2A25C0"/>
    <w:rsid w:val="6D2B3A74"/>
    <w:rsid w:val="6D2E0D45"/>
    <w:rsid w:val="6D2E4DB5"/>
    <w:rsid w:val="6D2E7E68"/>
    <w:rsid w:val="6D2F146A"/>
    <w:rsid w:val="6D2F6351"/>
    <w:rsid w:val="6D31375B"/>
    <w:rsid w:val="6D314ABF"/>
    <w:rsid w:val="6D315BEC"/>
    <w:rsid w:val="6D317977"/>
    <w:rsid w:val="6D321474"/>
    <w:rsid w:val="6D330FD2"/>
    <w:rsid w:val="6D331A0B"/>
    <w:rsid w:val="6D3379B4"/>
    <w:rsid w:val="6D344F04"/>
    <w:rsid w:val="6D357497"/>
    <w:rsid w:val="6D3677DC"/>
    <w:rsid w:val="6D36783A"/>
    <w:rsid w:val="6D375A86"/>
    <w:rsid w:val="6D382B86"/>
    <w:rsid w:val="6D383616"/>
    <w:rsid w:val="6D390305"/>
    <w:rsid w:val="6D392562"/>
    <w:rsid w:val="6D392803"/>
    <w:rsid w:val="6D395B8D"/>
    <w:rsid w:val="6D396CA7"/>
    <w:rsid w:val="6D3A3D6E"/>
    <w:rsid w:val="6D3B062F"/>
    <w:rsid w:val="6D3B1992"/>
    <w:rsid w:val="6D3C05F9"/>
    <w:rsid w:val="6D3C1F86"/>
    <w:rsid w:val="6D3C5305"/>
    <w:rsid w:val="6D3F4E55"/>
    <w:rsid w:val="6D415B5B"/>
    <w:rsid w:val="6D416B43"/>
    <w:rsid w:val="6D420156"/>
    <w:rsid w:val="6D42599A"/>
    <w:rsid w:val="6D4425B3"/>
    <w:rsid w:val="6D4509F6"/>
    <w:rsid w:val="6D452452"/>
    <w:rsid w:val="6D454776"/>
    <w:rsid w:val="6D462A0E"/>
    <w:rsid w:val="6D4713C4"/>
    <w:rsid w:val="6D472E16"/>
    <w:rsid w:val="6D474413"/>
    <w:rsid w:val="6D476378"/>
    <w:rsid w:val="6D480C98"/>
    <w:rsid w:val="6D485409"/>
    <w:rsid w:val="6D48652F"/>
    <w:rsid w:val="6D487921"/>
    <w:rsid w:val="6D4908C8"/>
    <w:rsid w:val="6D496C1F"/>
    <w:rsid w:val="6D4C0B8C"/>
    <w:rsid w:val="6D4E1231"/>
    <w:rsid w:val="6D4F4B88"/>
    <w:rsid w:val="6D4F4EEA"/>
    <w:rsid w:val="6D5006B7"/>
    <w:rsid w:val="6D500B0B"/>
    <w:rsid w:val="6D5111D6"/>
    <w:rsid w:val="6D520091"/>
    <w:rsid w:val="6D521F74"/>
    <w:rsid w:val="6D54577C"/>
    <w:rsid w:val="6D5512C0"/>
    <w:rsid w:val="6D5608B2"/>
    <w:rsid w:val="6D5667A6"/>
    <w:rsid w:val="6D566CB1"/>
    <w:rsid w:val="6D567859"/>
    <w:rsid w:val="6D567F21"/>
    <w:rsid w:val="6D582BEF"/>
    <w:rsid w:val="6D582D1E"/>
    <w:rsid w:val="6D5860E1"/>
    <w:rsid w:val="6D591470"/>
    <w:rsid w:val="6D5940CF"/>
    <w:rsid w:val="6D5A526C"/>
    <w:rsid w:val="6D5B7640"/>
    <w:rsid w:val="6D5D0600"/>
    <w:rsid w:val="6D5D0794"/>
    <w:rsid w:val="6D5D08EA"/>
    <w:rsid w:val="6D5D40D0"/>
    <w:rsid w:val="6D5D669F"/>
    <w:rsid w:val="6D5E1220"/>
    <w:rsid w:val="6D5E33D3"/>
    <w:rsid w:val="6D60048C"/>
    <w:rsid w:val="6D602485"/>
    <w:rsid w:val="6D602AA1"/>
    <w:rsid w:val="6D611FDB"/>
    <w:rsid w:val="6D6205FC"/>
    <w:rsid w:val="6D62257F"/>
    <w:rsid w:val="6D632846"/>
    <w:rsid w:val="6D63467E"/>
    <w:rsid w:val="6D641974"/>
    <w:rsid w:val="6D666636"/>
    <w:rsid w:val="6D6963EB"/>
    <w:rsid w:val="6D6B163A"/>
    <w:rsid w:val="6D6B6EF8"/>
    <w:rsid w:val="6D6B784F"/>
    <w:rsid w:val="6D6C2DEC"/>
    <w:rsid w:val="6D6D06FE"/>
    <w:rsid w:val="6D6D5D69"/>
    <w:rsid w:val="6D6D671A"/>
    <w:rsid w:val="6D6E6502"/>
    <w:rsid w:val="6D6F0E7A"/>
    <w:rsid w:val="6D7066B1"/>
    <w:rsid w:val="6D716441"/>
    <w:rsid w:val="6D716FD6"/>
    <w:rsid w:val="6D745F31"/>
    <w:rsid w:val="6D7517B1"/>
    <w:rsid w:val="6D753E86"/>
    <w:rsid w:val="6D757F63"/>
    <w:rsid w:val="6D76125D"/>
    <w:rsid w:val="6D763A57"/>
    <w:rsid w:val="6D765F06"/>
    <w:rsid w:val="6D7749A3"/>
    <w:rsid w:val="6D7900BF"/>
    <w:rsid w:val="6D7A2EF4"/>
    <w:rsid w:val="6D7B36A5"/>
    <w:rsid w:val="6D7B5E7C"/>
    <w:rsid w:val="6D7B61BC"/>
    <w:rsid w:val="6D7B640B"/>
    <w:rsid w:val="6D7B76B7"/>
    <w:rsid w:val="6D7D73E3"/>
    <w:rsid w:val="6D7E0FF0"/>
    <w:rsid w:val="6D7E6FA5"/>
    <w:rsid w:val="6D7F38DC"/>
    <w:rsid w:val="6D7F553A"/>
    <w:rsid w:val="6D8167B4"/>
    <w:rsid w:val="6D834D1D"/>
    <w:rsid w:val="6D842996"/>
    <w:rsid w:val="6D844788"/>
    <w:rsid w:val="6D851CD7"/>
    <w:rsid w:val="6D881F71"/>
    <w:rsid w:val="6D884DF7"/>
    <w:rsid w:val="6D887BB6"/>
    <w:rsid w:val="6D8917BE"/>
    <w:rsid w:val="6D8A5D20"/>
    <w:rsid w:val="6D8A7502"/>
    <w:rsid w:val="6D8B1382"/>
    <w:rsid w:val="6D8B1A0E"/>
    <w:rsid w:val="6D8B1D1F"/>
    <w:rsid w:val="6D8D3894"/>
    <w:rsid w:val="6D8E2DB8"/>
    <w:rsid w:val="6D8E325C"/>
    <w:rsid w:val="6D8E6FF3"/>
    <w:rsid w:val="6D8F2EDC"/>
    <w:rsid w:val="6D9025EA"/>
    <w:rsid w:val="6D913D7F"/>
    <w:rsid w:val="6D92213D"/>
    <w:rsid w:val="6D934810"/>
    <w:rsid w:val="6D9372DB"/>
    <w:rsid w:val="6D940263"/>
    <w:rsid w:val="6D954E81"/>
    <w:rsid w:val="6D957426"/>
    <w:rsid w:val="6D960B82"/>
    <w:rsid w:val="6D9666DA"/>
    <w:rsid w:val="6D995035"/>
    <w:rsid w:val="6D996ED1"/>
    <w:rsid w:val="6D9A7925"/>
    <w:rsid w:val="6D9B1EA6"/>
    <w:rsid w:val="6D9C18AD"/>
    <w:rsid w:val="6D9C36C5"/>
    <w:rsid w:val="6D9D669B"/>
    <w:rsid w:val="6D9E1D61"/>
    <w:rsid w:val="6D9E43E9"/>
    <w:rsid w:val="6D9E632E"/>
    <w:rsid w:val="6D9E6B0A"/>
    <w:rsid w:val="6D9F07B0"/>
    <w:rsid w:val="6DA02C9B"/>
    <w:rsid w:val="6DA20CFA"/>
    <w:rsid w:val="6DA241E4"/>
    <w:rsid w:val="6DA32372"/>
    <w:rsid w:val="6DA33093"/>
    <w:rsid w:val="6DA337BB"/>
    <w:rsid w:val="6DA365DC"/>
    <w:rsid w:val="6DA51573"/>
    <w:rsid w:val="6DA75ACB"/>
    <w:rsid w:val="6DA7656E"/>
    <w:rsid w:val="6DA77CEF"/>
    <w:rsid w:val="6DA8583E"/>
    <w:rsid w:val="6DA85BDA"/>
    <w:rsid w:val="6DA866B2"/>
    <w:rsid w:val="6DA9356F"/>
    <w:rsid w:val="6DAA5CEC"/>
    <w:rsid w:val="6DAB6C6B"/>
    <w:rsid w:val="6DAC688D"/>
    <w:rsid w:val="6DAD31F1"/>
    <w:rsid w:val="6DAD4F9F"/>
    <w:rsid w:val="6DAD77C1"/>
    <w:rsid w:val="6DAE1F9A"/>
    <w:rsid w:val="6DAE5087"/>
    <w:rsid w:val="6DAF766B"/>
    <w:rsid w:val="6DB029F6"/>
    <w:rsid w:val="6DB12A6B"/>
    <w:rsid w:val="6DB148D3"/>
    <w:rsid w:val="6DB16858"/>
    <w:rsid w:val="6DB25026"/>
    <w:rsid w:val="6DB25783"/>
    <w:rsid w:val="6DB30807"/>
    <w:rsid w:val="6DB33382"/>
    <w:rsid w:val="6DB34098"/>
    <w:rsid w:val="6DB3497A"/>
    <w:rsid w:val="6DB41D5F"/>
    <w:rsid w:val="6DB420E0"/>
    <w:rsid w:val="6DB52F3F"/>
    <w:rsid w:val="6DB545B6"/>
    <w:rsid w:val="6DB549B7"/>
    <w:rsid w:val="6DB649AC"/>
    <w:rsid w:val="6DB91B96"/>
    <w:rsid w:val="6DB938A2"/>
    <w:rsid w:val="6DB93944"/>
    <w:rsid w:val="6DB962BA"/>
    <w:rsid w:val="6DBA04F3"/>
    <w:rsid w:val="6DBA75D2"/>
    <w:rsid w:val="6DBB2B9F"/>
    <w:rsid w:val="6DBC0EF2"/>
    <w:rsid w:val="6DBC1CB5"/>
    <w:rsid w:val="6DBC51E2"/>
    <w:rsid w:val="6DBD56E8"/>
    <w:rsid w:val="6DC0489C"/>
    <w:rsid w:val="6DC049E5"/>
    <w:rsid w:val="6DC1369C"/>
    <w:rsid w:val="6DC20493"/>
    <w:rsid w:val="6DC27632"/>
    <w:rsid w:val="6DC331D1"/>
    <w:rsid w:val="6DC4664E"/>
    <w:rsid w:val="6DC5678C"/>
    <w:rsid w:val="6DC65857"/>
    <w:rsid w:val="6DC66CDD"/>
    <w:rsid w:val="6DC727D2"/>
    <w:rsid w:val="6DC82E40"/>
    <w:rsid w:val="6DC91C0B"/>
    <w:rsid w:val="6DC92463"/>
    <w:rsid w:val="6DCA2AF5"/>
    <w:rsid w:val="6DCA34A1"/>
    <w:rsid w:val="6DCA39FD"/>
    <w:rsid w:val="6DCC1484"/>
    <w:rsid w:val="6DCD19E2"/>
    <w:rsid w:val="6DCE13E6"/>
    <w:rsid w:val="6DCE28E8"/>
    <w:rsid w:val="6DCE4C8E"/>
    <w:rsid w:val="6DCF13B9"/>
    <w:rsid w:val="6DCF2FA7"/>
    <w:rsid w:val="6DCF5D12"/>
    <w:rsid w:val="6DD02EF9"/>
    <w:rsid w:val="6DD061B4"/>
    <w:rsid w:val="6DD063E2"/>
    <w:rsid w:val="6DD300C3"/>
    <w:rsid w:val="6DD3037F"/>
    <w:rsid w:val="6DD35996"/>
    <w:rsid w:val="6DD3631E"/>
    <w:rsid w:val="6DD5732C"/>
    <w:rsid w:val="6DD573F7"/>
    <w:rsid w:val="6DD5779C"/>
    <w:rsid w:val="6DD70C6F"/>
    <w:rsid w:val="6DD71A9F"/>
    <w:rsid w:val="6DD744D9"/>
    <w:rsid w:val="6DD83CEA"/>
    <w:rsid w:val="6DD84DB0"/>
    <w:rsid w:val="6DD9307F"/>
    <w:rsid w:val="6DDB20A4"/>
    <w:rsid w:val="6DDD3AD6"/>
    <w:rsid w:val="6DDD4C15"/>
    <w:rsid w:val="6DDE7334"/>
    <w:rsid w:val="6DDF643E"/>
    <w:rsid w:val="6DE01DFA"/>
    <w:rsid w:val="6DE02FB4"/>
    <w:rsid w:val="6DE068C0"/>
    <w:rsid w:val="6DE146A8"/>
    <w:rsid w:val="6DE16E7C"/>
    <w:rsid w:val="6DE26D4A"/>
    <w:rsid w:val="6DE35619"/>
    <w:rsid w:val="6DE372EB"/>
    <w:rsid w:val="6DE41359"/>
    <w:rsid w:val="6DE52E29"/>
    <w:rsid w:val="6DE563FC"/>
    <w:rsid w:val="6DE77026"/>
    <w:rsid w:val="6DE9095D"/>
    <w:rsid w:val="6DE957F9"/>
    <w:rsid w:val="6DEB09BD"/>
    <w:rsid w:val="6DED023B"/>
    <w:rsid w:val="6DED511C"/>
    <w:rsid w:val="6DEF560B"/>
    <w:rsid w:val="6DF11960"/>
    <w:rsid w:val="6DF229AE"/>
    <w:rsid w:val="6DF2446B"/>
    <w:rsid w:val="6DF51DE1"/>
    <w:rsid w:val="6DF835FD"/>
    <w:rsid w:val="6DF95F1D"/>
    <w:rsid w:val="6DF963FF"/>
    <w:rsid w:val="6DFA50EA"/>
    <w:rsid w:val="6DFA7423"/>
    <w:rsid w:val="6DFB0400"/>
    <w:rsid w:val="6DFB52A0"/>
    <w:rsid w:val="6DFC171B"/>
    <w:rsid w:val="6DFD4EF9"/>
    <w:rsid w:val="6DFE032C"/>
    <w:rsid w:val="6DFE0991"/>
    <w:rsid w:val="6DFE42BD"/>
    <w:rsid w:val="6DFE5C2B"/>
    <w:rsid w:val="6DFE7481"/>
    <w:rsid w:val="6DFF3F0F"/>
    <w:rsid w:val="6E007490"/>
    <w:rsid w:val="6E011532"/>
    <w:rsid w:val="6E016B9B"/>
    <w:rsid w:val="6E0435E6"/>
    <w:rsid w:val="6E0446E6"/>
    <w:rsid w:val="6E05339E"/>
    <w:rsid w:val="6E0641AC"/>
    <w:rsid w:val="6E0656F5"/>
    <w:rsid w:val="6E094B27"/>
    <w:rsid w:val="6E097CA4"/>
    <w:rsid w:val="6E0A5754"/>
    <w:rsid w:val="6E0C4183"/>
    <w:rsid w:val="6E0C7539"/>
    <w:rsid w:val="6E0E6F43"/>
    <w:rsid w:val="6E120AE6"/>
    <w:rsid w:val="6E134345"/>
    <w:rsid w:val="6E134A4E"/>
    <w:rsid w:val="6E135C5A"/>
    <w:rsid w:val="6E143C86"/>
    <w:rsid w:val="6E14672F"/>
    <w:rsid w:val="6E15121F"/>
    <w:rsid w:val="6E1641F5"/>
    <w:rsid w:val="6E166A0C"/>
    <w:rsid w:val="6E167B7B"/>
    <w:rsid w:val="6E170B25"/>
    <w:rsid w:val="6E17171B"/>
    <w:rsid w:val="6E17526D"/>
    <w:rsid w:val="6E181A2F"/>
    <w:rsid w:val="6E18428E"/>
    <w:rsid w:val="6E193E12"/>
    <w:rsid w:val="6E1B6F8D"/>
    <w:rsid w:val="6E1D2124"/>
    <w:rsid w:val="6E1E0F9B"/>
    <w:rsid w:val="6E1E2FD5"/>
    <w:rsid w:val="6E1E5E7C"/>
    <w:rsid w:val="6E1F3866"/>
    <w:rsid w:val="6E2027C3"/>
    <w:rsid w:val="6E205FE3"/>
    <w:rsid w:val="6E213094"/>
    <w:rsid w:val="6E221924"/>
    <w:rsid w:val="6E2300D5"/>
    <w:rsid w:val="6E245261"/>
    <w:rsid w:val="6E25452A"/>
    <w:rsid w:val="6E2551E6"/>
    <w:rsid w:val="6E256177"/>
    <w:rsid w:val="6E2619CF"/>
    <w:rsid w:val="6E290AC9"/>
    <w:rsid w:val="6E292877"/>
    <w:rsid w:val="6E2A65EF"/>
    <w:rsid w:val="6E2B3541"/>
    <w:rsid w:val="6E2C036B"/>
    <w:rsid w:val="6E2C17BD"/>
    <w:rsid w:val="6E2C697C"/>
    <w:rsid w:val="6E2C6CC8"/>
    <w:rsid w:val="6E2D4C09"/>
    <w:rsid w:val="6E2D4CC1"/>
    <w:rsid w:val="6E2F0598"/>
    <w:rsid w:val="6E2F0E46"/>
    <w:rsid w:val="6E2F2E4B"/>
    <w:rsid w:val="6E2F3C06"/>
    <w:rsid w:val="6E2F67E2"/>
    <w:rsid w:val="6E3074D3"/>
    <w:rsid w:val="6E323217"/>
    <w:rsid w:val="6E33725F"/>
    <w:rsid w:val="6E34647A"/>
    <w:rsid w:val="6E35161C"/>
    <w:rsid w:val="6E356225"/>
    <w:rsid w:val="6E3979C1"/>
    <w:rsid w:val="6E3A58E8"/>
    <w:rsid w:val="6E3C3ED7"/>
    <w:rsid w:val="6E3D0ECE"/>
    <w:rsid w:val="6E3D2B0F"/>
    <w:rsid w:val="6E3E1D36"/>
    <w:rsid w:val="6E402B70"/>
    <w:rsid w:val="6E4043AC"/>
    <w:rsid w:val="6E412B8D"/>
    <w:rsid w:val="6E412E28"/>
    <w:rsid w:val="6E446803"/>
    <w:rsid w:val="6E454D7F"/>
    <w:rsid w:val="6E46167B"/>
    <w:rsid w:val="6E463BF4"/>
    <w:rsid w:val="6E4712B1"/>
    <w:rsid w:val="6E4716FC"/>
    <w:rsid w:val="6E4753F3"/>
    <w:rsid w:val="6E494CC8"/>
    <w:rsid w:val="6E4A0A40"/>
    <w:rsid w:val="6E4B2605"/>
    <w:rsid w:val="6E4C5841"/>
    <w:rsid w:val="6E4E0408"/>
    <w:rsid w:val="6E4E22DE"/>
    <w:rsid w:val="6E4E6836"/>
    <w:rsid w:val="6E5075FC"/>
    <w:rsid w:val="6E51067A"/>
    <w:rsid w:val="6E514CED"/>
    <w:rsid w:val="6E526272"/>
    <w:rsid w:val="6E526F1D"/>
    <w:rsid w:val="6E5463F4"/>
    <w:rsid w:val="6E546850"/>
    <w:rsid w:val="6E551251"/>
    <w:rsid w:val="6E553C41"/>
    <w:rsid w:val="6E5671A6"/>
    <w:rsid w:val="6E56746B"/>
    <w:rsid w:val="6E574EE8"/>
    <w:rsid w:val="6E576839"/>
    <w:rsid w:val="6E5852EF"/>
    <w:rsid w:val="6E5A0C83"/>
    <w:rsid w:val="6E5A13F6"/>
    <w:rsid w:val="6E5A7C3A"/>
    <w:rsid w:val="6E5C30C2"/>
    <w:rsid w:val="6E5C6BF4"/>
    <w:rsid w:val="6E5D0EF9"/>
    <w:rsid w:val="6E5E1FEF"/>
    <w:rsid w:val="6E5E2591"/>
    <w:rsid w:val="6E5F0152"/>
    <w:rsid w:val="6E5F09C7"/>
    <w:rsid w:val="6E5F3178"/>
    <w:rsid w:val="6E61110D"/>
    <w:rsid w:val="6E61573D"/>
    <w:rsid w:val="6E6223EF"/>
    <w:rsid w:val="6E635C34"/>
    <w:rsid w:val="6E640DFA"/>
    <w:rsid w:val="6E642252"/>
    <w:rsid w:val="6E652292"/>
    <w:rsid w:val="6E654C23"/>
    <w:rsid w:val="6E657628"/>
    <w:rsid w:val="6E663ACB"/>
    <w:rsid w:val="6E6718F1"/>
    <w:rsid w:val="6E6736D0"/>
    <w:rsid w:val="6E68155B"/>
    <w:rsid w:val="6E6905EC"/>
    <w:rsid w:val="6E695D14"/>
    <w:rsid w:val="6E6A17AB"/>
    <w:rsid w:val="6E6A6DC5"/>
    <w:rsid w:val="6E6B7334"/>
    <w:rsid w:val="6E6C4E5A"/>
    <w:rsid w:val="6E6D1059"/>
    <w:rsid w:val="6E6F2909"/>
    <w:rsid w:val="6E6F7CD0"/>
    <w:rsid w:val="6E712470"/>
    <w:rsid w:val="6E7177B0"/>
    <w:rsid w:val="6E7225D7"/>
    <w:rsid w:val="6E72350C"/>
    <w:rsid w:val="6E7270D1"/>
    <w:rsid w:val="6E7308D0"/>
    <w:rsid w:val="6E730E0D"/>
    <w:rsid w:val="6E732515"/>
    <w:rsid w:val="6E744EA7"/>
    <w:rsid w:val="6E752A23"/>
    <w:rsid w:val="6E752E05"/>
    <w:rsid w:val="6E756B4D"/>
    <w:rsid w:val="6E7864C4"/>
    <w:rsid w:val="6E794AB0"/>
    <w:rsid w:val="6E796073"/>
    <w:rsid w:val="6E7977B1"/>
    <w:rsid w:val="6E7A1325"/>
    <w:rsid w:val="6E7A4869"/>
    <w:rsid w:val="6E7B09C0"/>
    <w:rsid w:val="6E7D1856"/>
    <w:rsid w:val="6E7F4BBE"/>
    <w:rsid w:val="6E80314B"/>
    <w:rsid w:val="6E81072A"/>
    <w:rsid w:val="6E817E1D"/>
    <w:rsid w:val="6E821F66"/>
    <w:rsid w:val="6E822670"/>
    <w:rsid w:val="6E837C02"/>
    <w:rsid w:val="6E8418F9"/>
    <w:rsid w:val="6E8442D1"/>
    <w:rsid w:val="6E852F21"/>
    <w:rsid w:val="6E866C79"/>
    <w:rsid w:val="6E867A25"/>
    <w:rsid w:val="6E881C94"/>
    <w:rsid w:val="6E887399"/>
    <w:rsid w:val="6E88740E"/>
    <w:rsid w:val="6E8969AB"/>
    <w:rsid w:val="6E8A4E3C"/>
    <w:rsid w:val="6E8A6321"/>
    <w:rsid w:val="6E8B3926"/>
    <w:rsid w:val="6E8B3FA5"/>
    <w:rsid w:val="6E8B4675"/>
    <w:rsid w:val="6E8E1402"/>
    <w:rsid w:val="6E8E6923"/>
    <w:rsid w:val="6E8E7FE4"/>
    <w:rsid w:val="6E930639"/>
    <w:rsid w:val="6E941BF7"/>
    <w:rsid w:val="6E941F38"/>
    <w:rsid w:val="6E9477C4"/>
    <w:rsid w:val="6E9479BA"/>
    <w:rsid w:val="6E95676A"/>
    <w:rsid w:val="6E963A05"/>
    <w:rsid w:val="6E97555C"/>
    <w:rsid w:val="6E980D47"/>
    <w:rsid w:val="6E990DB2"/>
    <w:rsid w:val="6E993260"/>
    <w:rsid w:val="6E993FD8"/>
    <w:rsid w:val="6E9957B4"/>
    <w:rsid w:val="6E996A07"/>
    <w:rsid w:val="6E9B1450"/>
    <w:rsid w:val="6E9B4AD3"/>
    <w:rsid w:val="6E9C025F"/>
    <w:rsid w:val="6E9C17A8"/>
    <w:rsid w:val="6E9D7DB7"/>
    <w:rsid w:val="6EA00FF9"/>
    <w:rsid w:val="6EA02B71"/>
    <w:rsid w:val="6EA0355A"/>
    <w:rsid w:val="6EA07C30"/>
    <w:rsid w:val="6EA168B2"/>
    <w:rsid w:val="6EA40AB5"/>
    <w:rsid w:val="6EA42846"/>
    <w:rsid w:val="6EA6153B"/>
    <w:rsid w:val="6EA6211A"/>
    <w:rsid w:val="6EA62ED6"/>
    <w:rsid w:val="6EA77A67"/>
    <w:rsid w:val="6EA840E4"/>
    <w:rsid w:val="6EA909AD"/>
    <w:rsid w:val="6EA949A4"/>
    <w:rsid w:val="6EAA2ABE"/>
    <w:rsid w:val="6EAA2C51"/>
    <w:rsid w:val="6EAB5982"/>
    <w:rsid w:val="6EAD11A6"/>
    <w:rsid w:val="6EAD2366"/>
    <w:rsid w:val="6EAD26CB"/>
    <w:rsid w:val="6EAD794E"/>
    <w:rsid w:val="6EAF0B78"/>
    <w:rsid w:val="6EAF3120"/>
    <w:rsid w:val="6EAF44A0"/>
    <w:rsid w:val="6EAF4C3A"/>
    <w:rsid w:val="6EAF5E3D"/>
    <w:rsid w:val="6EB11CA8"/>
    <w:rsid w:val="6EB124F1"/>
    <w:rsid w:val="6EB20388"/>
    <w:rsid w:val="6EB30189"/>
    <w:rsid w:val="6EB308A9"/>
    <w:rsid w:val="6EB32A89"/>
    <w:rsid w:val="6EB341D7"/>
    <w:rsid w:val="6EB424D3"/>
    <w:rsid w:val="6EB44314"/>
    <w:rsid w:val="6EB460FD"/>
    <w:rsid w:val="6EB47688"/>
    <w:rsid w:val="6EB563D5"/>
    <w:rsid w:val="6EB620EA"/>
    <w:rsid w:val="6EB92EDE"/>
    <w:rsid w:val="6EBA636C"/>
    <w:rsid w:val="6EBB20C4"/>
    <w:rsid w:val="6EBB21E2"/>
    <w:rsid w:val="6EBB5E17"/>
    <w:rsid w:val="6EBB6845"/>
    <w:rsid w:val="6EBB7479"/>
    <w:rsid w:val="6EBC7481"/>
    <w:rsid w:val="6EBE56B6"/>
    <w:rsid w:val="6EBE58CD"/>
    <w:rsid w:val="6EBF0413"/>
    <w:rsid w:val="6EC07690"/>
    <w:rsid w:val="6EC176D2"/>
    <w:rsid w:val="6EC411F0"/>
    <w:rsid w:val="6EC4357F"/>
    <w:rsid w:val="6EC46564"/>
    <w:rsid w:val="6EC50905"/>
    <w:rsid w:val="6EC51435"/>
    <w:rsid w:val="6EC51FF4"/>
    <w:rsid w:val="6EC6353C"/>
    <w:rsid w:val="6EC95249"/>
    <w:rsid w:val="6EC96E0C"/>
    <w:rsid w:val="6ECA02E6"/>
    <w:rsid w:val="6ECB0739"/>
    <w:rsid w:val="6ECB3504"/>
    <w:rsid w:val="6ECC0B8D"/>
    <w:rsid w:val="6ECC28D0"/>
    <w:rsid w:val="6ECC76A7"/>
    <w:rsid w:val="6ECD46AE"/>
    <w:rsid w:val="6ECE4ABB"/>
    <w:rsid w:val="6ECE4AE0"/>
    <w:rsid w:val="6ECE73F1"/>
    <w:rsid w:val="6ECF339E"/>
    <w:rsid w:val="6ED05124"/>
    <w:rsid w:val="6ED10D86"/>
    <w:rsid w:val="6ED135FD"/>
    <w:rsid w:val="6ED24CBD"/>
    <w:rsid w:val="6ED26E43"/>
    <w:rsid w:val="6ED345CF"/>
    <w:rsid w:val="6ED4093E"/>
    <w:rsid w:val="6ED7624D"/>
    <w:rsid w:val="6ED819CF"/>
    <w:rsid w:val="6ED83B49"/>
    <w:rsid w:val="6ED92677"/>
    <w:rsid w:val="6ED942BA"/>
    <w:rsid w:val="6EDB2BC6"/>
    <w:rsid w:val="6EDC0F9E"/>
    <w:rsid w:val="6EDC320D"/>
    <w:rsid w:val="6EDC48A1"/>
    <w:rsid w:val="6EDD6B31"/>
    <w:rsid w:val="6EDF0FE8"/>
    <w:rsid w:val="6EDF22FE"/>
    <w:rsid w:val="6EDF339C"/>
    <w:rsid w:val="6EDF395E"/>
    <w:rsid w:val="6EE018D7"/>
    <w:rsid w:val="6EE07F39"/>
    <w:rsid w:val="6EE17982"/>
    <w:rsid w:val="6EE212EA"/>
    <w:rsid w:val="6EE35898"/>
    <w:rsid w:val="6EE40325"/>
    <w:rsid w:val="6EE41070"/>
    <w:rsid w:val="6EE43595"/>
    <w:rsid w:val="6EE50BFF"/>
    <w:rsid w:val="6EE518A3"/>
    <w:rsid w:val="6EE65A1F"/>
    <w:rsid w:val="6EE65DAF"/>
    <w:rsid w:val="6EE8346D"/>
    <w:rsid w:val="6EE84527"/>
    <w:rsid w:val="6EE8620D"/>
    <w:rsid w:val="6EE915EB"/>
    <w:rsid w:val="6EEA26C7"/>
    <w:rsid w:val="6EEA3289"/>
    <w:rsid w:val="6EEB2CC8"/>
    <w:rsid w:val="6EEC171A"/>
    <w:rsid w:val="6EEC3FF6"/>
    <w:rsid w:val="6EEC4330"/>
    <w:rsid w:val="6EED02B1"/>
    <w:rsid w:val="6EED1B95"/>
    <w:rsid w:val="6EED5DC3"/>
    <w:rsid w:val="6EEE586F"/>
    <w:rsid w:val="6EEF2A9F"/>
    <w:rsid w:val="6EEF6099"/>
    <w:rsid w:val="6EF0119C"/>
    <w:rsid w:val="6EF0451F"/>
    <w:rsid w:val="6EF12878"/>
    <w:rsid w:val="6EF2710D"/>
    <w:rsid w:val="6EF3593B"/>
    <w:rsid w:val="6EF36651"/>
    <w:rsid w:val="6EF4219C"/>
    <w:rsid w:val="6EF54AE0"/>
    <w:rsid w:val="6EF57375"/>
    <w:rsid w:val="6EF62C5A"/>
    <w:rsid w:val="6EF6460A"/>
    <w:rsid w:val="6EF8018D"/>
    <w:rsid w:val="6EF94940"/>
    <w:rsid w:val="6EFB1233"/>
    <w:rsid w:val="6EFB1B0C"/>
    <w:rsid w:val="6EFB4B62"/>
    <w:rsid w:val="6EFB4DC9"/>
    <w:rsid w:val="6EFC7901"/>
    <w:rsid w:val="6EFD4952"/>
    <w:rsid w:val="6EFE122F"/>
    <w:rsid w:val="6EFF461E"/>
    <w:rsid w:val="6EFF4FDA"/>
    <w:rsid w:val="6F015349"/>
    <w:rsid w:val="6F02167F"/>
    <w:rsid w:val="6F027F4A"/>
    <w:rsid w:val="6F032E48"/>
    <w:rsid w:val="6F0435A4"/>
    <w:rsid w:val="6F0448B2"/>
    <w:rsid w:val="6F050E73"/>
    <w:rsid w:val="6F062BB9"/>
    <w:rsid w:val="6F070E5F"/>
    <w:rsid w:val="6F071C5C"/>
    <w:rsid w:val="6F076404"/>
    <w:rsid w:val="6F0815AB"/>
    <w:rsid w:val="6F09172B"/>
    <w:rsid w:val="6F0D3F47"/>
    <w:rsid w:val="6F0F4163"/>
    <w:rsid w:val="6F0F6223"/>
    <w:rsid w:val="6F10286B"/>
    <w:rsid w:val="6F104CD7"/>
    <w:rsid w:val="6F104E83"/>
    <w:rsid w:val="6F1073A6"/>
    <w:rsid w:val="6F110F7A"/>
    <w:rsid w:val="6F1304BA"/>
    <w:rsid w:val="6F151B86"/>
    <w:rsid w:val="6F154891"/>
    <w:rsid w:val="6F157599"/>
    <w:rsid w:val="6F160ED6"/>
    <w:rsid w:val="6F161513"/>
    <w:rsid w:val="6F164925"/>
    <w:rsid w:val="6F1709DB"/>
    <w:rsid w:val="6F183F9D"/>
    <w:rsid w:val="6F193003"/>
    <w:rsid w:val="6F193D36"/>
    <w:rsid w:val="6F1960A7"/>
    <w:rsid w:val="6F1965ED"/>
    <w:rsid w:val="6F1976A6"/>
    <w:rsid w:val="6F1A145E"/>
    <w:rsid w:val="6F1A46D3"/>
    <w:rsid w:val="6F1A6664"/>
    <w:rsid w:val="6F1B0958"/>
    <w:rsid w:val="6F1C29CD"/>
    <w:rsid w:val="6F1C75CB"/>
    <w:rsid w:val="6F1D2BD1"/>
    <w:rsid w:val="6F1F3C7A"/>
    <w:rsid w:val="6F205507"/>
    <w:rsid w:val="6F216275"/>
    <w:rsid w:val="6F225983"/>
    <w:rsid w:val="6F241291"/>
    <w:rsid w:val="6F2474E3"/>
    <w:rsid w:val="6F252708"/>
    <w:rsid w:val="6F262ECF"/>
    <w:rsid w:val="6F27612C"/>
    <w:rsid w:val="6F280D81"/>
    <w:rsid w:val="6F29138C"/>
    <w:rsid w:val="6F2A2A84"/>
    <w:rsid w:val="6F2A4AF9"/>
    <w:rsid w:val="6F2C465E"/>
    <w:rsid w:val="6F2D16C3"/>
    <w:rsid w:val="6F2D55C4"/>
    <w:rsid w:val="6F2F4C7B"/>
    <w:rsid w:val="6F2F65B3"/>
    <w:rsid w:val="6F311D4B"/>
    <w:rsid w:val="6F3128C4"/>
    <w:rsid w:val="6F3168A6"/>
    <w:rsid w:val="6F3239AE"/>
    <w:rsid w:val="6F3242DC"/>
    <w:rsid w:val="6F326639"/>
    <w:rsid w:val="6F3439FC"/>
    <w:rsid w:val="6F353637"/>
    <w:rsid w:val="6F363C09"/>
    <w:rsid w:val="6F367DFF"/>
    <w:rsid w:val="6F377216"/>
    <w:rsid w:val="6F3928AF"/>
    <w:rsid w:val="6F394D3C"/>
    <w:rsid w:val="6F397FC7"/>
    <w:rsid w:val="6F3B633C"/>
    <w:rsid w:val="6F3C4E3B"/>
    <w:rsid w:val="6F3C5A22"/>
    <w:rsid w:val="6F3C62FB"/>
    <w:rsid w:val="6F3C65DA"/>
    <w:rsid w:val="6F3D3349"/>
    <w:rsid w:val="6F3E223D"/>
    <w:rsid w:val="6F3E4F37"/>
    <w:rsid w:val="6F3E7B6B"/>
    <w:rsid w:val="6F404714"/>
    <w:rsid w:val="6F41613A"/>
    <w:rsid w:val="6F426195"/>
    <w:rsid w:val="6F435BBB"/>
    <w:rsid w:val="6F45756C"/>
    <w:rsid w:val="6F4634A3"/>
    <w:rsid w:val="6F470D60"/>
    <w:rsid w:val="6F471209"/>
    <w:rsid w:val="6F476F90"/>
    <w:rsid w:val="6F4809F1"/>
    <w:rsid w:val="6F481539"/>
    <w:rsid w:val="6F483BAE"/>
    <w:rsid w:val="6F494BEE"/>
    <w:rsid w:val="6F494FE4"/>
    <w:rsid w:val="6F49551F"/>
    <w:rsid w:val="6F496020"/>
    <w:rsid w:val="6F4A555B"/>
    <w:rsid w:val="6F4E4BEA"/>
    <w:rsid w:val="6F4F58F2"/>
    <w:rsid w:val="6F521309"/>
    <w:rsid w:val="6F5222A2"/>
    <w:rsid w:val="6F523FB7"/>
    <w:rsid w:val="6F5266CD"/>
    <w:rsid w:val="6F5314AB"/>
    <w:rsid w:val="6F5370A1"/>
    <w:rsid w:val="6F54178C"/>
    <w:rsid w:val="6F544703"/>
    <w:rsid w:val="6F5508A9"/>
    <w:rsid w:val="6F55779D"/>
    <w:rsid w:val="6F563B40"/>
    <w:rsid w:val="6F571CCA"/>
    <w:rsid w:val="6F574F56"/>
    <w:rsid w:val="6F5761C1"/>
    <w:rsid w:val="6F595AB8"/>
    <w:rsid w:val="6F595F52"/>
    <w:rsid w:val="6F5B1156"/>
    <w:rsid w:val="6F5B73A8"/>
    <w:rsid w:val="6F5B7492"/>
    <w:rsid w:val="6F5D11ED"/>
    <w:rsid w:val="6F5D769E"/>
    <w:rsid w:val="6F5E1718"/>
    <w:rsid w:val="6F5E4B26"/>
    <w:rsid w:val="6F5E4F84"/>
    <w:rsid w:val="6F5F1D39"/>
    <w:rsid w:val="6F601C55"/>
    <w:rsid w:val="6F601DB4"/>
    <w:rsid w:val="6F614293"/>
    <w:rsid w:val="6F617134"/>
    <w:rsid w:val="6F622519"/>
    <w:rsid w:val="6F6269D3"/>
    <w:rsid w:val="6F652CD7"/>
    <w:rsid w:val="6F65602C"/>
    <w:rsid w:val="6F664F0C"/>
    <w:rsid w:val="6F69170D"/>
    <w:rsid w:val="6F693EAA"/>
    <w:rsid w:val="6F69719C"/>
    <w:rsid w:val="6F6A248A"/>
    <w:rsid w:val="6F6A3147"/>
    <w:rsid w:val="6F6A37D0"/>
    <w:rsid w:val="6F6A3CDA"/>
    <w:rsid w:val="6F6C0936"/>
    <w:rsid w:val="6F6C22A6"/>
    <w:rsid w:val="6F6C296A"/>
    <w:rsid w:val="6F6D3C8B"/>
    <w:rsid w:val="6F6E3E4E"/>
    <w:rsid w:val="6F713B8D"/>
    <w:rsid w:val="6F721134"/>
    <w:rsid w:val="6F724CD3"/>
    <w:rsid w:val="6F736565"/>
    <w:rsid w:val="6F7436EB"/>
    <w:rsid w:val="6F747B1F"/>
    <w:rsid w:val="6F751AEC"/>
    <w:rsid w:val="6F751F16"/>
    <w:rsid w:val="6F767D3E"/>
    <w:rsid w:val="6F775864"/>
    <w:rsid w:val="6F795287"/>
    <w:rsid w:val="6F7976C6"/>
    <w:rsid w:val="6F7B3484"/>
    <w:rsid w:val="6F7B746F"/>
    <w:rsid w:val="6F7C1866"/>
    <w:rsid w:val="6F7C2E7B"/>
    <w:rsid w:val="6F7D1DDA"/>
    <w:rsid w:val="6F7D6903"/>
    <w:rsid w:val="6F7F3DC4"/>
    <w:rsid w:val="6F801AD3"/>
    <w:rsid w:val="6F8145F7"/>
    <w:rsid w:val="6F847BC8"/>
    <w:rsid w:val="6F85513A"/>
    <w:rsid w:val="6F8570D3"/>
    <w:rsid w:val="6F8618CF"/>
    <w:rsid w:val="6F8709A8"/>
    <w:rsid w:val="6F874ED2"/>
    <w:rsid w:val="6F87699D"/>
    <w:rsid w:val="6F880BDF"/>
    <w:rsid w:val="6F885315"/>
    <w:rsid w:val="6F887A72"/>
    <w:rsid w:val="6F897DF0"/>
    <w:rsid w:val="6F8A4E7F"/>
    <w:rsid w:val="6F8B0895"/>
    <w:rsid w:val="6F8C121D"/>
    <w:rsid w:val="6F8D579A"/>
    <w:rsid w:val="6F8E6464"/>
    <w:rsid w:val="6F8F03DC"/>
    <w:rsid w:val="6F902209"/>
    <w:rsid w:val="6F903365"/>
    <w:rsid w:val="6F907AA3"/>
    <w:rsid w:val="6F912DCA"/>
    <w:rsid w:val="6F935109"/>
    <w:rsid w:val="6F9401C4"/>
    <w:rsid w:val="6F944668"/>
    <w:rsid w:val="6F961C17"/>
    <w:rsid w:val="6F96218E"/>
    <w:rsid w:val="6F983830"/>
    <w:rsid w:val="6F992534"/>
    <w:rsid w:val="6F9925EB"/>
    <w:rsid w:val="6F992C96"/>
    <w:rsid w:val="6F997EF6"/>
    <w:rsid w:val="6F9A00FD"/>
    <w:rsid w:val="6F9A1874"/>
    <w:rsid w:val="6F9B4A4B"/>
    <w:rsid w:val="6F9B5ED0"/>
    <w:rsid w:val="6F9B73D8"/>
    <w:rsid w:val="6F9C141E"/>
    <w:rsid w:val="6F9E0291"/>
    <w:rsid w:val="6F9E12BF"/>
    <w:rsid w:val="6FA03AB4"/>
    <w:rsid w:val="6FA04464"/>
    <w:rsid w:val="6FA16271"/>
    <w:rsid w:val="6FA204B0"/>
    <w:rsid w:val="6FA21F76"/>
    <w:rsid w:val="6FA22D64"/>
    <w:rsid w:val="6FA30647"/>
    <w:rsid w:val="6FA32AFD"/>
    <w:rsid w:val="6FA41694"/>
    <w:rsid w:val="6FA519C6"/>
    <w:rsid w:val="6FA542E6"/>
    <w:rsid w:val="6FA67EF8"/>
    <w:rsid w:val="6FA70153"/>
    <w:rsid w:val="6FA81EC2"/>
    <w:rsid w:val="6FA87DE3"/>
    <w:rsid w:val="6FA970A3"/>
    <w:rsid w:val="6FAB5E04"/>
    <w:rsid w:val="6FAC3760"/>
    <w:rsid w:val="6FAC3C17"/>
    <w:rsid w:val="6FAC492E"/>
    <w:rsid w:val="6FAC4CFB"/>
    <w:rsid w:val="6FAC7A2F"/>
    <w:rsid w:val="6FAC7C04"/>
    <w:rsid w:val="6FAC7EB0"/>
    <w:rsid w:val="6FAD1286"/>
    <w:rsid w:val="6FAD463C"/>
    <w:rsid w:val="6FAD65BB"/>
    <w:rsid w:val="6FAF245C"/>
    <w:rsid w:val="6FAF29A9"/>
    <w:rsid w:val="6FAF4FFE"/>
    <w:rsid w:val="6FB20A92"/>
    <w:rsid w:val="6FB22D40"/>
    <w:rsid w:val="6FB23B15"/>
    <w:rsid w:val="6FB653BD"/>
    <w:rsid w:val="6FB66404"/>
    <w:rsid w:val="6FB73EBB"/>
    <w:rsid w:val="6FB74896"/>
    <w:rsid w:val="6FB75FFE"/>
    <w:rsid w:val="6FB84A00"/>
    <w:rsid w:val="6FB87A70"/>
    <w:rsid w:val="6FB903DA"/>
    <w:rsid w:val="6FB93C38"/>
    <w:rsid w:val="6FB95E7D"/>
    <w:rsid w:val="6FBA1212"/>
    <w:rsid w:val="6FBA5048"/>
    <w:rsid w:val="6FBA6C8F"/>
    <w:rsid w:val="6FBB1667"/>
    <w:rsid w:val="6FBC052C"/>
    <w:rsid w:val="6FBD4DF8"/>
    <w:rsid w:val="6FBD6E9C"/>
    <w:rsid w:val="6FBE3A36"/>
    <w:rsid w:val="6FBF1BE8"/>
    <w:rsid w:val="6FBF6374"/>
    <w:rsid w:val="6FBF6C57"/>
    <w:rsid w:val="6FC0782F"/>
    <w:rsid w:val="6FC17FA0"/>
    <w:rsid w:val="6FC30B16"/>
    <w:rsid w:val="6FC56542"/>
    <w:rsid w:val="6FC5692A"/>
    <w:rsid w:val="6FC71D2E"/>
    <w:rsid w:val="6FC76620"/>
    <w:rsid w:val="6FC8090C"/>
    <w:rsid w:val="6FC81193"/>
    <w:rsid w:val="6FC848B9"/>
    <w:rsid w:val="6FC86318"/>
    <w:rsid w:val="6FC86949"/>
    <w:rsid w:val="6FC94566"/>
    <w:rsid w:val="6FCA1FC1"/>
    <w:rsid w:val="6FCB2C0E"/>
    <w:rsid w:val="6FCC19EA"/>
    <w:rsid w:val="6FCC1ECC"/>
    <w:rsid w:val="6FCC2DE3"/>
    <w:rsid w:val="6FCC7A17"/>
    <w:rsid w:val="6FCE00D6"/>
    <w:rsid w:val="6FCF1284"/>
    <w:rsid w:val="6FD03C8E"/>
    <w:rsid w:val="6FD04DB6"/>
    <w:rsid w:val="6FD10360"/>
    <w:rsid w:val="6FD21701"/>
    <w:rsid w:val="6FD23478"/>
    <w:rsid w:val="6FD27122"/>
    <w:rsid w:val="6FD42CB7"/>
    <w:rsid w:val="6FD531B8"/>
    <w:rsid w:val="6FD54E39"/>
    <w:rsid w:val="6FD630DD"/>
    <w:rsid w:val="6FD65EB1"/>
    <w:rsid w:val="6FD70D49"/>
    <w:rsid w:val="6FD75926"/>
    <w:rsid w:val="6FD803DC"/>
    <w:rsid w:val="6FD809F9"/>
    <w:rsid w:val="6FD90324"/>
    <w:rsid w:val="6FD918CA"/>
    <w:rsid w:val="6FD944A5"/>
    <w:rsid w:val="6FD974E5"/>
    <w:rsid w:val="6FDC0AE6"/>
    <w:rsid w:val="6FDC5B78"/>
    <w:rsid w:val="6FDD1AA3"/>
    <w:rsid w:val="6FDD7B90"/>
    <w:rsid w:val="6FDD7D9E"/>
    <w:rsid w:val="6FDE124B"/>
    <w:rsid w:val="6FE07C0D"/>
    <w:rsid w:val="6FE11CB3"/>
    <w:rsid w:val="6FE208B8"/>
    <w:rsid w:val="6FE210D7"/>
    <w:rsid w:val="6FE253D4"/>
    <w:rsid w:val="6FE256AB"/>
    <w:rsid w:val="6FE36AEE"/>
    <w:rsid w:val="6FE44C01"/>
    <w:rsid w:val="6FE55FA0"/>
    <w:rsid w:val="6FE56C72"/>
    <w:rsid w:val="6FE60363"/>
    <w:rsid w:val="6FE74F58"/>
    <w:rsid w:val="6FE80510"/>
    <w:rsid w:val="6FE85E1F"/>
    <w:rsid w:val="6FEA24DA"/>
    <w:rsid w:val="6FED13ED"/>
    <w:rsid w:val="6FEE6EAC"/>
    <w:rsid w:val="6FEF155C"/>
    <w:rsid w:val="6FEF7210"/>
    <w:rsid w:val="6FF00490"/>
    <w:rsid w:val="6FF01FEC"/>
    <w:rsid w:val="6FF02727"/>
    <w:rsid w:val="6FF07097"/>
    <w:rsid w:val="6FF12272"/>
    <w:rsid w:val="6FF173C5"/>
    <w:rsid w:val="6FF272E2"/>
    <w:rsid w:val="6FF32F4F"/>
    <w:rsid w:val="6FF414DF"/>
    <w:rsid w:val="6FF54A4C"/>
    <w:rsid w:val="6FF628C3"/>
    <w:rsid w:val="6FF66EED"/>
    <w:rsid w:val="6FF70753"/>
    <w:rsid w:val="6FF80181"/>
    <w:rsid w:val="6FF874EF"/>
    <w:rsid w:val="6FF97DB2"/>
    <w:rsid w:val="6FFB1E59"/>
    <w:rsid w:val="6FFB24BA"/>
    <w:rsid w:val="6FFB50D1"/>
    <w:rsid w:val="6FFC335D"/>
    <w:rsid w:val="6FFC5590"/>
    <w:rsid w:val="6FFD5537"/>
    <w:rsid w:val="6FFF1338"/>
    <w:rsid w:val="6FFF5101"/>
    <w:rsid w:val="700020CD"/>
    <w:rsid w:val="700133AC"/>
    <w:rsid w:val="70023F50"/>
    <w:rsid w:val="70027A8D"/>
    <w:rsid w:val="70037CFB"/>
    <w:rsid w:val="70050663"/>
    <w:rsid w:val="70052223"/>
    <w:rsid w:val="70052E70"/>
    <w:rsid w:val="700659A1"/>
    <w:rsid w:val="7007135D"/>
    <w:rsid w:val="70073C29"/>
    <w:rsid w:val="70085F18"/>
    <w:rsid w:val="700A09F5"/>
    <w:rsid w:val="700A3BA7"/>
    <w:rsid w:val="700A3EA9"/>
    <w:rsid w:val="700B50F6"/>
    <w:rsid w:val="700E441B"/>
    <w:rsid w:val="700F1F41"/>
    <w:rsid w:val="700F3CEF"/>
    <w:rsid w:val="700F5351"/>
    <w:rsid w:val="7010344F"/>
    <w:rsid w:val="701218D9"/>
    <w:rsid w:val="70123259"/>
    <w:rsid w:val="7012437E"/>
    <w:rsid w:val="70130F5B"/>
    <w:rsid w:val="70132776"/>
    <w:rsid w:val="70166DF5"/>
    <w:rsid w:val="70184181"/>
    <w:rsid w:val="701953EF"/>
    <w:rsid w:val="701A2DBF"/>
    <w:rsid w:val="701B2C9B"/>
    <w:rsid w:val="701D3C14"/>
    <w:rsid w:val="701E17CD"/>
    <w:rsid w:val="701E3B8B"/>
    <w:rsid w:val="701E6CE1"/>
    <w:rsid w:val="70200A03"/>
    <w:rsid w:val="7020414E"/>
    <w:rsid w:val="70220571"/>
    <w:rsid w:val="70227D10"/>
    <w:rsid w:val="702468A3"/>
    <w:rsid w:val="702614A8"/>
    <w:rsid w:val="70275FDC"/>
    <w:rsid w:val="70281E21"/>
    <w:rsid w:val="70287DD8"/>
    <w:rsid w:val="70295063"/>
    <w:rsid w:val="702A2D46"/>
    <w:rsid w:val="702A69EC"/>
    <w:rsid w:val="702B7124"/>
    <w:rsid w:val="702B7F07"/>
    <w:rsid w:val="702C0F97"/>
    <w:rsid w:val="702C48A1"/>
    <w:rsid w:val="702C4F2D"/>
    <w:rsid w:val="702C6BE3"/>
    <w:rsid w:val="702D7747"/>
    <w:rsid w:val="702E3DFB"/>
    <w:rsid w:val="702E78E6"/>
    <w:rsid w:val="702F1DBD"/>
    <w:rsid w:val="702F613F"/>
    <w:rsid w:val="702F7AA9"/>
    <w:rsid w:val="703021ED"/>
    <w:rsid w:val="70323AD0"/>
    <w:rsid w:val="70335C2F"/>
    <w:rsid w:val="7033729D"/>
    <w:rsid w:val="703419D5"/>
    <w:rsid w:val="70345337"/>
    <w:rsid w:val="70356542"/>
    <w:rsid w:val="70357BF9"/>
    <w:rsid w:val="703674CE"/>
    <w:rsid w:val="70381498"/>
    <w:rsid w:val="70382E45"/>
    <w:rsid w:val="70383246"/>
    <w:rsid w:val="703A4437"/>
    <w:rsid w:val="703A77EF"/>
    <w:rsid w:val="703E3800"/>
    <w:rsid w:val="70404510"/>
    <w:rsid w:val="70404A53"/>
    <w:rsid w:val="7042225A"/>
    <w:rsid w:val="70422316"/>
    <w:rsid w:val="704273D4"/>
    <w:rsid w:val="70433C68"/>
    <w:rsid w:val="70436406"/>
    <w:rsid w:val="70436E7F"/>
    <w:rsid w:val="704424A2"/>
    <w:rsid w:val="70442DD1"/>
    <w:rsid w:val="70455963"/>
    <w:rsid w:val="70463FE0"/>
    <w:rsid w:val="70470F25"/>
    <w:rsid w:val="70473AE4"/>
    <w:rsid w:val="70473E15"/>
    <w:rsid w:val="70480FAF"/>
    <w:rsid w:val="7049620D"/>
    <w:rsid w:val="704A143A"/>
    <w:rsid w:val="704A3DAD"/>
    <w:rsid w:val="704C36F1"/>
    <w:rsid w:val="704D257C"/>
    <w:rsid w:val="704F3F09"/>
    <w:rsid w:val="704F4C1B"/>
    <w:rsid w:val="704F6283"/>
    <w:rsid w:val="70500EDB"/>
    <w:rsid w:val="70503067"/>
    <w:rsid w:val="7051697B"/>
    <w:rsid w:val="705240DA"/>
    <w:rsid w:val="705424B1"/>
    <w:rsid w:val="70546581"/>
    <w:rsid w:val="70555808"/>
    <w:rsid w:val="70556C5F"/>
    <w:rsid w:val="70575432"/>
    <w:rsid w:val="70577E95"/>
    <w:rsid w:val="70580F19"/>
    <w:rsid w:val="70580FB1"/>
    <w:rsid w:val="7058659F"/>
    <w:rsid w:val="70595F0F"/>
    <w:rsid w:val="70597145"/>
    <w:rsid w:val="705A5EB4"/>
    <w:rsid w:val="705A6F8C"/>
    <w:rsid w:val="705B24A5"/>
    <w:rsid w:val="705C4C02"/>
    <w:rsid w:val="705D6996"/>
    <w:rsid w:val="705E2B33"/>
    <w:rsid w:val="705E4AE5"/>
    <w:rsid w:val="705F0DF3"/>
    <w:rsid w:val="705F4C76"/>
    <w:rsid w:val="70626D18"/>
    <w:rsid w:val="70630BB2"/>
    <w:rsid w:val="70631713"/>
    <w:rsid w:val="70632C35"/>
    <w:rsid w:val="70644C30"/>
    <w:rsid w:val="70644EDD"/>
    <w:rsid w:val="70647EDF"/>
    <w:rsid w:val="70655F83"/>
    <w:rsid w:val="70660296"/>
    <w:rsid w:val="7067272E"/>
    <w:rsid w:val="70675862"/>
    <w:rsid w:val="7068269D"/>
    <w:rsid w:val="70690258"/>
    <w:rsid w:val="70691651"/>
    <w:rsid w:val="70693C97"/>
    <w:rsid w:val="706B2599"/>
    <w:rsid w:val="706C1619"/>
    <w:rsid w:val="706C26FA"/>
    <w:rsid w:val="706C48C2"/>
    <w:rsid w:val="706C63C4"/>
    <w:rsid w:val="706D1DD0"/>
    <w:rsid w:val="706E0EF4"/>
    <w:rsid w:val="706F181E"/>
    <w:rsid w:val="706F1DE3"/>
    <w:rsid w:val="707116FD"/>
    <w:rsid w:val="70740CEF"/>
    <w:rsid w:val="70750A94"/>
    <w:rsid w:val="70751CF7"/>
    <w:rsid w:val="70754CD6"/>
    <w:rsid w:val="70763D6E"/>
    <w:rsid w:val="70765DAC"/>
    <w:rsid w:val="707660A9"/>
    <w:rsid w:val="707732A5"/>
    <w:rsid w:val="70780901"/>
    <w:rsid w:val="70787A0E"/>
    <w:rsid w:val="70787AE6"/>
    <w:rsid w:val="70792C58"/>
    <w:rsid w:val="707A560C"/>
    <w:rsid w:val="707B4B52"/>
    <w:rsid w:val="707B75D6"/>
    <w:rsid w:val="707C50AD"/>
    <w:rsid w:val="707C6A9D"/>
    <w:rsid w:val="707D5BB8"/>
    <w:rsid w:val="707E21DC"/>
    <w:rsid w:val="707F0963"/>
    <w:rsid w:val="707F2C23"/>
    <w:rsid w:val="70812F2A"/>
    <w:rsid w:val="70850D38"/>
    <w:rsid w:val="70856B87"/>
    <w:rsid w:val="70875B31"/>
    <w:rsid w:val="70882BF8"/>
    <w:rsid w:val="708A0CE7"/>
    <w:rsid w:val="708A6388"/>
    <w:rsid w:val="708A6A28"/>
    <w:rsid w:val="708A7DC4"/>
    <w:rsid w:val="708B3D2C"/>
    <w:rsid w:val="708C2124"/>
    <w:rsid w:val="708C3591"/>
    <w:rsid w:val="708D6E77"/>
    <w:rsid w:val="708E1132"/>
    <w:rsid w:val="708F2E56"/>
    <w:rsid w:val="70904662"/>
    <w:rsid w:val="70907503"/>
    <w:rsid w:val="70913D73"/>
    <w:rsid w:val="70922AE7"/>
    <w:rsid w:val="70923F09"/>
    <w:rsid w:val="709439EE"/>
    <w:rsid w:val="70973B3D"/>
    <w:rsid w:val="70977577"/>
    <w:rsid w:val="70983772"/>
    <w:rsid w:val="70986013"/>
    <w:rsid w:val="70990BCD"/>
    <w:rsid w:val="70991A29"/>
    <w:rsid w:val="70997290"/>
    <w:rsid w:val="709A54C7"/>
    <w:rsid w:val="709C21CA"/>
    <w:rsid w:val="709C5690"/>
    <w:rsid w:val="709C572B"/>
    <w:rsid w:val="709C5A61"/>
    <w:rsid w:val="709D670B"/>
    <w:rsid w:val="709E37F6"/>
    <w:rsid w:val="709E45FA"/>
    <w:rsid w:val="70A02449"/>
    <w:rsid w:val="70A14B9D"/>
    <w:rsid w:val="70A14DEC"/>
    <w:rsid w:val="70A22DB5"/>
    <w:rsid w:val="70A26117"/>
    <w:rsid w:val="70A26D11"/>
    <w:rsid w:val="70A46B2D"/>
    <w:rsid w:val="70A95B2B"/>
    <w:rsid w:val="70AA32F7"/>
    <w:rsid w:val="70AB6363"/>
    <w:rsid w:val="70AC377E"/>
    <w:rsid w:val="70AD4222"/>
    <w:rsid w:val="70AD5DD1"/>
    <w:rsid w:val="70AE3D5C"/>
    <w:rsid w:val="70AE516A"/>
    <w:rsid w:val="70AF751B"/>
    <w:rsid w:val="70B003E0"/>
    <w:rsid w:val="70B0102E"/>
    <w:rsid w:val="70B120BD"/>
    <w:rsid w:val="70B17E8A"/>
    <w:rsid w:val="70B259A3"/>
    <w:rsid w:val="70B316F3"/>
    <w:rsid w:val="70B34EE2"/>
    <w:rsid w:val="70B5273A"/>
    <w:rsid w:val="70B745B8"/>
    <w:rsid w:val="70B81583"/>
    <w:rsid w:val="70B93DCF"/>
    <w:rsid w:val="70BA00FF"/>
    <w:rsid w:val="70BA1EAD"/>
    <w:rsid w:val="70BA2D73"/>
    <w:rsid w:val="70BA3C5B"/>
    <w:rsid w:val="70BB725F"/>
    <w:rsid w:val="70BC60A7"/>
    <w:rsid w:val="70BC6940"/>
    <w:rsid w:val="70BC6F94"/>
    <w:rsid w:val="70BD374B"/>
    <w:rsid w:val="70BD7A42"/>
    <w:rsid w:val="70BF1788"/>
    <w:rsid w:val="70BF205D"/>
    <w:rsid w:val="70BF422E"/>
    <w:rsid w:val="70BF5104"/>
    <w:rsid w:val="70C0637E"/>
    <w:rsid w:val="70C07698"/>
    <w:rsid w:val="70C12669"/>
    <w:rsid w:val="70C3294F"/>
    <w:rsid w:val="70C3324C"/>
    <w:rsid w:val="70C370F6"/>
    <w:rsid w:val="70C40921"/>
    <w:rsid w:val="70C51518"/>
    <w:rsid w:val="70C75955"/>
    <w:rsid w:val="70C77B3D"/>
    <w:rsid w:val="70C84BF0"/>
    <w:rsid w:val="70C853B2"/>
    <w:rsid w:val="70CA1199"/>
    <w:rsid w:val="70CA1EDA"/>
    <w:rsid w:val="70CA7CF6"/>
    <w:rsid w:val="70CC398E"/>
    <w:rsid w:val="70CC6728"/>
    <w:rsid w:val="70CD2B6C"/>
    <w:rsid w:val="70CD6290"/>
    <w:rsid w:val="70CE64A7"/>
    <w:rsid w:val="70CE6A45"/>
    <w:rsid w:val="70CE768E"/>
    <w:rsid w:val="70CF7955"/>
    <w:rsid w:val="70D15474"/>
    <w:rsid w:val="70D17A14"/>
    <w:rsid w:val="70D32F6E"/>
    <w:rsid w:val="70D33040"/>
    <w:rsid w:val="70D35283"/>
    <w:rsid w:val="70D3612E"/>
    <w:rsid w:val="70D424BE"/>
    <w:rsid w:val="70D527EE"/>
    <w:rsid w:val="70D53633"/>
    <w:rsid w:val="70D54620"/>
    <w:rsid w:val="70D625E7"/>
    <w:rsid w:val="70D6284C"/>
    <w:rsid w:val="70D6480D"/>
    <w:rsid w:val="70D7278D"/>
    <w:rsid w:val="70D73F01"/>
    <w:rsid w:val="70D7630B"/>
    <w:rsid w:val="70D81204"/>
    <w:rsid w:val="70D818EC"/>
    <w:rsid w:val="70D86EFD"/>
    <w:rsid w:val="70DA254F"/>
    <w:rsid w:val="70DC0075"/>
    <w:rsid w:val="70DC59B7"/>
    <w:rsid w:val="70DD6FE3"/>
    <w:rsid w:val="70DE0486"/>
    <w:rsid w:val="70DF5DB7"/>
    <w:rsid w:val="70E024F0"/>
    <w:rsid w:val="70E16790"/>
    <w:rsid w:val="70E246EF"/>
    <w:rsid w:val="70E460B4"/>
    <w:rsid w:val="70E57D74"/>
    <w:rsid w:val="70E65244"/>
    <w:rsid w:val="70E745F5"/>
    <w:rsid w:val="70E76DAA"/>
    <w:rsid w:val="70E83529"/>
    <w:rsid w:val="70E909E4"/>
    <w:rsid w:val="70E96E64"/>
    <w:rsid w:val="70EA459A"/>
    <w:rsid w:val="70EB158A"/>
    <w:rsid w:val="70ED3FB0"/>
    <w:rsid w:val="70EE7DA8"/>
    <w:rsid w:val="70F017AA"/>
    <w:rsid w:val="70F01D72"/>
    <w:rsid w:val="70F02FB9"/>
    <w:rsid w:val="70F0573A"/>
    <w:rsid w:val="70F33611"/>
    <w:rsid w:val="70F34DE8"/>
    <w:rsid w:val="70F41EF8"/>
    <w:rsid w:val="70F439BF"/>
    <w:rsid w:val="70F43BB9"/>
    <w:rsid w:val="70F51137"/>
    <w:rsid w:val="70F71ADF"/>
    <w:rsid w:val="70F76073"/>
    <w:rsid w:val="70F760F8"/>
    <w:rsid w:val="70F80C27"/>
    <w:rsid w:val="70F83D9B"/>
    <w:rsid w:val="70F95886"/>
    <w:rsid w:val="70F95D30"/>
    <w:rsid w:val="70F96CEE"/>
    <w:rsid w:val="70FB11A3"/>
    <w:rsid w:val="70FB30B9"/>
    <w:rsid w:val="70FC2D88"/>
    <w:rsid w:val="70FD3ECA"/>
    <w:rsid w:val="70FE2299"/>
    <w:rsid w:val="70FE6DC1"/>
    <w:rsid w:val="70FF247C"/>
    <w:rsid w:val="70FF34C2"/>
    <w:rsid w:val="71002309"/>
    <w:rsid w:val="71004F16"/>
    <w:rsid w:val="71005C71"/>
    <w:rsid w:val="710215B3"/>
    <w:rsid w:val="71021EFF"/>
    <w:rsid w:val="71022B7F"/>
    <w:rsid w:val="71022EF1"/>
    <w:rsid w:val="710250C1"/>
    <w:rsid w:val="71031896"/>
    <w:rsid w:val="71031AA6"/>
    <w:rsid w:val="7104137A"/>
    <w:rsid w:val="71041673"/>
    <w:rsid w:val="71045968"/>
    <w:rsid w:val="71051A02"/>
    <w:rsid w:val="71054C1C"/>
    <w:rsid w:val="71055209"/>
    <w:rsid w:val="71062507"/>
    <w:rsid w:val="7106491C"/>
    <w:rsid w:val="71066EA0"/>
    <w:rsid w:val="71076E47"/>
    <w:rsid w:val="71082F8A"/>
    <w:rsid w:val="710870BC"/>
    <w:rsid w:val="7108771B"/>
    <w:rsid w:val="710927C7"/>
    <w:rsid w:val="71092E34"/>
    <w:rsid w:val="710A4A2D"/>
    <w:rsid w:val="710A6C70"/>
    <w:rsid w:val="710A6D7E"/>
    <w:rsid w:val="710B1759"/>
    <w:rsid w:val="710B2E9E"/>
    <w:rsid w:val="710C542A"/>
    <w:rsid w:val="710C6B75"/>
    <w:rsid w:val="710C7266"/>
    <w:rsid w:val="710D063A"/>
    <w:rsid w:val="710E28F9"/>
    <w:rsid w:val="710E75EA"/>
    <w:rsid w:val="710F7003"/>
    <w:rsid w:val="71100A82"/>
    <w:rsid w:val="711021FB"/>
    <w:rsid w:val="71123A97"/>
    <w:rsid w:val="711244B1"/>
    <w:rsid w:val="711279E3"/>
    <w:rsid w:val="711351C4"/>
    <w:rsid w:val="711409EE"/>
    <w:rsid w:val="7114413D"/>
    <w:rsid w:val="71145179"/>
    <w:rsid w:val="711464D0"/>
    <w:rsid w:val="71153329"/>
    <w:rsid w:val="7115600A"/>
    <w:rsid w:val="711710AD"/>
    <w:rsid w:val="711807A5"/>
    <w:rsid w:val="71190F8C"/>
    <w:rsid w:val="711A04F4"/>
    <w:rsid w:val="711A1D7B"/>
    <w:rsid w:val="711B5FAA"/>
    <w:rsid w:val="711D079C"/>
    <w:rsid w:val="711E20F1"/>
    <w:rsid w:val="711E4949"/>
    <w:rsid w:val="711F6BA9"/>
    <w:rsid w:val="712067C7"/>
    <w:rsid w:val="71211F2C"/>
    <w:rsid w:val="71235CA4"/>
    <w:rsid w:val="71241AA6"/>
    <w:rsid w:val="71243EB9"/>
    <w:rsid w:val="71257C6E"/>
    <w:rsid w:val="712637C3"/>
    <w:rsid w:val="71264AB9"/>
    <w:rsid w:val="7127184D"/>
    <w:rsid w:val="71272170"/>
    <w:rsid w:val="712735A6"/>
    <w:rsid w:val="71273F6D"/>
    <w:rsid w:val="71277761"/>
    <w:rsid w:val="71277E7C"/>
    <w:rsid w:val="7128150C"/>
    <w:rsid w:val="71290DE0"/>
    <w:rsid w:val="712A1FC5"/>
    <w:rsid w:val="712A4257"/>
    <w:rsid w:val="712B7FCB"/>
    <w:rsid w:val="712C0A08"/>
    <w:rsid w:val="712D203C"/>
    <w:rsid w:val="712E1DC8"/>
    <w:rsid w:val="712E50C7"/>
    <w:rsid w:val="712E63F7"/>
    <w:rsid w:val="712F1B9B"/>
    <w:rsid w:val="712F3AFF"/>
    <w:rsid w:val="71303DC6"/>
    <w:rsid w:val="713056CA"/>
    <w:rsid w:val="71306D3B"/>
    <w:rsid w:val="71307911"/>
    <w:rsid w:val="71312AC5"/>
    <w:rsid w:val="71326A6A"/>
    <w:rsid w:val="71340D5C"/>
    <w:rsid w:val="71347526"/>
    <w:rsid w:val="713B18F3"/>
    <w:rsid w:val="713C399D"/>
    <w:rsid w:val="713D365E"/>
    <w:rsid w:val="713D4EA6"/>
    <w:rsid w:val="713F7762"/>
    <w:rsid w:val="714125CE"/>
    <w:rsid w:val="71430D86"/>
    <w:rsid w:val="71435628"/>
    <w:rsid w:val="71436686"/>
    <w:rsid w:val="71443DB1"/>
    <w:rsid w:val="714455C1"/>
    <w:rsid w:val="71456328"/>
    <w:rsid w:val="714569D0"/>
    <w:rsid w:val="7146559A"/>
    <w:rsid w:val="71475702"/>
    <w:rsid w:val="71477263"/>
    <w:rsid w:val="71477B32"/>
    <w:rsid w:val="71487D25"/>
    <w:rsid w:val="71495AA5"/>
    <w:rsid w:val="71495ECF"/>
    <w:rsid w:val="714A088A"/>
    <w:rsid w:val="714A535B"/>
    <w:rsid w:val="714B26D4"/>
    <w:rsid w:val="714B29B0"/>
    <w:rsid w:val="714C1F4A"/>
    <w:rsid w:val="714E6CDB"/>
    <w:rsid w:val="714E77C7"/>
    <w:rsid w:val="71500E04"/>
    <w:rsid w:val="7150603A"/>
    <w:rsid w:val="715060B2"/>
    <w:rsid w:val="7150636D"/>
    <w:rsid w:val="715067B1"/>
    <w:rsid w:val="715220E5"/>
    <w:rsid w:val="71535E5D"/>
    <w:rsid w:val="715372B7"/>
    <w:rsid w:val="71544003"/>
    <w:rsid w:val="715450C2"/>
    <w:rsid w:val="71547591"/>
    <w:rsid w:val="715605B1"/>
    <w:rsid w:val="71570364"/>
    <w:rsid w:val="7158131A"/>
    <w:rsid w:val="71581E5C"/>
    <w:rsid w:val="71593474"/>
    <w:rsid w:val="71596E12"/>
    <w:rsid w:val="715A66C2"/>
    <w:rsid w:val="715B2CB5"/>
    <w:rsid w:val="715B5300"/>
    <w:rsid w:val="715D018E"/>
    <w:rsid w:val="715D75D2"/>
    <w:rsid w:val="715E62C4"/>
    <w:rsid w:val="71632EFF"/>
    <w:rsid w:val="716344D9"/>
    <w:rsid w:val="71634C94"/>
    <w:rsid w:val="71641D97"/>
    <w:rsid w:val="71661920"/>
    <w:rsid w:val="71662987"/>
    <w:rsid w:val="71664213"/>
    <w:rsid w:val="7167300F"/>
    <w:rsid w:val="716730F9"/>
    <w:rsid w:val="716851C6"/>
    <w:rsid w:val="716907C5"/>
    <w:rsid w:val="71697008"/>
    <w:rsid w:val="71697A56"/>
    <w:rsid w:val="716A2212"/>
    <w:rsid w:val="716A6D1D"/>
    <w:rsid w:val="716C76A7"/>
    <w:rsid w:val="716D2A38"/>
    <w:rsid w:val="716D3DF1"/>
    <w:rsid w:val="716F7CAE"/>
    <w:rsid w:val="71705691"/>
    <w:rsid w:val="717171CA"/>
    <w:rsid w:val="71722787"/>
    <w:rsid w:val="717276BF"/>
    <w:rsid w:val="71731D37"/>
    <w:rsid w:val="71746183"/>
    <w:rsid w:val="71747EB3"/>
    <w:rsid w:val="71752771"/>
    <w:rsid w:val="7175478A"/>
    <w:rsid w:val="71755DD4"/>
    <w:rsid w:val="71773693"/>
    <w:rsid w:val="717805AF"/>
    <w:rsid w:val="717815BF"/>
    <w:rsid w:val="717937F0"/>
    <w:rsid w:val="717A0CE2"/>
    <w:rsid w:val="717A187F"/>
    <w:rsid w:val="717A5A95"/>
    <w:rsid w:val="717B3478"/>
    <w:rsid w:val="717C0B8B"/>
    <w:rsid w:val="717D735E"/>
    <w:rsid w:val="717E2572"/>
    <w:rsid w:val="717E41EA"/>
    <w:rsid w:val="717F18C5"/>
    <w:rsid w:val="718054A5"/>
    <w:rsid w:val="71816C22"/>
    <w:rsid w:val="71816EA7"/>
    <w:rsid w:val="71821C2A"/>
    <w:rsid w:val="718257C5"/>
    <w:rsid w:val="71834649"/>
    <w:rsid w:val="71844EC8"/>
    <w:rsid w:val="71846206"/>
    <w:rsid w:val="718524D4"/>
    <w:rsid w:val="71871547"/>
    <w:rsid w:val="71871B01"/>
    <w:rsid w:val="71873424"/>
    <w:rsid w:val="71875C3A"/>
    <w:rsid w:val="71883C15"/>
    <w:rsid w:val="718A3F7A"/>
    <w:rsid w:val="718A4DE6"/>
    <w:rsid w:val="718B17AE"/>
    <w:rsid w:val="718B2668"/>
    <w:rsid w:val="718C2E97"/>
    <w:rsid w:val="718D5813"/>
    <w:rsid w:val="718D6E07"/>
    <w:rsid w:val="71901D7D"/>
    <w:rsid w:val="71910494"/>
    <w:rsid w:val="719131D9"/>
    <w:rsid w:val="719143B7"/>
    <w:rsid w:val="71937A1B"/>
    <w:rsid w:val="71947B79"/>
    <w:rsid w:val="71954AED"/>
    <w:rsid w:val="71960D17"/>
    <w:rsid w:val="719721EE"/>
    <w:rsid w:val="71973142"/>
    <w:rsid w:val="71977C6C"/>
    <w:rsid w:val="71993C60"/>
    <w:rsid w:val="719941B8"/>
    <w:rsid w:val="719A5494"/>
    <w:rsid w:val="719B1D4F"/>
    <w:rsid w:val="719F3EBB"/>
    <w:rsid w:val="719F4345"/>
    <w:rsid w:val="719F7B0F"/>
    <w:rsid w:val="71A01D5B"/>
    <w:rsid w:val="71A02407"/>
    <w:rsid w:val="71A2374C"/>
    <w:rsid w:val="71A26C49"/>
    <w:rsid w:val="71A27CD0"/>
    <w:rsid w:val="71A301AC"/>
    <w:rsid w:val="71A32941"/>
    <w:rsid w:val="71A42651"/>
    <w:rsid w:val="71A43873"/>
    <w:rsid w:val="71A51DB9"/>
    <w:rsid w:val="71A52F55"/>
    <w:rsid w:val="71A53F07"/>
    <w:rsid w:val="71A604C3"/>
    <w:rsid w:val="71A6182B"/>
    <w:rsid w:val="71A620DD"/>
    <w:rsid w:val="71A74F9E"/>
    <w:rsid w:val="71A75025"/>
    <w:rsid w:val="71A90BC9"/>
    <w:rsid w:val="71A9768A"/>
    <w:rsid w:val="71AA0D5F"/>
    <w:rsid w:val="71AC1373"/>
    <w:rsid w:val="71AC3601"/>
    <w:rsid w:val="71AC3EEB"/>
    <w:rsid w:val="71AC5779"/>
    <w:rsid w:val="71AD1A63"/>
    <w:rsid w:val="71AD5FD6"/>
    <w:rsid w:val="71AD6B3F"/>
    <w:rsid w:val="71AF0F59"/>
    <w:rsid w:val="71AF1059"/>
    <w:rsid w:val="71AF216E"/>
    <w:rsid w:val="71AF2EF1"/>
    <w:rsid w:val="71AF4F24"/>
    <w:rsid w:val="71B006A5"/>
    <w:rsid w:val="71B06541"/>
    <w:rsid w:val="71B14B1C"/>
    <w:rsid w:val="71B20DD6"/>
    <w:rsid w:val="71B21498"/>
    <w:rsid w:val="71B277AA"/>
    <w:rsid w:val="71B35F61"/>
    <w:rsid w:val="71B44B4E"/>
    <w:rsid w:val="71B5371E"/>
    <w:rsid w:val="71B64125"/>
    <w:rsid w:val="71B6668C"/>
    <w:rsid w:val="71B82A38"/>
    <w:rsid w:val="71B838D5"/>
    <w:rsid w:val="71B94C50"/>
    <w:rsid w:val="71B95485"/>
    <w:rsid w:val="71BA7B5D"/>
    <w:rsid w:val="71BB5491"/>
    <w:rsid w:val="71BD2BEF"/>
    <w:rsid w:val="71BE1D76"/>
    <w:rsid w:val="71BE7BB3"/>
    <w:rsid w:val="71C047A0"/>
    <w:rsid w:val="71C07159"/>
    <w:rsid w:val="71C1726B"/>
    <w:rsid w:val="71C43C13"/>
    <w:rsid w:val="71C4646A"/>
    <w:rsid w:val="71C50280"/>
    <w:rsid w:val="71C531D6"/>
    <w:rsid w:val="71C55182"/>
    <w:rsid w:val="71C81ADD"/>
    <w:rsid w:val="71C81E07"/>
    <w:rsid w:val="71C93E4C"/>
    <w:rsid w:val="71C941BF"/>
    <w:rsid w:val="71CA5A5C"/>
    <w:rsid w:val="71CA611F"/>
    <w:rsid w:val="71CC3277"/>
    <w:rsid w:val="71CD74FF"/>
    <w:rsid w:val="71CF7BDA"/>
    <w:rsid w:val="71D13952"/>
    <w:rsid w:val="71D15700"/>
    <w:rsid w:val="71D23226"/>
    <w:rsid w:val="71D24CBF"/>
    <w:rsid w:val="71D27618"/>
    <w:rsid w:val="71D27F8A"/>
    <w:rsid w:val="71D44CB3"/>
    <w:rsid w:val="71D45D66"/>
    <w:rsid w:val="71D47EC1"/>
    <w:rsid w:val="71D7083C"/>
    <w:rsid w:val="71D72E66"/>
    <w:rsid w:val="71D76AF4"/>
    <w:rsid w:val="71D77E06"/>
    <w:rsid w:val="71D90A58"/>
    <w:rsid w:val="71DA1D9E"/>
    <w:rsid w:val="71DA4D50"/>
    <w:rsid w:val="71DB657E"/>
    <w:rsid w:val="71DD5D41"/>
    <w:rsid w:val="71DE5190"/>
    <w:rsid w:val="71DF6C24"/>
    <w:rsid w:val="71E03B95"/>
    <w:rsid w:val="71E434D2"/>
    <w:rsid w:val="71E45398"/>
    <w:rsid w:val="71E47E76"/>
    <w:rsid w:val="71E50BD2"/>
    <w:rsid w:val="71E523F4"/>
    <w:rsid w:val="71E56029"/>
    <w:rsid w:val="71E57950"/>
    <w:rsid w:val="71E67BCC"/>
    <w:rsid w:val="71E747B0"/>
    <w:rsid w:val="71E92128"/>
    <w:rsid w:val="71E94118"/>
    <w:rsid w:val="71E95E31"/>
    <w:rsid w:val="71E97B9E"/>
    <w:rsid w:val="71EB40A4"/>
    <w:rsid w:val="71EB5E11"/>
    <w:rsid w:val="71EB6ED1"/>
    <w:rsid w:val="71EC5C12"/>
    <w:rsid w:val="71EC71D7"/>
    <w:rsid w:val="71ED0060"/>
    <w:rsid w:val="71EE754A"/>
    <w:rsid w:val="71EF04D1"/>
    <w:rsid w:val="71EF1909"/>
    <w:rsid w:val="71F0601F"/>
    <w:rsid w:val="71F212F1"/>
    <w:rsid w:val="71F2616F"/>
    <w:rsid w:val="71F34871"/>
    <w:rsid w:val="71F35BD6"/>
    <w:rsid w:val="71F47C4A"/>
    <w:rsid w:val="71F6797B"/>
    <w:rsid w:val="71F76873"/>
    <w:rsid w:val="71F9054D"/>
    <w:rsid w:val="71FB277D"/>
    <w:rsid w:val="71FB4681"/>
    <w:rsid w:val="71FE2CD4"/>
    <w:rsid w:val="71FE5D45"/>
    <w:rsid w:val="71FF2F19"/>
    <w:rsid w:val="71FF7E19"/>
    <w:rsid w:val="720016F8"/>
    <w:rsid w:val="72010E5B"/>
    <w:rsid w:val="720158B9"/>
    <w:rsid w:val="72030821"/>
    <w:rsid w:val="7204621A"/>
    <w:rsid w:val="720553A9"/>
    <w:rsid w:val="720634FA"/>
    <w:rsid w:val="72065AAB"/>
    <w:rsid w:val="72072200"/>
    <w:rsid w:val="720918D3"/>
    <w:rsid w:val="720A02BB"/>
    <w:rsid w:val="720A7175"/>
    <w:rsid w:val="720C498A"/>
    <w:rsid w:val="720D425E"/>
    <w:rsid w:val="720D4316"/>
    <w:rsid w:val="720E062F"/>
    <w:rsid w:val="720E2299"/>
    <w:rsid w:val="720E2C0A"/>
    <w:rsid w:val="720E4399"/>
    <w:rsid w:val="720F01EF"/>
    <w:rsid w:val="720F1B67"/>
    <w:rsid w:val="720F33B8"/>
    <w:rsid w:val="720F6228"/>
    <w:rsid w:val="721246C9"/>
    <w:rsid w:val="72127AC5"/>
    <w:rsid w:val="721379D9"/>
    <w:rsid w:val="72156603"/>
    <w:rsid w:val="72175AFD"/>
    <w:rsid w:val="72187A67"/>
    <w:rsid w:val="72191290"/>
    <w:rsid w:val="72191617"/>
    <w:rsid w:val="721A30A8"/>
    <w:rsid w:val="721A325A"/>
    <w:rsid w:val="721D0C8E"/>
    <w:rsid w:val="721D6C76"/>
    <w:rsid w:val="721E25DF"/>
    <w:rsid w:val="721E511D"/>
    <w:rsid w:val="721F7926"/>
    <w:rsid w:val="722148AD"/>
    <w:rsid w:val="72221E3F"/>
    <w:rsid w:val="72232A9E"/>
    <w:rsid w:val="72247B3B"/>
    <w:rsid w:val="72247D1F"/>
    <w:rsid w:val="72255B55"/>
    <w:rsid w:val="72271CEF"/>
    <w:rsid w:val="72275320"/>
    <w:rsid w:val="722777C2"/>
    <w:rsid w:val="72281098"/>
    <w:rsid w:val="7229553C"/>
    <w:rsid w:val="72297CE6"/>
    <w:rsid w:val="722B50D7"/>
    <w:rsid w:val="722B793A"/>
    <w:rsid w:val="722C306B"/>
    <w:rsid w:val="722D7006"/>
    <w:rsid w:val="722E5519"/>
    <w:rsid w:val="722F6137"/>
    <w:rsid w:val="722F677F"/>
    <w:rsid w:val="72311097"/>
    <w:rsid w:val="7231225D"/>
    <w:rsid w:val="72320433"/>
    <w:rsid w:val="723217F7"/>
    <w:rsid w:val="7233509D"/>
    <w:rsid w:val="723428E3"/>
    <w:rsid w:val="723462E7"/>
    <w:rsid w:val="7236453D"/>
    <w:rsid w:val="723759DB"/>
    <w:rsid w:val="723839D1"/>
    <w:rsid w:val="72384DBC"/>
    <w:rsid w:val="723852BB"/>
    <w:rsid w:val="723914F7"/>
    <w:rsid w:val="723A59EF"/>
    <w:rsid w:val="723C3381"/>
    <w:rsid w:val="723D0FE7"/>
    <w:rsid w:val="723E387A"/>
    <w:rsid w:val="723F4D5F"/>
    <w:rsid w:val="723F7BAF"/>
    <w:rsid w:val="724051C6"/>
    <w:rsid w:val="724203AC"/>
    <w:rsid w:val="7242215A"/>
    <w:rsid w:val="724347A4"/>
    <w:rsid w:val="724423BC"/>
    <w:rsid w:val="724454B6"/>
    <w:rsid w:val="72457E9C"/>
    <w:rsid w:val="72465A47"/>
    <w:rsid w:val="7247228B"/>
    <w:rsid w:val="72477551"/>
    <w:rsid w:val="724834E8"/>
    <w:rsid w:val="72485503"/>
    <w:rsid w:val="72486002"/>
    <w:rsid w:val="72493FF7"/>
    <w:rsid w:val="72496005"/>
    <w:rsid w:val="724A27E4"/>
    <w:rsid w:val="724B05AD"/>
    <w:rsid w:val="724B4D34"/>
    <w:rsid w:val="724B706A"/>
    <w:rsid w:val="724C0203"/>
    <w:rsid w:val="724C09B1"/>
    <w:rsid w:val="724C160B"/>
    <w:rsid w:val="724C1CCE"/>
    <w:rsid w:val="724D5C91"/>
    <w:rsid w:val="724F780C"/>
    <w:rsid w:val="72500C91"/>
    <w:rsid w:val="72502255"/>
    <w:rsid w:val="72504DF4"/>
    <w:rsid w:val="7251036B"/>
    <w:rsid w:val="72510822"/>
    <w:rsid w:val="725237EE"/>
    <w:rsid w:val="725257DE"/>
    <w:rsid w:val="7253138F"/>
    <w:rsid w:val="725325B9"/>
    <w:rsid w:val="7254352B"/>
    <w:rsid w:val="7254553B"/>
    <w:rsid w:val="72553024"/>
    <w:rsid w:val="725813DB"/>
    <w:rsid w:val="7258372B"/>
    <w:rsid w:val="725926A9"/>
    <w:rsid w:val="725B0732"/>
    <w:rsid w:val="725B146D"/>
    <w:rsid w:val="725B5B0E"/>
    <w:rsid w:val="725C6621"/>
    <w:rsid w:val="725D2CDD"/>
    <w:rsid w:val="725D51E5"/>
    <w:rsid w:val="725D777E"/>
    <w:rsid w:val="725F094D"/>
    <w:rsid w:val="725F0958"/>
    <w:rsid w:val="725F0975"/>
    <w:rsid w:val="72642581"/>
    <w:rsid w:val="72646574"/>
    <w:rsid w:val="7265547D"/>
    <w:rsid w:val="72675BA3"/>
    <w:rsid w:val="72677E12"/>
    <w:rsid w:val="72683EF4"/>
    <w:rsid w:val="72691DDC"/>
    <w:rsid w:val="72694909"/>
    <w:rsid w:val="72694F06"/>
    <w:rsid w:val="726A0763"/>
    <w:rsid w:val="726A56C4"/>
    <w:rsid w:val="726B28A3"/>
    <w:rsid w:val="726C03C6"/>
    <w:rsid w:val="726E2190"/>
    <w:rsid w:val="726E2199"/>
    <w:rsid w:val="726E417E"/>
    <w:rsid w:val="726F016F"/>
    <w:rsid w:val="726F07C8"/>
    <w:rsid w:val="726F33D9"/>
    <w:rsid w:val="72700380"/>
    <w:rsid w:val="72702DD6"/>
    <w:rsid w:val="72703DC2"/>
    <w:rsid w:val="7271277B"/>
    <w:rsid w:val="72715487"/>
    <w:rsid w:val="72722654"/>
    <w:rsid w:val="72750C00"/>
    <w:rsid w:val="72762CB8"/>
    <w:rsid w:val="72763559"/>
    <w:rsid w:val="727840ED"/>
    <w:rsid w:val="72787DE2"/>
    <w:rsid w:val="72791E41"/>
    <w:rsid w:val="727A3825"/>
    <w:rsid w:val="727A7849"/>
    <w:rsid w:val="727B0722"/>
    <w:rsid w:val="727D13E4"/>
    <w:rsid w:val="727D1BD4"/>
    <w:rsid w:val="727D437C"/>
    <w:rsid w:val="727D4532"/>
    <w:rsid w:val="727F1ACA"/>
    <w:rsid w:val="727F434D"/>
    <w:rsid w:val="72803435"/>
    <w:rsid w:val="72815085"/>
    <w:rsid w:val="728170D6"/>
    <w:rsid w:val="72817EA4"/>
    <w:rsid w:val="7283124A"/>
    <w:rsid w:val="72841DA1"/>
    <w:rsid w:val="72843020"/>
    <w:rsid w:val="728478D2"/>
    <w:rsid w:val="72852482"/>
    <w:rsid w:val="7286033A"/>
    <w:rsid w:val="72865A0F"/>
    <w:rsid w:val="72872262"/>
    <w:rsid w:val="72885662"/>
    <w:rsid w:val="728A3B01"/>
    <w:rsid w:val="728B4C75"/>
    <w:rsid w:val="728B65E1"/>
    <w:rsid w:val="728B7568"/>
    <w:rsid w:val="728C26A1"/>
    <w:rsid w:val="728D2438"/>
    <w:rsid w:val="728D4581"/>
    <w:rsid w:val="728D524E"/>
    <w:rsid w:val="728D5C3E"/>
    <w:rsid w:val="728D7DFB"/>
    <w:rsid w:val="728F0CF3"/>
    <w:rsid w:val="728F48BB"/>
    <w:rsid w:val="729076B1"/>
    <w:rsid w:val="729227DA"/>
    <w:rsid w:val="729273B4"/>
    <w:rsid w:val="7294076C"/>
    <w:rsid w:val="72952EE5"/>
    <w:rsid w:val="72954D05"/>
    <w:rsid w:val="7296028E"/>
    <w:rsid w:val="72964253"/>
    <w:rsid w:val="72970B06"/>
    <w:rsid w:val="72976025"/>
    <w:rsid w:val="72981944"/>
    <w:rsid w:val="729906F2"/>
    <w:rsid w:val="72992A2C"/>
    <w:rsid w:val="729A4C6C"/>
    <w:rsid w:val="729A622B"/>
    <w:rsid w:val="729B151B"/>
    <w:rsid w:val="729B512F"/>
    <w:rsid w:val="729B7ABC"/>
    <w:rsid w:val="729C3F60"/>
    <w:rsid w:val="729E49E9"/>
    <w:rsid w:val="729F3B51"/>
    <w:rsid w:val="729F57FE"/>
    <w:rsid w:val="72A11576"/>
    <w:rsid w:val="72A12033"/>
    <w:rsid w:val="72A13C5F"/>
    <w:rsid w:val="72A14EA6"/>
    <w:rsid w:val="72A20E4A"/>
    <w:rsid w:val="72A31040"/>
    <w:rsid w:val="72A362A9"/>
    <w:rsid w:val="72A4268E"/>
    <w:rsid w:val="72A44BC2"/>
    <w:rsid w:val="72A46970"/>
    <w:rsid w:val="72A46A4B"/>
    <w:rsid w:val="72A70FA9"/>
    <w:rsid w:val="72A714F1"/>
    <w:rsid w:val="72A75950"/>
    <w:rsid w:val="72A75B91"/>
    <w:rsid w:val="72A93598"/>
    <w:rsid w:val="72A9656A"/>
    <w:rsid w:val="72A96592"/>
    <w:rsid w:val="72AA07D4"/>
    <w:rsid w:val="72AA2F12"/>
    <w:rsid w:val="72AA7CFF"/>
    <w:rsid w:val="72AB31BB"/>
    <w:rsid w:val="72AD2107"/>
    <w:rsid w:val="72AD5CA1"/>
    <w:rsid w:val="72AE3BD5"/>
    <w:rsid w:val="72AF0030"/>
    <w:rsid w:val="72AF15AE"/>
    <w:rsid w:val="72AF30A6"/>
    <w:rsid w:val="72B042D6"/>
    <w:rsid w:val="72B07584"/>
    <w:rsid w:val="72B16DA9"/>
    <w:rsid w:val="72B22EB9"/>
    <w:rsid w:val="72B3010F"/>
    <w:rsid w:val="72B3549E"/>
    <w:rsid w:val="72B378C6"/>
    <w:rsid w:val="72B37C80"/>
    <w:rsid w:val="72B50F45"/>
    <w:rsid w:val="72B55F43"/>
    <w:rsid w:val="72B77225"/>
    <w:rsid w:val="72B81EB0"/>
    <w:rsid w:val="72B87332"/>
    <w:rsid w:val="72B92F2E"/>
    <w:rsid w:val="72B93030"/>
    <w:rsid w:val="72B94182"/>
    <w:rsid w:val="72BA2638"/>
    <w:rsid w:val="72BB05E4"/>
    <w:rsid w:val="72BB3D1D"/>
    <w:rsid w:val="72BC18D5"/>
    <w:rsid w:val="72BF054F"/>
    <w:rsid w:val="72C11EC9"/>
    <w:rsid w:val="72C14DB2"/>
    <w:rsid w:val="72C22153"/>
    <w:rsid w:val="72C335DB"/>
    <w:rsid w:val="72C35E57"/>
    <w:rsid w:val="72C50CE1"/>
    <w:rsid w:val="72C52CB6"/>
    <w:rsid w:val="72C53382"/>
    <w:rsid w:val="72C72BE9"/>
    <w:rsid w:val="72C84FE5"/>
    <w:rsid w:val="72C915D4"/>
    <w:rsid w:val="72CB5599"/>
    <w:rsid w:val="72CB6E80"/>
    <w:rsid w:val="72CC3140"/>
    <w:rsid w:val="72CC4CF8"/>
    <w:rsid w:val="72CD00E4"/>
    <w:rsid w:val="72CE162F"/>
    <w:rsid w:val="72CE349D"/>
    <w:rsid w:val="72CE7E91"/>
    <w:rsid w:val="72CF624E"/>
    <w:rsid w:val="72D04ECB"/>
    <w:rsid w:val="72D06168"/>
    <w:rsid w:val="72D1172F"/>
    <w:rsid w:val="72D13225"/>
    <w:rsid w:val="72D134DE"/>
    <w:rsid w:val="72D207DF"/>
    <w:rsid w:val="72D22C21"/>
    <w:rsid w:val="72D27981"/>
    <w:rsid w:val="72D41126"/>
    <w:rsid w:val="72D45ADD"/>
    <w:rsid w:val="72D467AC"/>
    <w:rsid w:val="72D47729"/>
    <w:rsid w:val="72D749EE"/>
    <w:rsid w:val="72D75A96"/>
    <w:rsid w:val="72DA05E4"/>
    <w:rsid w:val="72DA39A5"/>
    <w:rsid w:val="72DC734E"/>
    <w:rsid w:val="72DD00D4"/>
    <w:rsid w:val="72DE683B"/>
    <w:rsid w:val="72DE6D9C"/>
    <w:rsid w:val="72DF0CD1"/>
    <w:rsid w:val="72DF1468"/>
    <w:rsid w:val="72E07C0B"/>
    <w:rsid w:val="72E11F57"/>
    <w:rsid w:val="72E24355"/>
    <w:rsid w:val="72E26262"/>
    <w:rsid w:val="72E400F2"/>
    <w:rsid w:val="72E41F78"/>
    <w:rsid w:val="72E47518"/>
    <w:rsid w:val="72E52DF6"/>
    <w:rsid w:val="72E640ED"/>
    <w:rsid w:val="72E728F2"/>
    <w:rsid w:val="72E75D2B"/>
    <w:rsid w:val="72E87706"/>
    <w:rsid w:val="72E90B33"/>
    <w:rsid w:val="72E94CCB"/>
    <w:rsid w:val="72E95BEF"/>
    <w:rsid w:val="72E96A79"/>
    <w:rsid w:val="72EA266B"/>
    <w:rsid w:val="72EA42DF"/>
    <w:rsid w:val="72EB4B0D"/>
    <w:rsid w:val="72EC32E8"/>
    <w:rsid w:val="72EC3BDB"/>
    <w:rsid w:val="72ED64A7"/>
    <w:rsid w:val="72EE5044"/>
    <w:rsid w:val="72EF5B06"/>
    <w:rsid w:val="72F07E08"/>
    <w:rsid w:val="72F1233B"/>
    <w:rsid w:val="72F160DE"/>
    <w:rsid w:val="72F23D3A"/>
    <w:rsid w:val="72F26512"/>
    <w:rsid w:val="72F27721"/>
    <w:rsid w:val="72F329DE"/>
    <w:rsid w:val="72F378F8"/>
    <w:rsid w:val="72F62232"/>
    <w:rsid w:val="72F6429B"/>
    <w:rsid w:val="72F6532E"/>
    <w:rsid w:val="72F82F14"/>
    <w:rsid w:val="72FA16E4"/>
    <w:rsid w:val="72FA2121"/>
    <w:rsid w:val="72FC3174"/>
    <w:rsid w:val="72FD0C65"/>
    <w:rsid w:val="72FD35DD"/>
    <w:rsid w:val="72FD6FF9"/>
    <w:rsid w:val="72FE0705"/>
    <w:rsid w:val="730028E8"/>
    <w:rsid w:val="73003298"/>
    <w:rsid w:val="73004B59"/>
    <w:rsid w:val="73007CD7"/>
    <w:rsid w:val="730104D4"/>
    <w:rsid w:val="73012D8C"/>
    <w:rsid w:val="730167C8"/>
    <w:rsid w:val="73017757"/>
    <w:rsid w:val="73023438"/>
    <w:rsid w:val="73023802"/>
    <w:rsid w:val="730313C1"/>
    <w:rsid w:val="730324DC"/>
    <w:rsid w:val="730467EB"/>
    <w:rsid w:val="73047F33"/>
    <w:rsid w:val="7305216D"/>
    <w:rsid w:val="7305515E"/>
    <w:rsid w:val="73057541"/>
    <w:rsid w:val="73070593"/>
    <w:rsid w:val="7307339C"/>
    <w:rsid w:val="730753CF"/>
    <w:rsid w:val="730801A4"/>
    <w:rsid w:val="7308144C"/>
    <w:rsid w:val="73083F12"/>
    <w:rsid w:val="73095103"/>
    <w:rsid w:val="730A02B4"/>
    <w:rsid w:val="730B191D"/>
    <w:rsid w:val="730B5872"/>
    <w:rsid w:val="730C008D"/>
    <w:rsid w:val="730D09BA"/>
    <w:rsid w:val="730D3CF4"/>
    <w:rsid w:val="730D50B6"/>
    <w:rsid w:val="730E027D"/>
    <w:rsid w:val="730E3F29"/>
    <w:rsid w:val="730E682F"/>
    <w:rsid w:val="730E74B2"/>
    <w:rsid w:val="730F2726"/>
    <w:rsid w:val="73122968"/>
    <w:rsid w:val="7313464B"/>
    <w:rsid w:val="73135C3F"/>
    <w:rsid w:val="7314390C"/>
    <w:rsid w:val="73150142"/>
    <w:rsid w:val="73161C80"/>
    <w:rsid w:val="73162230"/>
    <w:rsid w:val="7316338A"/>
    <w:rsid w:val="731A30D6"/>
    <w:rsid w:val="731A4DE6"/>
    <w:rsid w:val="731B0A38"/>
    <w:rsid w:val="731B3B3C"/>
    <w:rsid w:val="731B4C66"/>
    <w:rsid w:val="731C0BFD"/>
    <w:rsid w:val="731D5ADA"/>
    <w:rsid w:val="731E3DB2"/>
    <w:rsid w:val="731F06ED"/>
    <w:rsid w:val="731F2952"/>
    <w:rsid w:val="731F5D5E"/>
    <w:rsid w:val="73201B9F"/>
    <w:rsid w:val="73202B52"/>
    <w:rsid w:val="73243F55"/>
    <w:rsid w:val="7328175F"/>
    <w:rsid w:val="73281D30"/>
    <w:rsid w:val="732C4333"/>
    <w:rsid w:val="732D789B"/>
    <w:rsid w:val="732E08D8"/>
    <w:rsid w:val="732E470E"/>
    <w:rsid w:val="732F21D5"/>
    <w:rsid w:val="732F2BBE"/>
    <w:rsid w:val="733149D8"/>
    <w:rsid w:val="7331611C"/>
    <w:rsid w:val="73322ADD"/>
    <w:rsid w:val="73327B0D"/>
    <w:rsid w:val="73334777"/>
    <w:rsid w:val="73337F0D"/>
    <w:rsid w:val="733676C5"/>
    <w:rsid w:val="73384954"/>
    <w:rsid w:val="733A14C9"/>
    <w:rsid w:val="733A4E40"/>
    <w:rsid w:val="733A5777"/>
    <w:rsid w:val="733A6238"/>
    <w:rsid w:val="733B02ED"/>
    <w:rsid w:val="733B56A7"/>
    <w:rsid w:val="733B62C7"/>
    <w:rsid w:val="733C7E21"/>
    <w:rsid w:val="733D0B73"/>
    <w:rsid w:val="733D75B6"/>
    <w:rsid w:val="733D7B03"/>
    <w:rsid w:val="733E2B41"/>
    <w:rsid w:val="733E3405"/>
    <w:rsid w:val="733E496C"/>
    <w:rsid w:val="733F0772"/>
    <w:rsid w:val="734020D8"/>
    <w:rsid w:val="7341176D"/>
    <w:rsid w:val="7343163D"/>
    <w:rsid w:val="73440153"/>
    <w:rsid w:val="73441498"/>
    <w:rsid w:val="73447A8D"/>
    <w:rsid w:val="73451759"/>
    <w:rsid w:val="734616B7"/>
    <w:rsid w:val="734737A0"/>
    <w:rsid w:val="7349576A"/>
    <w:rsid w:val="734A299B"/>
    <w:rsid w:val="734A4AA8"/>
    <w:rsid w:val="734A5E12"/>
    <w:rsid w:val="734A7353"/>
    <w:rsid w:val="734A753D"/>
    <w:rsid w:val="734B113B"/>
    <w:rsid w:val="734B1B9C"/>
    <w:rsid w:val="734C5BC6"/>
    <w:rsid w:val="734D182C"/>
    <w:rsid w:val="734E7FFD"/>
    <w:rsid w:val="734F56E3"/>
    <w:rsid w:val="735005C7"/>
    <w:rsid w:val="73503460"/>
    <w:rsid w:val="73520AC2"/>
    <w:rsid w:val="735322B2"/>
    <w:rsid w:val="735503D9"/>
    <w:rsid w:val="73551D91"/>
    <w:rsid w:val="73552E88"/>
    <w:rsid w:val="73556342"/>
    <w:rsid w:val="7356031E"/>
    <w:rsid w:val="73566F34"/>
    <w:rsid w:val="73571FDB"/>
    <w:rsid w:val="735744E1"/>
    <w:rsid w:val="73574F13"/>
    <w:rsid w:val="73581E92"/>
    <w:rsid w:val="7358643A"/>
    <w:rsid w:val="73590D52"/>
    <w:rsid w:val="735C62F8"/>
    <w:rsid w:val="735E4D17"/>
    <w:rsid w:val="735F0AE9"/>
    <w:rsid w:val="735F1CAA"/>
    <w:rsid w:val="73605A33"/>
    <w:rsid w:val="73624FB6"/>
    <w:rsid w:val="736308BE"/>
    <w:rsid w:val="73634A7D"/>
    <w:rsid w:val="73635527"/>
    <w:rsid w:val="736435FE"/>
    <w:rsid w:val="73644352"/>
    <w:rsid w:val="73666173"/>
    <w:rsid w:val="736740C5"/>
    <w:rsid w:val="73677A56"/>
    <w:rsid w:val="736829FA"/>
    <w:rsid w:val="73691B05"/>
    <w:rsid w:val="736A4CB9"/>
    <w:rsid w:val="736D1458"/>
    <w:rsid w:val="736D5622"/>
    <w:rsid w:val="736F3422"/>
    <w:rsid w:val="736F77D9"/>
    <w:rsid w:val="73715858"/>
    <w:rsid w:val="7374189F"/>
    <w:rsid w:val="737454E9"/>
    <w:rsid w:val="7375030D"/>
    <w:rsid w:val="737607E1"/>
    <w:rsid w:val="737720DF"/>
    <w:rsid w:val="7377233F"/>
    <w:rsid w:val="73774085"/>
    <w:rsid w:val="737740C4"/>
    <w:rsid w:val="7378016B"/>
    <w:rsid w:val="7378254C"/>
    <w:rsid w:val="7379782F"/>
    <w:rsid w:val="737B1022"/>
    <w:rsid w:val="737B3522"/>
    <w:rsid w:val="737C7563"/>
    <w:rsid w:val="737F249B"/>
    <w:rsid w:val="737F7477"/>
    <w:rsid w:val="73816F68"/>
    <w:rsid w:val="73820031"/>
    <w:rsid w:val="73820F58"/>
    <w:rsid w:val="738265A6"/>
    <w:rsid w:val="738307E8"/>
    <w:rsid w:val="738343C2"/>
    <w:rsid w:val="73836ECE"/>
    <w:rsid w:val="738549F4"/>
    <w:rsid w:val="73860D36"/>
    <w:rsid w:val="738656F7"/>
    <w:rsid w:val="73880BB2"/>
    <w:rsid w:val="738961A8"/>
    <w:rsid w:val="738B18DE"/>
    <w:rsid w:val="738C0C86"/>
    <w:rsid w:val="738C7822"/>
    <w:rsid w:val="738D1B74"/>
    <w:rsid w:val="738D5656"/>
    <w:rsid w:val="738F072A"/>
    <w:rsid w:val="738F4117"/>
    <w:rsid w:val="73904FD5"/>
    <w:rsid w:val="73933B82"/>
    <w:rsid w:val="739369E5"/>
    <w:rsid w:val="739403BB"/>
    <w:rsid w:val="73951A44"/>
    <w:rsid w:val="7395212C"/>
    <w:rsid w:val="7396222C"/>
    <w:rsid w:val="73965CF6"/>
    <w:rsid w:val="73982CA4"/>
    <w:rsid w:val="7399244A"/>
    <w:rsid w:val="739A7968"/>
    <w:rsid w:val="739B10F7"/>
    <w:rsid w:val="739B7204"/>
    <w:rsid w:val="739C463F"/>
    <w:rsid w:val="739C656F"/>
    <w:rsid w:val="739D7179"/>
    <w:rsid w:val="739F2C29"/>
    <w:rsid w:val="739F7639"/>
    <w:rsid w:val="73A01A34"/>
    <w:rsid w:val="73A03884"/>
    <w:rsid w:val="73A06DF4"/>
    <w:rsid w:val="73A17354"/>
    <w:rsid w:val="73A309A3"/>
    <w:rsid w:val="73A31608"/>
    <w:rsid w:val="73A31B33"/>
    <w:rsid w:val="73A330CC"/>
    <w:rsid w:val="73A41C0D"/>
    <w:rsid w:val="73A429A0"/>
    <w:rsid w:val="73A45509"/>
    <w:rsid w:val="73A51B69"/>
    <w:rsid w:val="73A66718"/>
    <w:rsid w:val="73A707EA"/>
    <w:rsid w:val="73A81128"/>
    <w:rsid w:val="73AA445A"/>
    <w:rsid w:val="73AA4A93"/>
    <w:rsid w:val="73AB3967"/>
    <w:rsid w:val="73AD16CB"/>
    <w:rsid w:val="73AD45E0"/>
    <w:rsid w:val="73AE2C05"/>
    <w:rsid w:val="73AF1A71"/>
    <w:rsid w:val="73AF381F"/>
    <w:rsid w:val="73AF5163"/>
    <w:rsid w:val="73AF7CC3"/>
    <w:rsid w:val="73B02DB1"/>
    <w:rsid w:val="73B11269"/>
    <w:rsid w:val="73B13143"/>
    <w:rsid w:val="73B219A5"/>
    <w:rsid w:val="73B22F73"/>
    <w:rsid w:val="73B242BE"/>
    <w:rsid w:val="73B31DE8"/>
    <w:rsid w:val="73B46783"/>
    <w:rsid w:val="73B46CC8"/>
    <w:rsid w:val="73B55529"/>
    <w:rsid w:val="73B61051"/>
    <w:rsid w:val="73B6653F"/>
    <w:rsid w:val="73B726D3"/>
    <w:rsid w:val="73B747F5"/>
    <w:rsid w:val="73B74C74"/>
    <w:rsid w:val="73B83147"/>
    <w:rsid w:val="73B84D22"/>
    <w:rsid w:val="73BA1136"/>
    <w:rsid w:val="73BB5BA3"/>
    <w:rsid w:val="73BC4B00"/>
    <w:rsid w:val="73BF2EAB"/>
    <w:rsid w:val="73BF304D"/>
    <w:rsid w:val="73BF4D3B"/>
    <w:rsid w:val="73C010F7"/>
    <w:rsid w:val="73C51AD5"/>
    <w:rsid w:val="73C60B68"/>
    <w:rsid w:val="73C6500C"/>
    <w:rsid w:val="73C748F9"/>
    <w:rsid w:val="73C95A04"/>
    <w:rsid w:val="73CA57A7"/>
    <w:rsid w:val="73CB41EE"/>
    <w:rsid w:val="73CD4ADC"/>
    <w:rsid w:val="73CF4692"/>
    <w:rsid w:val="73D10333"/>
    <w:rsid w:val="73D25041"/>
    <w:rsid w:val="73D332A1"/>
    <w:rsid w:val="73D56FFD"/>
    <w:rsid w:val="73D65FA2"/>
    <w:rsid w:val="73D71E76"/>
    <w:rsid w:val="73D76183"/>
    <w:rsid w:val="73D81C3A"/>
    <w:rsid w:val="73D832C2"/>
    <w:rsid w:val="73D8585A"/>
    <w:rsid w:val="73D94590"/>
    <w:rsid w:val="73D94D40"/>
    <w:rsid w:val="73D97EF9"/>
    <w:rsid w:val="73DA223C"/>
    <w:rsid w:val="73DB376D"/>
    <w:rsid w:val="73DB534F"/>
    <w:rsid w:val="73DB5F81"/>
    <w:rsid w:val="73DC038C"/>
    <w:rsid w:val="73DE1F4E"/>
    <w:rsid w:val="73DE2E29"/>
    <w:rsid w:val="73DE3869"/>
    <w:rsid w:val="73DE3AB1"/>
    <w:rsid w:val="73DE7D66"/>
    <w:rsid w:val="73DF2696"/>
    <w:rsid w:val="73DF6992"/>
    <w:rsid w:val="73E01156"/>
    <w:rsid w:val="73E22A85"/>
    <w:rsid w:val="73E25879"/>
    <w:rsid w:val="73E30E39"/>
    <w:rsid w:val="73E40391"/>
    <w:rsid w:val="73E47426"/>
    <w:rsid w:val="73E612B4"/>
    <w:rsid w:val="73EA0CFB"/>
    <w:rsid w:val="73EA3366"/>
    <w:rsid w:val="73EA51AD"/>
    <w:rsid w:val="73EB05CF"/>
    <w:rsid w:val="73EB22F9"/>
    <w:rsid w:val="73EB5670"/>
    <w:rsid w:val="73ED721F"/>
    <w:rsid w:val="73EE405D"/>
    <w:rsid w:val="73EE5BC3"/>
    <w:rsid w:val="73EF00BF"/>
    <w:rsid w:val="73EF32A8"/>
    <w:rsid w:val="73EF586B"/>
    <w:rsid w:val="73EF6311"/>
    <w:rsid w:val="73F0159C"/>
    <w:rsid w:val="73F07FFF"/>
    <w:rsid w:val="73F152D1"/>
    <w:rsid w:val="73F20269"/>
    <w:rsid w:val="73F238FC"/>
    <w:rsid w:val="73F30453"/>
    <w:rsid w:val="73F501E7"/>
    <w:rsid w:val="73F578D0"/>
    <w:rsid w:val="73F76D4C"/>
    <w:rsid w:val="73F8797C"/>
    <w:rsid w:val="73F977FD"/>
    <w:rsid w:val="73FA0F03"/>
    <w:rsid w:val="73FA1085"/>
    <w:rsid w:val="73FA12E1"/>
    <w:rsid w:val="73FA1B15"/>
    <w:rsid w:val="73FC1BD6"/>
    <w:rsid w:val="73FC27DC"/>
    <w:rsid w:val="73FD422D"/>
    <w:rsid w:val="73FF6600"/>
    <w:rsid w:val="740028E9"/>
    <w:rsid w:val="74040436"/>
    <w:rsid w:val="74050E75"/>
    <w:rsid w:val="740563C2"/>
    <w:rsid w:val="7406024E"/>
    <w:rsid w:val="74082A5B"/>
    <w:rsid w:val="740863C8"/>
    <w:rsid w:val="740A3A9A"/>
    <w:rsid w:val="740A7301"/>
    <w:rsid w:val="740A7A8A"/>
    <w:rsid w:val="740C0C71"/>
    <w:rsid w:val="740C658E"/>
    <w:rsid w:val="740E1600"/>
    <w:rsid w:val="740E3F4A"/>
    <w:rsid w:val="740E71EB"/>
    <w:rsid w:val="740F1E79"/>
    <w:rsid w:val="740F6AE2"/>
    <w:rsid w:val="74100752"/>
    <w:rsid w:val="741142DD"/>
    <w:rsid w:val="74115665"/>
    <w:rsid w:val="74116287"/>
    <w:rsid w:val="7412392F"/>
    <w:rsid w:val="74124682"/>
    <w:rsid w:val="74130252"/>
    <w:rsid w:val="741344B8"/>
    <w:rsid w:val="74146953"/>
    <w:rsid w:val="74157A8F"/>
    <w:rsid w:val="7416564C"/>
    <w:rsid w:val="74171201"/>
    <w:rsid w:val="74176E93"/>
    <w:rsid w:val="74187E69"/>
    <w:rsid w:val="74190556"/>
    <w:rsid w:val="74193A2F"/>
    <w:rsid w:val="7419457A"/>
    <w:rsid w:val="741B5E97"/>
    <w:rsid w:val="741C64FF"/>
    <w:rsid w:val="741C732D"/>
    <w:rsid w:val="741D3841"/>
    <w:rsid w:val="741D67F2"/>
    <w:rsid w:val="741E2752"/>
    <w:rsid w:val="741E793C"/>
    <w:rsid w:val="741F520A"/>
    <w:rsid w:val="742069BA"/>
    <w:rsid w:val="74207DB6"/>
    <w:rsid w:val="74210C4D"/>
    <w:rsid w:val="74213D85"/>
    <w:rsid w:val="7422441D"/>
    <w:rsid w:val="74232C88"/>
    <w:rsid w:val="7423380A"/>
    <w:rsid w:val="742460E6"/>
    <w:rsid w:val="74251D33"/>
    <w:rsid w:val="74263486"/>
    <w:rsid w:val="74273CFD"/>
    <w:rsid w:val="74282B7B"/>
    <w:rsid w:val="74293ACB"/>
    <w:rsid w:val="742A2244"/>
    <w:rsid w:val="742A5EB3"/>
    <w:rsid w:val="742C05E7"/>
    <w:rsid w:val="742C06DE"/>
    <w:rsid w:val="742C1313"/>
    <w:rsid w:val="742C5E8F"/>
    <w:rsid w:val="742D1EBF"/>
    <w:rsid w:val="742E3A49"/>
    <w:rsid w:val="74312F5D"/>
    <w:rsid w:val="74321816"/>
    <w:rsid w:val="74324D74"/>
    <w:rsid w:val="7432705F"/>
    <w:rsid w:val="74327154"/>
    <w:rsid w:val="743337E4"/>
    <w:rsid w:val="74335144"/>
    <w:rsid w:val="7435547A"/>
    <w:rsid w:val="743756A7"/>
    <w:rsid w:val="74375AEB"/>
    <w:rsid w:val="74387114"/>
    <w:rsid w:val="743908CB"/>
    <w:rsid w:val="74396224"/>
    <w:rsid w:val="743A0EAD"/>
    <w:rsid w:val="743A3D40"/>
    <w:rsid w:val="743A5297"/>
    <w:rsid w:val="743B35D3"/>
    <w:rsid w:val="743B743A"/>
    <w:rsid w:val="743C24D2"/>
    <w:rsid w:val="743D635F"/>
    <w:rsid w:val="743D6B0F"/>
    <w:rsid w:val="743E127E"/>
    <w:rsid w:val="743E367E"/>
    <w:rsid w:val="743E4BA3"/>
    <w:rsid w:val="743E7AEA"/>
    <w:rsid w:val="74413682"/>
    <w:rsid w:val="74423B9E"/>
    <w:rsid w:val="74433DAE"/>
    <w:rsid w:val="744353E1"/>
    <w:rsid w:val="74445368"/>
    <w:rsid w:val="74450D51"/>
    <w:rsid w:val="74452F8D"/>
    <w:rsid w:val="744652C0"/>
    <w:rsid w:val="744664FB"/>
    <w:rsid w:val="74485A21"/>
    <w:rsid w:val="74486B13"/>
    <w:rsid w:val="74487EAD"/>
    <w:rsid w:val="744959C1"/>
    <w:rsid w:val="744B1675"/>
    <w:rsid w:val="744B7172"/>
    <w:rsid w:val="744C365C"/>
    <w:rsid w:val="744D4DE6"/>
    <w:rsid w:val="744D4F9C"/>
    <w:rsid w:val="744E0AB4"/>
    <w:rsid w:val="744E3973"/>
    <w:rsid w:val="744F2F47"/>
    <w:rsid w:val="74506530"/>
    <w:rsid w:val="74511B6C"/>
    <w:rsid w:val="74515EAD"/>
    <w:rsid w:val="74524028"/>
    <w:rsid w:val="7453435B"/>
    <w:rsid w:val="74534AF2"/>
    <w:rsid w:val="74547324"/>
    <w:rsid w:val="74547856"/>
    <w:rsid w:val="745545AE"/>
    <w:rsid w:val="7456463B"/>
    <w:rsid w:val="74571C02"/>
    <w:rsid w:val="74574BFF"/>
    <w:rsid w:val="74585BAB"/>
    <w:rsid w:val="745A575B"/>
    <w:rsid w:val="745A7D11"/>
    <w:rsid w:val="745E0DCD"/>
    <w:rsid w:val="745E3944"/>
    <w:rsid w:val="745E44F3"/>
    <w:rsid w:val="745E5211"/>
    <w:rsid w:val="745E7A5F"/>
    <w:rsid w:val="746003DC"/>
    <w:rsid w:val="746068D5"/>
    <w:rsid w:val="7460720F"/>
    <w:rsid w:val="7462439A"/>
    <w:rsid w:val="746244C8"/>
    <w:rsid w:val="74625772"/>
    <w:rsid w:val="74627F06"/>
    <w:rsid w:val="74634609"/>
    <w:rsid w:val="74634917"/>
    <w:rsid w:val="7464542E"/>
    <w:rsid w:val="74650074"/>
    <w:rsid w:val="74650724"/>
    <w:rsid w:val="74673706"/>
    <w:rsid w:val="74677882"/>
    <w:rsid w:val="746D4F98"/>
    <w:rsid w:val="746D6233"/>
    <w:rsid w:val="746E42D3"/>
    <w:rsid w:val="746F09C2"/>
    <w:rsid w:val="746F2E35"/>
    <w:rsid w:val="746F5599"/>
    <w:rsid w:val="746F7CCC"/>
    <w:rsid w:val="74706272"/>
    <w:rsid w:val="74712D98"/>
    <w:rsid w:val="74714858"/>
    <w:rsid w:val="74715374"/>
    <w:rsid w:val="74736AA6"/>
    <w:rsid w:val="74740EDB"/>
    <w:rsid w:val="74743788"/>
    <w:rsid w:val="747539E4"/>
    <w:rsid w:val="747603BD"/>
    <w:rsid w:val="747651AB"/>
    <w:rsid w:val="747755ED"/>
    <w:rsid w:val="747910F0"/>
    <w:rsid w:val="74795BDB"/>
    <w:rsid w:val="747968C9"/>
    <w:rsid w:val="747A08A0"/>
    <w:rsid w:val="747A093D"/>
    <w:rsid w:val="747A2C16"/>
    <w:rsid w:val="747B5D3E"/>
    <w:rsid w:val="747D4771"/>
    <w:rsid w:val="747E0E9B"/>
    <w:rsid w:val="747E144A"/>
    <w:rsid w:val="747E450D"/>
    <w:rsid w:val="747E5C1E"/>
    <w:rsid w:val="747F07D5"/>
    <w:rsid w:val="747F5534"/>
    <w:rsid w:val="7481559C"/>
    <w:rsid w:val="748179EC"/>
    <w:rsid w:val="74822CE1"/>
    <w:rsid w:val="748406BD"/>
    <w:rsid w:val="74871076"/>
    <w:rsid w:val="74877D19"/>
    <w:rsid w:val="7488500E"/>
    <w:rsid w:val="74890514"/>
    <w:rsid w:val="7489167B"/>
    <w:rsid w:val="748A31AB"/>
    <w:rsid w:val="748D1686"/>
    <w:rsid w:val="748D2D0A"/>
    <w:rsid w:val="748D691D"/>
    <w:rsid w:val="748E5017"/>
    <w:rsid w:val="748E78D8"/>
    <w:rsid w:val="748F0D49"/>
    <w:rsid w:val="748F2630"/>
    <w:rsid w:val="748F2D38"/>
    <w:rsid w:val="748F4A91"/>
    <w:rsid w:val="74904326"/>
    <w:rsid w:val="749165AE"/>
    <w:rsid w:val="74926AD9"/>
    <w:rsid w:val="74934EEE"/>
    <w:rsid w:val="74940C67"/>
    <w:rsid w:val="74952741"/>
    <w:rsid w:val="74965ECB"/>
    <w:rsid w:val="74970799"/>
    <w:rsid w:val="74995AD5"/>
    <w:rsid w:val="749A4C78"/>
    <w:rsid w:val="749C0749"/>
    <w:rsid w:val="749D48E7"/>
    <w:rsid w:val="749E4E19"/>
    <w:rsid w:val="749F21E9"/>
    <w:rsid w:val="749F5422"/>
    <w:rsid w:val="749F67DC"/>
    <w:rsid w:val="74A1533D"/>
    <w:rsid w:val="74A20352"/>
    <w:rsid w:val="74A215D5"/>
    <w:rsid w:val="74A25132"/>
    <w:rsid w:val="74A25383"/>
    <w:rsid w:val="74A26F8A"/>
    <w:rsid w:val="74A31EFA"/>
    <w:rsid w:val="74A32EF7"/>
    <w:rsid w:val="74A44479"/>
    <w:rsid w:val="74A477FE"/>
    <w:rsid w:val="74A54329"/>
    <w:rsid w:val="74A6611E"/>
    <w:rsid w:val="74A736B2"/>
    <w:rsid w:val="74A82235"/>
    <w:rsid w:val="74A82FE7"/>
    <w:rsid w:val="74A92964"/>
    <w:rsid w:val="74A9452C"/>
    <w:rsid w:val="74AA14A7"/>
    <w:rsid w:val="74AB28D6"/>
    <w:rsid w:val="74AD6B8C"/>
    <w:rsid w:val="74AF47E2"/>
    <w:rsid w:val="74B00F7A"/>
    <w:rsid w:val="74B0560D"/>
    <w:rsid w:val="74B07CC5"/>
    <w:rsid w:val="74B33A8A"/>
    <w:rsid w:val="74B371A0"/>
    <w:rsid w:val="74B43519"/>
    <w:rsid w:val="74B60BDD"/>
    <w:rsid w:val="74B64716"/>
    <w:rsid w:val="74B66189"/>
    <w:rsid w:val="74B702B0"/>
    <w:rsid w:val="74B77572"/>
    <w:rsid w:val="74B84955"/>
    <w:rsid w:val="74B95D5B"/>
    <w:rsid w:val="74B97CC2"/>
    <w:rsid w:val="74BA61F5"/>
    <w:rsid w:val="74BA74A4"/>
    <w:rsid w:val="74BB60EF"/>
    <w:rsid w:val="74BC1824"/>
    <w:rsid w:val="74BC29EE"/>
    <w:rsid w:val="74BC7964"/>
    <w:rsid w:val="74BD4F13"/>
    <w:rsid w:val="74BE5B37"/>
    <w:rsid w:val="74BF01CB"/>
    <w:rsid w:val="74BF0740"/>
    <w:rsid w:val="74C0263A"/>
    <w:rsid w:val="74C04F35"/>
    <w:rsid w:val="74C10DE1"/>
    <w:rsid w:val="74C1528B"/>
    <w:rsid w:val="74C209FD"/>
    <w:rsid w:val="74C225D4"/>
    <w:rsid w:val="74C23A26"/>
    <w:rsid w:val="74C507EF"/>
    <w:rsid w:val="74C658AD"/>
    <w:rsid w:val="74C7017F"/>
    <w:rsid w:val="74C741E4"/>
    <w:rsid w:val="74C7648B"/>
    <w:rsid w:val="74C86EE7"/>
    <w:rsid w:val="74CA36DE"/>
    <w:rsid w:val="74CA4F38"/>
    <w:rsid w:val="74CA66EC"/>
    <w:rsid w:val="74CA7969"/>
    <w:rsid w:val="74CB17E5"/>
    <w:rsid w:val="74CC43C6"/>
    <w:rsid w:val="74CC6652"/>
    <w:rsid w:val="74CD0A98"/>
    <w:rsid w:val="74CD53BB"/>
    <w:rsid w:val="74CE02BE"/>
    <w:rsid w:val="74CE23CA"/>
    <w:rsid w:val="74CE4724"/>
    <w:rsid w:val="74CE65DA"/>
    <w:rsid w:val="74CE7450"/>
    <w:rsid w:val="74CE760C"/>
    <w:rsid w:val="74D00441"/>
    <w:rsid w:val="74D07BA6"/>
    <w:rsid w:val="74D100EB"/>
    <w:rsid w:val="74D12214"/>
    <w:rsid w:val="74D177C5"/>
    <w:rsid w:val="74D34866"/>
    <w:rsid w:val="74D35972"/>
    <w:rsid w:val="74D36F71"/>
    <w:rsid w:val="74D41369"/>
    <w:rsid w:val="74D42D70"/>
    <w:rsid w:val="74D47953"/>
    <w:rsid w:val="74D6302D"/>
    <w:rsid w:val="74D6467B"/>
    <w:rsid w:val="74D67889"/>
    <w:rsid w:val="74D77E29"/>
    <w:rsid w:val="74D967E7"/>
    <w:rsid w:val="74D97494"/>
    <w:rsid w:val="74DA0C01"/>
    <w:rsid w:val="74DB1708"/>
    <w:rsid w:val="74DC3BE7"/>
    <w:rsid w:val="74DD557B"/>
    <w:rsid w:val="74DD7478"/>
    <w:rsid w:val="74DE387A"/>
    <w:rsid w:val="74DF6A16"/>
    <w:rsid w:val="74E00C93"/>
    <w:rsid w:val="74E11303"/>
    <w:rsid w:val="74E136AD"/>
    <w:rsid w:val="74E207C9"/>
    <w:rsid w:val="74E33432"/>
    <w:rsid w:val="74E3460E"/>
    <w:rsid w:val="74E41BEE"/>
    <w:rsid w:val="74E44691"/>
    <w:rsid w:val="74E4574A"/>
    <w:rsid w:val="74E46180"/>
    <w:rsid w:val="74E514C2"/>
    <w:rsid w:val="74E56252"/>
    <w:rsid w:val="74E610AC"/>
    <w:rsid w:val="74E659D1"/>
    <w:rsid w:val="74E7256F"/>
    <w:rsid w:val="74E7348C"/>
    <w:rsid w:val="74E742AF"/>
    <w:rsid w:val="74E75974"/>
    <w:rsid w:val="74E833CF"/>
    <w:rsid w:val="74E855D1"/>
    <w:rsid w:val="74EA4C40"/>
    <w:rsid w:val="74EA6126"/>
    <w:rsid w:val="74EB5EA0"/>
    <w:rsid w:val="74EB79C8"/>
    <w:rsid w:val="74EC0280"/>
    <w:rsid w:val="74EC3A46"/>
    <w:rsid w:val="74EC6149"/>
    <w:rsid w:val="74EE0377"/>
    <w:rsid w:val="74EE4628"/>
    <w:rsid w:val="74EF5C68"/>
    <w:rsid w:val="74F14BAF"/>
    <w:rsid w:val="74F24B90"/>
    <w:rsid w:val="74F3598D"/>
    <w:rsid w:val="74F41DAB"/>
    <w:rsid w:val="74F42F85"/>
    <w:rsid w:val="74F43F8B"/>
    <w:rsid w:val="74F4511C"/>
    <w:rsid w:val="74F47D2C"/>
    <w:rsid w:val="74F6722B"/>
    <w:rsid w:val="74F75E20"/>
    <w:rsid w:val="74F91033"/>
    <w:rsid w:val="74F92F44"/>
    <w:rsid w:val="74F95A1F"/>
    <w:rsid w:val="74FA5DFA"/>
    <w:rsid w:val="74FB05D9"/>
    <w:rsid w:val="74FB343C"/>
    <w:rsid w:val="74FB422A"/>
    <w:rsid w:val="74FB6233"/>
    <w:rsid w:val="74FB7EBD"/>
    <w:rsid w:val="74FC158A"/>
    <w:rsid w:val="74FC6BF2"/>
    <w:rsid w:val="74FD05BA"/>
    <w:rsid w:val="74FD0ADB"/>
    <w:rsid w:val="74FE4AD9"/>
    <w:rsid w:val="75023325"/>
    <w:rsid w:val="75036403"/>
    <w:rsid w:val="75042B46"/>
    <w:rsid w:val="75043F80"/>
    <w:rsid w:val="75045B2E"/>
    <w:rsid w:val="750466C5"/>
    <w:rsid w:val="7505128E"/>
    <w:rsid w:val="750517A0"/>
    <w:rsid w:val="75064C7B"/>
    <w:rsid w:val="7507546F"/>
    <w:rsid w:val="750879CE"/>
    <w:rsid w:val="75095CEA"/>
    <w:rsid w:val="7509664B"/>
    <w:rsid w:val="750D40D2"/>
    <w:rsid w:val="750D469B"/>
    <w:rsid w:val="750D50A6"/>
    <w:rsid w:val="750D7BBD"/>
    <w:rsid w:val="750E215F"/>
    <w:rsid w:val="750E61A7"/>
    <w:rsid w:val="750F341C"/>
    <w:rsid w:val="750F6FEF"/>
    <w:rsid w:val="751002ED"/>
    <w:rsid w:val="75114065"/>
    <w:rsid w:val="75114E42"/>
    <w:rsid w:val="751335E1"/>
    <w:rsid w:val="75133F30"/>
    <w:rsid w:val="75136A90"/>
    <w:rsid w:val="75142914"/>
    <w:rsid w:val="75142BAA"/>
    <w:rsid w:val="75143913"/>
    <w:rsid w:val="75171D53"/>
    <w:rsid w:val="751737EE"/>
    <w:rsid w:val="751742A5"/>
    <w:rsid w:val="751828EB"/>
    <w:rsid w:val="7518774E"/>
    <w:rsid w:val="75187F00"/>
    <w:rsid w:val="751A6853"/>
    <w:rsid w:val="751C046E"/>
    <w:rsid w:val="751C6DC0"/>
    <w:rsid w:val="751D0F84"/>
    <w:rsid w:val="751D321A"/>
    <w:rsid w:val="751F0002"/>
    <w:rsid w:val="751F43CC"/>
    <w:rsid w:val="751F49D4"/>
    <w:rsid w:val="7520350B"/>
    <w:rsid w:val="75213009"/>
    <w:rsid w:val="752210C4"/>
    <w:rsid w:val="752244C4"/>
    <w:rsid w:val="75230249"/>
    <w:rsid w:val="75230389"/>
    <w:rsid w:val="75232716"/>
    <w:rsid w:val="75237230"/>
    <w:rsid w:val="75246D45"/>
    <w:rsid w:val="7526644A"/>
    <w:rsid w:val="752769C0"/>
    <w:rsid w:val="7528176C"/>
    <w:rsid w:val="75291AE4"/>
    <w:rsid w:val="752A6F85"/>
    <w:rsid w:val="752C0E9F"/>
    <w:rsid w:val="752C5984"/>
    <w:rsid w:val="752D0A25"/>
    <w:rsid w:val="752D2858"/>
    <w:rsid w:val="752D3B88"/>
    <w:rsid w:val="752D470E"/>
    <w:rsid w:val="752D5A67"/>
    <w:rsid w:val="752D648B"/>
    <w:rsid w:val="752E10BB"/>
    <w:rsid w:val="752E598D"/>
    <w:rsid w:val="752E67C7"/>
    <w:rsid w:val="752F59E9"/>
    <w:rsid w:val="75301320"/>
    <w:rsid w:val="7530574E"/>
    <w:rsid w:val="75330480"/>
    <w:rsid w:val="75333435"/>
    <w:rsid w:val="75333EE8"/>
    <w:rsid w:val="75341AB0"/>
    <w:rsid w:val="75342AE0"/>
    <w:rsid w:val="75345C96"/>
    <w:rsid w:val="753514A6"/>
    <w:rsid w:val="75355FA6"/>
    <w:rsid w:val="75357A48"/>
    <w:rsid w:val="75383718"/>
    <w:rsid w:val="75386C7E"/>
    <w:rsid w:val="75391DB7"/>
    <w:rsid w:val="753949B8"/>
    <w:rsid w:val="753970E9"/>
    <w:rsid w:val="753A3580"/>
    <w:rsid w:val="753A6D0B"/>
    <w:rsid w:val="753B086D"/>
    <w:rsid w:val="753C058F"/>
    <w:rsid w:val="753D30AC"/>
    <w:rsid w:val="753D41D2"/>
    <w:rsid w:val="753D744D"/>
    <w:rsid w:val="753D7962"/>
    <w:rsid w:val="753E00AE"/>
    <w:rsid w:val="753E1FF4"/>
    <w:rsid w:val="753E6F1E"/>
    <w:rsid w:val="753F20D8"/>
    <w:rsid w:val="753F3382"/>
    <w:rsid w:val="753F594E"/>
    <w:rsid w:val="754003F5"/>
    <w:rsid w:val="75400E19"/>
    <w:rsid w:val="7540572D"/>
    <w:rsid w:val="75410530"/>
    <w:rsid w:val="7541494A"/>
    <w:rsid w:val="7543146E"/>
    <w:rsid w:val="75436915"/>
    <w:rsid w:val="75444D6F"/>
    <w:rsid w:val="75466405"/>
    <w:rsid w:val="75477BE6"/>
    <w:rsid w:val="754C3F0D"/>
    <w:rsid w:val="754E0E15"/>
    <w:rsid w:val="754F18A9"/>
    <w:rsid w:val="754F6794"/>
    <w:rsid w:val="7550563C"/>
    <w:rsid w:val="755119A9"/>
    <w:rsid w:val="7551624A"/>
    <w:rsid w:val="75536724"/>
    <w:rsid w:val="7554127F"/>
    <w:rsid w:val="7554437D"/>
    <w:rsid w:val="755462F2"/>
    <w:rsid w:val="755466E8"/>
    <w:rsid w:val="75551855"/>
    <w:rsid w:val="755655AF"/>
    <w:rsid w:val="75567D8E"/>
    <w:rsid w:val="75582D27"/>
    <w:rsid w:val="7558409B"/>
    <w:rsid w:val="755B5DCD"/>
    <w:rsid w:val="755C2E16"/>
    <w:rsid w:val="755C70AD"/>
    <w:rsid w:val="755D2121"/>
    <w:rsid w:val="755E374E"/>
    <w:rsid w:val="755E4A41"/>
    <w:rsid w:val="755E6B56"/>
    <w:rsid w:val="755F3023"/>
    <w:rsid w:val="755F4D82"/>
    <w:rsid w:val="755F5F9C"/>
    <w:rsid w:val="755F74C6"/>
    <w:rsid w:val="75603A63"/>
    <w:rsid w:val="75611638"/>
    <w:rsid w:val="756175DB"/>
    <w:rsid w:val="7562160F"/>
    <w:rsid w:val="75630CAA"/>
    <w:rsid w:val="756353EA"/>
    <w:rsid w:val="75640639"/>
    <w:rsid w:val="75644065"/>
    <w:rsid w:val="7564688B"/>
    <w:rsid w:val="75646E05"/>
    <w:rsid w:val="756471B5"/>
    <w:rsid w:val="756503B4"/>
    <w:rsid w:val="7565131A"/>
    <w:rsid w:val="75662149"/>
    <w:rsid w:val="7566510A"/>
    <w:rsid w:val="7568576A"/>
    <w:rsid w:val="75690105"/>
    <w:rsid w:val="7569433B"/>
    <w:rsid w:val="756955A6"/>
    <w:rsid w:val="756A51F6"/>
    <w:rsid w:val="756A6EA3"/>
    <w:rsid w:val="756A6F56"/>
    <w:rsid w:val="756A72C4"/>
    <w:rsid w:val="756D0609"/>
    <w:rsid w:val="756E14B8"/>
    <w:rsid w:val="756E19D5"/>
    <w:rsid w:val="756E5152"/>
    <w:rsid w:val="756E58BB"/>
    <w:rsid w:val="75713E45"/>
    <w:rsid w:val="7571755A"/>
    <w:rsid w:val="7572775B"/>
    <w:rsid w:val="75734E19"/>
    <w:rsid w:val="757361E8"/>
    <w:rsid w:val="75752846"/>
    <w:rsid w:val="75772D4D"/>
    <w:rsid w:val="7579406A"/>
    <w:rsid w:val="757A15D8"/>
    <w:rsid w:val="757B7431"/>
    <w:rsid w:val="757C1BD6"/>
    <w:rsid w:val="757C6DC8"/>
    <w:rsid w:val="757D0CD8"/>
    <w:rsid w:val="7580095D"/>
    <w:rsid w:val="75801832"/>
    <w:rsid w:val="75802BED"/>
    <w:rsid w:val="75804640"/>
    <w:rsid w:val="75810554"/>
    <w:rsid w:val="7582282F"/>
    <w:rsid w:val="75864EA0"/>
    <w:rsid w:val="758720DC"/>
    <w:rsid w:val="75882579"/>
    <w:rsid w:val="75892595"/>
    <w:rsid w:val="75894B34"/>
    <w:rsid w:val="758A5E65"/>
    <w:rsid w:val="758B0367"/>
    <w:rsid w:val="758C073A"/>
    <w:rsid w:val="758C1DEB"/>
    <w:rsid w:val="758C7F98"/>
    <w:rsid w:val="758D6E48"/>
    <w:rsid w:val="758D7E54"/>
    <w:rsid w:val="75905CE3"/>
    <w:rsid w:val="759149E0"/>
    <w:rsid w:val="7591595D"/>
    <w:rsid w:val="75916406"/>
    <w:rsid w:val="7592164A"/>
    <w:rsid w:val="75952EE8"/>
    <w:rsid w:val="759613F7"/>
    <w:rsid w:val="75986535"/>
    <w:rsid w:val="759A22AD"/>
    <w:rsid w:val="759A453A"/>
    <w:rsid w:val="759A66A5"/>
    <w:rsid w:val="759B396F"/>
    <w:rsid w:val="759C2E91"/>
    <w:rsid w:val="759D0BB3"/>
    <w:rsid w:val="759D1221"/>
    <w:rsid w:val="759D4F9F"/>
    <w:rsid w:val="759D57FC"/>
    <w:rsid w:val="759E3C12"/>
    <w:rsid w:val="759F4C80"/>
    <w:rsid w:val="75A03D67"/>
    <w:rsid w:val="75A051BD"/>
    <w:rsid w:val="75A121ED"/>
    <w:rsid w:val="75A21FAA"/>
    <w:rsid w:val="75A26463"/>
    <w:rsid w:val="75A3600B"/>
    <w:rsid w:val="75A44064"/>
    <w:rsid w:val="75A650F5"/>
    <w:rsid w:val="75AA2616"/>
    <w:rsid w:val="75AB5DAD"/>
    <w:rsid w:val="75AC317E"/>
    <w:rsid w:val="75AC3F99"/>
    <w:rsid w:val="75AC49DD"/>
    <w:rsid w:val="75AD666D"/>
    <w:rsid w:val="75AE3611"/>
    <w:rsid w:val="75AF24B6"/>
    <w:rsid w:val="75AF58A5"/>
    <w:rsid w:val="75B20468"/>
    <w:rsid w:val="75B24CB4"/>
    <w:rsid w:val="75B275F6"/>
    <w:rsid w:val="75B509E3"/>
    <w:rsid w:val="75B60F47"/>
    <w:rsid w:val="75B65A56"/>
    <w:rsid w:val="75B70153"/>
    <w:rsid w:val="75B710B1"/>
    <w:rsid w:val="75B77D26"/>
    <w:rsid w:val="75B820F3"/>
    <w:rsid w:val="75B904F4"/>
    <w:rsid w:val="75B94196"/>
    <w:rsid w:val="75BA05B7"/>
    <w:rsid w:val="75BC026A"/>
    <w:rsid w:val="75BC0475"/>
    <w:rsid w:val="75BC6A0D"/>
    <w:rsid w:val="75BD0DA2"/>
    <w:rsid w:val="75BD1B94"/>
    <w:rsid w:val="75BD4F55"/>
    <w:rsid w:val="75BE100A"/>
    <w:rsid w:val="75BE3629"/>
    <w:rsid w:val="75BE780E"/>
    <w:rsid w:val="75BF65E4"/>
    <w:rsid w:val="75C13E6A"/>
    <w:rsid w:val="75C147ED"/>
    <w:rsid w:val="75C17FAE"/>
    <w:rsid w:val="75C20707"/>
    <w:rsid w:val="75C25BD6"/>
    <w:rsid w:val="75C26CCB"/>
    <w:rsid w:val="75C27F9E"/>
    <w:rsid w:val="75C335B1"/>
    <w:rsid w:val="75C33C85"/>
    <w:rsid w:val="75C34158"/>
    <w:rsid w:val="75C35F7A"/>
    <w:rsid w:val="75C5187D"/>
    <w:rsid w:val="75C5675B"/>
    <w:rsid w:val="75C6178C"/>
    <w:rsid w:val="75C630A2"/>
    <w:rsid w:val="75C641AE"/>
    <w:rsid w:val="75C64841"/>
    <w:rsid w:val="75C74657"/>
    <w:rsid w:val="75CA0673"/>
    <w:rsid w:val="75CA6AF7"/>
    <w:rsid w:val="75CA6FB5"/>
    <w:rsid w:val="75CB3660"/>
    <w:rsid w:val="75CC2F04"/>
    <w:rsid w:val="75CD321F"/>
    <w:rsid w:val="75CD5EA2"/>
    <w:rsid w:val="75CE1209"/>
    <w:rsid w:val="75D266AE"/>
    <w:rsid w:val="75D30D10"/>
    <w:rsid w:val="75D31BFB"/>
    <w:rsid w:val="75D31EE3"/>
    <w:rsid w:val="75D36983"/>
    <w:rsid w:val="75D41510"/>
    <w:rsid w:val="75D43A11"/>
    <w:rsid w:val="75D5113A"/>
    <w:rsid w:val="75D67789"/>
    <w:rsid w:val="75D81209"/>
    <w:rsid w:val="75D86AE0"/>
    <w:rsid w:val="75DA22E9"/>
    <w:rsid w:val="75DB64B5"/>
    <w:rsid w:val="75DC0B17"/>
    <w:rsid w:val="75DC563F"/>
    <w:rsid w:val="75DD0C1A"/>
    <w:rsid w:val="75DD0D71"/>
    <w:rsid w:val="75DD40E4"/>
    <w:rsid w:val="75DD6288"/>
    <w:rsid w:val="75DD628F"/>
    <w:rsid w:val="75E00C12"/>
    <w:rsid w:val="75E055F0"/>
    <w:rsid w:val="75E11C8A"/>
    <w:rsid w:val="75E141D7"/>
    <w:rsid w:val="75E339AD"/>
    <w:rsid w:val="75E567BC"/>
    <w:rsid w:val="75E75781"/>
    <w:rsid w:val="75E8126A"/>
    <w:rsid w:val="75E9032C"/>
    <w:rsid w:val="75E90DC4"/>
    <w:rsid w:val="75EA2D6F"/>
    <w:rsid w:val="75EC13AD"/>
    <w:rsid w:val="75EC1C9E"/>
    <w:rsid w:val="75ED2227"/>
    <w:rsid w:val="75ED59AB"/>
    <w:rsid w:val="75EE2171"/>
    <w:rsid w:val="75EE3701"/>
    <w:rsid w:val="75EF25F8"/>
    <w:rsid w:val="75EF41F6"/>
    <w:rsid w:val="75F04BE7"/>
    <w:rsid w:val="75F052FA"/>
    <w:rsid w:val="75F145C2"/>
    <w:rsid w:val="75F15641"/>
    <w:rsid w:val="75F24764"/>
    <w:rsid w:val="75F32C15"/>
    <w:rsid w:val="75F34E3F"/>
    <w:rsid w:val="75F35BD2"/>
    <w:rsid w:val="75F36F0B"/>
    <w:rsid w:val="75F62292"/>
    <w:rsid w:val="75F64A3E"/>
    <w:rsid w:val="75F65139"/>
    <w:rsid w:val="75F70141"/>
    <w:rsid w:val="75F774E3"/>
    <w:rsid w:val="75F87339"/>
    <w:rsid w:val="75F87720"/>
    <w:rsid w:val="75F90EDD"/>
    <w:rsid w:val="75FD0F66"/>
    <w:rsid w:val="75FD7CE1"/>
    <w:rsid w:val="75FE2FA8"/>
    <w:rsid w:val="75FF672C"/>
    <w:rsid w:val="760035AB"/>
    <w:rsid w:val="76004806"/>
    <w:rsid w:val="76005CB5"/>
    <w:rsid w:val="7604063D"/>
    <w:rsid w:val="760422F3"/>
    <w:rsid w:val="76051A12"/>
    <w:rsid w:val="76067942"/>
    <w:rsid w:val="7607544F"/>
    <w:rsid w:val="7609780F"/>
    <w:rsid w:val="760B12BE"/>
    <w:rsid w:val="760C5361"/>
    <w:rsid w:val="760D004E"/>
    <w:rsid w:val="760E4ACF"/>
    <w:rsid w:val="7610256F"/>
    <w:rsid w:val="76102C40"/>
    <w:rsid w:val="76103A5F"/>
    <w:rsid w:val="761058A1"/>
    <w:rsid w:val="76117CEB"/>
    <w:rsid w:val="76126042"/>
    <w:rsid w:val="76142D42"/>
    <w:rsid w:val="7614315C"/>
    <w:rsid w:val="76157814"/>
    <w:rsid w:val="76157B85"/>
    <w:rsid w:val="7617607C"/>
    <w:rsid w:val="761762BD"/>
    <w:rsid w:val="761808C1"/>
    <w:rsid w:val="76184D40"/>
    <w:rsid w:val="761865B3"/>
    <w:rsid w:val="76187F2E"/>
    <w:rsid w:val="76193959"/>
    <w:rsid w:val="7619671C"/>
    <w:rsid w:val="761A4E2E"/>
    <w:rsid w:val="761C5A2D"/>
    <w:rsid w:val="761F007B"/>
    <w:rsid w:val="76207A77"/>
    <w:rsid w:val="762251E3"/>
    <w:rsid w:val="76231B42"/>
    <w:rsid w:val="76236746"/>
    <w:rsid w:val="76236B63"/>
    <w:rsid w:val="76244030"/>
    <w:rsid w:val="7627393D"/>
    <w:rsid w:val="7628238A"/>
    <w:rsid w:val="76284548"/>
    <w:rsid w:val="762964EE"/>
    <w:rsid w:val="762A4A51"/>
    <w:rsid w:val="762C2BBD"/>
    <w:rsid w:val="762C3096"/>
    <w:rsid w:val="762C64BB"/>
    <w:rsid w:val="762E464F"/>
    <w:rsid w:val="762E6728"/>
    <w:rsid w:val="762E7530"/>
    <w:rsid w:val="763077AC"/>
    <w:rsid w:val="7633639C"/>
    <w:rsid w:val="763371CB"/>
    <w:rsid w:val="763408D8"/>
    <w:rsid w:val="7635099D"/>
    <w:rsid w:val="76361897"/>
    <w:rsid w:val="76361FD5"/>
    <w:rsid w:val="76370F0D"/>
    <w:rsid w:val="7638098B"/>
    <w:rsid w:val="76391AC6"/>
    <w:rsid w:val="76391D49"/>
    <w:rsid w:val="763A6FA4"/>
    <w:rsid w:val="763B70FF"/>
    <w:rsid w:val="763B7C4E"/>
    <w:rsid w:val="763D32E9"/>
    <w:rsid w:val="76405656"/>
    <w:rsid w:val="76411D90"/>
    <w:rsid w:val="76430229"/>
    <w:rsid w:val="76433CA8"/>
    <w:rsid w:val="764364A0"/>
    <w:rsid w:val="7645596F"/>
    <w:rsid w:val="76463052"/>
    <w:rsid w:val="76463E9C"/>
    <w:rsid w:val="76465F91"/>
    <w:rsid w:val="76467051"/>
    <w:rsid w:val="76481278"/>
    <w:rsid w:val="764922AA"/>
    <w:rsid w:val="764A5A81"/>
    <w:rsid w:val="764B2BE6"/>
    <w:rsid w:val="764B3BF3"/>
    <w:rsid w:val="764B4FE9"/>
    <w:rsid w:val="764B7633"/>
    <w:rsid w:val="764C2B9C"/>
    <w:rsid w:val="764C64A5"/>
    <w:rsid w:val="764D1D92"/>
    <w:rsid w:val="764D4B5E"/>
    <w:rsid w:val="764D587F"/>
    <w:rsid w:val="764F1189"/>
    <w:rsid w:val="764F3097"/>
    <w:rsid w:val="764F32E3"/>
    <w:rsid w:val="7650256E"/>
    <w:rsid w:val="76520CCA"/>
    <w:rsid w:val="76522B87"/>
    <w:rsid w:val="76525B1A"/>
    <w:rsid w:val="76527081"/>
    <w:rsid w:val="76530E88"/>
    <w:rsid w:val="76545884"/>
    <w:rsid w:val="765717AA"/>
    <w:rsid w:val="76572D3C"/>
    <w:rsid w:val="76577B38"/>
    <w:rsid w:val="76585097"/>
    <w:rsid w:val="765860DF"/>
    <w:rsid w:val="76591431"/>
    <w:rsid w:val="7659281B"/>
    <w:rsid w:val="765A4BD0"/>
    <w:rsid w:val="765B2799"/>
    <w:rsid w:val="765B2F7D"/>
    <w:rsid w:val="765C734D"/>
    <w:rsid w:val="765C7557"/>
    <w:rsid w:val="765F131E"/>
    <w:rsid w:val="765F1FA9"/>
    <w:rsid w:val="766157B4"/>
    <w:rsid w:val="7662101C"/>
    <w:rsid w:val="7662380B"/>
    <w:rsid w:val="766321F8"/>
    <w:rsid w:val="766534E5"/>
    <w:rsid w:val="76663F65"/>
    <w:rsid w:val="76664476"/>
    <w:rsid w:val="766726EC"/>
    <w:rsid w:val="76692BEC"/>
    <w:rsid w:val="76696CC0"/>
    <w:rsid w:val="766A1C30"/>
    <w:rsid w:val="766C3F04"/>
    <w:rsid w:val="766C5328"/>
    <w:rsid w:val="766C74EB"/>
    <w:rsid w:val="766E1852"/>
    <w:rsid w:val="766F41A4"/>
    <w:rsid w:val="7670020D"/>
    <w:rsid w:val="76717217"/>
    <w:rsid w:val="76717A07"/>
    <w:rsid w:val="76734162"/>
    <w:rsid w:val="767356D8"/>
    <w:rsid w:val="76743903"/>
    <w:rsid w:val="7674659E"/>
    <w:rsid w:val="76752898"/>
    <w:rsid w:val="767573DC"/>
    <w:rsid w:val="76761A45"/>
    <w:rsid w:val="76765F68"/>
    <w:rsid w:val="767713FD"/>
    <w:rsid w:val="76776F30"/>
    <w:rsid w:val="76782D47"/>
    <w:rsid w:val="76785955"/>
    <w:rsid w:val="76786071"/>
    <w:rsid w:val="76791A57"/>
    <w:rsid w:val="767945B8"/>
    <w:rsid w:val="76794708"/>
    <w:rsid w:val="767958D9"/>
    <w:rsid w:val="767B3E8C"/>
    <w:rsid w:val="767B46D4"/>
    <w:rsid w:val="767B6D10"/>
    <w:rsid w:val="767C3112"/>
    <w:rsid w:val="767C7819"/>
    <w:rsid w:val="767D7C04"/>
    <w:rsid w:val="767F3B39"/>
    <w:rsid w:val="76800EE8"/>
    <w:rsid w:val="76806B01"/>
    <w:rsid w:val="7681300E"/>
    <w:rsid w:val="7682199F"/>
    <w:rsid w:val="76840350"/>
    <w:rsid w:val="7684079A"/>
    <w:rsid w:val="7684657A"/>
    <w:rsid w:val="76856B91"/>
    <w:rsid w:val="76860519"/>
    <w:rsid w:val="76865DBE"/>
    <w:rsid w:val="76875356"/>
    <w:rsid w:val="7688705F"/>
    <w:rsid w:val="76893F42"/>
    <w:rsid w:val="76895F2E"/>
    <w:rsid w:val="7689694D"/>
    <w:rsid w:val="768B4DD1"/>
    <w:rsid w:val="768C30A3"/>
    <w:rsid w:val="768F5476"/>
    <w:rsid w:val="769106A7"/>
    <w:rsid w:val="76914DF4"/>
    <w:rsid w:val="76923EF7"/>
    <w:rsid w:val="76930B82"/>
    <w:rsid w:val="769322EE"/>
    <w:rsid w:val="7693293B"/>
    <w:rsid w:val="76941E6C"/>
    <w:rsid w:val="76947F6B"/>
    <w:rsid w:val="76951717"/>
    <w:rsid w:val="76951A95"/>
    <w:rsid w:val="769671DB"/>
    <w:rsid w:val="7697011E"/>
    <w:rsid w:val="769767EC"/>
    <w:rsid w:val="769819ED"/>
    <w:rsid w:val="769A1F95"/>
    <w:rsid w:val="769A5740"/>
    <w:rsid w:val="769A6A08"/>
    <w:rsid w:val="769B45AD"/>
    <w:rsid w:val="769C11B2"/>
    <w:rsid w:val="769C1D7B"/>
    <w:rsid w:val="769C6B69"/>
    <w:rsid w:val="769D7AD8"/>
    <w:rsid w:val="769E68B0"/>
    <w:rsid w:val="769E6BD1"/>
    <w:rsid w:val="769F401E"/>
    <w:rsid w:val="76A01B50"/>
    <w:rsid w:val="76A15D30"/>
    <w:rsid w:val="76A20086"/>
    <w:rsid w:val="76A20E1E"/>
    <w:rsid w:val="76A2431D"/>
    <w:rsid w:val="76A24DAF"/>
    <w:rsid w:val="76A34FE3"/>
    <w:rsid w:val="76A35191"/>
    <w:rsid w:val="76A36213"/>
    <w:rsid w:val="76A36DB4"/>
    <w:rsid w:val="76A45F84"/>
    <w:rsid w:val="76A51DDD"/>
    <w:rsid w:val="76A53E71"/>
    <w:rsid w:val="76A85584"/>
    <w:rsid w:val="76A85B9C"/>
    <w:rsid w:val="76A93F50"/>
    <w:rsid w:val="76AA406C"/>
    <w:rsid w:val="76AA5E7C"/>
    <w:rsid w:val="76AB5A3B"/>
    <w:rsid w:val="76AB6FB1"/>
    <w:rsid w:val="76AC735D"/>
    <w:rsid w:val="76AD0A9C"/>
    <w:rsid w:val="76AD371C"/>
    <w:rsid w:val="76AD4A02"/>
    <w:rsid w:val="76AE16A9"/>
    <w:rsid w:val="76AE2693"/>
    <w:rsid w:val="76AE3643"/>
    <w:rsid w:val="76AE5B51"/>
    <w:rsid w:val="76AE70EE"/>
    <w:rsid w:val="76AF5D16"/>
    <w:rsid w:val="76AF68FE"/>
    <w:rsid w:val="76AF724C"/>
    <w:rsid w:val="76B15B00"/>
    <w:rsid w:val="76B211FE"/>
    <w:rsid w:val="76B2766F"/>
    <w:rsid w:val="76B32968"/>
    <w:rsid w:val="76B34480"/>
    <w:rsid w:val="76B40DE1"/>
    <w:rsid w:val="76B57495"/>
    <w:rsid w:val="76B61368"/>
    <w:rsid w:val="76B63913"/>
    <w:rsid w:val="76B723FF"/>
    <w:rsid w:val="76B76D6E"/>
    <w:rsid w:val="76B77F6C"/>
    <w:rsid w:val="76B81DEC"/>
    <w:rsid w:val="76B928CA"/>
    <w:rsid w:val="76B92C06"/>
    <w:rsid w:val="76BA616D"/>
    <w:rsid w:val="76BA6CD2"/>
    <w:rsid w:val="76BD29B3"/>
    <w:rsid w:val="76BE140E"/>
    <w:rsid w:val="76C02611"/>
    <w:rsid w:val="76C10D84"/>
    <w:rsid w:val="76C20467"/>
    <w:rsid w:val="76C2320A"/>
    <w:rsid w:val="76C30F80"/>
    <w:rsid w:val="76C4494D"/>
    <w:rsid w:val="76C4692C"/>
    <w:rsid w:val="76C47B5C"/>
    <w:rsid w:val="76C64558"/>
    <w:rsid w:val="76C64EAF"/>
    <w:rsid w:val="76C7496C"/>
    <w:rsid w:val="76C770D1"/>
    <w:rsid w:val="76C810F6"/>
    <w:rsid w:val="76C8263C"/>
    <w:rsid w:val="76CC0B8C"/>
    <w:rsid w:val="76CD04AB"/>
    <w:rsid w:val="76CE094A"/>
    <w:rsid w:val="76CF6732"/>
    <w:rsid w:val="76CF7F0B"/>
    <w:rsid w:val="76D01AE7"/>
    <w:rsid w:val="76D04E70"/>
    <w:rsid w:val="76D1198E"/>
    <w:rsid w:val="76D17384"/>
    <w:rsid w:val="76D17F50"/>
    <w:rsid w:val="76D24066"/>
    <w:rsid w:val="76D33CEA"/>
    <w:rsid w:val="76D46A2F"/>
    <w:rsid w:val="76D54E73"/>
    <w:rsid w:val="76D64A46"/>
    <w:rsid w:val="76D8069B"/>
    <w:rsid w:val="76DB3D0E"/>
    <w:rsid w:val="76DB4C87"/>
    <w:rsid w:val="76DB72D3"/>
    <w:rsid w:val="76DC7E77"/>
    <w:rsid w:val="76DD2CF8"/>
    <w:rsid w:val="76DD4B47"/>
    <w:rsid w:val="76DF1D88"/>
    <w:rsid w:val="76DF4620"/>
    <w:rsid w:val="76DF7E80"/>
    <w:rsid w:val="76E01F41"/>
    <w:rsid w:val="76E217D8"/>
    <w:rsid w:val="76E22866"/>
    <w:rsid w:val="76E22F20"/>
    <w:rsid w:val="76E2609B"/>
    <w:rsid w:val="76E45845"/>
    <w:rsid w:val="76E463E5"/>
    <w:rsid w:val="76E5605C"/>
    <w:rsid w:val="76E71522"/>
    <w:rsid w:val="76E75D40"/>
    <w:rsid w:val="76E77774"/>
    <w:rsid w:val="76E80BBD"/>
    <w:rsid w:val="76E8508B"/>
    <w:rsid w:val="76E904BC"/>
    <w:rsid w:val="76E96109"/>
    <w:rsid w:val="76EA3112"/>
    <w:rsid w:val="76EA7819"/>
    <w:rsid w:val="76EB1505"/>
    <w:rsid w:val="76EB38DB"/>
    <w:rsid w:val="76EC35A6"/>
    <w:rsid w:val="76EC4BF9"/>
    <w:rsid w:val="76ED08C1"/>
    <w:rsid w:val="76ED4304"/>
    <w:rsid w:val="76EF47B1"/>
    <w:rsid w:val="76F0487A"/>
    <w:rsid w:val="76F04965"/>
    <w:rsid w:val="76F10728"/>
    <w:rsid w:val="76F150A2"/>
    <w:rsid w:val="76F1721F"/>
    <w:rsid w:val="76F32CB4"/>
    <w:rsid w:val="76F33935"/>
    <w:rsid w:val="76F373E4"/>
    <w:rsid w:val="76F37F09"/>
    <w:rsid w:val="76F4164B"/>
    <w:rsid w:val="76F55AFE"/>
    <w:rsid w:val="76F60146"/>
    <w:rsid w:val="76F628F8"/>
    <w:rsid w:val="76F73DA7"/>
    <w:rsid w:val="76F854DD"/>
    <w:rsid w:val="76F87726"/>
    <w:rsid w:val="76FA1255"/>
    <w:rsid w:val="76FA38FF"/>
    <w:rsid w:val="76FB10D2"/>
    <w:rsid w:val="76FB368F"/>
    <w:rsid w:val="76FC1DDC"/>
    <w:rsid w:val="76FC3BE4"/>
    <w:rsid w:val="76FD2D97"/>
    <w:rsid w:val="76FD6F97"/>
    <w:rsid w:val="76FF2BE8"/>
    <w:rsid w:val="770040E7"/>
    <w:rsid w:val="77006603"/>
    <w:rsid w:val="770110A1"/>
    <w:rsid w:val="77011440"/>
    <w:rsid w:val="77013CC2"/>
    <w:rsid w:val="77017471"/>
    <w:rsid w:val="7702755A"/>
    <w:rsid w:val="770519A8"/>
    <w:rsid w:val="77056F4D"/>
    <w:rsid w:val="77070172"/>
    <w:rsid w:val="77072BFF"/>
    <w:rsid w:val="77083B24"/>
    <w:rsid w:val="77097080"/>
    <w:rsid w:val="770977BF"/>
    <w:rsid w:val="770B0473"/>
    <w:rsid w:val="770B3462"/>
    <w:rsid w:val="770C1883"/>
    <w:rsid w:val="770C41A6"/>
    <w:rsid w:val="770D5F29"/>
    <w:rsid w:val="770D7568"/>
    <w:rsid w:val="770E2F52"/>
    <w:rsid w:val="770E5294"/>
    <w:rsid w:val="770F0C38"/>
    <w:rsid w:val="770F1B52"/>
    <w:rsid w:val="770F2826"/>
    <w:rsid w:val="770F623A"/>
    <w:rsid w:val="771072C1"/>
    <w:rsid w:val="771508A0"/>
    <w:rsid w:val="7715201F"/>
    <w:rsid w:val="771676EB"/>
    <w:rsid w:val="77181D8C"/>
    <w:rsid w:val="77183DD1"/>
    <w:rsid w:val="77193289"/>
    <w:rsid w:val="77197802"/>
    <w:rsid w:val="771A07B8"/>
    <w:rsid w:val="771B741D"/>
    <w:rsid w:val="771C37E7"/>
    <w:rsid w:val="771C7EA0"/>
    <w:rsid w:val="771D2638"/>
    <w:rsid w:val="771D297C"/>
    <w:rsid w:val="771D5467"/>
    <w:rsid w:val="771D7793"/>
    <w:rsid w:val="771E4B63"/>
    <w:rsid w:val="771E61BA"/>
    <w:rsid w:val="771F6F0D"/>
    <w:rsid w:val="772065A8"/>
    <w:rsid w:val="77213FC1"/>
    <w:rsid w:val="77222ED2"/>
    <w:rsid w:val="772258EE"/>
    <w:rsid w:val="77236A34"/>
    <w:rsid w:val="772372D2"/>
    <w:rsid w:val="772462D2"/>
    <w:rsid w:val="77250524"/>
    <w:rsid w:val="7725204A"/>
    <w:rsid w:val="77265594"/>
    <w:rsid w:val="77265F3D"/>
    <w:rsid w:val="77270549"/>
    <w:rsid w:val="77271C23"/>
    <w:rsid w:val="77291ECA"/>
    <w:rsid w:val="772A108D"/>
    <w:rsid w:val="772A3BEA"/>
    <w:rsid w:val="772B1789"/>
    <w:rsid w:val="772B58B2"/>
    <w:rsid w:val="772B6842"/>
    <w:rsid w:val="772B6C92"/>
    <w:rsid w:val="772C2504"/>
    <w:rsid w:val="772C282D"/>
    <w:rsid w:val="772C4CE8"/>
    <w:rsid w:val="772F3A53"/>
    <w:rsid w:val="773017AB"/>
    <w:rsid w:val="773029DE"/>
    <w:rsid w:val="773109EF"/>
    <w:rsid w:val="77322F0A"/>
    <w:rsid w:val="773329B9"/>
    <w:rsid w:val="773442B4"/>
    <w:rsid w:val="773675E6"/>
    <w:rsid w:val="773676A6"/>
    <w:rsid w:val="7737452D"/>
    <w:rsid w:val="773804D6"/>
    <w:rsid w:val="77390BAA"/>
    <w:rsid w:val="77393651"/>
    <w:rsid w:val="77396244"/>
    <w:rsid w:val="77397B61"/>
    <w:rsid w:val="773A10E8"/>
    <w:rsid w:val="773A2721"/>
    <w:rsid w:val="773A5AF5"/>
    <w:rsid w:val="773C5DAF"/>
    <w:rsid w:val="773C5FA5"/>
    <w:rsid w:val="773C67FE"/>
    <w:rsid w:val="773E47F4"/>
    <w:rsid w:val="773E6F4D"/>
    <w:rsid w:val="773E7BB3"/>
    <w:rsid w:val="77412E82"/>
    <w:rsid w:val="774150D6"/>
    <w:rsid w:val="77416E84"/>
    <w:rsid w:val="7743202D"/>
    <w:rsid w:val="77432976"/>
    <w:rsid w:val="774345BB"/>
    <w:rsid w:val="774357A2"/>
    <w:rsid w:val="774424D0"/>
    <w:rsid w:val="7744507C"/>
    <w:rsid w:val="77452E9E"/>
    <w:rsid w:val="77475455"/>
    <w:rsid w:val="774776DB"/>
    <w:rsid w:val="77487A02"/>
    <w:rsid w:val="77491101"/>
    <w:rsid w:val="77493A0D"/>
    <w:rsid w:val="774A0093"/>
    <w:rsid w:val="774A57F8"/>
    <w:rsid w:val="774B31F1"/>
    <w:rsid w:val="774B6FE8"/>
    <w:rsid w:val="774C127B"/>
    <w:rsid w:val="774C193D"/>
    <w:rsid w:val="774D59A3"/>
    <w:rsid w:val="774E39C2"/>
    <w:rsid w:val="774E47FE"/>
    <w:rsid w:val="774E48BB"/>
    <w:rsid w:val="77501364"/>
    <w:rsid w:val="77517DB2"/>
    <w:rsid w:val="77535EA1"/>
    <w:rsid w:val="77542963"/>
    <w:rsid w:val="775505BC"/>
    <w:rsid w:val="77560455"/>
    <w:rsid w:val="7756081D"/>
    <w:rsid w:val="7756306D"/>
    <w:rsid w:val="77573C01"/>
    <w:rsid w:val="77574B24"/>
    <w:rsid w:val="77576A75"/>
    <w:rsid w:val="775778B0"/>
    <w:rsid w:val="77577A6C"/>
    <w:rsid w:val="77584BEE"/>
    <w:rsid w:val="775A3094"/>
    <w:rsid w:val="775A6214"/>
    <w:rsid w:val="775B0D47"/>
    <w:rsid w:val="775B158B"/>
    <w:rsid w:val="775C0BE0"/>
    <w:rsid w:val="775C1071"/>
    <w:rsid w:val="775D3592"/>
    <w:rsid w:val="775D4BD5"/>
    <w:rsid w:val="775D56E5"/>
    <w:rsid w:val="775F7DC9"/>
    <w:rsid w:val="77602A66"/>
    <w:rsid w:val="77612FB0"/>
    <w:rsid w:val="7763212C"/>
    <w:rsid w:val="77634516"/>
    <w:rsid w:val="776355E5"/>
    <w:rsid w:val="77637EA7"/>
    <w:rsid w:val="77642B76"/>
    <w:rsid w:val="77647315"/>
    <w:rsid w:val="77660396"/>
    <w:rsid w:val="77660A7F"/>
    <w:rsid w:val="77664168"/>
    <w:rsid w:val="77665407"/>
    <w:rsid w:val="77670516"/>
    <w:rsid w:val="77670BC5"/>
    <w:rsid w:val="77672DB8"/>
    <w:rsid w:val="77675FEE"/>
    <w:rsid w:val="7768620E"/>
    <w:rsid w:val="77696125"/>
    <w:rsid w:val="776B6479"/>
    <w:rsid w:val="776B7C09"/>
    <w:rsid w:val="776C6151"/>
    <w:rsid w:val="776C6411"/>
    <w:rsid w:val="776F5BE1"/>
    <w:rsid w:val="777041EC"/>
    <w:rsid w:val="77706B6A"/>
    <w:rsid w:val="77716648"/>
    <w:rsid w:val="77732DB5"/>
    <w:rsid w:val="77733A37"/>
    <w:rsid w:val="77737259"/>
    <w:rsid w:val="77737D91"/>
    <w:rsid w:val="7774021A"/>
    <w:rsid w:val="77740FB9"/>
    <w:rsid w:val="777554FC"/>
    <w:rsid w:val="77762421"/>
    <w:rsid w:val="777670AD"/>
    <w:rsid w:val="7777246F"/>
    <w:rsid w:val="77773352"/>
    <w:rsid w:val="77776E5F"/>
    <w:rsid w:val="77785B75"/>
    <w:rsid w:val="77787801"/>
    <w:rsid w:val="77793BD1"/>
    <w:rsid w:val="77793EE4"/>
    <w:rsid w:val="7779431A"/>
    <w:rsid w:val="777A3193"/>
    <w:rsid w:val="777B293F"/>
    <w:rsid w:val="777C1C45"/>
    <w:rsid w:val="777C610E"/>
    <w:rsid w:val="777D4695"/>
    <w:rsid w:val="777F175A"/>
    <w:rsid w:val="777F79AC"/>
    <w:rsid w:val="77806C07"/>
    <w:rsid w:val="77811EB5"/>
    <w:rsid w:val="77815190"/>
    <w:rsid w:val="77815746"/>
    <w:rsid w:val="7781576A"/>
    <w:rsid w:val="7781775B"/>
    <w:rsid w:val="77821E7F"/>
    <w:rsid w:val="77822DB4"/>
    <w:rsid w:val="77826501"/>
    <w:rsid w:val="7783749C"/>
    <w:rsid w:val="7784470A"/>
    <w:rsid w:val="77855F46"/>
    <w:rsid w:val="7785739C"/>
    <w:rsid w:val="77863D15"/>
    <w:rsid w:val="77872906"/>
    <w:rsid w:val="778B1E0C"/>
    <w:rsid w:val="778C2A27"/>
    <w:rsid w:val="778E7F4D"/>
    <w:rsid w:val="778F2E26"/>
    <w:rsid w:val="778F6569"/>
    <w:rsid w:val="77900B89"/>
    <w:rsid w:val="77907355"/>
    <w:rsid w:val="77917A16"/>
    <w:rsid w:val="779218BF"/>
    <w:rsid w:val="77931781"/>
    <w:rsid w:val="77940587"/>
    <w:rsid w:val="77940F33"/>
    <w:rsid w:val="779418AA"/>
    <w:rsid w:val="779501F2"/>
    <w:rsid w:val="779505E2"/>
    <w:rsid w:val="77953487"/>
    <w:rsid w:val="77956538"/>
    <w:rsid w:val="77962B64"/>
    <w:rsid w:val="7796637D"/>
    <w:rsid w:val="77967B97"/>
    <w:rsid w:val="7798281C"/>
    <w:rsid w:val="779A63E0"/>
    <w:rsid w:val="779B0470"/>
    <w:rsid w:val="779C055E"/>
    <w:rsid w:val="779C7005"/>
    <w:rsid w:val="779D001A"/>
    <w:rsid w:val="779D7E32"/>
    <w:rsid w:val="779E03F1"/>
    <w:rsid w:val="779E42D6"/>
    <w:rsid w:val="779F2919"/>
    <w:rsid w:val="779F3BAA"/>
    <w:rsid w:val="77A40CBE"/>
    <w:rsid w:val="77A42FA2"/>
    <w:rsid w:val="77A439F6"/>
    <w:rsid w:val="77A50300"/>
    <w:rsid w:val="77A6728C"/>
    <w:rsid w:val="77A8333C"/>
    <w:rsid w:val="77A92C7B"/>
    <w:rsid w:val="77A94328"/>
    <w:rsid w:val="77A959E9"/>
    <w:rsid w:val="77AA4BA9"/>
    <w:rsid w:val="77AA5DA7"/>
    <w:rsid w:val="77AA79EB"/>
    <w:rsid w:val="77AC0DAB"/>
    <w:rsid w:val="77AC0FA2"/>
    <w:rsid w:val="77AC24F6"/>
    <w:rsid w:val="77AD3270"/>
    <w:rsid w:val="77AD768D"/>
    <w:rsid w:val="77AE7194"/>
    <w:rsid w:val="77AF34AB"/>
    <w:rsid w:val="77AF6EFB"/>
    <w:rsid w:val="77B119C2"/>
    <w:rsid w:val="77B17784"/>
    <w:rsid w:val="77B244B3"/>
    <w:rsid w:val="77B43AFA"/>
    <w:rsid w:val="77B43B46"/>
    <w:rsid w:val="77B5458D"/>
    <w:rsid w:val="77B56B1F"/>
    <w:rsid w:val="77B70BE8"/>
    <w:rsid w:val="77B80FB0"/>
    <w:rsid w:val="77B84627"/>
    <w:rsid w:val="77B94B5F"/>
    <w:rsid w:val="77B95AB1"/>
    <w:rsid w:val="77BA349A"/>
    <w:rsid w:val="77BA43A1"/>
    <w:rsid w:val="77BA7782"/>
    <w:rsid w:val="77BB2D0B"/>
    <w:rsid w:val="77BB6868"/>
    <w:rsid w:val="77BC2316"/>
    <w:rsid w:val="77BD3638"/>
    <w:rsid w:val="77BE60EB"/>
    <w:rsid w:val="77C02328"/>
    <w:rsid w:val="77C04DF9"/>
    <w:rsid w:val="77C05D84"/>
    <w:rsid w:val="77C17AA6"/>
    <w:rsid w:val="77C21831"/>
    <w:rsid w:val="77C50C37"/>
    <w:rsid w:val="77C545BF"/>
    <w:rsid w:val="77C63F13"/>
    <w:rsid w:val="77C72A7B"/>
    <w:rsid w:val="77C9452F"/>
    <w:rsid w:val="77C970E1"/>
    <w:rsid w:val="77C9789F"/>
    <w:rsid w:val="77CA6CBD"/>
    <w:rsid w:val="77CB216E"/>
    <w:rsid w:val="77CB71C5"/>
    <w:rsid w:val="77CC229C"/>
    <w:rsid w:val="77CC736C"/>
    <w:rsid w:val="77CD466B"/>
    <w:rsid w:val="77CD6AFA"/>
    <w:rsid w:val="77CE207F"/>
    <w:rsid w:val="77CF1B8C"/>
    <w:rsid w:val="77D03501"/>
    <w:rsid w:val="77D05FB8"/>
    <w:rsid w:val="77D117FB"/>
    <w:rsid w:val="77D27113"/>
    <w:rsid w:val="77D27F44"/>
    <w:rsid w:val="77D30A5E"/>
    <w:rsid w:val="77D31AA6"/>
    <w:rsid w:val="77D31AE0"/>
    <w:rsid w:val="77D32050"/>
    <w:rsid w:val="77D329ED"/>
    <w:rsid w:val="77D43CB5"/>
    <w:rsid w:val="77D4513B"/>
    <w:rsid w:val="77D515D3"/>
    <w:rsid w:val="77D52C9A"/>
    <w:rsid w:val="77D5676F"/>
    <w:rsid w:val="77D6172C"/>
    <w:rsid w:val="77D70467"/>
    <w:rsid w:val="77D74CE3"/>
    <w:rsid w:val="77D8586D"/>
    <w:rsid w:val="77D930BA"/>
    <w:rsid w:val="77D951C4"/>
    <w:rsid w:val="77D97032"/>
    <w:rsid w:val="77DA00CA"/>
    <w:rsid w:val="77DC6BAC"/>
    <w:rsid w:val="77DD7E6D"/>
    <w:rsid w:val="77DE1915"/>
    <w:rsid w:val="77E01636"/>
    <w:rsid w:val="77E14CE6"/>
    <w:rsid w:val="77E23F9F"/>
    <w:rsid w:val="77E30807"/>
    <w:rsid w:val="77E32811"/>
    <w:rsid w:val="77E33DF2"/>
    <w:rsid w:val="77E37F3B"/>
    <w:rsid w:val="77E512AF"/>
    <w:rsid w:val="77E64141"/>
    <w:rsid w:val="77E81302"/>
    <w:rsid w:val="77E84005"/>
    <w:rsid w:val="77E84B7B"/>
    <w:rsid w:val="77E85551"/>
    <w:rsid w:val="77E872FF"/>
    <w:rsid w:val="77E94426"/>
    <w:rsid w:val="77E97604"/>
    <w:rsid w:val="77EA526E"/>
    <w:rsid w:val="77EB5048"/>
    <w:rsid w:val="77EC1F98"/>
    <w:rsid w:val="77EC755D"/>
    <w:rsid w:val="77ED0DBA"/>
    <w:rsid w:val="77ED4DD1"/>
    <w:rsid w:val="77F01503"/>
    <w:rsid w:val="77F06B98"/>
    <w:rsid w:val="77F26E5C"/>
    <w:rsid w:val="77F448D0"/>
    <w:rsid w:val="77F45E25"/>
    <w:rsid w:val="77F51BAB"/>
    <w:rsid w:val="77F55EC0"/>
    <w:rsid w:val="77F61097"/>
    <w:rsid w:val="77F6256C"/>
    <w:rsid w:val="77F70454"/>
    <w:rsid w:val="77F71BDF"/>
    <w:rsid w:val="77F739E6"/>
    <w:rsid w:val="77F75766"/>
    <w:rsid w:val="77F77AA0"/>
    <w:rsid w:val="77F83C74"/>
    <w:rsid w:val="77F8785D"/>
    <w:rsid w:val="77F87ABB"/>
    <w:rsid w:val="77F973FE"/>
    <w:rsid w:val="77F9775E"/>
    <w:rsid w:val="77F97C55"/>
    <w:rsid w:val="77FA5520"/>
    <w:rsid w:val="77FB1377"/>
    <w:rsid w:val="77FB5F82"/>
    <w:rsid w:val="780011B7"/>
    <w:rsid w:val="780062DF"/>
    <w:rsid w:val="78007A78"/>
    <w:rsid w:val="78007E78"/>
    <w:rsid w:val="78016613"/>
    <w:rsid w:val="78017C5B"/>
    <w:rsid w:val="780270D0"/>
    <w:rsid w:val="7804499B"/>
    <w:rsid w:val="780521C1"/>
    <w:rsid w:val="78063B6A"/>
    <w:rsid w:val="78070701"/>
    <w:rsid w:val="78084E16"/>
    <w:rsid w:val="780862A6"/>
    <w:rsid w:val="780A0CF1"/>
    <w:rsid w:val="780B56E4"/>
    <w:rsid w:val="780C618A"/>
    <w:rsid w:val="780D4FB8"/>
    <w:rsid w:val="780E28C9"/>
    <w:rsid w:val="780E4A67"/>
    <w:rsid w:val="780F09F4"/>
    <w:rsid w:val="780F1235"/>
    <w:rsid w:val="78127307"/>
    <w:rsid w:val="78146D8B"/>
    <w:rsid w:val="78151EEA"/>
    <w:rsid w:val="7817760E"/>
    <w:rsid w:val="781B11D8"/>
    <w:rsid w:val="781D350A"/>
    <w:rsid w:val="781E0489"/>
    <w:rsid w:val="781E316D"/>
    <w:rsid w:val="781E4659"/>
    <w:rsid w:val="781F0C6B"/>
    <w:rsid w:val="781F6A99"/>
    <w:rsid w:val="781F7948"/>
    <w:rsid w:val="782051EE"/>
    <w:rsid w:val="78246B4A"/>
    <w:rsid w:val="782619D3"/>
    <w:rsid w:val="782648A3"/>
    <w:rsid w:val="78265D9D"/>
    <w:rsid w:val="7826607A"/>
    <w:rsid w:val="78267E28"/>
    <w:rsid w:val="78280C3E"/>
    <w:rsid w:val="78297FCE"/>
    <w:rsid w:val="782A2380"/>
    <w:rsid w:val="782C3C84"/>
    <w:rsid w:val="782C42DA"/>
    <w:rsid w:val="782C5004"/>
    <w:rsid w:val="782E41A6"/>
    <w:rsid w:val="782E460E"/>
    <w:rsid w:val="78305E25"/>
    <w:rsid w:val="78312CE9"/>
    <w:rsid w:val="783145BA"/>
    <w:rsid w:val="78321012"/>
    <w:rsid w:val="78340796"/>
    <w:rsid w:val="783446D1"/>
    <w:rsid w:val="783448DE"/>
    <w:rsid w:val="7835191F"/>
    <w:rsid w:val="783549BE"/>
    <w:rsid w:val="78362761"/>
    <w:rsid w:val="78372105"/>
    <w:rsid w:val="78377DDA"/>
    <w:rsid w:val="78385321"/>
    <w:rsid w:val="78392224"/>
    <w:rsid w:val="7839223D"/>
    <w:rsid w:val="78393BE4"/>
    <w:rsid w:val="7839499F"/>
    <w:rsid w:val="783A3B51"/>
    <w:rsid w:val="783A505B"/>
    <w:rsid w:val="783C249C"/>
    <w:rsid w:val="783D3D43"/>
    <w:rsid w:val="783E1A49"/>
    <w:rsid w:val="783E2461"/>
    <w:rsid w:val="783E66FF"/>
    <w:rsid w:val="783E7867"/>
    <w:rsid w:val="783F0EE9"/>
    <w:rsid w:val="783F284D"/>
    <w:rsid w:val="783F7D9B"/>
    <w:rsid w:val="7840713B"/>
    <w:rsid w:val="78424137"/>
    <w:rsid w:val="784318DD"/>
    <w:rsid w:val="784366B9"/>
    <w:rsid w:val="784528D7"/>
    <w:rsid w:val="78461B32"/>
    <w:rsid w:val="784754A5"/>
    <w:rsid w:val="784A2C93"/>
    <w:rsid w:val="784C3D32"/>
    <w:rsid w:val="784D4379"/>
    <w:rsid w:val="784D6FBC"/>
    <w:rsid w:val="784E39C4"/>
    <w:rsid w:val="784F6377"/>
    <w:rsid w:val="784F73C8"/>
    <w:rsid w:val="7850376E"/>
    <w:rsid w:val="7850726A"/>
    <w:rsid w:val="785129AB"/>
    <w:rsid w:val="78520C1D"/>
    <w:rsid w:val="78526E6F"/>
    <w:rsid w:val="785273C5"/>
    <w:rsid w:val="785433DC"/>
    <w:rsid w:val="78544F6B"/>
    <w:rsid w:val="7855301B"/>
    <w:rsid w:val="785560F7"/>
    <w:rsid w:val="7855753C"/>
    <w:rsid w:val="785643F0"/>
    <w:rsid w:val="7856695F"/>
    <w:rsid w:val="78573708"/>
    <w:rsid w:val="78573847"/>
    <w:rsid w:val="78575360"/>
    <w:rsid w:val="7858735E"/>
    <w:rsid w:val="78591A3B"/>
    <w:rsid w:val="78595C42"/>
    <w:rsid w:val="78596379"/>
    <w:rsid w:val="785A17F6"/>
    <w:rsid w:val="785A2E96"/>
    <w:rsid w:val="785A629B"/>
    <w:rsid w:val="785B3CD9"/>
    <w:rsid w:val="785C5704"/>
    <w:rsid w:val="785C5A88"/>
    <w:rsid w:val="785E10BF"/>
    <w:rsid w:val="785F36CA"/>
    <w:rsid w:val="785F4137"/>
    <w:rsid w:val="785F7CDB"/>
    <w:rsid w:val="78600002"/>
    <w:rsid w:val="78617619"/>
    <w:rsid w:val="786453D8"/>
    <w:rsid w:val="786523D7"/>
    <w:rsid w:val="78660F0D"/>
    <w:rsid w:val="7866291A"/>
    <w:rsid w:val="78662B74"/>
    <w:rsid w:val="7867122A"/>
    <w:rsid w:val="78673EF3"/>
    <w:rsid w:val="786848E4"/>
    <w:rsid w:val="78690AA8"/>
    <w:rsid w:val="786952F6"/>
    <w:rsid w:val="786B7130"/>
    <w:rsid w:val="786C147B"/>
    <w:rsid w:val="786D0401"/>
    <w:rsid w:val="786D1EFA"/>
    <w:rsid w:val="786F7A21"/>
    <w:rsid w:val="78702570"/>
    <w:rsid w:val="78714A90"/>
    <w:rsid w:val="78717E6A"/>
    <w:rsid w:val="78720B19"/>
    <w:rsid w:val="78720CF2"/>
    <w:rsid w:val="78720E06"/>
    <w:rsid w:val="787212BF"/>
    <w:rsid w:val="78722B69"/>
    <w:rsid w:val="78722DD1"/>
    <w:rsid w:val="787248D1"/>
    <w:rsid w:val="78737931"/>
    <w:rsid w:val="787425CC"/>
    <w:rsid w:val="78745037"/>
    <w:rsid w:val="78762BF8"/>
    <w:rsid w:val="78780346"/>
    <w:rsid w:val="78787676"/>
    <w:rsid w:val="7879264D"/>
    <w:rsid w:val="787943FB"/>
    <w:rsid w:val="787A40E6"/>
    <w:rsid w:val="787A64E0"/>
    <w:rsid w:val="787B12CF"/>
    <w:rsid w:val="787B153F"/>
    <w:rsid w:val="787B4617"/>
    <w:rsid w:val="787B4C55"/>
    <w:rsid w:val="787C3267"/>
    <w:rsid w:val="787C398F"/>
    <w:rsid w:val="787C3EEC"/>
    <w:rsid w:val="787C7650"/>
    <w:rsid w:val="787D0361"/>
    <w:rsid w:val="787D0748"/>
    <w:rsid w:val="787D098B"/>
    <w:rsid w:val="787D3CD2"/>
    <w:rsid w:val="787D74DA"/>
    <w:rsid w:val="787E1096"/>
    <w:rsid w:val="787E1DE1"/>
    <w:rsid w:val="787E3809"/>
    <w:rsid w:val="787F215F"/>
    <w:rsid w:val="78817B93"/>
    <w:rsid w:val="78826E72"/>
    <w:rsid w:val="788275EE"/>
    <w:rsid w:val="78827754"/>
    <w:rsid w:val="78846DC6"/>
    <w:rsid w:val="78854B7B"/>
    <w:rsid w:val="788565FB"/>
    <w:rsid w:val="78866B18"/>
    <w:rsid w:val="788735AB"/>
    <w:rsid w:val="78880BF1"/>
    <w:rsid w:val="78885CFF"/>
    <w:rsid w:val="788C2BBF"/>
    <w:rsid w:val="788D143B"/>
    <w:rsid w:val="788D212B"/>
    <w:rsid w:val="788E093C"/>
    <w:rsid w:val="788E1979"/>
    <w:rsid w:val="788E50B7"/>
    <w:rsid w:val="78907DC2"/>
    <w:rsid w:val="78914535"/>
    <w:rsid w:val="789158A9"/>
    <w:rsid w:val="78916E8E"/>
    <w:rsid w:val="789254BD"/>
    <w:rsid w:val="78926FC6"/>
    <w:rsid w:val="789339A1"/>
    <w:rsid w:val="78941235"/>
    <w:rsid w:val="78954B3B"/>
    <w:rsid w:val="78957AE3"/>
    <w:rsid w:val="78966947"/>
    <w:rsid w:val="789C050B"/>
    <w:rsid w:val="789C6FEC"/>
    <w:rsid w:val="789D458E"/>
    <w:rsid w:val="789E40A2"/>
    <w:rsid w:val="789E4EB1"/>
    <w:rsid w:val="789F51CB"/>
    <w:rsid w:val="789F74D8"/>
    <w:rsid w:val="78A00691"/>
    <w:rsid w:val="78A05E2C"/>
    <w:rsid w:val="78A269DE"/>
    <w:rsid w:val="78A26B49"/>
    <w:rsid w:val="78A31478"/>
    <w:rsid w:val="78A315CC"/>
    <w:rsid w:val="78A33282"/>
    <w:rsid w:val="78A50061"/>
    <w:rsid w:val="78A7023F"/>
    <w:rsid w:val="78A732C8"/>
    <w:rsid w:val="78A75A26"/>
    <w:rsid w:val="78A75C00"/>
    <w:rsid w:val="78A771BA"/>
    <w:rsid w:val="78A90480"/>
    <w:rsid w:val="78A91184"/>
    <w:rsid w:val="78A917B5"/>
    <w:rsid w:val="78AB2110"/>
    <w:rsid w:val="78AC69AC"/>
    <w:rsid w:val="78AD7CCB"/>
    <w:rsid w:val="78AF42C1"/>
    <w:rsid w:val="78B25C27"/>
    <w:rsid w:val="78B346DE"/>
    <w:rsid w:val="78B35B5F"/>
    <w:rsid w:val="78B36EFE"/>
    <w:rsid w:val="78B57ABA"/>
    <w:rsid w:val="78B813C8"/>
    <w:rsid w:val="78B9050D"/>
    <w:rsid w:val="78B90FD7"/>
    <w:rsid w:val="78B97DC5"/>
    <w:rsid w:val="78BA0AE0"/>
    <w:rsid w:val="78BB0E38"/>
    <w:rsid w:val="78BB478B"/>
    <w:rsid w:val="78BB7539"/>
    <w:rsid w:val="78BC541D"/>
    <w:rsid w:val="78BD18A4"/>
    <w:rsid w:val="78BE3728"/>
    <w:rsid w:val="78BE3A35"/>
    <w:rsid w:val="78BE3DC1"/>
    <w:rsid w:val="78BE4504"/>
    <w:rsid w:val="78BF0D77"/>
    <w:rsid w:val="78BF4DCC"/>
    <w:rsid w:val="78C0027C"/>
    <w:rsid w:val="78C03AE3"/>
    <w:rsid w:val="78C064CE"/>
    <w:rsid w:val="78C121D6"/>
    <w:rsid w:val="78C14B4E"/>
    <w:rsid w:val="78C22246"/>
    <w:rsid w:val="78C254BE"/>
    <w:rsid w:val="78C32D0B"/>
    <w:rsid w:val="78C35DF4"/>
    <w:rsid w:val="78C43C37"/>
    <w:rsid w:val="78C53CD6"/>
    <w:rsid w:val="78C54726"/>
    <w:rsid w:val="78C54E15"/>
    <w:rsid w:val="78C76F81"/>
    <w:rsid w:val="78C87131"/>
    <w:rsid w:val="78C979B2"/>
    <w:rsid w:val="78CA1167"/>
    <w:rsid w:val="78CA500D"/>
    <w:rsid w:val="78CA7F3E"/>
    <w:rsid w:val="78CB5D3A"/>
    <w:rsid w:val="78CB76DB"/>
    <w:rsid w:val="78CC359E"/>
    <w:rsid w:val="78CE120F"/>
    <w:rsid w:val="78CF226D"/>
    <w:rsid w:val="78D11DA9"/>
    <w:rsid w:val="78D23D94"/>
    <w:rsid w:val="78D24510"/>
    <w:rsid w:val="78D31843"/>
    <w:rsid w:val="78D33689"/>
    <w:rsid w:val="78D35C0D"/>
    <w:rsid w:val="78D42234"/>
    <w:rsid w:val="78D51459"/>
    <w:rsid w:val="78D62131"/>
    <w:rsid w:val="78D62451"/>
    <w:rsid w:val="78D635FC"/>
    <w:rsid w:val="78D6368A"/>
    <w:rsid w:val="78D67AA0"/>
    <w:rsid w:val="78D8344D"/>
    <w:rsid w:val="78D9133E"/>
    <w:rsid w:val="78D96CA7"/>
    <w:rsid w:val="78DA1B2B"/>
    <w:rsid w:val="78DB156E"/>
    <w:rsid w:val="78DB76E0"/>
    <w:rsid w:val="78DC3CE6"/>
    <w:rsid w:val="78DC4E36"/>
    <w:rsid w:val="78DD549F"/>
    <w:rsid w:val="78DE29FC"/>
    <w:rsid w:val="78DE3B4C"/>
    <w:rsid w:val="78DE6954"/>
    <w:rsid w:val="78DF15B6"/>
    <w:rsid w:val="78DF6413"/>
    <w:rsid w:val="78E034F7"/>
    <w:rsid w:val="78E0447A"/>
    <w:rsid w:val="78E16198"/>
    <w:rsid w:val="78E21F6A"/>
    <w:rsid w:val="78E246D8"/>
    <w:rsid w:val="78E25C4A"/>
    <w:rsid w:val="78E33978"/>
    <w:rsid w:val="78E35799"/>
    <w:rsid w:val="78E37A68"/>
    <w:rsid w:val="78E403CB"/>
    <w:rsid w:val="78E51301"/>
    <w:rsid w:val="78E53B2E"/>
    <w:rsid w:val="78E6452D"/>
    <w:rsid w:val="78E75FEB"/>
    <w:rsid w:val="78E97D12"/>
    <w:rsid w:val="78EA608E"/>
    <w:rsid w:val="78ED794C"/>
    <w:rsid w:val="78EE0695"/>
    <w:rsid w:val="78EF6552"/>
    <w:rsid w:val="78F00C15"/>
    <w:rsid w:val="78F062A1"/>
    <w:rsid w:val="78F10E72"/>
    <w:rsid w:val="78F13E09"/>
    <w:rsid w:val="78F314AD"/>
    <w:rsid w:val="78F33AFF"/>
    <w:rsid w:val="78F51DCC"/>
    <w:rsid w:val="78F5423A"/>
    <w:rsid w:val="78F54289"/>
    <w:rsid w:val="78F61E87"/>
    <w:rsid w:val="78F65BB3"/>
    <w:rsid w:val="78F7045B"/>
    <w:rsid w:val="78F727FB"/>
    <w:rsid w:val="78F72B1E"/>
    <w:rsid w:val="78F84E47"/>
    <w:rsid w:val="78F85668"/>
    <w:rsid w:val="78F9769D"/>
    <w:rsid w:val="78FA19E0"/>
    <w:rsid w:val="78FA7B41"/>
    <w:rsid w:val="78FC32EA"/>
    <w:rsid w:val="78FD217B"/>
    <w:rsid w:val="78FD502C"/>
    <w:rsid w:val="78FD6C48"/>
    <w:rsid w:val="78FE33D3"/>
    <w:rsid w:val="78FF2439"/>
    <w:rsid w:val="79002D6F"/>
    <w:rsid w:val="79013499"/>
    <w:rsid w:val="790145D7"/>
    <w:rsid w:val="79017041"/>
    <w:rsid w:val="79021D0D"/>
    <w:rsid w:val="790439F1"/>
    <w:rsid w:val="790543A1"/>
    <w:rsid w:val="79063B4E"/>
    <w:rsid w:val="790733F3"/>
    <w:rsid w:val="790740FD"/>
    <w:rsid w:val="79082CFE"/>
    <w:rsid w:val="790915FF"/>
    <w:rsid w:val="79091C23"/>
    <w:rsid w:val="790A1822"/>
    <w:rsid w:val="790A19FC"/>
    <w:rsid w:val="790C1713"/>
    <w:rsid w:val="790C579E"/>
    <w:rsid w:val="790C74CF"/>
    <w:rsid w:val="790D2781"/>
    <w:rsid w:val="790D6EC5"/>
    <w:rsid w:val="790F790E"/>
    <w:rsid w:val="79102FB2"/>
    <w:rsid w:val="791106B3"/>
    <w:rsid w:val="791165F7"/>
    <w:rsid w:val="79116A5F"/>
    <w:rsid w:val="791216C9"/>
    <w:rsid w:val="79126122"/>
    <w:rsid w:val="791262D9"/>
    <w:rsid w:val="791308C9"/>
    <w:rsid w:val="79132AA2"/>
    <w:rsid w:val="79133208"/>
    <w:rsid w:val="79144FF3"/>
    <w:rsid w:val="79153747"/>
    <w:rsid w:val="791552D0"/>
    <w:rsid w:val="79161A66"/>
    <w:rsid w:val="7916202A"/>
    <w:rsid w:val="79162DF9"/>
    <w:rsid w:val="7917517B"/>
    <w:rsid w:val="791767BE"/>
    <w:rsid w:val="79183999"/>
    <w:rsid w:val="7918768E"/>
    <w:rsid w:val="79192B0B"/>
    <w:rsid w:val="79193243"/>
    <w:rsid w:val="79193CB5"/>
    <w:rsid w:val="7919697A"/>
    <w:rsid w:val="791D0808"/>
    <w:rsid w:val="791D2444"/>
    <w:rsid w:val="791D7EDE"/>
    <w:rsid w:val="79200D1B"/>
    <w:rsid w:val="79201D5D"/>
    <w:rsid w:val="792078FD"/>
    <w:rsid w:val="79214E3A"/>
    <w:rsid w:val="7924221A"/>
    <w:rsid w:val="79244C47"/>
    <w:rsid w:val="7925274C"/>
    <w:rsid w:val="792546C5"/>
    <w:rsid w:val="79254E64"/>
    <w:rsid w:val="7926782A"/>
    <w:rsid w:val="79281E87"/>
    <w:rsid w:val="79282E51"/>
    <w:rsid w:val="7929020A"/>
    <w:rsid w:val="792A2A4B"/>
    <w:rsid w:val="792A31EC"/>
    <w:rsid w:val="792A3275"/>
    <w:rsid w:val="792B0C92"/>
    <w:rsid w:val="792B6360"/>
    <w:rsid w:val="792D2B25"/>
    <w:rsid w:val="792E1E64"/>
    <w:rsid w:val="792E7AEB"/>
    <w:rsid w:val="792F3070"/>
    <w:rsid w:val="79302D6A"/>
    <w:rsid w:val="793220D4"/>
    <w:rsid w:val="79322E1E"/>
    <w:rsid w:val="79326BC6"/>
    <w:rsid w:val="79330A4E"/>
    <w:rsid w:val="793326CC"/>
    <w:rsid w:val="793338F7"/>
    <w:rsid w:val="79333CEA"/>
    <w:rsid w:val="79335029"/>
    <w:rsid w:val="79344EF9"/>
    <w:rsid w:val="79356B86"/>
    <w:rsid w:val="7937045D"/>
    <w:rsid w:val="79371A2D"/>
    <w:rsid w:val="79371E07"/>
    <w:rsid w:val="79383048"/>
    <w:rsid w:val="79386064"/>
    <w:rsid w:val="793935DE"/>
    <w:rsid w:val="793B1A71"/>
    <w:rsid w:val="793B1EB5"/>
    <w:rsid w:val="793D2AAD"/>
    <w:rsid w:val="793E3D99"/>
    <w:rsid w:val="793E3E21"/>
    <w:rsid w:val="793F17F7"/>
    <w:rsid w:val="793F5645"/>
    <w:rsid w:val="79410FBE"/>
    <w:rsid w:val="79412313"/>
    <w:rsid w:val="794171D9"/>
    <w:rsid w:val="79427E10"/>
    <w:rsid w:val="794455D0"/>
    <w:rsid w:val="7945060E"/>
    <w:rsid w:val="794768AA"/>
    <w:rsid w:val="79492020"/>
    <w:rsid w:val="79493EC0"/>
    <w:rsid w:val="794A45A0"/>
    <w:rsid w:val="794C35A2"/>
    <w:rsid w:val="794E3E31"/>
    <w:rsid w:val="794E6242"/>
    <w:rsid w:val="794E7850"/>
    <w:rsid w:val="794F33AE"/>
    <w:rsid w:val="795022A2"/>
    <w:rsid w:val="79512C0E"/>
    <w:rsid w:val="79514A22"/>
    <w:rsid w:val="795173B4"/>
    <w:rsid w:val="79530643"/>
    <w:rsid w:val="795310F0"/>
    <w:rsid w:val="795347EA"/>
    <w:rsid w:val="795434FC"/>
    <w:rsid w:val="79552975"/>
    <w:rsid w:val="795804B5"/>
    <w:rsid w:val="795A74AB"/>
    <w:rsid w:val="795B1EB6"/>
    <w:rsid w:val="795C7FCB"/>
    <w:rsid w:val="795D6C28"/>
    <w:rsid w:val="796135B8"/>
    <w:rsid w:val="7961616E"/>
    <w:rsid w:val="79620B57"/>
    <w:rsid w:val="79621333"/>
    <w:rsid w:val="796230E1"/>
    <w:rsid w:val="796232D8"/>
    <w:rsid w:val="7964601B"/>
    <w:rsid w:val="7965292A"/>
    <w:rsid w:val="79657AC4"/>
    <w:rsid w:val="79660172"/>
    <w:rsid w:val="79661212"/>
    <w:rsid w:val="79664563"/>
    <w:rsid w:val="796813AD"/>
    <w:rsid w:val="79686892"/>
    <w:rsid w:val="796A6AF6"/>
    <w:rsid w:val="796B545B"/>
    <w:rsid w:val="796B72E8"/>
    <w:rsid w:val="796C0DB6"/>
    <w:rsid w:val="796C391D"/>
    <w:rsid w:val="796C5D0E"/>
    <w:rsid w:val="796C67E1"/>
    <w:rsid w:val="796D1604"/>
    <w:rsid w:val="796D3096"/>
    <w:rsid w:val="796D70E4"/>
    <w:rsid w:val="796E5F2A"/>
    <w:rsid w:val="796E604F"/>
    <w:rsid w:val="796E67BF"/>
    <w:rsid w:val="796E72AE"/>
    <w:rsid w:val="796F0248"/>
    <w:rsid w:val="796F16BD"/>
    <w:rsid w:val="796F28C5"/>
    <w:rsid w:val="79706CB9"/>
    <w:rsid w:val="7971226B"/>
    <w:rsid w:val="79716366"/>
    <w:rsid w:val="7972684F"/>
    <w:rsid w:val="797272C0"/>
    <w:rsid w:val="79732655"/>
    <w:rsid w:val="79736BA9"/>
    <w:rsid w:val="79745D22"/>
    <w:rsid w:val="797572B9"/>
    <w:rsid w:val="79771EE3"/>
    <w:rsid w:val="797863B9"/>
    <w:rsid w:val="797A290C"/>
    <w:rsid w:val="797A72D9"/>
    <w:rsid w:val="797C191B"/>
    <w:rsid w:val="797C2468"/>
    <w:rsid w:val="797D3B16"/>
    <w:rsid w:val="797E2610"/>
    <w:rsid w:val="797E2846"/>
    <w:rsid w:val="797E5D37"/>
    <w:rsid w:val="797F3C54"/>
    <w:rsid w:val="797F66A4"/>
    <w:rsid w:val="79817A0B"/>
    <w:rsid w:val="79825C01"/>
    <w:rsid w:val="7983212C"/>
    <w:rsid w:val="79845141"/>
    <w:rsid w:val="79846EF1"/>
    <w:rsid w:val="798542B5"/>
    <w:rsid w:val="79854A26"/>
    <w:rsid w:val="79863274"/>
    <w:rsid w:val="79863BEA"/>
    <w:rsid w:val="7986625E"/>
    <w:rsid w:val="79875B0A"/>
    <w:rsid w:val="79886F0B"/>
    <w:rsid w:val="79893213"/>
    <w:rsid w:val="798C500B"/>
    <w:rsid w:val="798D324A"/>
    <w:rsid w:val="798E2D47"/>
    <w:rsid w:val="798F34E7"/>
    <w:rsid w:val="79923AE5"/>
    <w:rsid w:val="79927E6B"/>
    <w:rsid w:val="79946C8F"/>
    <w:rsid w:val="79951709"/>
    <w:rsid w:val="79955265"/>
    <w:rsid w:val="79961398"/>
    <w:rsid w:val="79964601"/>
    <w:rsid w:val="799728E1"/>
    <w:rsid w:val="799812E8"/>
    <w:rsid w:val="79984D55"/>
    <w:rsid w:val="799A00A8"/>
    <w:rsid w:val="799A018D"/>
    <w:rsid w:val="799A1724"/>
    <w:rsid w:val="799A4C75"/>
    <w:rsid w:val="799B15E0"/>
    <w:rsid w:val="799B3548"/>
    <w:rsid w:val="799D05BD"/>
    <w:rsid w:val="799E0AB6"/>
    <w:rsid w:val="799E10A7"/>
    <w:rsid w:val="799E3AFC"/>
    <w:rsid w:val="799E6514"/>
    <w:rsid w:val="799E7395"/>
    <w:rsid w:val="799F35D4"/>
    <w:rsid w:val="799F38A7"/>
    <w:rsid w:val="799F4335"/>
    <w:rsid w:val="799F5D6F"/>
    <w:rsid w:val="799F60E4"/>
    <w:rsid w:val="799F7E92"/>
    <w:rsid w:val="79A201E7"/>
    <w:rsid w:val="79A42225"/>
    <w:rsid w:val="79A42CB5"/>
    <w:rsid w:val="79A4323A"/>
    <w:rsid w:val="79A436FA"/>
    <w:rsid w:val="79A611AD"/>
    <w:rsid w:val="79A61220"/>
    <w:rsid w:val="79A73BD4"/>
    <w:rsid w:val="79A75683"/>
    <w:rsid w:val="79A860DA"/>
    <w:rsid w:val="79A86A7D"/>
    <w:rsid w:val="79A90652"/>
    <w:rsid w:val="79A914A0"/>
    <w:rsid w:val="79A93C57"/>
    <w:rsid w:val="79A94446"/>
    <w:rsid w:val="79AA2B42"/>
    <w:rsid w:val="79AB07DC"/>
    <w:rsid w:val="79AD4456"/>
    <w:rsid w:val="79AE2B56"/>
    <w:rsid w:val="79B20F0A"/>
    <w:rsid w:val="79B25E17"/>
    <w:rsid w:val="79B26361"/>
    <w:rsid w:val="79B35946"/>
    <w:rsid w:val="79B407CC"/>
    <w:rsid w:val="79B41303"/>
    <w:rsid w:val="79B4170F"/>
    <w:rsid w:val="79B5322F"/>
    <w:rsid w:val="79B54734"/>
    <w:rsid w:val="79B62C5A"/>
    <w:rsid w:val="79B750D9"/>
    <w:rsid w:val="79B7799C"/>
    <w:rsid w:val="79B77F68"/>
    <w:rsid w:val="79B83965"/>
    <w:rsid w:val="79B8731E"/>
    <w:rsid w:val="79B90868"/>
    <w:rsid w:val="79B91217"/>
    <w:rsid w:val="79B95330"/>
    <w:rsid w:val="79BA0DD5"/>
    <w:rsid w:val="79BA4D16"/>
    <w:rsid w:val="79BB0543"/>
    <w:rsid w:val="79BB428F"/>
    <w:rsid w:val="79BC316C"/>
    <w:rsid w:val="79BC3BE8"/>
    <w:rsid w:val="79BE6AF7"/>
    <w:rsid w:val="79BF0130"/>
    <w:rsid w:val="79C1384A"/>
    <w:rsid w:val="79C1605A"/>
    <w:rsid w:val="79C23032"/>
    <w:rsid w:val="79C235A5"/>
    <w:rsid w:val="79C35E7B"/>
    <w:rsid w:val="79C42ADA"/>
    <w:rsid w:val="79C435FC"/>
    <w:rsid w:val="79C56DD2"/>
    <w:rsid w:val="79C76926"/>
    <w:rsid w:val="79C91FED"/>
    <w:rsid w:val="79C9794E"/>
    <w:rsid w:val="79CA0851"/>
    <w:rsid w:val="79CB1E8A"/>
    <w:rsid w:val="79CB6ED9"/>
    <w:rsid w:val="79CE69C9"/>
    <w:rsid w:val="79CF1151"/>
    <w:rsid w:val="79CF3A92"/>
    <w:rsid w:val="79CF426A"/>
    <w:rsid w:val="79CF664D"/>
    <w:rsid w:val="79D05C3A"/>
    <w:rsid w:val="79D13AAC"/>
    <w:rsid w:val="79D2281B"/>
    <w:rsid w:val="79D24552"/>
    <w:rsid w:val="79D37523"/>
    <w:rsid w:val="79D44E28"/>
    <w:rsid w:val="79D54D22"/>
    <w:rsid w:val="79D63B4C"/>
    <w:rsid w:val="79D66E32"/>
    <w:rsid w:val="79D80CB6"/>
    <w:rsid w:val="79D815F5"/>
    <w:rsid w:val="79D91FDB"/>
    <w:rsid w:val="79DA1E6C"/>
    <w:rsid w:val="79DA56A3"/>
    <w:rsid w:val="79DB1E70"/>
    <w:rsid w:val="79DB6086"/>
    <w:rsid w:val="79DC716A"/>
    <w:rsid w:val="79DC7338"/>
    <w:rsid w:val="79DC7A9E"/>
    <w:rsid w:val="79DD2504"/>
    <w:rsid w:val="79DE46E9"/>
    <w:rsid w:val="79DF2984"/>
    <w:rsid w:val="79E10962"/>
    <w:rsid w:val="79E143A4"/>
    <w:rsid w:val="79E23728"/>
    <w:rsid w:val="79E24222"/>
    <w:rsid w:val="79E400AC"/>
    <w:rsid w:val="79E41C54"/>
    <w:rsid w:val="79E5221F"/>
    <w:rsid w:val="79E63914"/>
    <w:rsid w:val="79E6570B"/>
    <w:rsid w:val="79E7601B"/>
    <w:rsid w:val="79E76670"/>
    <w:rsid w:val="79E806A6"/>
    <w:rsid w:val="79E87C21"/>
    <w:rsid w:val="79E92804"/>
    <w:rsid w:val="79E944EB"/>
    <w:rsid w:val="79E9488A"/>
    <w:rsid w:val="79E9735F"/>
    <w:rsid w:val="79EB1DCF"/>
    <w:rsid w:val="79ED4625"/>
    <w:rsid w:val="79ED72AB"/>
    <w:rsid w:val="79EE2BC7"/>
    <w:rsid w:val="79EF5AA2"/>
    <w:rsid w:val="79EF706B"/>
    <w:rsid w:val="79F006ED"/>
    <w:rsid w:val="79F06E0D"/>
    <w:rsid w:val="79F31F06"/>
    <w:rsid w:val="79F5188C"/>
    <w:rsid w:val="79F52F67"/>
    <w:rsid w:val="79F538BA"/>
    <w:rsid w:val="79F72007"/>
    <w:rsid w:val="79F756A0"/>
    <w:rsid w:val="79F77498"/>
    <w:rsid w:val="79F829DE"/>
    <w:rsid w:val="79F86A6C"/>
    <w:rsid w:val="79FA1134"/>
    <w:rsid w:val="79FA326F"/>
    <w:rsid w:val="79FB4818"/>
    <w:rsid w:val="79FC2002"/>
    <w:rsid w:val="79FD171F"/>
    <w:rsid w:val="79FD4278"/>
    <w:rsid w:val="79FE21FD"/>
    <w:rsid w:val="79FE5951"/>
    <w:rsid w:val="79FE7BE3"/>
    <w:rsid w:val="79FE7EF1"/>
    <w:rsid w:val="7A00236B"/>
    <w:rsid w:val="7A016DDC"/>
    <w:rsid w:val="7A042854"/>
    <w:rsid w:val="7A0452CD"/>
    <w:rsid w:val="7A046449"/>
    <w:rsid w:val="7A0477EF"/>
    <w:rsid w:val="7A05148B"/>
    <w:rsid w:val="7A0573B5"/>
    <w:rsid w:val="7A057B5F"/>
    <w:rsid w:val="7A066163"/>
    <w:rsid w:val="7A080C3E"/>
    <w:rsid w:val="7A082045"/>
    <w:rsid w:val="7A085800"/>
    <w:rsid w:val="7A0917AF"/>
    <w:rsid w:val="7A0A0DE0"/>
    <w:rsid w:val="7A0B4248"/>
    <w:rsid w:val="7A0C2B39"/>
    <w:rsid w:val="7A0C4785"/>
    <w:rsid w:val="7A0D74F1"/>
    <w:rsid w:val="7A0E5017"/>
    <w:rsid w:val="7A0F4937"/>
    <w:rsid w:val="7A107B3B"/>
    <w:rsid w:val="7A1232C8"/>
    <w:rsid w:val="7A131164"/>
    <w:rsid w:val="7A16011A"/>
    <w:rsid w:val="7A162FC2"/>
    <w:rsid w:val="7A16351C"/>
    <w:rsid w:val="7A172B55"/>
    <w:rsid w:val="7A191CAF"/>
    <w:rsid w:val="7A195997"/>
    <w:rsid w:val="7A1A7F38"/>
    <w:rsid w:val="7A1C6DDC"/>
    <w:rsid w:val="7A1D305F"/>
    <w:rsid w:val="7A1E0212"/>
    <w:rsid w:val="7A1E7074"/>
    <w:rsid w:val="7A1F426A"/>
    <w:rsid w:val="7A201E81"/>
    <w:rsid w:val="7A230320"/>
    <w:rsid w:val="7A2341B7"/>
    <w:rsid w:val="7A236DF0"/>
    <w:rsid w:val="7A244E9F"/>
    <w:rsid w:val="7A2500FA"/>
    <w:rsid w:val="7A253953"/>
    <w:rsid w:val="7A254204"/>
    <w:rsid w:val="7A25552C"/>
    <w:rsid w:val="7A25761A"/>
    <w:rsid w:val="7A2753B5"/>
    <w:rsid w:val="7A275E24"/>
    <w:rsid w:val="7A283342"/>
    <w:rsid w:val="7A287E87"/>
    <w:rsid w:val="7A290383"/>
    <w:rsid w:val="7A293BFF"/>
    <w:rsid w:val="7A2A1CE9"/>
    <w:rsid w:val="7A2B002F"/>
    <w:rsid w:val="7A2B189F"/>
    <w:rsid w:val="7A2B7F1F"/>
    <w:rsid w:val="7A2C4AE8"/>
    <w:rsid w:val="7A2D2BA4"/>
    <w:rsid w:val="7A2D7B93"/>
    <w:rsid w:val="7A2E50C9"/>
    <w:rsid w:val="7A2F26AE"/>
    <w:rsid w:val="7A2F2D6C"/>
    <w:rsid w:val="7A301315"/>
    <w:rsid w:val="7A3078D4"/>
    <w:rsid w:val="7A313950"/>
    <w:rsid w:val="7A32410F"/>
    <w:rsid w:val="7A332922"/>
    <w:rsid w:val="7A33570F"/>
    <w:rsid w:val="7A360328"/>
    <w:rsid w:val="7A362640"/>
    <w:rsid w:val="7A364017"/>
    <w:rsid w:val="7A366B1A"/>
    <w:rsid w:val="7A382EE7"/>
    <w:rsid w:val="7A385087"/>
    <w:rsid w:val="7A3A5E0C"/>
    <w:rsid w:val="7A3C1D18"/>
    <w:rsid w:val="7A3E1E35"/>
    <w:rsid w:val="7A3E58FC"/>
    <w:rsid w:val="7A3F0813"/>
    <w:rsid w:val="7A3F31CD"/>
    <w:rsid w:val="7A3F5B5B"/>
    <w:rsid w:val="7A3F7FB6"/>
    <w:rsid w:val="7A4028F6"/>
    <w:rsid w:val="7A402B70"/>
    <w:rsid w:val="7A4352D7"/>
    <w:rsid w:val="7A4353FC"/>
    <w:rsid w:val="7A445D92"/>
    <w:rsid w:val="7A4772B2"/>
    <w:rsid w:val="7A486C06"/>
    <w:rsid w:val="7A4871F4"/>
    <w:rsid w:val="7A48791D"/>
    <w:rsid w:val="7A490C75"/>
    <w:rsid w:val="7A4927D7"/>
    <w:rsid w:val="7A494D6B"/>
    <w:rsid w:val="7A49511D"/>
    <w:rsid w:val="7A4A70C2"/>
    <w:rsid w:val="7A4B137B"/>
    <w:rsid w:val="7A4C30C0"/>
    <w:rsid w:val="7A4D379F"/>
    <w:rsid w:val="7A4E0DE1"/>
    <w:rsid w:val="7A4E5172"/>
    <w:rsid w:val="7A4E7CC8"/>
    <w:rsid w:val="7A504DB6"/>
    <w:rsid w:val="7A51172F"/>
    <w:rsid w:val="7A513923"/>
    <w:rsid w:val="7A51423A"/>
    <w:rsid w:val="7A535879"/>
    <w:rsid w:val="7A5368F3"/>
    <w:rsid w:val="7A543372"/>
    <w:rsid w:val="7A545120"/>
    <w:rsid w:val="7A552C46"/>
    <w:rsid w:val="7A553465"/>
    <w:rsid w:val="7A56204E"/>
    <w:rsid w:val="7A574FEC"/>
    <w:rsid w:val="7A575182"/>
    <w:rsid w:val="7A5A1113"/>
    <w:rsid w:val="7A5A5550"/>
    <w:rsid w:val="7A5A6F4E"/>
    <w:rsid w:val="7A5A764F"/>
    <w:rsid w:val="7A5B454E"/>
    <w:rsid w:val="7A5B6541"/>
    <w:rsid w:val="7A5D7CA1"/>
    <w:rsid w:val="7A5E1AFB"/>
    <w:rsid w:val="7A5E3302"/>
    <w:rsid w:val="7A5F4A70"/>
    <w:rsid w:val="7A5F5B1D"/>
    <w:rsid w:val="7A5F735E"/>
    <w:rsid w:val="7A607261"/>
    <w:rsid w:val="7A61614D"/>
    <w:rsid w:val="7A6219F6"/>
    <w:rsid w:val="7A62519A"/>
    <w:rsid w:val="7A637111"/>
    <w:rsid w:val="7A643A33"/>
    <w:rsid w:val="7A65019F"/>
    <w:rsid w:val="7A650C3E"/>
    <w:rsid w:val="7A654FD5"/>
    <w:rsid w:val="7A65732D"/>
    <w:rsid w:val="7A681EAD"/>
    <w:rsid w:val="7A683513"/>
    <w:rsid w:val="7A687E78"/>
    <w:rsid w:val="7A69020F"/>
    <w:rsid w:val="7A697CF5"/>
    <w:rsid w:val="7A6A4943"/>
    <w:rsid w:val="7A6C0DC2"/>
    <w:rsid w:val="7A6C3034"/>
    <w:rsid w:val="7A6D6544"/>
    <w:rsid w:val="7A6D72EA"/>
    <w:rsid w:val="7A6F3AB7"/>
    <w:rsid w:val="7A7061F3"/>
    <w:rsid w:val="7A734856"/>
    <w:rsid w:val="7A737844"/>
    <w:rsid w:val="7A74131E"/>
    <w:rsid w:val="7A7430CC"/>
    <w:rsid w:val="7A753F5D"/>
    <w:rsid w:val="7A7641F5"/>
    <w:rsid w:val="7A7676AE"/>
    <w:rsid w:val="7A773F60"/>
    <w:rsid w:val="7A776458"/>
    <w:rsid w:val="7A777060"/>
    <w:rsid w:val="7A79569D"/>
    <w:rsid w:val="7A7A445B"/>
    <w:rsid w:val="7A7B5631"/>
    <w:rsid w:val="7A7C0B51"/>
    <w:rsid w:val="7A7D7C15"/>
    <w:rsid w:val="7A7F1A71"/>
    <w:rsid w:val="7A80549F"/>
    <w:rsid w:val="7A816DC0"/>
    <w:rsid w:val="7A8223BB"/>
    <w:rsid w:val="7A8265E1"/>
    <w:rsid w:val="7A83483E"/>
    <w:rsid w:val="7A835439"/>
    <w:rsid w:val="7A837C18"/>
    <w:rsid w:val="7A847912"/>
    <w:rsid w:val="7A8527DC"/>
    <w:rsid w:val="7A854C30"/>
    <w:rsid w:val="7A861779"/>
    <w:rsid w:val="7A862E00"/>
    <w:rsid w:val="7A88747D"/>
    <w:rsid w:val="7A8958B8"/>
    <w:rsid w:val="7A8A3A96"/>
    <w:rsid w:val="7A8B21FF"/>
    <w:rsid w:val="7A8B571F"/>
    <w:rsid w:val="7A8B6668"/>
    <w:rsid w:val="7A8C3130"/>
    <w:rsid w:val="7A8C4DE5"/>
    <w:rsid w:val="7A8D23E0"/>
    <w:rsid w:val="7A8D78A4"/>
    <w:rsid w:val="7A8F3276"/>
    <w:rsid w:val="7A8F4316"/>
    <w:rsid w:val="7A9103F0"/>
    <w:rsid w:val="7A917380"/>
    <w:rsid w:val="7A923350"/>
    <w:rsid w:val="7A933304"/>
    <w:rsid w:val="7A9419C0"/>
    <w:rsid w:val="7A9429C7"/>
    <w:rsid w:val="7A945206"/>
    <w:rsid w:val="7A94551C"/>
    <w:rsid w:val="7A947EF7"/>
    <w:rsid w:val="7A95105B"/>
    <w:rsid w:val="7A951E14"/>
    <w:rsid w:val="7A95780A"/>
    <w:rsid w:val="7A96558B"/>
    <w:rsid w:val="7A985586"/>
    <w:rsid w:val="7A996FD7"/>
    <w:rsid w:val="7A9B3725"/>
    <w:rsid w:val="7A9E3C85"/>
    <w:rsid w:val="7A9F099C"/>
    <w:rsid w:val="7AA034FA"/>
    <w:rsid w:val="7AA13F56"/>
    <w:rsid w:val="7AA240DD"/>
    <w:rsid w:val="7AA332EE"/>
    <w:rsid w:val="7AA40EF3"/>
    <w:rsid w:val="7AA46DB0"/>
    <w:rsid w:val="7AA54B1C"/>
    <w:rsid w:val="7AA64D44"/>
    <w:rsid w:val="7AA725FD"/>
    <w:rsid w:val="7AA72981"/>
    <w:rsid w:val="7AA739DD"/>
    <w:rsid w:val="7AA77D2F"/>
    <w:rsid w:val="7AA81451"/>
    <w:rsid w:val="7AA86DF7"/>
    <w:rsid w:val="7AA9037E"/>
    <w:rsid w:val="7AA95B1F"/>
    <w:rsid w:val="7AAB5023"/>
    <w:rsid w:val="7AAF67FA"/>
    <w:rsid w:val="7AB17D96"/>
    <w:rsid w:val="7AB26DB3"/>
    <w:rsid w:val="7AB27FA7"/>
    <w:rsid w:val="7AB41474"/>
    <w:rsid w:val="7AB43E98"/>
    <w:rsid w:val="7AB45058"/>
    <w:rsid w:val="7AB61443"/>
    <w:rsid w:val="7AB67B89"/>
    <w:rsid w:val="7AB8162F"/>
    <w:rsid w:val="7AB83901"/>
    <w:rsid w:val="7AB97AFC"/>
    <w:rsid w:val="7ABB0535"/>
    <w:rsid w:val="7ABB3A53"/>
    <w:rsid w:val="7ABB6F28"/>
    <w:rsid w:val="7ABD09DB"/>
    <w:rsid w:val="7ABD0F17"/>
    <w:rsid w:val="7ABD2BF3"/>
    <w:rsid w:val="7ABD6292"/>
    <w:rsid w:val="7ABF3B39"/>
    <w:rsid w:val="7ABF51D2"/>
    <w:rsid w:val="7AC008A4"/>
    <w:rsid w:val="7AC022D9"/>
    <w:rsid w:val="7AC02DA2"/>
    <w:rsid w:val="7AC14FAB"/>
    <w:rsid w:val="7AC3073B"/>
    <w:rsid w:val="7AC34F4E"/>
    <w:rsid w:val="7AC55E09"/>
    <w:rsid w:val="7AC630AB"/>
    <w:rsid w:val="7AC63794"/>
    <w:rsid w:val="7AC65B7F"/>
    <w:rsid w:val="7AC73B44"/>
    <w:rsid w:val="7AC85DD4"/>
    <w:rsid w:val="7AC912EB"/>
    <w:rsid w:val="7ACA14A0"/>
    <w:rsid w:val="7ACA1E88"/>
    <w:rsid w:val="7ACB1608"/>
    <w:rsid w:val="7ACD133E"/>
    <w:rsid w:val="7ACD796F"/>
    <w:rsid w:val="7ACE2A19"/>
    <w:rsid w:val="7AD4533B"/>
    <w:rsid w:val="7AD46ED1"/>
    <w:rsid w:val="7AD47463"/>
    <w:rsid w:val="7AD479F4"/>
    <w:rsid w:val="7AD60409"/>
    <w:rsid w:val="7AD62CAB"/>
    <w:rsid w:val="7AD93D73"/>
    <w:rsid w:val="7AD97590"/>
    <w:rsid w:val="7ADA0A0E"/>
    <w:rsid w:val="7ADB7706"/>
    <w:rsid w:val="7ADC4334"/>
    <w:rsid w:val="7ADD2D5E"/>
    <w:rsid w:val="7ADF15DD"/>
    <w:rsid w:val="7AE0312B"/>
    <w:rsid w:val="7AE05073"/>
    <w:rsid w:val="7AE10BB3"/>
    <w:rsid w:val="7AE30B68"/>
    <w:rsid w:val="7AE354C8"/>
    <w:rsid w:val="7AE36ADE"/>
    <w:rsid w:val="7AE460DE"/>
    <w:rsid w:val="7AE61EE4"/>
    <w:rsid w:val="7AE61FB6"/>
    <w:rsid w:val="7AEA338E"/>
    <w:rsid w:val="7AEA5483"/>
    <w:rsid w:val="7AEB3A90"/>
    <w:rsid w:val="7AEB729D"/>
    <w:rsid w:val="7AEC292C"/>
    <w:rsid w:val="7AEC4433"/>
    <w:rsid w:val="7AEC7106"/>
    <w:rsid w:val="7AED63D9"/>
    <w:rsid w:val="7AEE057D"/>
    <w:rsid w:val="7AEE0A5A"/>
    <w:rsid w:val="7AEE7323"/>
    <w:rsid w:val="7AEF7572"/>
    <w:rsid w:val="7AF0155C"/>
    <w:rsid w:val="7AF024A4"/>
    <w:rsid w:val="7AF110C4"/>
    <w:rsid w:val="7AF11A23"/>
    <w:rsid w:val="7AF2458A"/>
    <w:rsid w:val="7AF34431"/>
    <w:rsid w:val="7AF35F22"/>
    <w:rsid w:val="7AF37D5D"/>
    <w:rsid w:val="7AF4420D"/>
    <w:rsid w:val="7AF470B7"/>
    <w:rsid w:val="7AF56ECD"/>
    <w:rsid w:val="7AF63C3B"/>
    <w:rsid w:val="7AF64946"/>
    <w:rsid w:val="7AF6709A"/>
    <w:rsid w:val="7AF72FCE"/>
    <w:rsid w:val="7AF808B3"/>
    <w:rsid w:val="7AF83D71"/>
    <w:rsid w:val="7AF91823"/>
    <w:rsid w:val="7AF92F80"/>
    <w:rsid w:val="7AFB3A76"/>
    <w:rsid w:val="7AFC6301"/>
    <w:rsid w:val="7AFD17D9"/>
    <w:rsid w:val="7AFE6E3A"/>
    <w:rsid w:val="7AFF2C18"/>
    <w:rsid w:val="7AFF5181"/>
    <w:rsid w:val="7AFF7010"/>
    <w:rsid w:val="7AFF70BD"/>
    <w:rsid w:val="7B011052"/>
    <w:rsid w:val="7B0279CA"/>
    <w:rsid w:val="7B0408AB"/>
    <w:rsid w:val="7B045E25"/>
    <w:rsid w:val="7B06192B"/>
    <w:rsid w:val="7B077431"/>
    <w:rsid w:val="7B0818F7"/>
    <w:rsid w:val="7B096184"/>
    <w:rsid w:val="7B0B4882"/>
    <w:rsid w:val="7B0D3F63"/>
    <w:rsid w:val="7B0D70DC"/>
    <w:rsid w:val="7B0F0AF2"/>
    <w:rsid w:val="7B0F19F5"/>
    <w:rsid w:val="7B1010D4"/>
    <w:rsid w:val="7B1112CC"/>
    <w:rsid w:val="7B1241A4"/>
    <w:rsid w:val="7B131975"/>
    <w:rsid w:val="7B14592F"/>
    <w:rsid w:val="7B1466D9"/>
    <w:rsid w:val="7B1563F1"/>
    <w:rsid w:val="7B177796"/>
    <w:rsid w:val="7B190AD8"/>
    <w:rsid w:val="7B197C6E"/>
    <w:rsid w:val="7B1A40EB"/>
    <w:rsid w:val="7B1B282F"/>
    <w:rsid w:val="7B1C4C32"/>
    <w:rsid w:val="7B1C530E"/>
    <w:rsid w:val="7B1C6ED5"/>
    <w:rsid w:val="7B1E2CFC"/>
    <w:rsid w:val="7B1E3783"/>
    <w:rsid w:val="7B1F572E"/>
    <w:rsid w:val="7B1F7752"/>
    <w:rsid w:val="7B201060"/>
    <w:rsid w:val="7B20147E"/>
    <w:rsid w:val="7B201623"/>
    <w:rsid w:val="7B203504"/>
    <w:rsid w:val="7B211D18"/>
    <w:rsid w:val="7B213BE6"/>
    <w:rsid w:val="7B235C78"/>
    <w:rsid w:val="7B25086A"/>
    <w:rsid w:val="7B252335"/>
    <w:rsid w:val="7B253C8A"/>
    <w:rsid w:val="7B260D08"/>
    <w:rsid w:val="7B266100"/>
    <w:rsid w:val="7B266B29"/>
    <w:rsid w:val="7B271BE6"/>
    <w:rsid w:val="7B285ED8"/>
    <w:rsid w:val="7B28664F"/>
    <w:rsid w:val="7B286C0B"/>
    <w:rsid w:val="7B296A74"/>
    <w:rsid w:val="7B2A23AA"/>
    <w:rsid w:val="7B2A52C5"/>
    <w:rsid w:val="7B2B5024"/>
    <w:rsid w:val="7B2C1174"/>
    <w:rsid w:val="7B2C39A7"/>
    <w:rsid w:val="7B2D7F61"/>
    <w:rsid w:val="7B2F7140"/>
    <w:rsid w:val="7B307D0E"/>
    <w:rsid w:val="7B334103"/>
    <w:rsid w:val="7B33628E"/>
    <w:rsid w:val="7B34130A"/>
    <w:rsid w:val="7B344610"/>
    <w:rsid w:val="7B345E9B"/>
    <w:rsid w:val="7B352230"/>
    <w:rsid w:val="7B360627"/>
    <w:rsid w:val="7B3710AB"/>
    <w:rsid w:val="7B372B60"/>
    <w:rsid w:val="7B397053"/>
    <w:rsid w:val="7B3A2568"/>
    <w:rsid w:val="7B3A3187"/>
    <w:rsid w:val="7B3B2F0E"/>
    <w:rsid w:val="7B3B49C9"/>
    <w:rsid w:val="7B3B62E0"/>
    <w:rsid w:val="7B3B64CA"/>
    <w:rsid w:val="7B3C4EA0"/>
    <w:rsid w:val="7B3D26D6"/>
    <w:rsid w:val="7B3D5BB4"/>
    <w:rsid w:val="7B3E2261"/>
    <w:rsid w:val="7B3E7ECF"/>
    <w:rsid w:val="7B3F5FB8"/>
    <w:rsid w:val="7B4041CD"/>
    <w:rsid w:val="7B420C1F"/>
    <w:rsid w:val="7B42141C"/>
    <w:rsid w:val="7B43026F"/>
    <w:rsid w:val="7B43299D"/>
    <w:rsid w:val="7B4329D6"/>
    <w:rsid w:val="7B4432D1"/>
    <w:rsid w:val="7B473351"/>
    <w:rsid w:val="7B4830E9"/>
    <w:rsid w:val="7B486ABF"/>
    <w:rsid w:val="7B486E43"/>
    <w:rsid w:val="7B492A67"/>
    <w:rsid w:val="7B497E6A"/>
    <w:rsid w:val="7B4A5AB9"/>
    <w:rsid w:val="7B4C0F4E"/>
    <w:rsid w:val="7B4D4C54"/>
    <w:rsid w:val="7B4E2A17"/>
    <w:rsid w:val="7B4E4985"/>
    <w:rsid w:val="7B4F0667"/>
    <w:rsid w:val="7B4F79CC"/>
    <w:rsid w:val="7B520AC3"/>
    <w:rsid w:val="7B520D7A"/>
    <w:rsid w:val="7B5317C3"/>
    <w:rsid w:val="7B541B15"/>
    <w:rsid w:val="7B54284C"/>
    <w:rsid w:val="7B560A24"/>
    <w:rsid w:val="7B577EEA"/>
    <w:rsid w:val="7B581266"/>
    <w:rsid w:val="7B5829AA"/>
    <w:rsid w:val="7B5910BF"/>
    <w:rsid w:val="7B5941C2"/>
    <w:rsid w:val="7B5963FA"/>
    <w:rsid w:val="7B5A6069"/>
    <w:rsid w:val="7B5B24DE"/>
    <w:rsid w:val="7B5C5636"/>
    <w:rsid w:val="7B5C565B"/>
    <w:rsid w:val="7B5C5A89"/>
    <w:rsid w:val="7B5D0275"/>
    <w:rsid w:val="7B5D2016"/>
    <w:rsid w:val="7B5D4DA1"/>
    <w:rsid w:val="7B5D6BCC"/>
    <w:rsid w:val="7B5E53EF"/>
    <w:rsid w:val="7B5F347D"/>
    <w:rsid w:val="7B6064A7"/>
    <w:rsid w:val="7B607AF4"/>
    <w:rsid w:val="7B610A38"/>
    <w:rsid w:val="7B614301"/>
    <w:rsid w:val="7B617689"/>
    <w:rsid w:val="7B625806"/>
    <w:rsid w:val="7B630694"/>
    <w:rsid w:val="7B63375A"/>
    <w:rsid w:val="7B637226"/>
    <w:rsid w:val="7B637EE1"/>
    <w:rsid w:val="7B641393"/>
    <w:rsid w:val="7B656EB9"/>
    <w:rsid w:val="7B684B1A"/>
    <w:rsid w:val="7B686D42"/>
    <w:rsid w:val="7B693A9C"/>
    <w:rsid w:val="7B6978E9"/>
    <w:rsid w:val="7B6A449F"/>
    <w:rsid w:val="7B6A4E3B"/>
    <w:rsid w:val="7B6B193F"/>
    <w:rsid w:val="7B6C7EE9"/>
    <w:rsid w:val="7B6E0463"/>
    <w:rsid w:val="7B6F3016"/>
    <w:rsid w:val="7B6F6C2A"/>
    <w:rsid w:val="7B7142B7"/>
    <w:rsid w:val="7B71522A"/>
    <w:rsid w:val="7B7250A1"/>
    <w:rsid w:val="7B7251C0"/>
    <w:rsid w:val="7B7311B2"/>
    <w:rsid w:val="7B735A7A"/>
    <w:rsid w:val="7B743D9F"/>
    <w:rsid w:val="7B751AF9"/>
    <w:rsid w:val="7B7651B7"/>
    <w:rsid w:val="7B770009"/>
    <w:rsid w:val="7B7713EC"/>
    <w:rsid w:val="7B7746E9"/>
    <w:rsid w:val="7B781C65"/>
    <w:rsid w:val="7B7A4FA2"/>
    <w:rsid w:val="7B7C3EFC"/>
    <w:rsid w:val="7B7D585A"/>
    <w:rsid w:val="7B7D69BA"/>
    <w:rsid w:val="7B7E04D2"/>
    <w:rsid w:val="7B7E2420"/>
    <w:rsid w:val="7B7E4F65"/>
    <w:rsid w:val="7B7F3005"/>
    <w:rsid w:val="7B7F3776"/>
    <w:rsid w:val="7B7F7F7B"/>
    <w:rsid w:val="7B80420F"/>
    <w:rsid w:val="7B821819"/>
    <w:rsid w:val="7B835F92"/>
    <w:rsid w:val="7B83645A"/>
    <w:rsid w:val="7B837BA7"/>
    <w:rsid w:val="7B837C7C"/>
    <w:rsid w:val="7B840A86"/>
    <w:rsid w:val="7B841746"/>
    <w:rsid w:val="7B84474B"/>
    <w:rsid w:val="7B853531"/>
    <w:rsid w:val="7B863A35"/>
    <w:rsid w:val="7B863E75"/>
    <w:rsid w:val="7B874D36"/>
    <w:rsid w:val="7B8752AE"/>
    <w:rsid w:val="7B8769AE"/>
    <w:rsid w:val="7B892BA7"/>
    <w:rsid w:val="7B8B2DC3"/>
    <w:rsid w:val="7B8B6D9D"/>
    <w:rsid w:val="7B8C223D"/>
    <w:rsid w:val="7B8C6337"/>
    <w:rsid w:val="7B8F0D5C"/>
    <w:rsid w:val="7B8F3CED"/>
    <w:rsid w:val="7B8F7D49"/>
    <w:rsid w:val="7B9003DA"/>
    <w:rsid w:val="7B91027A"/>
    <w:rsid w:val="7B910992"/>
    <w:rsid w:val="7B916426"/>
    <w:rsid w:val="7B916E9E"/>
    <w:rsid w:val="7B934151"/>
    <w:rsid w:val="7B94358D"/>
    <w:rsid w:val="7B946468"/>
    <w:rsid w:val="7B9472CA"/>
    <w:rsid w:val="7B952CB2"/>
    <w:rsid w:val="7B95779E"/>
    <w:rsid w:val="7B963516"/>
    <w:rsid w:val="7B9652C4"/>
    <w:rsid w:val="7B971768"/>
    <w:rsid w:val="7B984958"/>
    <w:rsid w:val="7B993402"/>
    <w:rsid w:val="7B993779"/>
    <w:rsid w:val="7B995325"/>
    <w:rsid w:val="7B995806"/>
    <w:rsid w:val="7B99602F"/>
    <w:rsid w:val="7B9A13D4"/>
    <w:rsid w:val="7B9A4DB4"/>
    <w:rsid w:val="7B9A6524"/>
    <w:rsid w:val="7B9B5F76"/>
    <w:rsid w:val="7B9C4735"/>
    <w:rsid w:val="7B9D39C2"/>
    <w:rsid w:val="7B9D703B"/>
    <w:rsid w:val="7B9F0714"/>
    <w:rsid w:val="7B9F4058"/>
    <w:rsid w:val="7B9F499A"/>
    <w:rsid w:val="7B9F6168"/>
    <w:rsid w:val="7BA11D00"/>
    <w:rsid w:val="7BA16FBC"/>
    <w:rsid w:val="7BA20751"/>
    <w:rsid w:val="7BA269C9"/>
    <w:rsid w:val="7BA35B5C"/>
    <w:rsid w:val="7BA438DA"/>
    <w:rsid w:val="7BA43E85"/>
    <w:rsid w:val="7BA45A38"/>
    <w:rsid w:val="7BA47C43"/>
    <w:rsid w:val="7BA51EE3"/>
    <w:rsid w:val="7BA53A32"/>
    <w:rsid w:val="7BA55617"/>
    <w:rsid w:val="7BA61125"/>
    <w:rsid w:val="7BA62294"/>
    <w:rsid w:val="7BA764A6"/>
    <w:rsid w:val="7BA774D1"/>
    <w:rsid w:val="7BAA4DAE"/>
    <w:rsid w:val="7BAB02A8"/>
    <w:rsid w:val="7BAB0E22"/>
    <w:rsid w:val="7BAC0158"/>
    <w:rsid w:val="7BAD1F33"/>
    <w:rsid w:val="7BAD7847"/>
    <w:rsid w:val="7BAF357F"/>
    <w:rsid w:val="7BB03A0C"/>
    <w:rsid w:val="7BB06386"/>
    <w:rsid w:val="7BB1024E"/>
    <w:rsid w:val="7BB120FE"/>
    <w:rsid w:val="7BB14E9C"/>
    <w:rsid w:val="7BB15693"/>
    <w:rsid w:val="7BB24969"/>
    <w:rsid w:val="7BB259E1"/>
    <w:rsid w:val="7BB26162"/>
    <w:rsid w:val="7BB376B0"/>
    <w:rsid w:val="7BB53DD1"/>
    <w:rsid w:val="7BB63E6D"/>
    <w:rsid w:val="7BB67475"/>
    <w:rsid w:val="7BB709E3"/>
    <w:rsid w:val="7BB7343A"/>
    <w:rsid w:val="7BB75966"/>
    <w:rsid w:val="7BB87557"/>
    <w:rsid w:val="7BB91DEB"/>
    <w:rsid w:val="7BBA5FC7"/>
    <w:rsid w:val="7BBA7205"/>
    <w:rsid w:val="7BBB1413"/>
    <w:rsid w:val="7BBB2497"/>
    <w:rsid w:val="7BBB5A96"/>
    <w:rsid w:val="7BBC508F"/>
    <w:rsid w:val="7BBC5274"/>
    <w:rsid w:val="7BBC65C9"/>
    <w:rsid w:val="7BBD493C"/>
    <w:rsid w:val="7BBD5177"/>
    <w:rsid w:val="7BBE2FCB"/>
    <w:rsid w:val="7BBE3961"/>
    <w:rsid w:val="7BBE6183"/>
    <w:rsid w:val="7BBE62F3"/>
    <w:rsid w:val="7BBE6479"/>
    <w:rsid w:val="7BBE779F"/>
    <w:rsid w:val="7BBF3BDC"/>
    <w:rsid w:val="7BBF6D24"/>
    <w:rsid w:val="7BC022C4"/>
    <w:rsid w:val="7BC02341"/>
    <w:rsid w:val="7BC1122E"/>
    <w:rsid w:val="7BC1661C"/>
    <w:rsid w:val="7BC501E8"/>
    <w:rsid w:val="7BC52E91"/>
    <w:rsid w:val="7BC55AD8"/>
    <w:rsid w:val="7BC57958"/>
    <w:rsid w:val="7BC63DFB"/>
    <w:rsid w:val="7BC67677"/>
    <w:rsid w:val="7BC919EA"/>
    <w:rsid w:val="7BC93EC6"/>
    <w:rsid w:val="7BC946EB"/>
    <w:rsid w:val="7BC94F03"/>
    <w:rsid w:val="7BCB08C2"/>
    <w:rsid w:val="7BCB3E23"/>
    <w:rsid w:val="7BCB7BC2"/>
    <w:rsid w:val="7BCC6983"/>
    <w:rsid w:val="7BCC6F38"/>
    <w:rsid w:val="7BCD3EA2"/>
    <w:rsid w:val="7BCD4FFD"/>
    <w:rsid w:val="7BCE005E"/>
    <w:rsid w:val="7BCE1093"/>
    <w:rsid w:val="7BCE4BEE"/>
    <w:rsid w:val="7BCE7374"/>
    <w:rsid w:val="7BD06A28"/>
    <w:rsid w:val="7BD16B89"/>
    <w:rsid w:val="7BD202B8"/>
    <w:rsid w:val="7BD2433A"/>
    <w:rsid w:val="7BD358A8"/>
    <w:rsid w:val="7BD5005C"/>
    <w:rsid w:val="7BD51450"/>
    <w:rsid w:val="7BD615F7"/>
    <w:rsid w:val="7BD61D7A"/>
    <w:rsid w:val="7BD65F7F"/>
    <w:rsid w:val="7BD8303E"/>
    <w:rsid w:val="7BD87C9A"/>
    <w:rsid w:val="7BD947BA"/>
    <w:rsid w:val="7BDA7FC6"/>
    <w:rsid w:val="7BDB70AB"/>
    <w:rsid w:val="7BDC16A3"/>
    <w:rsid w:val="7BDC717B"/>
    <w:rsid w:val="7BDC7E55"/>
    <w:rsid w:val="7BDD2850"/>
    <w:rsid w:val="7BDD6AF5"/>
    <w:rsid w:val="7BDD7906"/>
    <w:rsid w:val="7BDE68C4"/>
    <w:rsid w:val="7BDF3190"/>
    <w:rsid w:val="7BE03B21"/>
    <w:rsid w:val="7BE05EE3"/>
    <w:rsid w:val="7BE16D5C"/>
    <w:rsid w:val="7BE423A8"/>
    <w:rsid w:val="7BE45EDC"/>
    <w:rsid w:val="7BE50235"/>
    <w:rsid w:val="7BE67FFA"/>
    <w:rsid w:val="7BE81EF7"/>
    <w:rsid w:val="7BE87D41"/>
    <w:rsid w:val="7BE90940"/>
    <w:rsid w:val="7BE91898"/>
    <w:rsid w:val="7BE92920"/>
    <w:rsid w:val="7BE97AEA"/>
    <w:rsid w:val="7BEB095D"/>
    <w:rsid w:val="7BEB46D2"/>
    <w:rsid w:val="7BEB70E5"/>
    <w:rsid w:val="7BEB753D"/>
    <w:rsid w:val="7BEB7AF4"/>
    <w:rsid w:val="7BEB7F3A"/>
    <w:rsid w:val="7BEC1388"/>
    <w:rsid w:val="7BEC3136"/>
    <w:rsid w:val="7BEC3BF2"/>
    <w:rsid w:val="7BEC68CE"/>
    <w:rsid w:val="7BEE1AF9"/>
    <w:rsid w:val="7BEE7F96"/>
    <w:rsid w:val="7BEF3923"/>
    <w:rsid w:val="7BF03279"/>
    <w:rsid w:val="7BF26975"/>
    <w:rsid w:val="7BF424F1"/>
    <w:rsid w:val="7BF515C7"/>
    <w:rsid w:val="7BF527EF"/>
    <w:rsid w:val="7BF52ED1"/>
    <w:rsid w:val="7BF5715C"/>
    <w:rsid w:val="7BF65078"/>
    <w:rsid w:val="7BF65754"/>
    <w:rsid w:val="7BF70C4F"/>
    <w:rsid w:val="7BF71226"/>
    <w:rsid w:val="7BF76405"/>
    <w:rsid w:val="7BF841E1"/>
    <w:rsid w:val="7BF85D30"/>
    <w:rsid w:val="7BF87ACC"/>
    <w:rsid w:val="7BFA3D47"/>
    <w:rsid w:val="7BFB004D"/>
    <w:rsid w:val="7BFB3984"/>
    <w:rsid w:val="7BFB4A24"/>
    <w:rsid w:val="7BFC65C1"/>
    <w:rsid w:val="7BFD4DCD"/>
    <w:rsid w:val="7BFD539D"/>
    <w:rsid w:val="7BFD6C27"/>
    <w:rsid w:val="7C0059B5"/>
    <w:rsid w:val="7C0225B1"/>
    <w:rsid w:val="7C025EAC"/>
    <w:rsid w:val="7C02677B"/>
    <w:rsid w:val="7C031C10"/>
    <w:rsid w:val="7C031C37"/>
    <w:rsid w:val="7C036DFE"/>
    <w:rsid w:val="7C0570D3"/>
    <w:rsid w:val="7C06069C"/>
    <w:rsid w:val="7C060708"/>
    <w:rsid w:val="7C063DB1"/>
    <w:rsid w:val="7C0640E4"/>
    <w:rsid w:val="7C075D69"/>
    <w:rsid w:val="7C086947"/>
    <w:rsid w:val="7C095A0B"/>
    <w:rsid w:val="7C0A2894"/>
    <w:rsid w:val="7C0B180E"/>
    <w:rsid w:val="7C0B7E06"/>
    <w:rsid w:val="7C0C12E2"/>
    <w:rsid w:val="7C0C694A"/>
    <w:rsid w:val="7C0F1DF5"/>
    <w:rsid w:val="7C0F7D38"/>
    <w:rsid w:val="7C10561E"/>
    <w:rsid w:val="7C116A62"/>
    <w:rsid w:val="7C13169D"/>
    <w:rsid w:val="7C170CAB"/>
    <w:rsid w:val="7C1716E9"/>
    <w:rsid w:val="7C171DD7"/>
    <w:rsid w:val="7C177F93"/>
    <w:rsid w:val="7C182BB2"/>
    <w:rsid w:val="7C184253"/>
    <w:rsid w:val="7C1876BD"/>
    <w:rsid w:val="7C19711C"/>
    <w:rsid w:val="7C1A00AD"/>
    <w:rsid w:val="7C1C1B4C"/>
    <w:rsid w:val="7C1C1F2B"/>
    <w:rsid w:val="7C1C6E88"/>
    <w:rsid w:val="7C1F15FA"/>
    <w:rsid w:val="7C1F1CEB"/>
    <w:rsid w:val="7C1F3C32"/>
    <w:rsid w:val="7C1F6A46"/>
    <w:rsid w:val="7C1F6E13"/>
    <w:rsid w:val="7C202FBB"/>
    <w:rsid w:val="7C203FB1"/>
    <w:rsid w:val="7C2051FF"/>
    <w:rsid w:val="7C2210D4"/>
    <w:rsid w:val="7C245B94"/>
    <w:rsid w:val="7C2609DC"/>
    <w:rsid w:val="7C2652CB"/>
    <w:rsid w:val="7C285AA2"/>
    <w:rsid w:val="7C2B5E02"/>
    <w:rsid w:val="7C2C245E"/>
    <w:rsid w:val="7C2D4DAB"/>
    <w:rsid w:val="7C2E4461"/>
    <w:rsid w:val="7C2F0771"/>
    <w:rsid w:val="7C2F0918"/>
    <w:rsid w:val="7C301D8C"/>
    <w:rsid w:val="7C320065"/>
    <w:rsid w:val="7C322622"/>
    <w:rsid w:val="7C32323F"/>
    <w:rsid w:val="7C325156"/>
    <w:rsid w:val="7C327443"/>
    <w:rsid w:val="7C3325C1"/>
    <w:rsid w:val="7C33284A"/>
    <w:rsid w:val="7C340556"/>
    <w:rsid w:val="7C3406C2"/>
    <w:rsid w:val="7C345209"/>
    <w:rsid w:val="7C34709D"/>
    <w:rsid w:val="7C35007F"/>
    <w:rsid w:val="7C35791E"/>
    <w:rsid w:val="7C3604F6"/>
    <w:rsid w:val="7C366DCB"/>
    <w:rsid w:val="7C3964CD"/>
    <w:rsid w:val="7C3B2817"/>
    <w:rsid w:val="7C3E7347"/>
    <w:rsid w:val="7C3E7E36"/>
    <w:rsid w:val="7C3F7543"/>
    <w:rsid w:val="7C40194C"/>
    <w:rsid w:val="7C416ADB"/>
    <w:rsid w:val="7C4223F6"/>
    <w:rsid w:val="7C425FF0"/>
    <w:rsid w:val="7C431DB4"/>
    <w:rsid w:val="7C436497"/>
    <w:rsid w:val="7C436C11"/>
    <w:rsid w:val="7C43750A"/>
    <w:rsid w:val="7C442AD2"/>
    <w:rsid w:val="7C444516"/>
    <w:rsid w:val="7C451F56"/>
    <w:rsid w:val="7C45534E"/>
    <w:rsid w:val="7C460507"/>
    <w:rsid w:val="7C473233"/>
    <w:rsid w:val="7C473C2F"/>
    <w:rsid w:val="7C486FD3"/>
    <w:rsid w:val="7C491058"/>
    <w:rsid w:val="7C494450"/>
    <w:rsid w:val="7C4A67DB"/>
    <w:rsid w:val="7C4A6F9D"/>
    <w:rsid w:val="7C4B3A46"/>
    <w:rsid w:val="7C4C63C0"/>
    <w:rsid w:val="7C4D2440"/>
    <w:rsid w:val="7C4E7023"/>
    <w:rsid w:val="7C4F12CD"/>
    <w:rsid w:val="7C4F31FB"/>
    <w:rsid w:val="7C516FC4"/>
    <w:rsid w:val="7C520F77"/>
    <w:rsid w:val="7C526503"/>
    <w:rsid w:val="7C542F94"/>
    <w:rsid w:val="7C5544D0"/>
    <w:rsid w:val="7C555241"/>
    <w:rsid w:val="7C564A38"/>
    <w:rsid w:val="7C56598D"/>
    <w:rsid w:val="7C572CA5"/>
    <w:rsid w:val="7C582A06"/>
    <w:rsid w:val="7C587691"/>
    <w:rsid w:val="7C5877F8"/>
    <w:rsid w:val="7C596671"/>
    <w:rsid w:val="7C597B09"/>
    <w:rsid w:val="7C5A02E6"/>
    <w:rsid w:val="7C5A1C1F"/>
    <w:rsid w:val="7C5A2331"/>
    <w:rsid w:val="7C5C4760"/>
    <w:rsid w:val="7C5D72DB"/>
    <w:rsid w:val="7C5E107E"/>
    <w:rsid w:val="7C5E4C2C"/>
    <w:rsid w:val="7C5F03D8"/>
    <w:rsid w:val="7C5F1B5A"/>
    <w:rsid w:val="7C5F39EA"/>
    <w:rsid w:val="7C612EFC"/>
    <w:rsid w:val="7C6317BF"/>
    <w:rsid w:val="7C632DB4"/>
    <w:rsid w:val="7C646810"/>
    <w:rsid w:val="7C646AF3"/>
    <w:rsid w:val="7C652B12"/>
    <w:rsid w:val="7C653B1C"/>
    <w:rsid w:val="7C662C5B"/>
    <w:rsid w:val="7C664A55"/>
    <w:rsid w:val="7C666B00"/>
    <w:rsid w:val="7C672A41"/>
    <w:rsid w:val="7C686098"/>
    <w:rsid w:val="7C6868F6"/>
    <w:rsid w:val="7C6A1D54"/>
    <w:rsid w:val="7C6A2CBE"/>
    <w:rsid w:val="7C6B4C1D"/>
    <w:rsid w:val="7C6C1D62"/>
    <w:rsid w:val="7C6C5AC7"/>
    <w:rsid w:val="7C6D1403"/>
    <w:rsid w:val="7C6D613A"/>
    <w:rsid w:val="7C6E15E1"/>
    <w:rsid w:val="7C6E1828"/>
    <w:rsid w:val="7C6E2E01"/>
    <w:rsid w:val="7C6E6A2A"/>
    <w:rsid w:val="7C6F31FD"/>
    <w:rsid w:val="7C6F4493"/>
    <w:rsid w:val="7C6F7FEF"/>
    <w:rsid w:val="7C706854"/>
    <w:rsid w:val="7C707844"/>
    <w:rsid w:val="7C711D6F"/>
    <w:rsid w:val="7C717E6D"/>
    <w:rsid w:val="7C717EBB"/>
    <w:rsid w:val="7C727ADF"/>
    <w:rsid w:val="7C733524"/>
    <w:rsid w:val="7C7423F0"/>
    <w:rsid w:val="7C7464E8"/>
    <w:rsid w:val="7C755D3D"/>
    <w:rsid w:val="7C76101C"/>
    <w:rsid w:val="7C767363"/>
    <w:rsid w:val="7C77324A"/>
    <w:rsid w:val="7C790F7C"/>
    <w:rsid w:val="7C7974E4"/>
    <w:rsid w:val="7C7A0C8A"/>
    <w:rsid w:val="7C7C095E"/>
    <w:rsid w:val="7C7D3B9B"/>
    <w:rsid w:val="7C7E3D9C"/>
    <w:rsid w:val="7C7E46D6"/>
    <w:rsid w:val="7C7E47D9"/>
    <w:rsid w:val="7C7E4E12"/>
    <w:rsid w:val="7C8019A0"/>
    <w:rsid w:val="7C811EB4"/>
    <w:rsid w:val="7C816E2B"/>
    <w:rsid w:val="7C817D22"/>
    <w:rsid w:val="7C825B86"/>
    <w:rsid w:val="7C841B1D"/>
    <w:rsid w:val="7C844DC9"/>
    <w:rsid w:val="7C8550D5"/>
    <w:rsid w:val="7C8610BB"/>
    <w:rsid w:val="7C874F93"/>
    <w:rsid w:val="7C8763C3"/>
    <w:rsid w:val="7C8A4067"/>
    <w:rsid w:val="7C8A4AEC"/>
    <w:rsid w:val="7C8A5C54"/>
    <w:rsid w:val="7C8B0BA1"/>
    <w:rsid w:val="7C8B294D"/>
    <w:rsid w:val="7C8B7A4F"/>
    <w:rsid w:val="7C8D46E1"/>
    <w:rsid w:val="7C8D6014"/>
    <w:rsid w:val="7C8D6044"/>
    <w:rsid w:val="7C8E0CC4"/>
    <w:rsid w:val="7C8E1E96"/>
    <w:rsid w:val="7C8F243F"/>
    <w:rsid w:val="7C90735D"/>
    <w:rsid w:val="7C930708"/>
    <w:rsid w:val="7C9372FA"/>
    <w:rsid w:val="7C95233B"/>
    <w:rsid w:val="7C95543C"/>
    <w:rsid w:val="7C964851"/>
    <w:rsid w:val="7C9663B5"/>
    <w:rsid w:val="7C9A5B40"/>
    <w:rsid w:val="7C9B7036"/>
    <w:rsid w:val="7C9C00B4"/>
    <w:rsid w:val="7C9C6366"/>
    <w:rsid w:val="7C9D1356"/>
    <w:rsid w:val="7C9D6AFA"/>
    <w:rsid w:val="7C9D7F43"/>
    <w:rsid w:val="7C9E08D4"/>
    <w:rsid w:val="7C9F5048"/>
    <w:rsid w:val="7CA0553C"/>
    <w:rsid w:val="7CA12E33"/>
    <w:rsid w:val="7CA321F4"/>
    <w:rsid w:val="7CA474B9"/>
    <w:rsid w:val="7CA678C4"/>
    <w:rsid w:val="7CA700A5"/>
    <w:rsid w:val="7CA81753"/>
    <w:rsid w:val="7CA91C79"/>
    <w:rsid w:val="7CAA312B"/>
    <w:rsid w:val="7CAB2076"/>
    <w:rsid w:val="7CAC4C56"/>
    <w:rsid w:val="7CAD0705"/>
    <w:rsid w:val="7CAD2160"/>
    <w:rsid w:val="7CAF209C"/>
    <w:rsid w:val="7CAF7424"/>
    <w:rsid w:val="7CB01389"/>
    <w:rsid w:val="7CB05C34"/>
    <w:rsid w:val="7CB12663"/>
    <w:rsid w:val="7CB13703"/>
    <w:rsid w:val="7CB20F24"/>
    <w:rsid w:val="7CB22C76"/>
    <w:rsid w:val="7CB235D0"/>
    <w:rsid w:val="7CB3488A"/>
    <w:rsid w:val="7CB421D8"/>
    <w:rsid w:val="7CB515C3"/>
    <w:rsid w:val="7CB53346"/>
    <w:rsid w:val="7CB542A3"/>
    <w:rsid w:val="7CB62019"/>
    <w:rsid w:val="7CB81D1A"/>
    <w:rsid w:val="7CB835EF"/>
    <w:rsid w:val="7CB91B48"/>
    <w:rsid w:val="7CB93960"/>
    <w:rsid w:val="7CB958A9"/>
    <w:rsid w:val="7CBB3234"/>
    <w:rsid w:val="7CBD6203"/>
    <w:rsid w:val="7CBE0C61"/>
    <w:rsid w:val="7CBF30C7"/>
    <w:rsid w:val="7CC050E0"/>
    <w:rsid w:val="7CC12EC5"/>
    <w:rsid w:val="7CC31836"/>
    <w:rsid w:val="7CC3658D"/>
    <w:rsid w:val="7CC3679D"/>
    <w:rsid w:val="7CC54160"/>
    <w:rsid w:val="7CC56011"/>
    <w:rsid w:val="7CC63728"/>
    <w:rsid w:val="7CC640C7"/>
    <w:rsid w:val="7CC6521D"/>
    <w:rsid w:val="7CC6544B"/>
    <w:rsid w:val="7CC716EB"/>
    <w:rsid w:val="7CC81CAD"/>
    <w:rsid w:val="7CCB0075"/>
    <w:rsid w:val="7CCB25B2"/>
    <w:rsid w:val="7CCB5E67"/>
    <w:rsid w:val="7CCC3126"/>
    <w:rsid w:val="7CCD4AB8"/>
    <w:rsid w:val="7CCD54A3"/>
    <w:rsid w:val="7CCF1A08"/>
    <w:rsid w:val="7CCF6CE0"/>
    <w:rsid w:val="7CD03422"/>
    <w:rsid w:val="7CD127AC"/>
    <w:rsid w:val="7CD137FB"/>
    <w:rsid w:val="7CD21619"/>
    <w:rsid w:val="7CD23EB4"/>
    <w:rsid w:val="7CD35A56"/>
    <w:rsid w:val="7CD50633"/>
    <w:rsid w:val="7CD5178E"/>
    <w:rsid w:val="7CD5248E"/>
    <w:rsid w:val="7CD6557C"/>
    <w:rsid w:val="7CD7072D"/>
    <w:rsid w:val="7CD837F6"/>
    <w:rsid w:val="7CDE54EB"/>
    <w:rsid w:val="7CDF5377"/>
    <w:rsid w:val="7CE01CB3"/>
    <w:rsid w:val="7CE02C73"/>
    <w:rsid w:val="7CE03194"/>
    <w:rsid w:val="7CE1373F"/>
    <w:rsid w:val="7CE22C6A"/>
    <w:rsid w:val="7CE24C65"/>
    <w:rsid w:val="7CE2753A"/>
    <w:rsid w:val="7CE33E10"/>
    <w:rsid w:val="7CE347D2"/>
    <w:rsid w:val="7CE423A5"/>
    <w:rsid w:val="7CE64568"/>
    <w:rsid w:val="7CE67F67"/>
    <w:rsid w:val="7CE7227B"/>
    <w:rsid w:val="7CE722FC"/>
    <w:rsid w:val="7CE81BED"/>
    <w:rsid w:val="7CE9188E"/>
    <w:rsid w:val="7CE956C6"/>
    <w:rsid w:val="7CEA4744"/>
    <w:rsid w:val="7CEA7001"/>
    <w:rsid w:val="7CEC42F9"/>
    <w:rsid w:val="7CEE6972"/>
    <w:rsid w:val="7CEF1130"/>
    <w:rsid w:val="7CF018F8"/>
    <w:rsid w:val="7CF074B6"/>
    <w:rsid w:val="7CF10415"/>
    <w:rsid w:val="7CF2752A"/>
    <w:rsid w:val="7CF30D87"/>
    <w:rsid w:val="7CF456DB"/>
    <w:rsid w:val="7CF5119E"/>
    <w:rsid w:val="7CF554E2"/>
    <w:rsid w:val="7CF56DC3"/>
    <w:rsid w:val="7CF57B8C"/>
    <w:rsid w:val="7CF747DE"/>
    <w:rsid w:val="7CF76237"/>
    <w:rsid w:val="7CF81844"/>
    <w:rsid w:val="7CF84488"/>
    <w:rsid w:val="7CF90201"/>
    <w:rsid w:val="7CF9398D"/>
    <w:rsid w:val="7CFB0BFD"/>
    <w:rsid w:val="7CFB74E9"/>
    <w:rsid w:val="7CFC14EB"/>
    <w:rsid w:val="7CFC39A6"/>
    <w:rsid w:val="7CFC5B53"/>
    <w:rsid w:val="7CFF2EC7"/>
    <w:rsid w:val="7CFF6113"/>
    <w:rsid w:val="7D0053F8"/>
    <w:rsid w:val="7D010FE0"/>
    <w:rsid w:val="7D012C65"/>
    <w:rsid w:val="7D0239FF"/>
    <w:rsid w:val="7D03315D"/>
    <w:rsid w:val="7D0364BA"/>
    <w:rsid w:val="7D041A97"/>
    <w:rsid w:val="7D041AF5"/>
    <w:rsid w:val="7D042A1D"/>
    <w:rsid w:val="7D04651D"/>
    <w:rsid w:val="7D052701"/>
    <w:rsid w:val="7D055AE9"/>
    <w:rsid w:val="7D063E26"/>
    <w:rsid w:val="7D0833A3"/>
    <w:rsid w:val="7D093C14"/>
    <w:rsid w:val="7D0B0EF0"/>
    <w:rsid w:val="7D0C218D"/>
    <w:rsid w:val="7D0D35F9"/>
    <w:rsid w:val="7D0E1509"/>
    <w:rsid w:val="7D0F17D2"/>
    <w:rsid w:val="7D0F2C1B"/>
    <w:rsid w:val="7D123AD5"/>
    <w:rsid w:val="7D123C63"/>
    <w:rsid w:val="7D13737B"/>
    <w:rsid w:val="7D160AF0"/>
    <w:rsid w:val="7D1666BD"/>
    <w:rsid w:val="7D1711BC"/>
    <w:rsid w:val="7D183EB6"/>
    <w:rsid w:val="7D1851D4"/>
    <w:rsid w:val="7D186340"/>
    <w:rsid w:val="7D190614"/>
    <w:rsid w:val="7D194F5E"/>
    <w:rsid w:val="7D1A2DE9"/>
    <w:rsid w:val="7D1D0606"/>
    <w:rsid w:val="7D1D1974"/>
    <w:rsid w:val="7D1D2E6B"/>
    <w:rsid w:val="7D1E1A15"/>
    <w:rsid w:val="7D1E52AA"/>
    <w:rsid w:val="7D1E6A55"/>
    <w:rsid w:val="7D1F2FC6"/>
    <w:rsid w:val="7D1F338C"/>
    <w:rsid w:val="7D1F4A8F"/>
    <w:rsid w:val="7D1F4BEE"/>
    <w:rsid w:val="7D20578D"/>
    <w:rsid w:val="7D20693F"/>
    <w:rsid w:val="7D211C40"/>
    <w:rsid w:val="7D21705C"/>
    <w:rsid w:val="7D225F27"/>
    <w:rsid w:val="7D22618E"/>
    <w:rsid w:val="7D230486"/>
    <w:rsid w:val="7D2409AA"/>
    <w:rsid w:val="7D2534DC"/>
    <w:rsid w:val="7D272678"/>
    <w:rsid w:val="7D2775F9"/>
    <w:rsid w:val="7D277B27"/>
    <w:rsid w:val="7D294373"/>
    <w:rsid w:val="7D294D1D"/>
    <w:rsid w:val="7D2A040A"/>
    <w:rsid w:val="7D2B4FB1"/>
    <w:rsid w:val="7D2C2CC3"/>
    <w:rsid w:val="7D2C53AB"/>
    <w:rsid w:val="7D2D023C"/>
    <w:rsid w:val="7D2D15D3"/>
    <w:rsid w:val="7D2D3F3E"/>
    <w:rsid w:val="7D301008"/>
    <w:rsid w:val="7D302BF7"/>
    <w:rsid w:val="7D310835"/>
    <w:rsid w:val="7D310F2F"/>
    <w:rsid w:val="7D3113EC"/>
    <w:rsid w:val="7D311664"/>
    <w:rsid w:val="7D317347"/>
    <w:rsid w:val="7D32101D"/>
    <w:rsid w:val="7D3354C1"/>
    <w:rsid w:val="7D3372CF"/>
    <w:rsid w:val="7D35071E"/>
    <w:rsid w:val="7D354ACE"/>
    <w:rsid w:val="7D356A15"/>
    <w:rsid w:val="7D366DD3"/>
    <w:rsid w:val="7D370CEF"/>
    <w:rsid w:val="7D371DFC"/>
    <w:rsid w:val="7D376633"/>
    <w:rsid w:val="7D3910C6"/>
    <w:rsid w:val="7D3913FB"/>
    <w:rsid w:val="7D3A21A9"/>
    <w:rsid w:val="7D3B6DE2"/>
    <w:rsid w:val="7D3B71E3"/>
    <w:rsid w:val="7D3C17D5"/>
    <w:rsid w:val="7D3E5BDA"/>
    <w:rsid w:val="7D3F20B7"/>
    <w:rsid w:val="7D3F4A9B"/>
    <w:rsid w:val="7D3F70B7"/>
    <w:rsid w:val="7D400B4F"/>
    <w:rsid w:val="7D413E44"/>
    <w:rsid w:val="7D4242B1"/>
    <w:rsid w:val="7D436014"/>
    <w:rsid w:val="7D4377DB"/>
    <w:rsid w:val="7D437D8E"/>
    <w:rsid w:val="7D4479CE"/>
    <w:rsid w:val="7D454A6D"/>
    <w:rsid w:val="7D470F6C"/>
    <w:rsid w:val="7D480840"/>
    <w:rsid w:val="7D4961F9"/>
    <w:rsid w:val="7D496A92"/>
    <w:rsid w:val="7D4C0385"/>
    <w:rsid w:val="7D4C13EA"/>
    <w:rsid w:val="7D4E3F18"/>
    <w:rsid w:val="7D4F2127"/>
    <w:rsid w:val="7D4F318C"/>
    <w:rsid w:val="7D513D56"/>
    <w:rsid w:val="7D5273EA"/>
    <w:rsid w:val="7D5327F5"/>
    <w:rsid w:val="7D53555A"/>
    <w:rsid w:val="7D574FC7"/>
    <w:rsid w:val="7D580FFA"/>
    <w:rsid w:val="7D5A1F62"/>
    <w:rsid w:val="7D5B2DE6"/>
    <w:rsid w:val="7D5B4E63"/>
    <w:rsid w:val="7D5C14CD"/>
    <w:rsid w:val="7D5D42EC"/>
    <w:rsid w:val="7D5E40CD"/>
    <w:rsid w:val="7D603993"/>
    <w:rsid w:val="7D603D80"/>
    <w:rsid w:val="7D607503"/>
    <w:rsid w:val="7D623591"/>
    <w:rsid w:val="7D635EF7"/>
    <w:rsid w:val="7D6469F8"/>
    <w:rsid w:val="7D65336D"/>
    <w:rsid w:val="7D67516A"/>
    <w:rsid w:val="7D677407"/>
    <w:rsid w:val="7D68608A"/>
    <w:rsid w:val="7D686D69"/>
    <w:rsid w:val="7D69505D"/>
    <w:rsid w:val="7D6A07B6"/>
    <w:rsid w:val="7D6A7225"/>
    <w:rsid w:val="7D6D64AB"/>
    <w:rsid w:val="7D6D6E09"/>
    <w:rsid w:val="7D6E0C40"/>
    <w:rsid w:val="7D6E27AF"/>
    <w:rsid w:val="7D6E2E2C"/>
    <w:rsid w:val="7D6F14AC"/>
    <w:rsid w:val="7D6F1730"/>
    <w:rsid w:val="7D7039C7"/>
    <w:rsid w:val="7D715FB6"/>
    <w:rsid w:val="7D726347"/>
    <w:rsid w:val="7D73004A"/>
    <w:rsid w:val="7D731663"/>
    <w:rsid w:val="7D733F27"/>
    <w:rsid w:val="7D737A52"/>
    <w:rsid w:val="7D74404F"/>
    <w:rsid w:val="7D750FF3"/>
    <w:rsid w:val="7D7515E7"/>
    <w:rsid w:val="7D755727"/>
    <w:rsid w:val="7D761F06"/>
    <w:rsid w:val="7D774DBF"/>
    <w:rsid w:val="7D781125"/>
    <w:rsid w:val="7D7819FE"/>
    <w:rsid w:val="7D790740"/>
    <w:rsid w:val="7D797BF1"/>
    <w:rsid w:val="7D7C30CE"/>
    <w:rsid w:val="7D7C58BE"/>
    <w:rsid w:val="7D7D04EA"/>
    <w:rsid w:val="7D7D555E"/>
    <w:rsid w:val="7D7E3329"/>
    <w:rsid w:val="7D811639"/>
    <w:rsid w:val="7D8123E1"/>
    <w:rsid w:val="7D8125AE"/>
    <w:rsid w:val="7D836237"/>
    <w:rsid w:val="7D8513B2"/>
    <w:rsid w:val="7D854CB6"/>
    <w:rsid w:val="7D865DD3"/>
    <w:rsid w:val="7D873365"/>
    <w:rsid w:val="7D881731"/>
    <w:rsid w:val="7D891584"/>
    <w:rsid w:val="7D895543"/>
    <w:rsid w:val="7D8B7C4C"/>
    <w:rsid w:val="7D8D48BC"/>
    <w:rsid w:val="7D8E213F"/>
    <w:rsid w:val="7D8E3CD7"/>
    <w:rsid w:val="7D8F6C39"/>
    <w:rsid w:val="7D8F7243"/>
    <w:rsid w:val="7D8F74D4"/>
    <w:rsid w:val="7D910DBD"/>
    <w:rsid w:val="7D911D20"/>
    <w:rsid w:val="7D937778"/>
    <w:rsid w:val="7D9558CD"/>
    <w:rsid w:val="7D961ED7"/>
    <w:rsid w:val="7D96286A"/>
    <w:rsid w:val="7D983576"/>
    <w:rsid w:val="7D985324"/>
    <w:rsid w:val="7D9867C0"/>
    <w:rsid w:val="7D9905A8"/>
    <w:rsid w:val="7D99109C"/>
    <w:rsid w:val="7D993920"/>
    <w:rsid w:val="7D997217"/>
    <w:rsid w:val="7D9A5767"/>
    <w:rsid w:val="7D9A7BC3"/>
    <w:rsid w:val="7D9B27FD"/>
    <w:rsid w:val="7D9C2790"/>
    <w:rsid w:val="7D9D6448"/>
    <w:rsid w:val="7DA0105C"/>
    <w:rsid w:val="7DA1414D"/>
    <w:rsid w:val="7DA15960"/>
    <w:rsid w:val="7DA17606"/>
    <w:rsid w:val="7DA17A48"/>
    <w:rsid w:val="7DA20C25"/>
    <w:rsid w:val="7DA261A2"/>
    <w:rsid w:val="7DA454BF"/>
    <w:rsid w:val="7DA46CB9"/>
    <w:rsid w:val="7DA55C93"/>
    <w:rsid w:val="7DA60774"/>
    <w:rsid w:val="7DA87BD4"/>
    <w:rsid w:val="7DA9292E"/>
    <w:rsid w:val="7DAA1815"/>
    <w:rsid w:val="7DAA52CA"/>
    <w:rsid w:val="7DAB0E2A"/>
    <w:rsid w:val="7DAC62F1"/>
    <w:rsid w:val="7DAC78BA"/>
    <w:rsid w:val="7DAD3AB5"/>
    <w:rsid w:val="7DAD6D1D"/>
    <w:rsid w:val="7DAD7D0D"/>
    <w:rsid w:val="7DAE218F"/>
    <w:rsid w:val="7DAE7BC5"/>
    <w:rsid w:val="7DB00F10"/>
    <w:rsid w:val="7DB100DF"/>
    <w:rsid w:val="7DB163E5"/>
    <w:rsid w:val="7DB20D54"/>
    <w:rsid w:val="7DB222C5"/>
    <w:rsid w:val="7DB47898"/>
    <w:rsid w:val="7DB51B46"/>
    <w:rsid w:val="7DB54732"/>
    <w:rsid w:val="7DB61A1D"/>
    <w:rsid w:val="7DB7671D"/>
    <w:rsid w:val="7DB86716"/>
    <w:rsid w:val="7DB8799F"/>
    <w:rsid w:val="7DBA0E4F"/>
    <w:rsid w:val="7DBA5722"/>
    <w:rsid w:val="7DBA750E"/>
    <w:rsid w:val="7DBB7264"/>
    <w:rsid w:val="7DBC3708"/>
    <w:rsid w:val="7DBC4436"/>
    <w:rsid w:val="7DBC620B"/>
    <w:rsid w:val="7DBE3CBA"/>
    <w:rsid w:val="7DBF3B6B"/>
    <w:rsid w:val="7DC156B6"/>
    <w:rsid w:val="7DC17168"/>
    <w:rsid w:val="7DC1796C"/>
    <w:rsid w:val="7DC205F3"/>
    <w:rsid w:val="7DC21C6C"/>
    <w:rsid w:val="7DC26844"/>
    <w:rsid w:val="7DC375D7"/>
    <w:rsid w:val="7DC40AF4"/>
    <w:rsid w:val="7DC4436B"/>
    <w:rsid w:val="7DC53D9C"/>
    <w:rsid w:val="7DC54579"/>
    <w:rsid w:val="7DC57A20"/>
    <w:rsid w:val="7DC73E5B"/>
    <w:rsid w:val="7DC82D8F"/>
    <w:rsid w:val="7DC9091A"/>
    <w:rsid w:val="7DC921A4"/>
    <w:rsid w:val="7DC92DF0"/>
    <w:rsid w:val="7DCB56F9"/>
    <w:rsid w:val="7DCC63B1"/>
    <w:rsid w:val="7DCD11E9"/>
    <w:rsid w:val="7DCD15AE"/>
    <w:rsid w:val="7DCD45BE"/>
    <w:rsid w:val="7DCD56F2"/>
    <w:rsid w:val="7DCE006A"/>
    <w:rsid w:val="7DCF2576"/>
    <w:rsid w:val="7DCF59B1"/>
    <w:rsid w:val="7DD01C93"/>
    <w:rsid w:val="7DD03157"/>
    <w:rsid w:val="7DD0505C"/>
    <w:rsid w:val="7DD07093"/>
    <w:rsid w:val="7DD13898"/>
    <w:rsid w:val="7DD24CD9"/>
    <w:rsid w:val="7DD2598F"/>
    <w:rsid w:val="7DD36318"/>
    <w:rsid w:val="7DD41E33"/>
    <w:rsid w:val="7DD47D47"/>
    <w:rsid w:val="7DD53EC6"/>
    <w:rsid w:val="7DD56578"/>
    <w:rsid w:val="7DD62B82"/>
    <w:rsid w:val="7DD64A15"/>
    <w:rsid w:val="7DD65140"/>
    <w:rsid w:val="7DD7396E"/>
    <w:rsid w:val="7DD80B2D"/>
    <w:rsid w:val="7DDA771A"/>
    <w:rsid w:val="7DDB1A3B"/>
    <w:rsid w:val="7DDB4DEA"/>
    <w:rsid w:val="7DDD2303"/>
    <w:rsid w:val="7DDD3CFE"/>
    <w:rsid w:val="7DDD6128"/>
    <w:rsid w:val="7DDF3424"/>
    <w:rsid w:val="7DDF3558"/>
    <w:rsid w:val="7DE0731F"/>
    <w:rsid w:val="7DE1139E"/>
    <w:rsid w:val="7DE14D54"/>
    <w:rsid w:val="7DE21265"/>
    <w:rsid w:val="7DE2453F"/>
    <w:rsid w:val="7DE51CF9"/>
    <w:rsid w:val="7DE548C4"/>
    <w:rsid w:val="7DE6481C"/>
    <w:rsid w:val="7DE844FD"/>
    <w:rsid w:val="7DE907C7"/>
    <w:rsid w:val="7DE960E5"/>
    <w:rsid w:val="7DEA44DB"/>
    <w:rsid w:val="7DEA75E4"/>
    <w:rsid w:val="7DEC2962"/>
    <w:rsid w:val="7DED47AB"/>
    <w:rsid w:val="7DF05CA9"/>
    <w:rsid w:val="7DF06F1F"/>
    <w:rsid w:val="7DF13DD7"/>
    <w:rsid w:val="7DF15239"/>
    <w:rsid w:val="7DF26D5D"/>
    <w:rsid w:val="7DF306F4"/>
    <w:rsid w:val="7DF440E5"/>
    <w:rsid w:val="7DF5250D"/>
    <w:rsid w:val="7DF5262B"/>
    <w:rsid w:val="7DF81F34"/>
    <w:rsid w:val="7DF9501B"/>
    <w:rsid w:val="7DFA495A"/>
    <w:rsid w:val="7DFA5CD1"/>
    <w:rsid w:val="7DFA5FDE"/>
    <w:rsid w:val="7DFF0735"/>
    <w:rsid w:val="7DFF55A9"/>
    <w:rsid w:val="7E002EC9"/>
    <w:rsid w:val="7E030AED"/>
    <w:rsid w:val="7E033DF9"/>
    <w:rsid w:val="7E066731"/>
    <w:rsid w:val="7E0806FB"/>
    <w:rsid w:val="7E096919"/>
    <w:rsid w:val="7E0A3DA5"/>
    <w:rsid w:val="7E0B01EB"/>
    <w:rsid w:val="7E0B1C8F"/>
    <w:rsid w:val="7E0B3B61"/>
    <w:rsid w:val="7E0C2AE7"/>
    <w:rsid w:val="7E0D3F64"/>
    <w:rsid w:val="7E0D4502"/>
    <w:rsid w:val="7E0E21D7"/>
    <w:rsid w:val="7E0F0073"/>
    <w:rsid w:val="7E103AE9"/>
    <w:rsid w:val="7E105902"/>
    <w:rsid w:val="7E11318F"/>
    <w:rsid w:val="7E1157F9"/>
    <w:rsid w:val="7E131996"/>
    <w:rsid w:val="7E131BA5"/>
    <w:rsid w:val="7E134C62"/>
    <w:rsid w:val="7E137708"/>
    <w:rsid w:val="7E1451E3"/>
    <w:rsid w:val="7E15249D"/>
    <w:rsid w:val="7E1533D8"/>
    <w:rsid w:val="7E155EAF"/>
    <w:rsid w:val="7E164B37"/>
    <w:rsid w:val="7E170E6D"/>
    <w:rsid w:val="7E1710AA"/>
    <w:rsid w:val="7E1757B2"/>
    <w:rsid w:val="7E176626"/>
    <w:rsid w:val="7E1906D4"/>
    <w:rsid w:val="7E1A020E"/>
    <w:rsid w:val="7E1B53F6"/>
    <w:rsid w:val="7E1B7B68"/>
    <w:rsid w:val="7E1C0321"/>
    <w:rsid w:val="7E1C2E32"/>
    <w:rsid w:val="7E1C5A2B"/>
    <w:rsid w:val="7E1C5F55"/>
    <w:rsid w:val="7E1C767E"/>
    <w:rsid w:val="7E1D07C3"/>
    <w:rsid w:val="7E1D2E37"/>
    <w:rsid w:val="7E1D3A7B"/>
    <w:rsid w:val="7E1E00B5"/>
    <w:rsid w:val="7E1E329F"/>
    <w:rsid w:val="7E1F2BF2"/>
    <w:rsid w:val="7E1F5901"/>
    <w:rsid w:val="7E20237B"/>
    <w:rsid w:val="7E20339C"/>
    <w:rsid w:val="7E20742A"/>
    <w:rsid w:val="7E214BB4"/>
    <w:rsid w:val="7E215319"/>
    <w:rsid w:val="7E2303A6"/>
    <w:rsid w:val="7E233F3B"/>
    <w:rsid w:val="7E237B92"/>
    <w:rsid w:val="7E246C26"/>
    <w:rsid w:val="7E272C94"/>
    <w:rsid w:val="7E275861"/>
    <w:rsid w:val="7E27649A"/>
    <w:rsid w:val="7E282B4B"/>
    <w:rsid w:val="7E284E00"/>
    <w:rsid w:val="7E2961B8"/>
    <w:rsid w:val="7E2968C4"/>
    <w:rsid w:val="7E2A0670"/>
    <w:rsid w:val="7E2A70DF"/>
    <w:rsid w:val="7E2D4365"/>
    <w:rsid w:val="7E2D70C2"/>
    <w:rsid w:val="7E2E4B35"/>
    <w:rsid w:val="7E301570"/>
    <w:rsid w:val="7E30185D"/>
    <w:rsid w:val="7E31008B"/>
    <w:rsid w:val="7E311875"/>
    <w:rsid w:val="7E314CBD"/>
    <w:rsid w:val="7E31750D"/>
    <w:rsid w:val="7E3219C6"/>
    <w:rsid w:val="7E32403B"/>
    <w:rsid w:val="7E325778"/>
    <w:rsid w:val="7E3276C9"/>
    <w:rsid w:val="7E3276CF"/>
    <w:rsid w:val="7E336173"/>
    <w:rsid w:val="7E341193"/>
    <w:rsid w:val="7E350B80"/>
    <w:rsid w:val="7E355268"/>
    <w:rsid w:val="7E35622D"/>
    <w:rsid w:val="7E357394"/>
    <w:rsid w:val="7E385F5A"/>
    <w:rsid w:val="7E3A41B1"/>
    <w:rsid w:val="7E3A63DB"/>
    <w:rsid w:val="7E3B2254"/>
    <w:rsid w:val="7E3B5607"/>
    <w:rsid w:val="7E3C03A5"/>
    <w:rsid w:val="7E3D690A"/>
    <w:rsid w:val="7E3E411D"/>
    <w:rsid w:val="7E3F39F1"/>
    <w:rsid w:val="7E3F4922"/>
    <w:rsid w:val="7E3F746A"/>
    <w:rsid w:val="7E400016"/>
    <w:rsid w:val="7E4001DC"/>
    <w:rsid w:val="7E401AB3"/>
    <w:rsid w:val="7E405CBD"/>
    <w:rsid w:val="7E41212C"/>
    <w:rsid w:val="7E41734E"/>
    <w:rsid w:val="7E430448"/>
    <w:rsid w:val="7E4328CE"/>
    <w:rsid w:val="7E444A54"/>
    <w:rsid w:val="7E464BC4"/>
    <w:rsid w:val="7E466380"/>
    <w:rsid w:val="7E472F01"/>
    <w:rsid w:val="7E487E89"/>
    <w:rsid w:val="7E4A46C2"/>
    <w:rsid w:val="7E4B0675"/>
    <w:rsid w:val="7E4B683A"/>
    <w:rsid w:val="7E4E0006"/>
    <w:rsid w:val="7E4E1E86"/>
    <w:rsid w:val="7E4F2222"/>
    <w:rsid w:val="7E521BF3"/>
    <w:rsid w:val="7E524DA3"/>
    <w:rsid w:val="7E5255A9"/>
    <w:rsid w:val="7E533299"/>
    <w:rsid w:val="7E540A2A"/>
    <w:rsid w:val="7E546956"/>
    <w:rsid w:val="7E554143"/>
    <w:rsid w:val="7E5576B9"/>
    <w:rsid w:val="7E5624AB"/>
    <w:rsid w:val="7E56389E"/>
    <w:rsid w:val="7E577064"/>
    <w:rsid w:val="7E5772CC"/>
    <w:rsid w:val="7E5805BA"/>
    <w:rsid w:val="7E582E17"/>
    <w:rsid w:val="7E596C4A"/>
    <w:rsid w:val="7E5A1926"/>
    <w:rsid w:val="7E5A21D9"/>
    <w:rsid w:val="7E5A5649"/>
    <w:rsid w:val="7E5B330A"/>
    <w:rsid w:val="7E5C0A47"/>
    <w:rsid w:val="7E5C2C2A"/>
    <w:rsid w:val="7E5C45A3"/>
    <w:rsid w:val="7E5D031B"/>
    <w:rsid w:val="7E5D548E"/>
    <w:rsid w:val="7E5E06B3"/>
    <w:rsid w:val="7E5E261A"/>
    <w:rsid w:val="7E5E4287"/>
    <w:rsid w:val="7E5E656D"/>
    <w:rsid w:val="7E5F22E5"/>
    <w:rsid w:val="7E6027DD"/>
    <w:rsid w:val="7E61318D"/>
    <w:rsid w:val="7E62443B"/>
    <w:rsid w:val="7E624CA1"/>
    <w:rsid w:val="7E6316DF"/>
    <w:rsid w:val="7E635932"/>
    <w:rsid w:val="7E635E7C"/>
    <w:rsid w:val="7E64102D"/>
    <w:rsid w:val="7E642DD9"/>
    <w:rsid w:val="7E660D86"/>
    <w:rsid w:val="7E6747B5"/>
    <w:rsid w:val="7E6820E7"/>
    <w:rsid w:val="7E686041"/>
    <w:rsid w:val="7E691610"/>
    <w:rsid w:val="7E691F05"/>
    <w:rsid w:val="7E696DF4"/>
    <w:rsid w:val="7E6A5CFF"/>
    <w:rsid w:val="7E6A69EB"/>
    <w:rsid w:val="7E6B0C8A"/>
    <w:rsid w:val="7E6B3AED"/>
    <w:rsid w:val="7E6E0C3D"/>
    <w:rsid w:val="7E6F077A"/>
    <w:rsid w:val="7E70004F"/>
    <w:rsid w:val="7E70147A"/>
    <w:rsid w:val="7E70503D"/>
    <w:rsid w:val="7E710202"/>
    <w:rsid w:val="7E7336AD"/>
    <w:rsid w:val="7E735C2E"/>
    <w:rsid w:val="7E746A0C"/>
    <w:rsid w:val="7E7726CB"/>
    <w:rsid w:val="7E7A2F09"/>
    <w:rsid w:val="7E7B2AE0"/>
    <w:rsid w:val="7E7D21DF"/>
    <w:rsid w:val="7E7D7E98"/>
    <w:rsid w:val="7E7E232D"/>
    <w:rsid w:val="7E7E4970"/>
    <w:rsid w:val="7E7E516C"/>
    <w:rsid w:val="7E7E60FC"/>
    <w:rsid w:val="7E7F3D32"/>
    <w:rsid w:val="7E7F4EC9"/>
    <w:rsid w:val="7E7F4F69"/>
    <w:rsid w:val="7E7F6EEE"/>
    <w:rsid w:val="7E8044E0"/>
    <w:rsid w:val="7E8047FE"/>
    <w:rsid w:val="7E81225C"/>
    <w:rsid w:val="7E814567"/>
    <w:rsid w:val="7E820DF8"/>
    <w:rsid w:val="7E830415"/>
    <w:rsid w:val="7E83046A"/>
    <w:rsid w:val="7E835D9F"/>
    <w:rsid w:val="7E84219D"/>
    <w:rsid w:val="7E844A7D"/>
    <w:rsid w:val="7E8458A8"/>
    <w:rsid w:val="7E857FA3"/>
    <w:rsid w:val="7E863BDC"/>
    <w:rsid w:val="7E88519C"/>
    <w:rsid w:val="7E8C065F"/>
    <w:rsid w:val="7E8D0900"/>
    <w:rsid w:val="7E8D1BE3"/>
    <w:rsid w:val="7E8D29AE"/>
    <w:rsid w:val="7E8D5D27"/>
    <w:rsid w:val="7E8D68EA"/>
    <w:rsid w:val="7E8E1714"/>
    <w:rsid w:val="7E9256EF"/>
    <w:rsid w:val="7E935F3B"/>
    <w:rsid w:val="7E957203"/>
    <w:rsid w:val="7E962A37"/>
    <w:rsid w:val="7E964D71"/>
    <w:rsid w:val="7E9677B1"/>
    <w:rsid w:val="7E9A0D49"/>
    <w:rsid w:val="7E9A78A1"/>
    <w:rsid w:val="7E9B6276"/>
    <w:rsid w:val="7E9D7CD9"/>
    <w:rsid w:val="7E9E7BAE"/>
    <w:rsid w:val="7E9F528B"/>
    <w:rsid w:val="7EA03058"/>
    <w:rsid w:val="7EA113F5"/>
    <w:rsid w:val="7EA17C5F"/>
    <w:rsid w:val="7EA24235"/>
    <w:rsid w:val="7EA303B6"/>
    <w:rsid w:val="7EA321D2"/>
    <w:rsid w:val="7EA35A72"/>
    <w:rsid w:val="7EA4093D"/>
    <w:rsid w:val="7EA41B5F"/>
    <w:rsid w:val="7EA46AD1"/>
    <w:rsid w:val="7EA5025C"/>
    <w:rsid w:val="7EA57133"/>
    <w:rsid w:val="7EA61B54"/>
    <w:rsid w:val="7EA84A63"/>
    <w:rsid w:val="7EA865FF"/>
    <w:rsid w:val="7EA91FAF"/>
    <w:rsid w:val="7EA942FF"/>
    <w:rsid w:val="7EAA3560"/>
    <w:rsid w:val="7EAC2BFE"/>
    <w:rsid w:val="7EAE3933"/>
    <w:rsid w:val="7EAE463B"/>
    <w:rsid w:val="7EB0040B"/>
    <w:rsid w:val="7EB079D5"/>
    <w:rsid w:val="7EB21C78"/>
    <w:rsid w:val="7EB32B2E"/>
    <w:rsid w:val="7EB435A8"/>
    <w:rsid w:val="7EB472FA"/>
    <w:rsid w:val="7EB60414"/>
    <w:rsid w:val="7EB62636"/>
    <w:rsid w:val="7EB8083D"/>
    <w:rsid w:val="7EB91081"/>
    <w:rsid w:val="7EB913F0"/>
    <w:rsid w:val="7EBB21A7"/>
    <w:rsid w:val="7EBC4261"/>
    <w:rsid w:val="7EBE1F70"/>
    <w:rsid w:val="7EBE2CCE"/>
    <w:rsid w:val="7EBE4F03"/>
    <w:rsid w:val="7EC0068F"/>
    <w:rsid w:val="7EC00849"/>
    <w:rsid w:val="7EC02D84"/>
    <w:rsid w:val="7EC06323"/>
    <w:rsid w:val="7EC35AA6"/>
    <w:rsid w:val="7EC50590"/>
    <w:rsid w:val="7EC512AA"/>
    <w:rsid w:val="7EC536C4"/>
    <w:rsid w:val="7EC60243"/>
    <w:rsid w:val="7EC72D44"/>
    <w:rsid w:val="7EC74053"/>
    <w:rsid w:val="7EC75DFF"/>
    <w:rsid w:val="7EC76A34"/>
    <w:rsid w:val="7EC81688"/>
    <w:rsid w:val="7EC81C39"/>
    <w:rsid w:val="7EC823F6"/>
    <w:rsid w:val="7EC82E67"/>
    <w:rsid w:val="7ECB1327"/>
    <w:rsid w:val="7ECD1A2F"/>
    <w:rsid w:val="7ECD6632"/>
    <w:rsid w:val="7ECE6324"/>
    <w:rsid w:val="7ECF53A2"/>
    <w:rsid w:val="7ECF7A6A"/>
    <w:rsid w:val="7ED037CB"/>
    <w:rsid w:val="7ED11B74"/>
    <w:rsid w:val="7ED14F91"/>
    <w:rsid w:val="7ED166B7"/>
    <w:rsid w:val="7ED20C3B"/>
    <w:rsid w:val="7ED24865"/>
    <w:rsid w:val="7ED44D9A"/>
    <w:rsid w:val="7ED56104"/>
    <w:rsid w:val="7ED607F9"/>
    <w:rsid w:val="7ED73C11"/>
    <w:rsid w:val="7ED75443"/>
    <w:rsid w:val="7ED76487"/>
    <w:rsid w:val="7ED776F2"/>
    <w:rsid w:val="7ED87E48"/>
    <w:rsid w:val="7ED92331"/>
    <w:rsid w:val="7ED951FA"/>
    <w:rsid w:val="7ED95941"/>
    <w:rsid w:val="7EDB2510"/>
    <w:rsid w:val="7EDC3842"/>
    <w:rsid w:val="7EDC5F0A"/>
    <w:rsid w:val="7EDC5F41"/>
    <w:rsid w:val="7EDC7A86"/>
    <w:rsid w:val="7EDD15C3"/>
    <w:rsid w:val="7EDE6016"/>
    <w:rsid w:val="7EDE76AE"/>
    <w:rsid w:val="7EE10233"/>
    <w:rsid w:val="7EE111C1"/>
    <w:rsid w:val="7EE13423"/>
    <w:rsid w:val="7EE22420"/>
    <w:rsid w:val="7EE2757B"/>
    <w:rsid w:val="7EE35F41"/>
    <w:rsid w:val="7EE40839"/>
    <w:rsid w:val="7EE46B78"/>
    <w:rsid w:val="7EE64D73"/>
    <w:rsid w:val="7EE71D05"/>
    <w:rsid w:val="7EE852D9"/>
    <w:rsid w:val="7EE91F1A"/>
    <w:rsid w:val="7EE940C2"/>
    <w:rsid w:val="7EE963FD"/>
    <w:rsid w:val="7EEA19EE"/>
    <w:rsid w:val="7EEA6053"/>
    <w:rsid w:val="7EEA7614"/>
    <w:rsid w:val="7EEB3B79"/>
    <w:rsid w:val="7EEB3E7B"/>
    <w:rsid w:val="7EEC1DCB"/>
    <w:rsid w:val="7EED3C7E"/>
    <w:rsid w:val="7EEF0DC3"/>
    <w:rsid w:val="7EF11E40"/>
    <w:rsid w:val="7EF20D63"/>
    <w:rsid w:val="7EF24F07"/>
    <w:rsid w:val="7EF352C8"/>
    <w:rsid w:val="7EF43052"/>
    <w:rsid w:val="7EF44B08"/>
    <w:rsid w:val="7EF44CF2"/>
    <w:rsid w:val="7EF46ED2"/>
    <w:rsid w:val="7EF47E54"/>
    <w:rsid w:val="7EF54E08"/>
    <w:rsid w:val="7EF63627"/>
    <w:rsid w:val="7EF64EFB"/>
    <w:rsid w:val="7EF66AE0"/>
    <w:rsid w:val="7EF71F5D"/>
    <w:rsid w:val="7EF73EC1"/>
    <w:rsid w:val="7EF87DC0"/>
    <w:rsid w:val="7EFA2AD9"/>
    <w:rsid w:val="7EFD25BA"/>
    <w:rsid w:val="7EFE0E94"/>
    <w:rsid w:val="7EFE565A"/>
    <w:rsid w:val="7EFE7E2D"/>
    <w:rsid w:val="7EFF666A"/>
    <w:rsid w:val="7F001CE7"/>
    <w:rsid w:val="7F004B76"/>
    <w:rsid w:val="7F0051E2"/>
    <w:rsid w:val="7F020AE3"/>
    <w:rsid w:val="7F0315C1"/>
    <w:rsid w:val="7F0327AD"/>
    <w:rsid w:val="7F04278F"/>
    <w:rsid w:val="7F046E64"/>
    <w:rsid w:val="7F0476CC"/>
    <w:rsid w:val="7F051B2A"/>
    <w:rsid w:val="7F052B98"/>
    <w:rsid w:val="7F0604F7"/>
    <w:rsid w:val="7F063699"/>
    <w:rsid w:val="7F076D82"/>
    <w:rsid w:val="7F0808D9"/>
    <w:rsid w:val="7F0821EA"/>
    <w:rsid w:val="7F08297D"/>
    <w:rsid w:val="7F0865D9"/>
    <w:rsid w:val="7F086B5C"/>
    <w:rsid w:val="7F097BE9"/>
    <w:rsid w:val="7F0A280D"/>
    <w:rsid w:val="7F0A3FFF"/>
    <w:rsid w:val="7F0A4434"/>
    <w:rsid w:val="7F0B11F8"/>
    <w:rsid w:val="7F0C4E70"/>
    <w:rsid w:val="7F0C6759"/>
    <w:rsid w:val="7F0D1D41"/>
    <w:rsid w:val="7F0D3FA9"/>
    <w:rsid w:val="7F0D7C6E"/>
    <w:rsid w:val="7F0F5FD5"/>
    <w:rsid w:val="7F10538E"/>
    <w:rsid w:val="7F115181"/>
    <w:rsid w:val="7F1255AA"/>
    <w:rsid w:val="7F127844"/>
    <w:rsid w:val="7F127958"/>
    <w:rsid w:val="7F127FB8"/>
    <w:rsid w:val="7F157BE5"/>
    <w:rsid w:val="7F165798"/>
    <w:rsid w:val="7F18593A"/>
    <w:rsid w:val="7F187B70"/>
    <w:rsid w:val="7F193E14"/>
    <w:rsid w:val="7F1B06AA"/>
    <w:rsid w:val="7F1B4C61"/>
    <w:rsid w:val="7F1C7ECF"/>
    <w:rsid w:val="7F1D01D6"/>
    <w:rsid w:val="7F1E3F4E"/>
    <w:rsid w:val="7F1F7291"/>
    <w:rsid w:val="7F21373B"/>
    <w:rsid w:val="7F231565"/>
    <w:rsid w:val="7F2372DC"/>
    <w:rsid w:val="7F247DDD"/>
    <w:rsid w:val="7F250E39"/>
    <w:rsid w:val="7F2550D2"/>
    <w:rsid w:val="7F257067"/>
    <w:rsid w:val="7F2618C2"/>
    <w:rsid w:val="7F26365E"/>
    <w:rsid w:val="7F274F27"/>
    <w:rsid w:val="7F285CCF"/>
    <w:rsid w:val="7F2A0D3F"/>
    <w:rsid w:val="7F2A1DAC"/>
    <w:rsid w:val="7F2A58DA"/>
    <w:rsid w:val="7F2A66C4"/>
    <w:rsid w:val="7F2B5EEB"/>
    <w:rsid w:val="7F2C039F"/>
    <w:rsid w:val="7F2D017A"/>
    <w:rsid w:val="7F2D1A7E"/>
    <w:rsid w:val="7F2D4191"/>
    <w:rsid w:val="7F2E721E"/>
    <w:rsid w:val="7F2F0F1A"/>
    <w:rsid w:val="7F2F1CB8"/>
    <w:rsid w:val="7F2F67B7"/>
    <w:rsid w:val="7F30641E"/>
    <w:rsid w:val="7F307FE4"/>
    <w:rsid w:val="7F322283"/>
    <w:rsid w:val="7F334C4F"/>
    <w:rsid w:val="7F335853"/>
    <w:rsid w:val="7F33770C"/>
    <w:rsid w:val="7F3379FA"/>
    <w:rsid w:val="7F3419F4"/>
    <w:rsid w:val="7F35038F"/>
    <w:rsid w:val="7F351513"/>
    <w:rsid w:val="7F3616D4"/>
    <w:rsid w:val="7F367EE4"/>
    <w:rsid w:val="7F373DCB"/>
    <w:rsid w:val="7F381DA9"/>
    <w:rsid w:val="7F386414"/>
    <w:rsid w:val="7F3869C4"/>
    <w:rsid w:val="7F3B065C"/>
    <w:rsid w:val="7F3C631A"/>
    <w:rsid w:val="7F3C7165"/>
    <w:rsid w:val="7F3D0865"/>
    <w:rsid w:val="7F3D1ECF"/>
    <w:rsid w:val="7F3E502E"/>
    <w:rsid w:val="7F3F515D"/>
    <w:rsid w:val="7F405C73"/>
    <w:rsid w:val="7F4202DC"/>
    <w:rsid w:val="7F421BAA"/>
    <w:rsid w:val="7F4309DD"/>
    <w:rsid w:val="7F432EBE"/>
    <w:rsid w:val="7F4339B5"/>
    <w:rsid w:val="7F43660D"/>
    <w:rsid w:val="7F443B44"/>
    <w:rsid w:val="7F45047C"/>
    <w:rsid w:val="7F4521C3"/>
    <w:rsid w:val="7F453E8E"/>
    <w:rsid w:val="7F456A92"/>
    <w:rsid w:val="7F45771C"/>
    <w:rsid w:val="7F4639E1"/>
    <w:rsid w:val="7F466D59"/>
    <w:rsid w:val="7F473097"/>
    <w:rsid w:val="7F480ED4"/>
    <w:rsid w:val="7F482D79"/>
    <w:rsid w:val="7F495730"/>
    <w:rsid w:val="7F4A6D21"/>
    <w:rsid w:val="7F4A7128"/>
    <w:rsid w:val="7F4B3E35"/>
    <w:rsid w:val="7F4B490F"/>
    <w:rsid w:val="7F4D0FED"/>
    <w:rsid w:val="7F4E4273"/>
    <w:rsid w:val="7F4F5EB6"/>
    <w:rsid w:val="7F5077F9"/>
    <w:rsid w:val="7F511DF9"/>
    <w:rsid w:val="7F515688"/>
    <w:rsid w:val="7F516756"/>
    <w:rsid w:val="7F526C02"/>
    <w:rsid w:val="7F533BF8"/>
    <w:rsid w:val="7F53607F"/>
    <w:rsid w:val="7F53683C"/>
    <w:rsid w:val="7F543BA3"/>
    <w:rsid w:val="7F544403"/>
    <w:rsid w:val="7F551F95"/>
    <w:rsid w:val="7F555AE5"/>
    <w:rsid w:val="7F563301"/>
    <w:rsid w:val="7F566FC8"/>
    <w:rsid w:val="7F567244"/>
    <w:rsid w:val="7F567685"/>
    <w:rsid w:val="7F570942"/>
    <w:rsid w:val="7F587460"/>
    <w:rsid w:val="7F590F6E"/>
    <w:rsid w:val="7F593C16"/>
    <w:rsid w:val="7F595119"/>
    <w:rsid w:val="7F5A2381"/>
    <w:rsid w:val="7F5A3FB4"/>
    <w:rsid w:val="7F5B485B"/>
    <w:rsid w:val="7F5B6E7D"/>
    <w:rsid w:val="7F5C3CD9"/>
    <w:rsid w:val="7F5D630C"/>
    <w:rsid w:val="7F5E11E8"/>
    <w:rsid w:val="7F60162A"/>
    <w:rsid w:val="7F633C9C"/>
    <w:rsid w:val="7F63604B"/>
    <w:rsid w:val="7F637FE8"/>
    <w:rsid w:val="7F6419FB"/>
    <w:rsid w:val="7F650C2D"/>
    <w:rsid w:val="7F650EE0"/>
    <w:rsid w:val="7F682EF8"/>
    <w:rsid w:val="7F6851CA"/>
    <w:rsid w:val="7F695F7C"/>
    <w:rsid w:val="7F696520"/>
    <w:rsid w:val="7F696A80"/>
    <w:rsid w:val="7F696F3D"/>
    <w:rsid w:val="7F6A0F75"/>
    <w:rsid w:val="7F6A14A0"/>
    <w:rsid w:val="7F6A6495"/>
    <w:rsid w:val="7F6A6577"/>
    <w:rsid w:val="7F6B0784"/>
    <w:rsid w:val="7F6C563A"/>
    <w:rsid w:val="7F6C58C8"/>
    <w:rsid w:val="7F6C6A68"/>
    <w:rsid w:val="7F6F604B"/>
    <w:rsid w:val="7F70149F"/>
    <w:rsid w:val="7F71748B"/>
    <w:rsid w:val="7F721BA4"/>
    <w:rsid w:val="7F72261C"/>
    <w:rsid w:val="7F7251FD"/>
    <w:rsid w:val="7F72559E"/>
    <w:rsid w:val="7F727E65"/>
    <w:rsid w:val="7F730C18"/>
    <w:rsid w:val="7F730E42"/>
    <w:rsid w:val="7F737E41"/>
    <w:rsid w:val="7F737EC1"/>
    <w:rsid w:val="7F7406F6"/>
    <w:rsid w:val="7F74591C"/>
    <w:rsid w:val="7F7500D5"/>
    <w:rsid w:val="7F75461C"/>
    <w:rsid w:val="7F7553F9"/>
    <w:rsid w:val="7F765B38"/>
    <w:rsid w:val="7F7724AF"/>
    <w:rsid w:val="7F772B0B"/>
    <w:rsid w:val="7F773697"/>
    <w:rsid w:val="7F7774CF"/>
    <w:rsid w:val="7F780E12"/>
    <w:rsid w:val="7F791D0E"/>
    <w:rsid w:val="7F793B7D"/>
    <w:rsid w:val="7F7A1CC3"/>
    <w:rsid w:val="7F7A289B"/>
    <w:rsid w:val="7F7B10B5"/>
    <w:rsid w:val="7F7B7837"/>
    <w:rsid w:val="7F7D490E"/>
    <w:rsid w:val="7F7E21F1"/>
    <w:rsid w:val="7F7F001E"/>
    <w:rsid w:val="7F7F1507"/>
    <w:rsid w:val="7F805DC6"/>
    <w:rsid w:val="7F811F25"/>
    <w:rsid w:val="7F8145CF"/>
    <w:rsid w:val="7F820039"/>
    <w:rsid w:val="7F834496"/>
    <w:rsid w:val="7F834B93"/>
    <w:rsid w:val="7F842F50"/>
    <w:rsid w:val="7F844D95"/>
    <w:rsid w:val="7F847B19"/>
    <w:rsid w:val="7F851A29"/>
    <w:rsid w:val="7F8700E0"/>
    <w:rsid w:val="7F870ABF"/>
    <w:rsid w:val="7F8801DB"/>
    <w:rsid w:val="7F881088"/>
    <w:rsid w:val="7F8A15E4"/>
    <w:rsid w:val="7F8A5140"/>
    <w:rsid w:val="7F8A6697"/>
    <w:rsid w:val="7F8B3DE0"/>
    <w:rsid w:val="7F8B6225"/>
    <w:rsid w:val="7F8C6953"/>
    <w:rsid w:val="7F8D4388"/>
    <w:rsid w:val="7F8D7AC3"/>
    <w:rsid w:val="7F8F35B7"/>
    <w:rsid w:val="7F8F6BFA"/>
    <w:rsid w:val="7F9102FC"/>
    <w:rsid w:val="7F92125D"/>
    <w:rsid w:val="7F9443F3"/>
    <w:rsid w:val="7F951E85"/>
    <w:rsid w:val="7F963418"/>
    <w:rsid w:val="7F963AD8"/>
    <w:rsid w:val="7F992618"/>
    <w:rsid w:val="7F99527C"/>
    <w:rsid w:val="7F996437"/>
    <w:rsid w:val="7F9A5CE7"/>
    <w:rsid w:val="7F9C1B98"/>
    <w:rsid w:val="7F9C379F"/>
    <w:rsid w:val="7F9C4AE4"/>
    <w:rsid w:val="7F9C6B71"/>
    <w:rsid w:val="7F9D2148"/>
    <w:rsid w:val="7F9D56D5"/>
    <w:rsid w:val="7F9E4673"/>
    <w:rsid w:val="7FA06711"/>
    <w:rsid w:val="7FA152E7"/>
    <w:rsid w:val="7FA178FA"/>
    <w:rsid w:val="7FA21622"/>
    <w:rsid w:val="7FA253A9"/>
    <w:rsid w:val="7FA2591E"/>
    <w:rsid w:val="7FA33709"/>
    <w:rsid w:val="7FA64B95"/>
    <w:rsid w:val="7FA65598"/>
    <w:rsid w:val="7FA729EB"/>
    <w:rsid w:val="7FA741E7"/>
    <w:rsid w:val="7FA86F12"/>
    <w:rsid w:val="7FA93818"/>
    <w:rsid w:val="7FA96463"/>
    <w:rsid w:val="7FAA7942"/>
    <w:rsid w:val="7FAD19F6"/>
    <w:rsid w:val="7FAD3EFA"/>
    <w:rsid w:val="7FAE7080"/>
    <w:rsid w:val="7FAF092C"/>
    <w:rsid w:val="7FB2091C"/>
    <w:rsid w:val="7FB239DF"/>
    <w:rsid w:val="7FB275B0"/>
    <w:rsid w:val="7FB34697"/>
    <w:rsid w:val="7FB40BBB"/>
    <w:rsid w:val="7FB45F93"/>
    <w:rsid w:val="7FB54732"/>
    <w:rsid w:val="7FB54A6C"/>
    <w:rsid w:val="7FB5758F"/>
    <w:rsid w:val="7FB75DF8"/>
    <w:rsid w:val="7FB814E5"/>
    <w:rsid w:val="7FB8164A"/>
    <w:rsid w:val="7FB840B6"/>
    <w:rsid w:val="7FB85480"/>
    <w:rsid w:val="7FB91C5F"/>
    <w:rsid w:val="7FBA5AD8"/>
    <w:rsid w:val="7FBB0472"/>
    <w:rsid w:val="7FBB76D6"/>
    <w:rsid w:val="7FBD2E97"/>
    <w:rsid w:val="7FBD3A26"/>
    <w:rsid w:val="7FBE7A1C"/>
    <w:rsid w:val="7FBF0EC4"/>
    <w:rsid w:val="7FBF128D"/>
    <w:rsid w:val="7FBF278C"/>
    <w:rsid w:val="7FBF303C"/>
    <w:rsid w:val="7FC00B93"/>
    <w:rsid w:val="7FC110E6"/>
    <w:rsid w:val="7FC12C01"/>
    <w:rsid w:val="7FC15E65"/>
    <w:rsid w:val="7FC22B2C"/>
    <w:rsid w:val="7FC22E09"/>
    <w:rsid w:val="7FC234D1"/>
    <w:rsid w:val="7FC24A05"/>
    <w:rsid w:val="7FC31A05"/>
    <w:rsid w:val="7FC33387"/>
    <w:rsid w:val="7FC43757"/>
    <w:rsid w:val="7FC450EC"/>
    <w:rsid w:val="7FC4650B"/>
    <w:rsid w:val="7FC54790"/>
    <w:rsid w:val="7FC72B17"/>
    <w:rsid w:val="7FC761DE"/>
    <w:rsid w:val="7FC76394"/>
    <w:rsid w:val="7FC801D1"/>
    <w:rsid w:val="7FC80F75"/>
    <w:rsid w:val="7FC87497"/>
    <w:rsid w:val="7FC87C22"/>
    <w:rsid w:val="7FCA2092"/>
    <w:rsid w:val="7FCA756C"/>
    <w:rsid w:val="7FCB58FE"/>
    <w:rsid w:val="7FCC3260"/>
    <w:rsid w:val="7FCD13AB"/>
    <w:rsid w:val="7FCD50A3"/>
    <w:rsid w:val="7FCE47B0"/>
    <w:rsid w:val="7FCF3BED"/>
    <w:rsid w:val="7FCF545F"/>
    <w:rsid w:val="7FCF5BD7"/>
    <w:rsid w:val="7FD01A66"/>
    <w:rsid w:val="7FD1540B"/>
    <w:rsid w:val="7FD23D37"/>
    <w:rsid w:val="7FD305C0"/>
    <w:rsid w:val="7FD31ACB"/>
    <w:rsid w:val="7FD4460D"/>
    <w:rsid w:val="7FD56AC9"/>
    <w:rsid w:val="7FD60A38"/>
    <w:rsid w:val="7FD62C99"/>
    <w:rsid w:val="7FD633EB"/>
    <w:rsid w:val="7FD72CF2"/>
    <w:rsid w:val="7FD733BC"/>
    <w:rsid w:val="7FD77BA3"/>
    <w:rsid w:val="7FD91B84"/>
    <w:rsid w:val="7FD91C23"/>
    <w:rsid w:val="7FDA5ADE"/>
    <w:rsid w:val="7FDB3BED"/>
    <w:rsid w:val="7FDB4C52"/>
    <w:rsid w:val="7FDD0AE8"/>
    <w:rsid w:val="7FDE1729"/>
    <w:rsid w:val="7FDE30F8"/>
    <w:rsid w:val="7FE0141C"/>
    <w:rsid w:val="7FE038E5"/>
    <w:rsid w:val="7FE05C00"/>
    <w:rsid w:val="7FE10EBC"/>
    <w:rsid w:val="7FE1715B"/>
    <w:rsid w:val="7FE24427"/>
    <w:rsid w:val="7FE26D92"/>
    <w:rsid w:val="7FE32626"/>
    <w:rsid w:val="7FE40CF4"/>
    <w:rsid w:val="7FE42C84"/>
    <w:rsid w:val="7FE45F75"/>
    <w:rsid w:val="7FE47E50"/>
    <w:rsid w:val="7FE53215"/>
    <w:rsid w:val="7FE57D54"/>
    <w:rsid w:val="7FE82DEE"/>
    <w:rsid w:val="7FE8319D"/>
    <w:rsid w:val="7FE931AF"/>
    <w:rsid w:val="7FE94E55"/>
    <w:rsid w:val="7FEA3E31"/>
    <w:rsid w:val="7FEB4E86"/>
    <w:rsid w:val="7FEB5383"/>
    <w:rsid w:val="7FEB770A"/>
    <w:rsid w:val="7FEC4806"/>
    <w:rsid w:val="7FEC5267"/>
    <w:rsid w:val="7FEC5DFB"/>
    <w:rsid w:val="7FED3ACF"/>
    <w:rsid w:val="7FEE39DD"/>
    <w:rsid w:val="7FEF1377"/>
    <w:rsid w:val="7FEF19C3"/>
    <w:rsid w:val="7FF1644D"/>
    <w:rsid w:val="7FF1664A"/>
    <w:rsid w:val="7FF22B28"/>
    <w:rsid w:val="7FF30165"/>
    <w:rsid w:val="7FF35E06"/>
    <w:rsid w:val="7FF4698F"/>
    <w:rsid w:val="7FF53257"/>
    <w:rsid w:val="7FF565D4"/>
    <w:rsid w:val="7FF57D2E"/>
    <w:rsid w:val="7FF60255"/>
    <w:rsid w:val="7FF62787"/>
    <w:rsid w:val="7FF632AF"/>
    <w:rsid w:val="7FF723F5"/>
    <w:rsid w:val="7FF92E95"/>
    <w:rsid w:val="7FFA1057"/>
    <w:rsid w:val="7FFA536E"/>
    <w:rsid w:val="7FFB551D"/>
    <w:rsid w:val="7FFB72E6"/>
    <w:rsid w:val="7FFC0E00"/>
    <w:rsid w:val="7FFD0C77"/>
    <w:rsid w:val="7FFD3B64"/>
    <w:rsid w:val="7FFE2150"/>
    <w:rsid w:val="7FFE7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1"/>
    <w:pPr>
      <w:ind w:left="540"/>
      <w:outlineLvl w:val="1"/>
    </w:pPr>
    <w:rPr>
      <w:rFonts w:ascii="宋体" w:hAnsi="宋体" w:cs="宋体"/>
      <w:b/>
      <w:bCs/>
      <w:sz w:val="24"/>
    </w:rPr>
  </w:style>
  <w:style w:type="paragraph" w:styleId="7">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8">
    <w:name w:val="heading 4"/>
    <w:basedOn w:val="1"/>
    <w:next w:val="1"/>
    <w:qFormat/>
    <w:locked/>
    <w:uiPriority w:val="0"/>
    <w:pPr>
      <w:tabs>
        <w:tab w:val="left" w:pos="570"/>
        <w:tab w:val="left" w:pos="1680"/>
      </w:tabs>
      <w:spacing w:before="312" w:beforeLines="100" w:after="156" w:afterLines="50" w:line="360" w:lineRule="auto"/>
      <w:ind w:left="3360" w:hanging="420"/>
      <w:jc w:val="left"/>
      <w:outlineLvl w:val="3"/>
    </w:pPr>
    <w:rPr>
      <w:rFonts w:ascii="宋体" w:cs="宋体"/>
      <w:b/>
      <w:bCs/>
      <w:sz w:val="20"/>
      <w:szCs w:val="20"/>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tabs>
        <w:tab w:val="left" w:pos="420"/>
        <w:tab w:val="center" w:pos="4394"/>
      </w:tabs>
      <w:autoSpaceDE w:val="0"/>
      <w:autoSpaceDN w:val="0"/>
    </w:pPr>
    <w:rPr>
      <w:rFonts w:ascii="Times New Roman" w:hAnsi="Times New Roman" w:eastAsia="宋体"/>
      <w:sz w:val="24"/>
      <w:szCs w:val="24"/>
    </w:rPr>
  </w:style>
  <w:style w:type="paragraph" w:customStyle="1" w:styleId="3">
    <w:name w:val="标题2"/>
    <w:basedOn w:val="4"/>
    <w:next w:val="6"/>
    <w:qFormat/>
    <w:uiPriority w:val="99"/>
    <w:pPr>
      <w:numPr>
        <w:ilvl w:val="1"/>
        <w:numId w:val="1"/>
      </w:numPr>
      <w:tabs>
        <w:tab w:val="left" w:pos="420"/>
        <w:tab w:val="center" w:pos="4394"/>
      </w:tabs>
      <w:spacing w:line="440" w:lineRule="exact"/>
    </w:pPr>
  </w:style>
  <w:style w:type="paragraph" w:customStyle="1" w:styleId="4">
    <w:name w:val="标题1"/>
    <w:basedOn w:val="5"/>
    <w:next w:val="1"/>
    <w:qFormat/>
    <w:uiPriority w:val="0"/>
    <w:pPr>
      <w:tabs>
        <w:tab w:val="center" w:pos="4394"/>
      </w:tabs>
      <w:adjustRightInd w:val="0"/>
      <w:spacing w:before="0" w:after="120" w:line="360" w:lineRule="auto"/>
      <w:jc w:val="center"/>
    </w:pPr>
    <w:rPr>
      <w:rFonts w:ascii="黑体" w:hAnsi="宋体"/>
      <w:b w:val="0"/>
      <w:sz w:val="36"/>
      <w:szCs w:val="32"/>
    </w:rPr>
  </w:style>
  <w:style w:type="paragraph" w:styleId="9">
    <w:name w:val="Normal Indent"/>
    <w:basedOn w:val="1"/>
    <w:next w:val="10"/>
    <w:qFormat/>
    <w:locked/>
    <w:uiPriority w:val="0"/>
    <w:pPr>
      <w:ind w:firstLine="420" w:firstLineChars="200"/>
    </w:pPr>
    <w:rPr>
      <w:szCs w:val="20"/>
    </w:rPr>
  </w:style>
  <w:style w:type="paragraph" w:styleId="10">
    <w:name w:val="Body Text First Indent 2"/>
    <w:basedOn w:val="11"/>
    <w:next w:val="1"/>
    <w:qFormat/>
    <w:locked/>
    <w:uiPriority w:val="0"/>
    <w:pPr>
      <w:ind w:firstLine="420" w:firstLineChars="200"/>
    </w:pPr>
  </w:style>
  <w:style w:type="paragraph" w:styleId="11">
    <w:name w:val="Body Text Indent"/>
    <w:basedOn w:val="1"/>
    <w:next w:val="12"/>
    <w:link w:val="38"/>
    <w:qFormat/>
    <w:uiPriority w:val="0"/>
    <w:pPr>
      <w:spacing w:after="120"/>
      <w:ind w:left="420" w:leftChars="200"/>
    </w:pPr>
    <w:rPr>
      <w:kern w:val="0"/>
      <w:sz w:val="24"/>
      <w:szCs w:val="20"/>
    </w:rPr>
  </w:style>
  <w:style w:type="paragraph" w:styleId="12">
    <w:name w:val="envelope return"/>
    <w:basedOn w:val="1"/>
    <w:semiHidden/>
    <w:qFormat/>
    <w:locked/>
    <w:uiPriority w:val="0"/>
    <w:pPr>
      <w:snapToGrid w:val="0"/>
      <w:ind w:left="100" w:leftChars="100"/>
    </w:pPr>
    <w:rPr>
      <w:rFonts w:ascii="Arial" w:hAnsi="Arial" w:cs="Arial"/>
      <w:sz w:val="24"/>
    </w:rPr>
  </w:style>
  <w:style w:type="paragraph" w:styleId="13">
    <w:name w:val="caption"/>
    <w:basedOn w:val="1"/>
    <w:next w:val="1"/>
    <w:qFormat/>
    <w:locked/>
    <w:uiPriority w:val="0"/>
    <w:pPr>
      <w:jc w:val="center"/>
    </w:pPr>
    <w:rPr>
      <w:rFonts w:ascii="Cambria" w:hAnsi="Cambria"/>
      <w:b/>
      <w:sz w:val="24"/>
      <w:szCs w:val="20"/>
    </w:rPr>
  </w:style>
  <w:style w:type="paragraph" w:styleId="14">
    <w:name w:val="annotation text"/>
    <w:basedOn w:val="1"/>
    <w:link w:val="36"/>
    <w:semiHidden/>
    <w:qFormat/>
    <w:uiPriority w:val="0"/>
    <w:pPr>
      <w:jc w:val="left"/>
    </w:pPr>
    <w:rPr>
      <w:kern w:val="0"/>
      <w:sz w:val="24"/>
      <w:szCs w:val="20"/>
    </w:rPr>
  </w:style>
  <w:style w:type="paragraph" w:styleId="15">
    <w:name w:val="Salutation"/>
    <w:basedOn w:val="1"/>
    <w:next w:val="1"/>
    <w:qFormat/>
    <w:locked/>
    <w:uiPriority w:val="0"/>
  </w:style>
  <w:style w:type="paragraph" w:styleId="16">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7">
    <w:name w:val="Plain Text"/>
    <w:basedOn w:val="1"/>
    <w:next w:val="15"/>
    <w:unhideWhenUsed/>
    <w:qFormat/>
    <w:locked/>
    <w:uiPriority w:val="0"/>
    <w:pPr>
      <w:adjustRightInd w:val="0"/>
      <w:spacing w:before="120" w:line="400" w:lineRule="exact"/>
      <w:textAlignment w:val="baseline"/>
    </w:pPr>
    <w:rPr>
      <w:rFonts w:ascii="宋体" w:hAnsi="Courier New"/>
      <w:spacing w:val="-2"/>
      <w:kern w:val="28"/>
      <w:szCs w:val="20"/>
    </w:rPr>
  </w:style>
  <w:style w:type="paragraph" w:styleId="18">
    <w:name w:val="List Bullet 5"/>
    <w:basedOn w:val="1"/>
    <w:qFormat/>
    <w:locked/>
    <w:uiPriority w:val="0"/>
    <w:pPr>
      <w:numPr>
        <w:ilvl w:val="0"/>
        <w:numId w:val="2"/>
      </w:numPr>
    </w:pPr>
  </w:style>
  <w:style w:type="paragraph" w:styleId="19">
    <w:name w:val="Date"/>
    <w:basedOn w:val="1"/>
    <w:next w:val="1"/>
    <w:link w:val="39"/>
    <w:qFormat/>
    <w:uiPriority w:val="0"/>
    <w:pPr>
      <w:ind w:left="100" w:leftChars="2500"/>
    </w:pPr>
    <w:rPr>
      <w:kern w:val="0"/>
      <w:sz w:val="24"/>
      <w:szCs w:val="20"/>
    </w:rPr>
  </w:style>
  <w:style w:type="paragraph" w:styleId="20">
    <w:name w:val="Body Text Indent 2"/>
    <w:basedOn w:val="1"/>
    <w:next w:val="10"/>
    <w:qFormat/>
    <w:locked/>
    <w:uiPriority w:val="0"/>
    <w:pPr>
      <w:ind w:firstLine="560" w:firstLineChars="200"/>
    </w:pPr>
    <w:rPr>
      <w:rFonts w:ascii="宋体" w:hAnsi="宋体"/>
      <w:sz w:val="28"/>
      <w:szCs w:val="20"/>
    </w:rPr>
  </w:style>
  <w:style w:type="paragraph" w:styleId="21">
    <w:name w:val="Balloon Text"/>
    <w:basedOn w:val="1"/>
    <w:link w:val="40"/>
    <w:semiHidden/>
    <w:qFormat/>
    <w:uiPriority w:val="0"/>
    <w:rPr>
      <w:kern w:val="0"/>
      <w:sz w:val="18"/>
      <w:szCs w:val="20"/>
    </w:rPr>
  </w:style>
  <w:style w:type="paragraph" w:styleId="22">
    <w:name w:val="footer"/>
    <w:basedOn w:val="1"/>
    <w:link w:val="41"/>
    <w:qFormat/>
    <w:uiPriority w:val="99"/>
    <w:pPr>
      <w:tabs>
        <w:tab w:val="center" w:pos="4153"/>
        <w:tab w:val="right" w:pos="8306"/>
      </w:tabs>
      <w:snapToGrid w:val="0"/>
      <w:jc w:val="left"/>
    </w:pPr>
    <w:rPr>
      <w:kern w:val="0"/>
      <w:sz w:val="18"/>
      <w:szCs w:val="20"/>
    </w:rPr>
  </w:style>
  <w:style w:type="paragraph" w:styleId="23">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Body Text 2"/>
    <w:basedOn w:val="1"/>
    <w:qFormat/>
    <w:locked/>
    <w:uiPriority w:val="0"/>
    <w:pPr>
      <w:spacing w:line="312" w:lineRule="auto"/>
    </w:pPr>
    <w:rPr>
      <w:rFonts w:ascii="宋体"/>
      <w:sz w:val="28"/>
      <w:szCs w:val="20"/>
    </w:rPr>
  </w:style>
  <w:style w:type="paragraph" w:styleId="25">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4"/>
    <w:next w:val="14"/>
    <w:link w:val="44"/>
    <w:semiHidden/>
    <w:qFormat/>
    <w:uiPriority w:val="0"/>
    <w:rPr>
      <w:b/>
    </w:rPr>
  </w:style>
  <w:style w:type="paragraph" w:styleId="27">
    <w:name w:val="Body Text First Indent"/>
    <w:basedOn w:val="16"/>
    <w:qFormat/>
    <w:locked/>
    <w:uiPriority w:val="0"/>
    <w:pPr>
      <w:spacing w:after="120" w:line="240" w:lineRule="auto"/>
      <w:ind w:firstLine="420" w:firstLineChars="100"/>
    </w:pPr>
    <w:rPr>
      <w:sz w:val="21"/>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qFormat/>
    <w:locked/>
    <w:uiPriority w:val="0"/>
  </w:style>
  <w:style w:type="character" w:styleId="33">
    <w:name w:val="Emphasis"/>
    <w:qFormat/>
    <w:locked/>
    <w:uiPriority w:val="0"/>
    <w:rPr>
      <w:i/>
    </w:rPr>
  </w:style>
  <w:style w:type="character" w:styleId="34">
    <w:name w:val="Hyperlink"/>
    <w:qFormat/>
    <w:locked/>
    <w:uiPriority w:val="0"/>
    <w:rPr>
      <w:color w:val="0000FF"/>
      <w:u w:val="single"/>
    </w:rPr>
  </w:style>
  <w:style w:type="character" w:styleId="35">
    <w:name w:val="annotation reference"/>
    <w:semiHidden/>
    <w:qFormat/>
    <w:uiPriority w:val="0"/>
    <w:rPr>
      <w:sz w:val="21"/>
    </w:rPr>
  </w:style>
  <w:style w:type="character" w:customStyle="1" w:styleId="36">
    <w:name w:val="批注文字 字符"/>
    <w:link w:val="14"/>
    <w:qFormat/>
    <w:locked/>
    <w:uiPriority w:val="0"/>
    <w:rPr>
      <w:rFonts w:ascii="Times New Roman" w:hAnsi="Times New Roman" w:eastAsia="宋体"/>
      <w:sz w:val="24"/>
    </w:rPr>
  </w:style>
  <w:style w:type="character" w:customStyle="1" w:styleId="37">
    <w:name w:val="正文文本 字符"/>
    <w:link w:val="16"/>
    <w:qFormat/>
    <w:locked/>
    <w:uiPriority w:val="0"/>
    <w:rPr>
      <w:sz w:val="18"/>
    </w:rPr>
  </w:style>
  <w:style w:type="character" w:customStyle="1" w:styleId="38">
    <w:name w:val="正文文本缩进 字符"/>
    <w:link w:val="11"/>
    <w:semiHidden/>
    <w:qFormat/>
    <w:locked/>
    <w:uiPriority w:val="0"/>
    <w:rPr>
      <w:rFonts w:ascii="Times New Roman" w:hAnsi="Times New Roman" w:eastAsia="宋体"/>
      <w:sz w:val="24"/>
    </w:rPr>
  </w:style>
  <w:style w:type="character" w:customStyle="1" w:styleId="39">
    <w:name w:val="日期 字符1"/>
    <w:link w:val="19"/>
    <w:qFormat/>
    <w:locked/>
    <w:uiPriority w:val="0"/>
    <w:rPr>
      <w:rFonts w:ascii="Times New Roman" w:hAnsi="Times New Roman" w:eastAsia="宋体"/>
      <w:sz w:val="24"/>
    </w:rPr>
  </w:style>
  <w:style w:type="character" w:customStyle="1" w:styleId="40">
    <w:name w:val="批注框文本 字符"/>
    <w:link w:val="21"/>
    <w:semiHidden/>
    <w:qFormat/>
    <w:locked/>
    <w:uiPriority w:val="0"/>
    <w:rPr>
      <w:rFonts w:ascii="Times New Roman" w:hAnsi="Times New Roman" w:eastAsia="宋体"/>
      <w:sz w:val="18"/>
    </w:rPr>
  </w:style>
  <w:style w:type="character" w:customStyle="1" w:styleId="41">
    <w:name w:val="页脚 字符1"/>
    <w:link w:val="22"/>
    <w:qFormat/>
    <w:locked/>
    <w:uiPriority w:val="99"/>
    <w:rPr>
      <w:sz w:val="18"/>
    </w:rPr>
  </w:style>
  <w:style w:type="character" w:customStyle="1" w:styleId="42">
    <w:name w:val="页眉 字符"/>
    <w:link w:val="23"/>
    <w:qFormat/>
    <w:locked/>
    <w:uiPriority w:val="0"/>
    <w:rPr>
      <w:sz w:val="18"/>
    </w:rPr>
  </w:style>
  <w:style w:type="character" w:customStyle="1" w:styleId="43">
    <w:name w:val="普通(网站) 字符"/>
    <w:link w:val="25"/>
    <w:qFormat/>
    <w:locked/>
    <w:uiPriority w:val="0"/>
    <w:rPr>
      <w:rFonts w:ascii="宋体" w:hAnsi="宋体" w:eastAsia="宋体"/>
      <w:sz w:val="24"/>
    </w:rPr>
  </w:style>
  <w:style w:type="character" w:customStyle="1" w:styleId="44">
    <w:name w:val="批注主题 字符"/>
    <w:link w:val="26"/>
    <w:semiHidden/>
    <w:qFormat/>
    <w:locked/>
    <w:uiPriority w:val="0"/>
    <w:rPr>
      <w:rFonts w:ascii="Times New Roman" w:hAnsi="Times New Roman" w:eastAsia="宋体"/>
      <w:b/>
      <w:kern w:val="2"/>
      <w:sz w:val="24"/>
    </w:rPr>
  </w:style>
  <w:style w:type="paragraph" w:customStyle="1" w:styleId="45">
    <w:name w:val="0正文内容"/>
    <w:basedOn w:val="1"/>
    <w:qFormat/>
    <w:uiPriority w:val="0"/>
    <w:pPr>
      <w:adjustRightInd w:val="0"/>
      <w:snapToGrid w:val="0"/>
      <w:spacing w:line="360" w:lineRule="auto"/>
      <w:ind w:firstLine="480" w:firstLineChars="200"/>
    </w:pPr>
    <w:rPr>
      <w:color w:val="000000"/>
      <w:kern w:val="0"/>
    </w:rPr>
  </w:style>
  <w:style w:type="paragraph" w:customStyle="1" w:styleId="46">
    <w:name w:val="表格"/>
    <w:basedOn w:val="9"/>
    <w:next w:val="1"/>
    <w:link w:val="47"/>
    <w:qFormat/>
    <w:uiPriority w:val="0"/>
    <w:pPr>
      <w:snapToGrid w:val="0"/>
      <w:spacing w:beforeLines="10" w:afterLines="10" w:line="259" w:lineRule="auto"/>
      <w:jc w:val="center"/>
    </w:pPr>
    <w:rPr>
      <w:kern w:val="0"/>
    </w:rPr>
  </w:style>
  <w:style w:type="character" w:customStyle="1" w:styleId="47">
    <w:name w:val="表格 Char"/>
    <w:link w:val="46"/>
    <w:qFormat/>
    <w:locked/>
    <w:uiPriority w:val="0"/>
    <w:rPr>
      <w:rFonts w:ascii="宋体"/>
      <w:sz w:val="21"/>
    </w:rPr>
  </w:style>
  <w:style w:type="paragraph" w:customStyle="1" w:styleId="48">
    <w:name w:val="1正文段落"/>
    <w:basedOn w:val="1"/>
    <w:qFormat/>
    <w:uiPriority w:val="0"/>
    <w:pPr>
      <w:spacing w:line="360" w:lineRule="auto"/>
      <w:ind w:firstLine="480" w:firstLineChars="200"/>
      <w:jc w:val="left"/>
    </w:pPr>
    <w:rPr>
      <w:snapToGrid w:val="0"/>
      <w:kern w:val="0"/>
      <w:sz w:val="24"/>
    </w:rPr>
  </w:style>
  <w:style w:type="paragraph" w:customStyle="1" w:styleId="49">
    <w:name w:val="A正文"/>
    <w:basedOn w:val="1"/>
    <w:qFormat/>
    <w:uiPriority w:val="0"/>
    <w:pPr>
      <w:widowControl/>
      <w:spacing w:line="360" w:lineRule="auto"/>
      <w:ind w:firstLine="200" w:firstLineChars="200"/>
      <w:jc w:val="left"/>
    </w:pPr>
    <w:rPr>
      <w:kern w:val="0"/>
      <w:sz w:val="24"/>
      <w:szCs w:val="22"/>
    </w:rPr>
  </w:style>
  <w:style w:type="paragraph" w:customStyle="1" w:styleId="50">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fontstyle01"/>
    <w:qFormat/>
    <w:uiPriority w:val="0"/>
    <w:rPr>
      <w:rFonts w:hint="eastAsia" w:ascii="华文宋体" w:hAnsi="华文宋体" w:eastAsia="华文宋体"/>
      <w:color w:val="000000"/>
      <w:sz w:val="18"/>
      <w:szCs w:val="18"/>
    </w:rPr>
  </w:style>
  <w:style w:type="character" w:customStyle="1" w:styleId="54">
    <w:name w:val="页脚 字符"/>
    <w:qFormat/>
    <w:uiPriority w:val="99"/>
  </w:style>
  <w:style w:type="character" w:customStyle="1" w:styleId="55">
    <w:name w:val="批注文字 字符1"/>
    <w:semiHidden/>
    <w:qFormat/>
    <w:uiPriority w:val="0"/>
    <w:rPr>
      <w:rFonts w:ascii="Times New Roman" w:hAnsi="Times New Roman" w:eastAsia="宋体"/>
      <w:sz w:val="24"/>
    </w:rPr>
  </w:style>
  <w:style w:type="character" w:customStyle="1" w:styleId="56">
    <w:name w:val="15"/>
    <w:qFormat/>
    <w:uiPriority w:val="0"/>
    <w:rPr>
      <w:rFonts w:hint="default" w:ascii="Times New Roman" w:hAnsi="Times New Roman" w:eastAsia="宋体" w:cs="Times New Roman"/>
      <w:sz w:val="24"/>
      <w:szCs w:val="24"/>
    </w:rPr>
  </w:style>
  <w:style w:type="character" w:customStyle="1" w:styleId="57">
    <w:name w:val="font11"/>
    <w:qFormat/>
    <w:uiPriority w:val="0"/>
    <w:rPr>
      <w:rFonts w:hint="default" w:ascii="Tahoma" w:hAnsi="Tahoma" w:eastAsia="Tahoma" w:cs="Tahoma"/>
      <w:color w:val="333333"/>
      <w:sz w:val="22"/>
      <w:szCs w:val="22"/>
    </w:rPr>
  </w:style>
  <w:style w:type="paragraph" w:customStyle="1" w:styleId="58">
    <w:name w:val="p0"/>
    <w:basedOn w:val="1"/>
    <w:qFormat/>
    <w:uiPriority w:val="0"/>
    <w:pPr>
      <w:widowControl/>
    </w:pPr>
    <w:rPr>
      <w:kern w:val="0"/>
      <w:szCs w:val="21"/>
    </w:rPr>
  </w:style>
  <w:style w:type="paragraph" w:customStyle="1" w:styleId="59">
    <w:name w:val="表内lcc"/>
    <w:basedOn w:val="60"/>
    <w:qFormat/>
    <w:uiPriority w:val="0"/>
    <w:rPr>
      <w:rFonts w:ascii="Calibri" w:hAnsi="Calibri"/>
      <w:color w:val="000000"/>
    </w:rPr>
  </w:style>
  <w:style w:type="paragraph" w:customStyle="1" w:styleId="60">
    <w:name w:val="表内字"/>
    <w:basedOn w:val="1"/>
    <w:qFormat/>
    <w:uiPriority w:val="0"/>
    <w:pPr>
      <w:adjustRightInd w:val="0"/>
      <w:jc w:val="center"/>
    </w:pPr>
    <w:rPr>
      <w:iCs/>
      <w:szCs w:val="21"/>
    </w:rPr>
  </w:style>
  <w:style w:type="paragraph" w:customStyle="1" w:styleId="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图、表标题"/>
    <w:basedOn w:val="1"/>
    <w:qFormat/>
    <w:uiPriority w:val="0"/>
    <w:pPr>
      <w:jc w:val="center"/>
    </w:pPr>
    <w:rPr>
      <w:b/>
    </w:rPr>
  </w:style>
  <w:style w:type="paragraph" w:customStyle="1" w:styleId="64">
    <w:name w:val="正文小四"/>
    <w:basedOn w:val="1"/>
    <w:qFormat/>
    <w:uiPriority w:val="0"/>
    <w:pPr>
      <w:spacing w:line="360" w:lineRule="auto"/>
    </w:pPr>
  </w:style>
  <w:style w:type="paragraph" w:customStyle="1" w:styleId="65">
    <w:name w:val="表格标题"/>
    <w:basedOn w:val="13"/>
    <w:next w:val="66"/>
    <w:qFormat/>
    <w:uiPriority w:val="0"/>
    <w:rPr>
      <w:sz w:val="21"/>
    </w:rPr>
  </w:style>
  <w:style w:type="paragraph" w:customStyle="1" w:styleId="66">
    <w:name w:val="表格内容"/>
    <w:basedOn w:val="65"/>
    <w:next w:val="1"/>
    <w:qFormat/>
    <w:uiPriority w:val="0"/>
    <w:pPr>
      <w:spacing w:line="240" w:lineRule="atLeast"/>
    </w:pPr>
    <w:rPr>
      <w:rFonts w:ascii="Times New Roman" w:hAnsi="Times New Roman"/>
      <w:b w:val="0"/>
    </w:rPr>
  </w:style>
  <w:style w:type="paragraph" w:customStyle="1" w:styleId="67">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8">
    <w:name w:val="文字"/>
    <w:basedOn w:val="1"/>
    <w:qFormat/>
    <w:uiPriority w:val="0"/>
    <w:pPr>
      <w:spacing w:line="360" w:lineRule="auto"/>
    </w:pPr>
  </w:style>
  <w:style w:type="paragraph" w:customStyle="1" w:styleId="69">
    <w:name w:val="Table Paragraph"/>
    <w:basedOn w:val="1"/>
    <w:qFormat/>
    <w:uiPriority w:val="1"/>
    <w:pPr>
      <w:jc w:val="left"/>
    </w:pPr>
    <w:rPr>
      <w:rFonts w:ascii="Calibri" w:hAnsi="Calibri" w:cs="黑体"/>
      <w:kern w:val="0"/>
      <w:sz w:val="22"/>
      <w:szCs w:val="22"/>
      <w:lang w:eastAsia="en-US"/>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71">
    <w:name w:val="Table Normal"/>
    <w:unhideWhenUsed/>
    <w:qFormat/>
    <w:uiPriority w:val="2"/>
    <w:pPr>
      <w:widowControl w:val="0"/>
    </w:pPr>
    <w:rPr>
      <w:rFonts w:ascii="Calibri" w:hAnsi="Calibri" w:cs="黑体"/>
      <w:sz w:val="22"/>
      <w:szCs w:val="22"/>
      <w:lang w:eastAsia="en-US"/>
    </w:rPr>
    <w:tblPr>
      <w:tblCellMar>
        <w:top w:w="0" w:type="dxa"/>
        <w:left w:w="0" w:type="dxa"/>
        <w:bottom w:w="0" w:type="dxa"/>
        <w:right w:w="0" w:type="dxa"/>
      </w:tblCellMar>
    </w:tblPr>
  </w:style>
  <w:style w:type="paragraph" w:customStyle="1" w:styleId="72">
    <w:name w:val="正文内容"/>
    <w:basedOn w:val="1"/>
    <w:link w:val="73"/>
    <w:qFormat/>
    <w:uiPriority w:val="0"/>
    <w:pPr>
      <w:adjustRightInd w:val="0"/>
      <w:snapToGrid w:val="0"/>
      <w:spacing w:line="360" w:lineRule="auto"/>
      <w:ind w:firstLine="480" w:firstLineChars="200"/>
    </w:pPr>
    <w:rPr>
      <w:color w:val="000000"/>
      <w:kern w:val="0"/>
    </w:rPr>
  </w:style>
  <w:style w:type="character" w:customStyle="1" w:styleId="73">
    <w:name w:val="正文内容 Char"/>
    <w:link w:val="72"/>
    <w:qFormat/>
    <w:uiPriority w:val="0"/>
    <w:rPr>
      <w:rFonts w:cs="宋体"/>
      <w:color w:val="000000"/>
      <w:kern w:val="0"/>
      <w:lang w:bidi="ar"/>
    </w:rPr>
  </w:style>
  <w:style w:type="paragraph" w:customStyle="1" w:styleId="74">
    <w:name w:val="表格内容加粗"/>
    <w:basedOn w:val="1"/>
    <w:qFormat/>
    <w:uiPriority w:val="0"/>
    <w:pPr>
      <w:adjustRightInd w:val="0"/>
      <w:snapToGrid w:val="0"/>
      <w:jc w:val="center"/>
    </w:pPr>
    <w:rPr>
      <w:rFonts w:hint="eastAsia"/>
      <w:b/>
      <w:bCs/>
    </w:rPr>
  </w:style>
  <w:style w:type="paragraph" w:customStyle="1" w:styleId="75">
    <w:name w:val="正文内容加粗"/>
    <w:basedOn w:val="1"/>
    <w:qFormat/>
    <w:uiPriority w:val="0"/>
    <w:pPr>
      <w:adjustRightInd w:val="0"/>
      <w:snapToGrid w:val="0"/>
      <w:spacing w:line="360" w:lineRule="auto"/>
      <w:ind w:firstLine="482" w:firstLineChars="200"/>
    </w:pPr>
    <w:rPr>
      <w:rFonts w:cs="宋体"/>
      <w:b/>
      <w:bCs/>
    </w:rPr>
  </w:style>
  <w:style w:type="character" w:customStyle="1" w:styleId="76">
    <w:name w:val="font41"/>
    <w:basedOn w:val="30"/>
    <w:qFormat/>
    <w:uiPriority w:val="0"/>
    <w:rPr>
      <w:rFonts w:hint="eastAsia" w:ascii="宋体" w:hAnsi="宋体" w:eastAsia="宋体" w:cs="宋体"/>
      <w:color w:val="000000"/>
      <w:sz w:val="21"/>
      <w:szCs w:val="21"/>
      <w:u w:val="none"/>
    </w:rPr>
  </w:style>
  <w:style w:type="character" w:customStyle="1" w:styleId="77">
    <w:name w:val="font21"/>
    <w:qFormat/>
    <w:uiPriority w:val="0"/>
    <w:rPr>
      <w:rFonts w:hint="default" w:ascii="Times New Roman" w:hAnsi="Times New Roman" w:cs="Times New Roman"/>
      <w:color w:val="FF0000"/>
      <w:sz w:val="21"/>
      <w:szCs w:val="21"/>
      <w:u w:val="none"/>
      <w:vertAlign w:val="subscript"/>
    </w:rPr>
  </w:style>
  <w:style w:type="paragraph" w:customStyle="1" w:styleId="78">
    <w:name w:val="1表格内容"/>
    <w:basedOn w:val="79"/>
    <w:next w:val="1"/>
    <w:qFormat/>
    <w:uiPriority w:val="0"/>
    <w:rPr>
      <w:sz w:val="21"/>
    </w:rPr>
  </w:style>
  <w:style w:type="paragraph" w:customStyle="1" w:styleId="79">
    <w:name w:val="1表格标题"/>
    <w:basedOn w:val="1"/>
    <w:next w:val="78"/>
    <w:qFormat/>
    <w:uiPriority w:val="0"/>
    <w:pPr>
      <w:adjustRightInd w:val="0"/>
      <w:snapToGrid w:val="0"/>
      <w:spacing w:line="360" w:lineRule="auto"/>
      <w:jc w:val="center"/>
    </w:pPr>
    <w:rPr>
      <w:b/>
      <w:sz w:val="24"/>
    </w:rPr>
  </w:style>
  <w:style w:type="paragraph" w:customStyle="1" w:styleId="80">
    <w:name w:val="表格 32"/>
    <w:basedOn w:val="46"/>
    <w:qFormat/>
    <w:uiPriority w:val="0"/>
    <w:rPr>
      <w:szCs w:val="21"/>
    </w:rPr>
  </w:style>
  <w:style w:type="paragraph" w:customStyle="1" w:styleId="81">
    <w:name w:val="0正文内容加粗"/>
    <w:basedOn w:val="1"/>
    <w:qFormat/>
    <w:uiPriority w:val="0"/>
    <w:pPr>
      <w:adjustRightInd w:val="0"/>
      <w:snapToGrid w:val="0"/>
      <w:spacing w:line="360" w:lineRule="auto"/>
      <w:ind w:firstLine="482" w:firstLineChars="200"/>
    </w:pPr>
    <w:rPr>
      <w:rFonts w:cs="宋体"/>
      <w:b/>
      <w:bCs/>
    </w:rPr>
  </w:style>
  <w:style w:type="paragraph" w:customStyle="1" w:styleId="82">
    <w:name w:val="1图 表标题"/>
    <w:basedOn w:val="1"/>
    <w:link w:val="83"/>
    <w:qFormat/>
    <w:uiPriority w:val="0"/>
    <w:pPr>
      <w:adjustRightInd w:val="0"/>
      <w:snapToGrid w:val="0"/>
      <w:spacing w:line="360" w:lineRule="auto"/>
      <w:jc w:val="center"/>
    </w:pPr>
    <w:rPr>
      <w:b/>
    </w:rPr>
  </w:style>
  <w:style w:type="character" w:customStyle="1" w:styleId="83">
    <w:name w:val="图、表标题 Char"/>
    <w:link w:val="82"/>
    <w:qFormat/>
    <w:uiPriority w:val="0"/>
    <w:rPr>
      <w:rFonts w:ascii="Times New Roman" w:hAnsi="Times New Roman" w:eastAsia="宋体"/>
      <w:b/>
    </w:rPr>
  </w:style>
  <w:style w:type="paragraph" w:customStyle="1" w:styleId="84">
    <w:name w:val="1表格内容加粗"/>
    <w:basedOn w:val="1"/>
    <w:qFormat/>
    <w:uiPriority w:val="0"/>
    <w:pPr>
      <w:adjustRightInd w:val="0"/>
      <w:snapToGrid w:val="0"/>
      <w:jc w:val="center"/>
    </w:pPr>
    <w:rPr>
      <w:b/>
      <w:bCs/>
      <w:szCs w:val="21"/>
    </w:rPr>
  </w:style>
  <w:style w:type="paragraph" w:customStyle="1" w:styleId="85">
    <w:name w:val="1图、表标题"/>
    <w:basedOn w:val="1"/>
    <w:qFormat/>
    <w:uiPriority w:val="0"/>
    <w:pPr>
      <w:adjustRightInd w:val="0"/>
      <w:snapToGrid w:val="0"/>
      <w:spacing w:line="360" w:lineRule="auto"/>
      <w:jc w:val="center"/>
    </w:pPr>
    <w:rPr>
      <w:b/>
    </w:rPr>
  </w:style>
  <w:style w:type="paragraph" w:customStyle="1" w:styleId="86">
    <w:name w:val="bg"/>
    <w:basedOn w:val="1"/>
    <w:qFormat/>
    <w:uiPriority w:val="0"/>
    <w:pPr>
      <w:widowControl/>
    </w:pPr>
    <w:rPr>
      <w:kern w:val="0"/>
      <w:sz w:val="24"/>
    </w:rPr>
  </w:style>
  <w:style w:type="paragraph" w:customStyle="1" w:styleId="87">
    <w:name w:val="表格正文"/>
    <w:basedOn w:val="9"/>
    <w:next w:val="1"/>
    <w:qFormat/>
    <w:uiPriority w:val="0"/>
    <w:pPr>
      <w:ind w:firstLine="0" w:firstLineChars="0"/>
      <w:jc w:val="center"/>
    </w:pPr>
  </w:style>
  <w:style w:type="paragraph" w:customStyle="1" w:styleId="88">
    <w:name w:val="中文报告书样式"/>
    <w:basedOn w:val="1"/>
    <w:qFormat/>
    <w:uiPriority w:val="99"/>
    <w:pPr>
      <w:adjustRightInd w:val="0"/>
      <w:spacing w:line="480" w:lineRule="atLeast"/>
      <w:ind w:firstLine="482"/>
      <w:textAlignment w:val="baseline"/>
    </w:pPr>
    <w:rPr>
      <w:kern w:val="24"/>
      <w:szCs w:val="20"/>
    </w:rPr>
  </w:style>
  <w:style w:type="character" w:customStyle="1" w:styleId="89">
    <w:name w:val="font01"/>
    <w:basedOn w:val="30"/>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6.wmf"/><Relationship Id="rId38" Type="http://schemas.openxmlformats.org/officeDocument/2006/relationships/oleObject" Target="embeddings/oleObject14.bin"/><Relationship Id="rId37" Type="http://schemas.openxmlformats.org/officeDocument/2006/relationships/image" Target="media/image15.wmf"/><Relationship Id="rId36" Type="http://schemas.openxmlformats.org/officeDocument/2006/relationships/oleObject" Target="embeddings/oleObject13.bin"/><Relationship Id="rId35" Type="http://schemas.openxmlformats.org/officeDocument/2006/relationships/image" Target="media/image14.wmf"/><Relationship Id="rId34" Type="http://schemas.openxmlformats.org/officeDocument/2006/relationships/oleObject" Target="embeddings/oleObject12.bin"/><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9.bin"/><Relationship Id="rId27" Type="http://schemas.openxmlformats.org/officeDocument/2006/relationships/image" Target="media/image10.wmf"/><Relationship Id="rId26" Type="http://schemas.openxmlformats.org/officeDocument/2006/relationships/oleObject" Target="embeddings/oleObject8.bin"/><Relationship Id="rId25" Type="http://schemas.openxmlformats.org/officeDocument/2006/relationships/image" Target="media/image9.wmf"/><Relationship Id="rId24" Type="http://schemas.openxmlformats.org/officeDocument/2006/relationships/oleObject" Target="embeddings/oleObject7.bin"/><Relationship Id="rId23" Type="http://schemas.openxmlformats.org/officeDocument/2006/relationships/image" Target="media/image8.wmf"/><Relationship Id="rId22" Type="http://schemas.openxmlformats.org/officeDocument/2006/relationships/oleObject" Target="embeddings/oleObject6.bin"/><Relationship Id="rId21" Type="http://schemas.openxmlformats.org/officeDocument/2006/relationships/image" Target="media/image7.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40684</Words>
  <Characters>45852</Characters>
  <Lines>346</Lines>
  <Paragraphs>97</Paragraphs>
  <TotalTime>38</TotalTime>
  <ScaleCrop>false</ScaleCrop>
  <LinksUpToDate>false</LinksUpToDate>
  <CharactersWithSpaces>46116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WPS_1683679649</cp:lastModifiedBy>
  <cp:lastPrinted>2024-12-02T01:44:00Z</cp:lastPrinted>
  <dcterms:modified xsi:type="dcterms:W3CDTF">2025-09-29T08:36:52Z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034BF981AE3A44DEBACA424CAD57466F_13</vt:lpwstr>
  </property>
  <property fmtid="{D5CDD505-2E9C-101B-9397-08002B2CF9AE}" pid="4" name="KSOTemplateDocerSaveRecord">
    <vt:lpwstr>eyJoZGlkIjoiMmJiNTQ0OGI4MzI4NzI1NjFhZDU4YzBmYjZhZmE0ZTkiLCJ1c2VySWQiOiIxNDkyMzg4OTIyIn0=</vt:lpwstr>
  </property>
</Properties>
</file>