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2D9E6">
      <w:pPr>
        <w:tabs>
          <w:tab w:val="left" w:pos="180"/>
        </w:tabs>
        <w:jc w:val="center"/>
        <w:rPr>
          <w:b/>
          <w:color w:val="auto"/>
          <w:sz w:val="72"/>
          <w:szCs w:val="80"/>
        </w:rPr>
      </w:pPr>
    </w:p>
    <w:p w14:paraId="7DA0CE8C">
      <w:pPr>
        <w:tabs>
          <w:tab w:val="left" w:pos="180"/>
        </w:tabs>
        <w:jc w:val="center"/>
        <w:rPr>
          <w:b/>
          <w:color w:val="auto"/>
          <w:sz w:val="72"/>
          <w:szCs w:val="80"/>
        </w:rPr>
      </w:pPr>
      <w:r>
        <w:rPr>
          <w:b/>
          <w:color w:val="auto"/>
          <w:sz w:val="72"/>
          <w:szCs w:val="80"/>
        </w:rPr>
        <w:t>建设项目环境影响报告表</w:t>
      </w:r>
    </w:p>
    <w:p w14:paraId="50DE5BD8">
      <w:pPr>
        <w:adjustRightInd w:val="0"/>
        <w:snapToGrid w:val="0"/>
        <w:spacing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w:t>
      </w:r>
      <w:r>
        <w:rPr>
          <w:rFonts w:hint="eastAsia" w:ascii="楷体_GB2312" w:eastAsia="楷体_GB2312"/>
          <w:bCs/>
          <w:color w:val="auto"/>
          <w:sz w:val="48"/>
          <w:szCs w:val="48"/>
          <w:lang w:eastAsia="zh-CN"/>
        </w:rPr>
        <w:t>污染影响类</w:t>
      </w:r>
      <w:r>
        <w:rPr>
          <w:rFonts w:hint="eastAsia" w:ascii="楷体_GB2312" w:eastAsia="楷体_GB2312"/>
          <w:bCs/>
          <w:color w:val="auto"/>
          <w:sz w:val="48"/>
          <w:szCs w:val="48"/>
        </w:rPr>
        <w:t>）</w:t>
      </w:r>
    </w:p>
    <w:p w14:paraId="3935D90A">
      <w:pPr>
        <w:adjustRightInd w:val="0"/>
        <w:snapToGrid w:val="0"/>
        <w:spacing w:beforeLines="80"/>
        <w:jc w:val="center"/>
        <w:rPr>
          <w:rFonts w:ascii="楷体_GB2312" w:eastAsia="楷体_GB2312"/>
          <w:bCs/>
          <w:color w:val="auto"/>
          <w:sz w:val="48"/>
          <w:szCs w:val="48"/>
        </w:rPr>
      </w:pPr>
      <w:r>
        <w:rPr>
          <w:rFonts w:hint="eastAsia"/>
          <w:b w:val="0"/>
          <w:bCs/>
          <w:color w:val="auto"/>
          <w:sz w:val="48"/>
          <w:szCs w:val="48"/>
          <w:lang w:eastAsia="zh-CN"/>
        </w:rPr>
        <w:t>送审稿</w:t>
      </w:r>
    </w:p>
    <w:p w14:paraId="426A77C7">
      <w:pPr>
        <w:rPr>
          <w:b/>
          <w:color w:val="auto"/>
          <w:sz w:val="36"/>
          <w:szCs w:val="36"/>
        </w:rPr>
      </w:pPr>
    </w:p>
    <w:p w14:paraId="22DAFAF1">
      <w:pPr>
        <w:tabs>
          <w:tab w:val="left" w:pos="7740"/>
          <w:tab w:val="left" w:pos="7920"/>
          <w:tab w:val="left" w:pos="8100"/>
          <w:tab w:val="left" w:pos="8280"/>
          <w:tab w:val="left" w:pos="8640"/>
        </w:tabs>
        <w:ind w:left="718" w:leftChars="342"/>
        <w:rPr>
          <w:b/>
          <w:color w:val="auto"/>
          <w:sz w:val="36"/>
          <w:szCs w:val="36"/>
        </w:rPr>
      </w:pPr>
    </w:p>
    <w:p w14:paraId="25EFA05F">
      <w:pPr>
        <w:tabs>
          <w:tab w:val="left" w:pos="7740"/>
          <w:tab w:val="left" w:pos="7920"/>
          <w:tab w:val="left" w:pos="8100"/>
          <w:tab w:val="left" w:pos="8280"/>
          <w:tab w:val="left" w:pos="8640"/>
        </w:tabs>
        <w:ind w:left="718" w:leftChars="342"/>
        <w:rPr>
          <w:b/>
          <w:color w:val="auto"/>
          <w:sz w:val="36"/>
          <w:szCs w:val="36"/>
        </w:rPr>
      </w:pPr>
    </w:p>
    <w:p w14:paraId="28EDFD14">
      <w:pPr>
        <w:tabs>
          <w:tab w:val="left" w:pos="7740"/>
          <w:tab w:val="left" w:pos="7920"/>
          <w:tab w:val="left" w:pos="8100"/>
          <w:tab w:val="left" w:pos="8280"/>
          <w:tab w:val="left" w:pos="8460"/>
          <w:tab w:val="left" w:pos="8640"/>
          <w:tab w:val="left" w:pos="8820"/>
        </w:tabs>
        <w:jc w:val="left"/>
        <w:rPr>
          <w:b/>
          <w:color w:val="auto"/>
          <w:sz w:val="36"/>
          <w:szCs w:val="36"/>
        </w:rPr>
      </w:pPr>
    </w:p>
    <w:p w14:paraId="7B09251A">
      <w:pPr>
        <w:keepNext w:val="0"/>
        <w:keepLines w:val="0"/>
        <w:pageBreakBefore w:val="0"/>
        <w:widowControl w:val="0"/>
        <w:tabs>
          <w:tab w:val="left" w:pos="7740"/>
          <w:tab w:val="left" w:pos="7920"/>
          <w:tab w:val="left" w:pos="8100"/>
          <w:tab w:val="left" w:pos="8280"/>
          <w:tab w:val="left" w:pos="8460"/>
          <w:tab w:val="left" w:pos="8640"/>
          <w:tab w:val="left" w:pos="8820"/>
        </w:tabs>
        <w:kinsoku/>
        <w:wordWrap/>
        <w:overflowPunct/>
        <w:topLinePunct w:val="0"/>
        <w:autoSpaceDE/>
        <w:autoSpaceDN/>
        <w:bidi w:val="0"/>
        <w:adjustRightInd/>
        <w:snapToGrid/>
        <w:ind w:firstLine="1280" w:firstLineChars="400"/>
        <w:jc w:val="both"/>
        <w:textAlignment w:val="auto"/>
        <w:rPr>
          <w:rFonts w:hint="default"/>
          <w:color w:val="auto"/>
          <w:sz w:val="32"/>
          <w:szCs w:val="36"/>
          <w:u w:val="single"/>
          <w:lang w:val="en-US" w:eastAsia="zh-CN"/>
        </w:rPr>
      </w:pPr>
      <w:r>
        <w:rPr>
          <w:color w:val="auto"/>
          <w:sz w:val="32"/>
          <w:szCs w:val="36"/>
        </w:rPr>
        <w:t>项目名称：</w:t>
      </w:r>
      <w:r>
        <w:rPr>
          <w:rFonts w:hint="eastAsia"/>
          <w:color w:val="auto"/>
          <w:sz w:val="32"/>
          <w:szCs w:val="36"/>
          <w:u w:val="single"/>
          <w:lang w:eastAsia="zh-CN"/>
        </w:rPr>
        <w:t>年产</w:t>
      </w:r>
      <w:r>
        <w:rPr>
          <w:rFonts w:hint="eastAsia"/>
          <w:color w:val="auto"/>
          <w:sz w:val="32"/>
          <w:szCs w:val="36"/>
          <w:u w:val="single"/>
          <w:lang w:val="en-US" w:eastAsia="zh-CN"/>
        </w:rPr>
        <w:t xml:space="preserve">20万套环保材料及环保设备生产基地项目   </w:t>
      </w:r>
    </w:p>
    <w:p w14:paraId="6417649C">
      <w:pPr>
        <w:tabs>
          <w:tab w:val="left" w:pos="7740"/>
          <w:tab w:val="left" w:pos="7920"/>
          <w:tab w:val="left" w:pos="8100"/>
          <w:tab w:val="left" w:pos="8280"/>
          <w:tab w:val="left" w:pos="8460"/>
          <w:tab w:val="left" w:pos="8640"/>
          <w:tab w:val="left" w:pos="8820"/>
        </w:tabs>
        <w:ind w:firstLine="1280" w:firstLineChars="400"/>
        <w:jc w:val="both"/>
        <w:rPr>
          <w:rFonts w:hint="default"/>
          <w:color w:val="auto"/>
          <w:sz w:val="32"/>
          <w:szCs w:val="36"/>
          <w:u w:val="single"/>
          <w:lang w:val="en-US"/>
        </w:rPr>
      </w:pPr>
      <w:r>
        <w:rPr>
          <w:color w:val="auto"/>
          <w:sz w:val="32"/>
          <w:szCs w:val="36"/>
        </w:rPr>
        <w:t>建设单位（盖章）：</w:t>
      </w:r>
      <w:r>
        <w:rPr>
          <w:rFonts w:hint="eastAsia"/>
          <w:color w:val="auto"/>
          <w:sz w:val="32"/>
          <w:szCs w:val="36"/>
          <w:u w:val="single"/>
          <w:lang w:eastAsia="zh-CN"/>
        </w:rPr>
        <w:t>宇格明叶（安徽）环保科技</w:t>
      </w:r>
      <w:r>
        <w:rPr>
          <w:rFonts w:hint="eastAsia"/>
          <w:color w:val="auto"/>
          <w:sz w:val="32"/>
          <w:szCs w:val="36"/>
          <w:u w:val="single"/>
          <w:lang w:val="en-US" w:eastAsia="zh-CN"/>
        </w:rPr>
        <w:t xml:space="preserve">有限公司  </w:t>
      </w:r>
    </w:p>
    <w:p w14:paraId="1C4F56C2">
      <w:pPr>
        <w:ind w:firstLine="1280" w:firstLineChars="400"/>
        <w:jc w:val="both"/>
        <w:rPr>
          <w:rFonts w:hint="default" w:eastAsia="宋体"/>
          <w:color w:val="auto"/>
          <w:sz w:val="36"/>
          <w:szCs w:val="36"/>
          <w:u w:val="single"/>
          <w:lang w:val="en-US" w:eastAsia="zh-CN"/>
        </w:rPr>
      </w:pPr>
      <w:r>
        <w:rPr>
          <w:rFonts w:hint="eastAsia"/>
          <w:color w:val="auto"/>
          <w:sz w:val="32"/>
          <w:szCs w:val="36"/>
        </w:rPr>
        <w:t>编制日期：</w:t>
      </w:r>
      <w:r>
        <w:rPr>
          <w:rFonts w:hint="eastAsia"/>
          <w:color w:val="auto"/>
          <w:sz w:val="32"/>
          <w:szCs w:val="36"/>
          <w:u w:val="single"/>
        </w:rPr>
        <w:t xml:space="preserve"> </w:t>
      </w:r>
      <w:r>
        <w:rPr>
          <w:color w:val="auto"/>
          <w:sz w:val="32"/>
          <w:szCs w:val="36"/>
          <w:u w:val="single"/>
        </w:rPr>
        <w:t xml:space="preserve">          </w:t>
      </w:r>
      <w:r>
        <w:rPr>
          <w:rFonts w:hint="eastAsia"/>
          <w:color w:val="auto"/>
          <w:sz w:val="32"/>
          <w:szCs w:val="36"/>
          <w:u w:val="single"/>
        </w:rPr>
        <w:t xml:space="preserve"> </w:t>
      </w:r>
      <w:r>
        <w:rPr>
          <w:rFonts w:hint="eastAsia"/>
          <w:color w:val="auto"/>
          <w:sz w:val="32"/>
          <w:szCs w:val="36"/>
          <w:u w:val="single"/>
          <w:lang w:val="en-US" w:eastAsia="zh-CN"/>
        </w:rPr>
        <w:t xml:space="preserve">  </w:t>
      </w:r>
      <w:r>
        <w:rPr>
          <w:bCs/>
          <w:snapToGrid w:val="0"/>
          <w:color w:val="auto"/>
          <w:kern w:val="0"/>
          <w:sz w:val="32"/>
          <w:u w:val="single"/>
        </w:rPr>
        <w:t>20</w:t>
      </w:r>
      <w:r>
        <w:rPr>
          <w:rFonts w:hint="eastAsia"/>
          <w:bCs/>
          <w:snapToGrid w:val="0"/>
          <w:color w:val="auto"/>
          <w:kern w:val="0"/>
          <w:sz w:val="32"/>
          <w:u w:val="single"/>
          <w:lang w:val="en-US" w:eastAsia="zh-CN"/>
        </w:rPr>
        <w:t>25</w:t>
      </w:r>
      <w:r>
        <w:rPr>
          <w:bCs/>
          <w:snapToGrid w:val="0"/>
          <w:color w:val="auto"/>
          <w:kern w:val="0"/>
          <w:sz w:val="32"/>
          <w:u w:val="single"/>
        </w:rPr>
        <w:t>年</w:t>
      </w:r>
      <w:r>
        <w:rPr>
          <w:rFonts w:hint="eastAsia"/>
          <w:bCs/>
          <w:snapToGrid w:val="0"/>
          <w:color w:val="auto"/>
          <w:kern w:val="0"/>
          <w:sz w:val="32"/>
          <w:u w:val="single"/>
          <w:lang w:val="en-US" w:eastAsia="zh-CN"/>
        </w:rPr>
        <w:t>9</w:t>
      </w:r>
      <w:r>
        <w:rPr>
          <w:bCs/>
          <w:snapToGrid w:val="0"/>
          <w:color w:val="auto"/>
          <w:kern w:val="0"/>
          <w:sz w:val="32"/>
          <w:u w:val="single"/>
        </w:rPr>
        <w:t>月</w:t>
      </w:r>
      <w:r>
        <w:rPr>
          <w:rFonts w:hint="eastAsia"/>
          <w:bCs/>
          <w:snapToGrid w:val="0"/>
          <w:color w:val="auto"/>
          <w:kern w:val="0"/>
          <w:sz w:val="32"/>
          <w:u w:val="single"/>
          <w:lang w:val="en-US" w:eastAsia="zh-CN"/>
        </w:rPr>
        <w:t xml:space="preserve">                </w:t>
      </w:r>
    </w:p>
    <w:p w14:paraId="79E57696">
      <w:pPr>
        <w:rPr>
          <w:color w:val="auto"/>
          <w:sz w:val="36"/>
          <w:szCs w:val="36"/>
        </w:rPr>
      </w:pPr>
    </w:p>
    <w:p w14:paraId="5341FAE0">
      <w:pPr>
        <w:rPr>
          <w:color w:val="auto"/>
          <w:sz w:val="36"/>
          <w:szCs w:val="36"/>
        </w:rPr>
      </w:pPr>
    </w:p>
    <w:p w14:paraId="02A3AE13">
      <w:pPr>
        <w:rPr>
          <w:color w:val="auto"/>
          <w:sz w:val="36"/>
          <w:szCs w:val="36"/>
        </w:rPr>
      </w:pPr>
    </w:p>
    <w:p w14:paraId="6C72746C">
      <w:pPr>
        <w:rPr>
          <w:color w:val="auto"/>
          <w:sz w:val="36"/>
          <w:szCs w:val="36"/>
        </w:rPr>
      </w:pPr>
    </w:p>
    <w:p w14:paraId="444C71FB">
      <w:pPr>
        <w:rPr>
          <w:color w:val="auto"/>
          <w:sz w:val="36"/>
          <w:szCs w:val="36"/>
        </w:rPr>
      </w:pPr>
    </w:p>
    <w:p w14:paraId="5679AB5F">
      <w:pPr>
        <w:rPr>
          <w:color w:val="auto"/>
          <w:sz w:val="36"/>
          <w:szCs w:val="36"/>
        </w:rPr>
      </w:pPr>
    </w:p>
    <w:p w14:paraId="7FFB3B6D">
      <w:pPr>
        <w:jc w:val="center"/>
        <w:rPr>
          <w:b/>
          <w:color w:val="auto"/>
          <w:sz w:val="32"/>
          <w:szCs w:val="32"/>
        </w:rPr>
      </w:pPr>
      <w:r>
        <w:rPr>
          <w:b/>
          <w:color w:val="auto"/>
          <w:sz w:val="32"/>
          <w:szCs w:val="32"/>
        </w:rPr>
        <w:t>中华人民共和国生态环境部制</w:t>
      </w:r>
    </w:p>
    <w:p w14:paraId="02F35C51">
      <w:pPr>
        <w:pStyle w:val="27"/>
        <w:adjustRightInd w:val="0"/>
        <w:snapToGrid w:val="0"/>
        <w:spacing w:before="0" w:beforeAutospacing="0" w:after="0" w:afterAutospacing="0"/>
        <w:jc w:val="center"/>
        <w:rPr>
          <w:rFonts w:ascii="方正小标宋_GBK" w:hAnsi="黑体" w:eastAsia="方正小标宋_GBK"/>
          <w:bCs/>
          <w:snapToGrid w:val="0"/>
          <w:color w:val="auto"/>
          <w:kern w:val="2"/>
          <w:sz w:val="38"/>
          <w:szCs w:val="38"/>
        </w:rPr>
      </w:pPr>
    </w:p>
    <w:p w14:paraId="172D52FF">
      <w:pPr>
        <w:adjustRightInd w:val="0"/>
        <w:snapToGrid w:val="0"/>
        <w:spacing w:line="355" w:lineRule="auto"/>
        <w:ind w:firstLine="420" w:firstLineChars="200"/>
        <w:rPr>
          <w:rFonts w:ascii="仿宋_GB2312"/>
          <w:color w:val="auto"/>
          <w:szCs w:val="30"/>
        </w:rPr>
      </w:pPr>
    </w:p>
    <w:p w14:paraId="19969AD9">
      <w:pPr>
        <w:pStyle w:val="18"/>
        <w:tabs>
          <w:tab w:val="right" w:leader="dot" w:pos="9345"/>
        </w:tabs>
        <w:jc w:val="center"/>
        <w:rPr>
          <w:rFonts w:hint="eastAsia" w:asciiTheme="majorEastAsia" w:hAnsiTheme="majorEastAsia" w:eastAsiaTheme="majorEastAsia"/>
          <w:b/>
          <w:color w:val="auto"/>
          <w:sz w:val="44"/>
          <w:szCs w:val="44"/>
        </w:rPr>
        <w:sectPr>
          <w:footerReference r:id="rId3" w:type="default"/>
          <w:pgSz w:w="11906" w:h="16838"/>
          <w:pgMar w:top="1440" w:right="1134" w:bottom="1135"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35DE589A">
      <w:pPr>
        <w:pStyle w:val="18"/>
        <w:tabs>
          <w:tab w:val="right" w:leader="dot" w:pos="9345"/>
        </w:tabs>
        <w:jc w:val="center"/>
        <w:rPr>
          <w:rFonts w:hint="eastAsia" w:asciiTheme="majorEastAsia" w:hAnsiTheme="majorEastAsia" w:eastAsiaTheme="majorEastAsia"/>
          <w:b/>
          <w:color w:val="auto"/>
          <w:sz w:val="44"/>
          <w:szCs w:val="44"/>
        </w:rPr>
        <w:sectPr>
          <w:footerReference r:id="rId4" w:type="default"/>
          <w:pgSz w:w="11906" w:h="16838"/>
          <w:pgMar w:top="1440" w:right="1134" w:bottom="1134"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222DC1F">
      <w:pPr>
        <w:pStyle w:val="18"/>
        <w:tabs>
          <w:tab w:val="right" w:leader="dot" w:pos="9345"/>
        </w:tabs>
        <w:jc w:val="center"/>
        <w:rPr>
          <w:rFonts w:asciiTheme="majorEastAsia" w:hAnsiTheme="majorEastAsia" w:eastAsiaTheme="majorEastAsia"/>
          <w:b/>
          <w:color w:val="auto"/>
          <w:sz w:val="44"/>
          <w:szCs w:val="44"/>
        </w:rPr>
      </w:pPr>
      <w:r>
        <w:rPr>
          <w:rFonts w:hint="eastAsia" w:asciiTheme="majorEastAsia" w:hAnsiTheme="majorEastAsia" w:eastAsiaTheme="majorEastAsia"/>
          <w:b/>
          <w:color w:val="auto"/>
          <w:sz w:val="44"/>
          <w:szCs w:val="44"/>
        </w:rPr>
        <w:t>目 录</w:t>
      </w:r>
    </w:p>
    <w:p w14:paraId="58465331">
      <w:pPr>
        <w:pStyle w:val="18"/>
        <w:tabs>
          <w:tab w:val="right" w:leader="dot" w:pos="9355"/>
        </w:tabs>
        <w:rPr>
          <w:color w:val="auto"/>
        </w:rPr>
      </w:pPr>
      <w:r>
        <w:rPr>
          <w:rFonts w:ascii="Times New Roman" w:eastAsia="宋体"/>
          <w:color w:val="auto"/>
        </w:rPr>
        <w:fldChar w:fldCharType="begin"/>
      </w:r>
      <w:r>
        <w:rPr>
          <w:rFonts w:ascii="Times New Roman" w:eastAsia="宋体"/>
          <w:color w:val="auto"/>
        </w:rPr>
        <w:instrText xml:space="preserve"> TOC \o "1-3" \h \z \u </w:instrText>
      </w:r>
      <w:r>
        <w:rPr>
          <w:rFonts w:ascii="Times New Roman" w:eastAsia="宋体"/>
          <w:color w:val="auto"/>
        </w:rPr>
        <w:fldChar w:fldCharType="separate"/>
      </w:r>
      <w:r>
        <w:rPr>
          <w:rFonts w:ascii="Times New Roman" w:eastAsia="宋体"/>
          <w:color w:val="auto"/>
        </w:rPr>
        <w:fldChar w:fldCharType="begin"/>
      </w:r>
      <w:r>
        <w:rPr>
          <w:rFonts w:ascii="Times New Roman" w:eastAsia="宋体"/>
          <w:color w:val="auto"/>
        </w:rPr>
        <w:instrText xml:space="preserve"> HYPERLINK \l _Toc1097 </w:instrText>
      </w:r>
      <w:r>
        <w:rPr>
          <w:rFonts w:ascii="Times New Roman" w:eastAsia="宋体"/>
          <w:color w:val="auto"/>
        </w:rPr>
        <w:fldChar w:fldCharType="separate"/>
      </w:r>
      <w:r>
        <w:rPr>
          <w:color w:val="auto"/>
        </w:rPr>
        <w:t>一、建设项目基本情况</w:t>
      </w:r>
      <w:r>
        <w:rPr>
          <w:color w:val="auto"/>
        </w:rPr>
        <w:tab/>
      </w:r>
      <w:r>
        <w:rPr>
          <w:color w:val="auto"/>
        </w:rPr>
        <w:fldChar w:fldCharType="begin"/>
      </w:r>
      <w:r>
        <w:rPr>
          <w:color w:val="auto"/>
        </w:rPr>
        <w:instrText xml:space="preserve"> PAGEREF _Toc1097 \h </w:instrText>
      </w:r>
      <w:r>
        <w:rPr>
          <w:color w:val="auto"/>
        </w:rPr>
        <w:fldChar w:fldCharType="separate"/>
      </w:r>
      <w:r>
        <w:rPr>
          <w:color w:val="auto"/>
        </w:rPr>
        <w:t>1</w:t>
      </w:r>
      <w:r>
        <w:rPr>
          <w:color w:val="auto"/>
        </w:rPr>
        <w:fldChar w:fldCharType="end"/>
      </w:r>
      <w:r>
        <w:rPr>
          <w:rFonts w:ascii="Times New Roman" w:eastAsia="宋体"/>
          <w:color w:val="auto"/>
        </w:rPr>
        <w:fldChar w:fldCharType="end"/>
      </w:r>
    </w:p>
    <w:p w14:paraId="31AD8397">
      <w:pPr>
        <w:pStyle w:val="18"/>
        <w:tabs>
          <w:tab w:val="right" w:leader="dot" w:pos="9355"/>
        </w:tabs>
        <w:rPr>
          <w:color w:val="auto"/>
        </w:rPr>
      </w:pPr>
      <w:r>
        <w:rPr>
          <w:color w:val="auto"/>
        </w:rPr>
        <w:fldChar w:fldCharType="begin"/>
      </w:r>
      <w:r>
        <w:rPr>
          <w:color w:val="auto"/>
        </w:rPr>
        <w:instrText xml:space="preserve"> HYPERLINK \l _Toc11759 </w:instrText>
      </w:r>
      <w:r>
        <w:rPr>
          <w:color w:val="auto"/>
        </w:rPr>
        <w:fldChar w:fldCharType="separate"/>
      </w:r>
      <w:r>
        <w:rPr>
          <w:snapToGrid w:val="0"/>
          <w:color w:val="auto"/>
        </w:rPr>
        <w:t>二、建设项目工程分析</w:t>
      </w:r>
      <w:r>
        <w:rPr>
          <w:color w:val="auto"/>
        </w:rPr>
        <w:tab/>
      </w:r>
      <w:r>
        <w:rPr>
          <w:color w:val="auto"/>
        </w:rPr>
        <w:fldChar w:fldCharType="begin"/>
      </w:r>
      <w:r>
        <w:rPr>
          <w:color w:val="auto"/>
        </w:rPr>
        <w:instrText xml:space="preserve"> PAGEREF _Toc11759 \h </w:instrText>
      </w:r>
      <w:r>
        <w:rPr>
          <w:color w:val="auto"/>
        </w:rPr>
        <w:fldChar w:fldCharType="separate"/>
      </w:r>
      <w:r>
        <w:rPr>
          <w:color w:val="auto"/>
        </w:rPr>
        <w:t>17</w:t>
      </w:r>
      <w:r>
        <w:rPr>
          <w:color w:val="auto"/>
        </w:rPr>
        <w:fldChar w:fldCharType="end"/>
      </w:r>
      <w:r>
        <w:rPr>
          <w:color w:val="auto"/>
        </w:rPr>
        <w:fldChar w:fldCharType="end"/>
      </w:r>
    </w:p>
    <w:p w14:paraId="021D8F1F">
      <w:pPr>
        <w:pStyle w:val="18"/>
        <w:tabs>
          <w:tab w:val="right" w:leader="dot" w:pos="9355"/>
        </w:tabs>
        <w:rPr>
          <w:color w:val="auto"/>
        </w:rPr>
      </w:pPr>
      <w:r>
        <w:rPr>
          <w:color w:val="auto"/>
        </w:rPr>
        <w:fldChar w:fldCharType="begin"/>
      </w:r>
      <w:r>
        <w:rPr>
          <w:color w:val="auto"/>
        </w:rPr>
        <w:instrText xml:space="preserve"> HYPERLINK \l _Toc21007 </w:instrText>
      </w:r>
      <w:r>
        <w:rPr>
          <w:color w:val="auto"/>
        </w:rPr>
        <w:fldChar w:fldCharType="separate"/>
      </w:r>
      <w:r>
        <w:rPr>
          <w:snapToGrid w:val="0"/>
          <w:color w:val="auto"/>
        </w:rPr>
        <w:t>三、区域环境质量现状、环境保护目标及评价标准</w:t>
      </w:r>
      <w:r>
        <w:rPr>
          <w:color w:val="auto"/>
        </w:rPr>
        <w:tab/>
      </w:r>
      <w:r>
        <w:rPr>
          <w:color w:val="auto"/>
        </w:rPr>
        <w:fldChar w:fldCharType="begin"/>
      </w:r>
      <w:r>
        <w:rPr>
          <w:color w:val="auto"/>
        </w:rPr>
        <w:instrText xml:space="preserve"> PAGEREF _Toc21007 \h </w:instrText>
      </w:r>
      <w:r>
        <w:rPr>
          <w:color w:val="auto"/>
        </w:rPr>
        <w:fldChar w:fldCharType="separate"/>
      </w:r>
      <w:r>
        <w:rPr>
          <w:color w:val="auto"/>
        </w:rPr>
        <w:t>24</w:t>
      </w:r>
      <w:r>
        <w:rPr>
          <w:color w:val="auto"/>
        </w:rPr>
        <w:fldChar w:fldCharType="end"/>
      </w:r>
      <w:r>
        <w:rPr>
          <w:color w:val="auto"/>
        </w:rPr>
        <w:fldChar w:fldCharType="end"/>
      </w:r>
    </w:p>
    <w:p w14:paraId="125AFFC4">
      <w:pPr>
        <w:pStyle w:val="18"/>
        <w:tabs>
          <w:tab w:val="right" w:leader="dot" w:pos="9355"/>
        </w:tabs>
        <w:rPr>
          <w:color w:val="auto"/>
        </w:rPr>
      </w:pPr>
      <w:r>
        <w:rPr>
          <w:color w:val="auto"/>
        </w:rPr>
        <w:fldChar w:fldCharType="begin"/>
      </w:r>
      <w:r>
        <w:rPr>
          <w:color w:val="auto"/>
        </w:rPr>
        <w:instrText xml:space="preserve"> HYPERLINK \l _Toc4713 </w:instrText>
      </w:r>
      <w:r>
        <w:rPr>
          <w:color w:val="auto"/>
        </w:rPr>
        <w:fldChar w:fldCharType="separate"/>
      </w:r>
      <w:r>
        <w:rPr>
          <w:rFonts w:hint="eastAsia"/>
          <w:snapToGrid w:val="0"/>
          <w:color w:val="auto"/>
        </w:rPr>
        <w:t>四、主要环境影响和保护措施</w:t>
      </w:r>
      <w:r>
        <w:rPr>
          <w:color w:val="auto"/>
        </w:rPr>
        <w:tab/>
      </w:r>
      <w:r>
        <w:rPr>
          <w:color w:val="auto"/>
        </w:rPr>
        <w:fldChar w:fldCharType="begin"/>
      </w:r>
      <w:r>
        <w:rPr>
          <w:color w:val="auto"/>
        </w:rPr>
        <w:instrText xml:space="preserve"> PAGEREF _Toc4713 \h </w:instrText>
      </w:r>
      <w:r>
        <w:rPr>
          <w:color w:val="auto"/>
        </w:rPr>
        <w:fldChar w:fldCharType="separate"/>
      </w:r>
      <w:r>
        <w:rPr>
          <w:color w:val="auto"/>
        </w:rPr>
        <w:t>31</w:t>
      </w:r>
      <w:r>
        <w:rPr>
          <w:color w:val="auto"/>
        </w:rPr>
        <w:fldChar w:fldCharType="end"/>
      </w:r>
      <w:r>
        <w:rPr>
          <w:color w:val="auto"/>
        </w:rPr>
        <w:fldChar w:fldCharType="end"/>
      </w:r>
    </w:p>
    <w:p w14:paraId="23E1B45C">
      <w:pPr>
        <w:pStyle w:val="18"/>
        <w:tabs>
          <w:tab w:val="right" w:leader="dot" w:pos="9355"/>
        </w:tabs>
        <w:rPr>
          <w:color w:val="auto"/>
        </w:rPr>
      </w:pPr>
      <w:r>
        <w:rPr>
          <w:color w:val="auto"/>
        </w:rPr>
        <w:fldChar w:fldCharType="begin"/>
      </w:r>
      <w:r>
        <w:rPr>
          <w:color w:val="auto"/>
        </w:rPr>
        <w:instrText xml:space="preserve"> HYPERLINK \l _Toc32217 </w:instrText>
      </w:r>
      <w:r>
        <w:rPr>
          <w:color w:val="auto"/>
        </w:rPr>
        <w:fldChar w:fldCharType="separate"/>
      </w:r>
      <w:r>
        <w:rPr>
          <w:rFonts w:hint="eastAsia"/>
          <w:snapToGrid w:val="0"/>
          <w:color w:val="auto"/>
        </w:rPr>
        <w:t>五、环境保护措施监督检查清单</w:t>
      </w:r>
      <w:r>
        <w:rPr>
          <w:color w:val="auto"/>
        </w:rPr>
        <w:tab/>
      </w:r>
      <w:r>
        <w:rPr>
          <w:color w:val="auto"/>
        </w:rPr>
        <w:fldChar w:fldCharType="begin"/>
      </w:r>
      <w:r>
        <w:rPr>
          <w:color w:val="auto"/>
        </w:rPr>
        <w:instrText xml:space="preserve"> PAGEREF _Toc32217 \h </w:instrText>
      </w:r>
      <w:r>
        <w:rPr>
          <w:color w:val="auto"/>
        </w:rPr>
        <w:fldChar w:fldCharType="separate"/>
      </w:r>
      <w:r>
        <w:rPr>
          <w:color w:val="auto"/>
        </w:rPr>
        <w:t>55</w:t>
      </w:r>
      <w:r>
        <w:rPr>
          <w:color w:val="auto"/>
        </w:rPr>
        <w:fldChar w:fldCharType="end"/>
      </w:r>
      <w:r>
        <w:rPr>
          <w:color w:val="auto"/>
        </w:rPr>
        <w:fldChar w:fldCharType="end"/>
      </w:r>
    </w:p>
    <w:p w14:paraId="6AA52ECD">
      <w:pPr>
        <w:pStyle w:val="18"/>
        <w:tabs>
          <w:tab w:val="right" w:leader="dot" w:pos="9355"/>
        </w:tabs>
        <w:rPr>
          <w:color w:val="auto"/>
        </w:rPr>
      </w:pPr>
      <w:r>
        <w:rPr>
          <w:color w:val="auto"/>
        </w:rPr>
        <w:fldChar w:fldCharType="begin"/>
      </w:r>
      <w:r>
        <w:rPr>
          <w:color w:val="auto"/>
        </w:rPr>
        <w:instrText xml:space="preserve"> HYPERLINK \l _Toc12327 </w:instrText>
      </w:r>
      <w:r>
        <w:rPr>
          <w:color w:val="auto"/>
        </w:rPr>
        <w:fldChar w:fldCharType="separate"/>
      </w:r>
      <w:r>
        <w:rPr>
          <w:rFonts w:hint="eastAsia"/>
          <w:snapToGrid w:val="0"/>
          <w:color w:val="auto"/>
          <w:lang w:eastAsia="zh-CN"/>
        </w:rPr>
        <w:t>六、</w:t>
      </w:r>
      <w:r>
        <w:rPr>
          <w:rFonts w:hint="eastAsia"/>
          <w:snapToGrid w:val="0"/>
          <w:color w:val="auto"/>
        </w:rPr>
        <w:t>结论</w:t>
      </w:r>
      <w:r>
        <w:rPr>
          <w:color w:val="auto"/>
        </w:rPr>
        <w:tab/>
      </w:r>
      <w:r>
        <w:rPr>
          <w:color w:val="auto"/>
        </w:rPr>
        <w:fldChar w:fldCharType="begin"/>
      </w:r>
      <w:r>
        <w:rPr>
          <w:color w:val="auto"/>
        </w:rPr>
        <w:instrText xml:space="preserve"> PAGEREF _Toc12327 \h </w:instrText>
      </w:r>
      <w:r>
        <w:rPr>
          <w:color w:val="auto"/>
        </w:rPr>
        <w:fldChar w:fldCharType="separate"/>
      </w:r>
      <w:r>
        <w:rPr>
          <w:color w:val="auto"/>
        </w:rPr>
        <w:t>56</w:t>
      </w:r>
      <w:r>
        <w:rPr>
          <w:color w:val="auto"/>
        </w:rPr>
        <w:fldChar w:fldCharType="end"/>
      </w:r>
      <w:r>
        <w:rPr>
          <w:color w:val="auto"/>
        </w:rPr>
        <w:fldChar w:fldCharType="end"/>
      </w:r>
    </w:p>
    <w:p w14:paraId="3C370427">
      <w:pPr>
        <w:keepNext w:val="0"/>
        <w:keepLines w:val="0"/>
        <w:pageBreakBefore w:val="0"/>
        <w:widowControl w:val="0"/>
        <w:kinsoku/>
        <w:wordWrap/>
        <w:overflowPunct/>
        <w:topLinePunct w:val="0"/>
        <w:autoSpaceDE/>
        <w:autoSpaceDN/>
        <w:bidi w:val="0"/>
        <w:adjustRightInd w:val="0"/>
        <w:snapToGrid w:val="0"/>
        <w:spacing w:line="400" w:lineRule="atLeast"/>
        <w:ind w:firstLine="0" w:firstLineChars="0"/>
        <w:jc w:val="both"/>
        <w:textAlignment w:val="auto"/>
        <w:rPr>
          <w:rFonts w:hint="default" w:ascii="Times New Roman" w:hAnsi="Times New Roman" w:eastAsia="宋体" w:cs="Times New Roman"/>
          <w:b/>
          <w:color w:val="auto"/>
          <w:kern w:val="2"/>
          <w:sz w:val="21"/>
          <w:szCs w:val="21"/>
        </w:rPr>
      </w:pPr>
      <w:r>
        <w:rPr>
          <w:color w:val="auto"/>
        </w:rPr>
        <w:fldChar w:fldCharType="end"/>
      </w:r>
      <w:r>
        <w:rPr>
          <w:rFonts w:hint="default" w:ascii="Times New Roman" w:hAnsi="Times New Roman" w:eastAsia="宋体" w:cs="Times New Roman"/>
          <w:b/>
          <w:color w:val="auto"/>
          <w:kern w:val="2"/>
          <w:sz w:val="21"/>
          <w:szCs w:val="21"/>
        </w:rPr>
        <w:t>附件：</w:t>
      </w:r>
    </w:p>
    <w:p w14:paraId="4FE40A7C">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aps w:val="0"/>
          <w:color w:val="auto"/>
          <w:sz w:val="21"/>
          <w:szCs w:val="21"/>
        </w:rPr>
      </w:pPr>
      <w:r>
        <w:rPr>
          <w:rFonts w:hint="default" w:ascii="Times New Roman" w:hAnsi="Times New Roman" w:eastAsia="宋体" w:cs="Times New Roman"/>
          <w:b w:val="0"/>
          <w:bCs w:val="0"/>
          <w:caps w:val="0"/>
          <w:color w:val="auto"/>
          <w:sz w:val="21"/>
          <w:szCs w:val="21"/>
        </w:rPr>
        <w:t xml:space="preserve">附件1 </w:t>
      </w:r>
      <w:r>
        <w:rPr>
          <w:rFonts w:hint="default" w:ascii="Times New Roman" w:hAnsi="Times New Roman" w:eastAsia="宋体" w:cs="Times New Roman"/>
          <w:b w:val="0"/>
          <w:bCs w:val="0"/>
          <w:caps w:val="0"/>
          <w:color w:val="auto"/>
          <w:sz w:val="21"/>
          <w:szCs w:val="21"/>
          <w:lang w:val="en-US" w:eastAsia="zh-CN"/>
        </w:rPr>
        <w:t xml:space="preserve"> </w:t>
      </w:r>
      <w:r>
        <w:rPr>
          <w:rFonts w:hint="default" w:ascii="Times New Roman" w:hAnsi="Times New Roman" w:eastAsia="宋体" w:cs="Times New Roman"/>
          <w:b w:val="0"/>
          <w:bCs w:val="0"/>
          <w:caps w:val="0"/>
          <w:color w:val="auto"/>
          <w:sz w:val="21"/>
          <w:szCs w:val="21"/>
        </w:rPr>
        <w:t>项目委托书</w:t>
      </w:r>
    </w:p>
    <w:p w14:paraId="10C9DFCC">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olor w:val="auto"/>
          <w:sz w:val="21"/>
          <w:szCs w:val="21"/>
        </w:rPr>
      </w:pPr>
      <w:bookmarkStart w:id="0" w:name="_Toc10827"/>
      <w:r>
        <w:rPr>
          <w:rFonts w:hint="default" w:ascii="Times New Roman" w:hAnsi="Times New Roman" w:eastAsia="宋体" w:cs="Times New Roman"/>
          <w:b w:val="0"/>
          <w:bCs w:val="0"/>
          <w:caps w:val="0"/>
          <w:color w:val="auto"/>
          <w:sz w:val="21"/>
          <w:szCs w:val="21"/>
        </w:rPr>
        <w:t xml:space="preserve">附件2 </w:t>
      </w:r>
      <w:r>
        <w:rPr>
          <w:rFonts w:hint="default" w:ascii="Times New Roman" w:hAnsi="Times New Roman" w:eastAsia="宋体" w:cs="Times New Roman"/>
          <w:b w:val="0"/>
          <w:bCs w:val="0"/>
          <w:cap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项目备案表</w:t>
      </w:r>
      <w:bookmarkEnd w:id="0"/>
    </w:p>
    <w:p w14:paraId="68AF7CFA">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 xml:space="preserve">附件3 </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eastAsia="zh-CN"/>
        </w:rPr>
        <w:t>营业执照</w:t>
      </w:r>
    </w:p>
    <w:p w14:paraId="02C65631">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olor w:val="auto"/>
          <w:sz w:val="21"/>
          <w:szCs w:val="21"/>
        </w:rPr>
      </w:pPr>
      <w:bookmarkStart w:id="1" w:name="_Toc25883"/>
      <w:r>
        <w:rPr>
          <w:rFonts w:hint="default" w:ascii="Times New Roman" w:hAnsi="Times New Roman" w:eastAsia="宋体" w:cs="Times New Roman"/>
          <w:b w:val="0"/>
          <w:bCs w:val="0"/>
          <w:color w:val="auto"/>
          <w:sz w:val="21"/>
          <w:szCs w:val="21"/>
        </w:rPr>
        <w:t xml:space="preserve">附件4 </w:t>
      </w:r>
      <w:r>
        <w:rPr>
          <w:rFonts w:hint="default" w:ascii="Times New Roman" w:hAnsi="Times New Roman" w:eastAsia="宋体" w:cs="Times New Roman"/>
          <w:b w:val="0"/>
          <w:bCs w:val="0"/>
          <w:color w:val="auto"/>
          <w:sz w:val="21"/>
          <w:szCs w:val="21"/>
          <w:lang w:val="en-US" w:eastAsia="zh-CN"/>
        </w:rPr>
        <w:t xml:space="preserve"> 土地</w:t>
      </w:r>
      <w:bookmarkEnd w:id="1"/>
      <w:r>
        <w:rPr>
          <w:rFonts w:hint="default" w:ascii="Times New Roman" w:hAnsi="Times New Roman" w:eastAsia="宋体" w:cs="Times New Roman"/>
          <w:b w:val="0"/>
          <w:bCs w:val="0"/>
          <w:color w:val="auto"/>
          <w:sz w:val="21"/>
          <w:szCs w:val="21"/>
          <w:lang w:val="en-US" w:eastAsia="zh-CN"/>
        </w:rPr>
        <w:t>证</w:t>
      </w:r>
    </w:p>
    <w:p w14:paraId="01CDF317">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olor w:val="auto"/>
          <w:sz w:val="21"/>
          <w:szCs w:val="21"/>
          <w:lang w:val="en-US" w:eastAsia="zh-CN"/>
        </w:rPr>
      </w:pPr>
      <w:bookmarkStart w:id="2" w:name="_Toc32324"/>
      <w:r>
        <w:rPr>
          <w:rFonts w:hint="default" w:ascii="Times New Roman" w:hAnsi="Times New Roman" w:eastAsia="宋体" w:cs="Times New Roman"/>
          <w:b w:val="0"/>
          <w:bCs w:val="0"/>
          <w:color w:val="auto"/>
          <w:sz w:val="21"/>
          <w:szCs w:val="21"/>
          <w:lang w:val="en-US" w:eastAsia="zh-CN"/>
        </w:rPr>
        <w:t>附件5  投资合同</w:t>
      </w:r>
    </w:p>
    <w:p w14:paraId="75350CB3">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 xml:space="preserve">附件6  </w:t>
      </w:r>
      <w:r>
        <w:rPr>
          <w:rFonts w:hint="default" w:ascii="Times New Roman" w:hAnsi="Times New Roman" w:eastAsia="宋体" w:cs="Times New Roman"/>
          <w:b w:val="0"/>
          <w:bCs w:val="0"/>
          <w:color w:val="auto"/>
          <w:sz w:val="21"/>
          <w:szCs w:val="21"/>
          <w:lang w:val="en-US" w:eastAsia="zh-CN"/>
        </w:rPr>
        <w:t>规划环评审查意见</w:t>
      </w:r>
    </w:p>
    <w:p w14:paraId="1E9AF1ED">
      <w:pPr>
        <w:keepNext w:val="0"/>
        <w:keepLines w:val="0"/>
        <w:pageBreakBefore w:val="0"/>
        <w:widowControl/>
        <w:kinsoku/>
        <w:wordWrap/>
        <w:overflowPunct/>
        <w:topLinePunct w:val="0"/>
        <w:autoSpaceDE/>
        <w:autoSpaceDN/>
        <w:bidi w:val="0"/>
        <w:adjustRightInd/>
        <w:snapToGrid/>
        <w:spacing w:line="400" w:lineRule="atLeast"/>
        <w:ind w:firstLine="420" w:firstLineChars="20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附件</w:t>
      </w:r>
      <w:r>
        <w:rPr>
          <w:rFonts w:hint="eastAsia" w:cs="Times New Roman"/>
          <w:b w:val="0"/>
          <w:bCs w:val="0"/>
          <w:color w:val="auto"/>
          <w:sz w:val="21"/>
          <w:szCs w:val="21"/>
          <w:lang w:val="en-US" w:eastAsia="zh-CN"/>
        </w:rPr>
        <w:t>7</w:t>
      </w:r>
      <w:r>
        <w:rPr>
          <w:rFonts w:hint="default" w:ascii="Times New Roman" w:hAnsi="Times New Roman" w:eastAsia="宋体" w:cs="Times New Roman"/>
          <w:b w:val="0"/>
          <w:bCs w:val="0"/>
          <w:color w:val="auto"/>
          <w:sz w:val="21"/>
          <w:szCs w:val="21"/>
          <w:lang w:val="en-US" w:eastAsia="zh-CN"/>
        </w:rPr>
        <w:t xml:space="preserve">  </w:t>
      </w:r>
      <w:r>
        <w:rPr>
          <w:rFonts w:hint="eastAsia" w:cs="Times New Roman"/>
          <w:b w:val="0"/>
          <w:bCs w:val="0"/>
          <w:color w:val="auto"/>
          <w:sz w:val="21"/>
          <w:szCs w:val="21"/>
          <w:lang w:val="en-US" w:eastAsia="zh-CN"/>
        </w:rPr>
        <w:t>TSP、非甲烷总烃</w:t>
      </w:r>
      <w:r>
        <w:rPr>
          <w:rFonts w:hint="default" w:ascii="Times New Roman" w:hAnsi="Times New Roman" w:eastAsia="宋体" w:cs="Times New Roman"/>
          <w:b w:val="0"/>
          <w:bCs w:val="0"/>
          <w:color w:val="auto"/>
          <w:sz w:val="21"/>
          <w:szCs w:val="21"/>
          <w:lang w:val="en-US" w:eastAsia="zh-CN"/>
        </w:rPr>
        <w:t>检测报告</w:t>
      </w:r>
    </w:p>
    <w:bookmarkEnd w:id="2"/>
    <w:p w14:paraId="7061E666">
      <w:pPr>
        <w:keepNext w:val="0"/>
        <w:keepLines w:val="0"/>
        <w:pageBreakBefore w:val="0"/>
        <w:widowControl w:val="0"/>
        <w:kinsoku/>
        <w:wordWrap/>
        <w:overflowPunct/>
        <w:topLinePunct w:val="0"/>
        <w:autoSpaceDE/>
        <w:autoSpaceDN/>
        <w:bidi w:val="0"/>
        <w:adjustRightInd w:val="0"/>
        <w:snapToGrid w:val="0"/>
        <w:spacing w:line="400" w:lineRule="atLeast"/>
        <w:ind w:firstLine="0" w:firstLineChars="0"/>
        <w:jc w:val="both"/>
        <w:textAlignment w:val="auto"/>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附图：</w:t>
      </w:r>
    </w:p>
    <w:p w14:paraId="6C3B440B">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附图1  项目地理位置图</w:t>
      </w:r>
    </w:p>
    <w:p w14:paraId="118FBFBE">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附图2  项目在安徽固镇经济开发区总体发展规划（2024-2035年）用地布局规划图中位置</w:t>
      </w:r>
    </w:p>
    <w:p w14:paraId="608205F8">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附图3  项目在安徽固镇经济开发区总体发展规划（2024-2035年）产业布局规划图中位置</w:t>
      </w:r>
    </w:p>
    <w:p w14:paraId="7EE7B785">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附图4  项目环境保护目标分布图</w:t>
      </w:r>
    </w:p>
    <w:p w14:paraId="159EDA96">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附图5  平面布置图</w:t>
      </w:r>
    </w:p>
    <w:p w14:paraId="526A5D81">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附图6  分区防渗图</w:t>
      </w:r>
    </w:p>
    <w:p w14:paraId="78B24636">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附图7  蚌埠市生态保护红线图</w:t>
      </w:r>
    </w:p>
    <w:p w14:paraId="3FBC84DA">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附图8 </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蚌埠市大气环境分区管控图</w:t>
      </w:r>
    </w:p>
    <w:p w14:paraId="1C907591">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附图9 </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蚌埠市水环境分区管控图</w:t>
      </w:r>
    </w:p>
    <w:p w14:paraId="7B0984FC">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附图10 蚌埠市土壤环境风险分区管控图</w:t>
      </w:r>
    </w:p>
    <w:p w14:paraId="430118A1">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附图11 项目在固镇经济开发区（北区）三区三线划定成果相对位置示意图</w:t>
      </w:r>
    </w:p>
    <w:p w14:paraId="6B76DCDF">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pacing w:val="0"/>
          <w:w w:val="100"/>
          <w:position w:val="0"/>
          <w:sz w:val="21"/>
          <w:szCs w:val="21"/>
          <w:u w:val="none"/>
          <w:lang w:val="en-US" w:eastAsia="zh-CN" w:bidi="en-US"/>
        </w:rPr>
        <w:t>附图12</w:t>
      </w:r>
      <w:r>
        <w:rPr>
          <w:rFonts w:hint="default" w:ascii="Times New Roman" w:hAnsi="Times New Roman" w:eastAsia="宋体" w:cs="Times New Roman"/>
          <w:b w:val="0"/>
          <w:bCs w:val="0"/>
          <w:color w:val="auto"/>
          <w:spacing w:val="0"/>
          <w:w w:val="100"/>
          <w:position w:val="0"/>
          <w:sz w:val="21"/>
          <w:szCs w:val="21"/>
          <w:u w:val="none"/>
          <w:lang w:val="en-US" w:eastAsia="zh-CN" w:bidi="en-US"/>
        </w:rPr>
        <w:t xml:space="preserve"> 项目与蚌埠市三区三线划定成果相对位置示意</w:t>
      </w:r>
      <w:r>
        <w:rPr>
          <w:rFonts w:hint="eastAsia" w:ascii="Times New Roman" w:hAnsi="Times New Roman" w:eastAsia="宋体" w:cs="Times New Roman"/>
          <w:b w:val="0"/>
          <w:bCs w:val="0"/>
          <w:color w:val="auto"/>
          <w:spacing w:val="0"/>
          <w:w w:val="100"/>
          <w:position w:val="0"/>
          <w:sz w:val="21"/>
          <w:szCs w:val="21"/>
          <w:u w:val="none"/>
          <w:lang w:val="en-US" w:eastAsia="zh-CN" w:bidi="en-US"/>
        </w:rPr>
        <w:t>图</w:t>
      </w:r>
      <w:r>
        <w:rPr>
          <w:rFonts w:hint="eastAsia" w:cs="Times New Roman"/>
          <w:b w:val="0"/>
          <w:bCs w:val="0"/>
          <w:color w:val="auto"/>
          <w:sz w:val="21"/>
          <w:szCs w:val="21"/>
          <w:lang w:val="en-US" w:eastAsia="zh-CN"/>
        </w:rPr>
        <w:t xml:space="preserve"> </w:t>
      </w:r>
    </w:p>
    <w:p w14:paraId="11A01B01">
      <w:pPr>
        <w:pStyle w:val="13"/>
        <w:spacing w:line="360" w:lineRule="auto"/>
        <w:rPr>
          <w:rFonts w:hint="eastAsia" w:eastAsia="宋体"/>
          <w:color w:val="auto"/>
          <w:lang w:val="en-US" w:eastAsia="zh-CN"/>
        </w:rPr>
        <w:sectPr>
          <w:pgSz w:w="11906" w:h="16838"/>
          <w:pgMar w:top="1440" w:right="1134" w:bottom="1134"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91AAF5F">
      <w:pPr>
        <w:pStyle w:val="28"/>
        <w:rPr>
          <w:color w:val="auto"/>
          <w:sz w:val="28"/>
          <w:szCs w:val="20"/>
        </w:rPr>
      </w:pPr>
      <w:bookmarkStart w:id="3" w:name="_Toc1097"/>
      <w:bookmarkStart w:id="4" w:name="_Toc27601"/>
      <w:r>
        <w:rPr>
          <w:color w:val="auto"/>
        </w:rPr>
        <w:t>一、建设项目基本情况</w:t>
      </w:r>
      <w:bookmarkEnd w:id="3"/>
      <w:bookmarkEnd w:id="4"/>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61"/>
        <w:gridCol w:w="2024"/>
        <w:gridCol w:w="3592"/>
      </w:tblGrid>
      <w:tr w14:paraId="1B7D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73626F8D">
            <w:pPr>
              <w:ind w:left="-14"/>
              <w:jc w:val="center"/>
              <w:rPr>
                <w:color w:val="auto"/>
                <w:sz w:val="24"/>
                <w:szCs w:val="24"/>
              </w:rPr>
            </w:pPr>
            <w:r>
              <w:rPr>
                <w:color w:val="auto"/>
                <w:sz w:val="24"/>
                <w:szCs w:val="24"/>
              </w:rPr>
              <w:t>项目名称</w:t>
            </w:r>
          </w:p>
        </w:tc>
        <w:tc>
          <w:tcPr>
            <w:tcW w:w="7777" w:type="dxa"/>
            <w:gridSpan w:val="3"/>
            <w:vAlign w:val="center"/>
          </w:tcPr>
          <w:p w14:paraId="25D2DEE6">
            <w:pPr>
              <w:pStyle w:val="44"/>
              <w:rPr>
                <w:rFonts w:hint="default" w:ascii="Times New Roman" w:hAnsi="Times New Roman"/>
                <w:color w:val="auto"/>
                <w:sz w:val="24"/>
                <w:szCs w:val="24"/>
                <w:lang w:val="en-US"/>
              </w:rPr>
            </w:pPr>
            <w:r>
              <w:rPr>
                <w:rFonts w:hint="eastAsia" w:ascii="Times New Roman" w:hAnsi="Times New Roman"/>
                <w:color w:val="auto"/>
                <w:sz w:val="24"/>
                <w:szCs w:val="24"/>
                <w:lang w:val="en-US" w:eastAsia="zh-CN"/>
              </w:rPr>
              <w:t>年产20万套环保材料及环保设备生产基地项目</w:t>
            </w:r>
          </w:p>
        </w:tc>
      </w:tr>
      <w:tr w14:paraId="29FA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691" w:type="dxa"/>
            <w:vAlign w:val="center"/>
          </w:tcPr>
          <w:p w14:paraId="317E79DA">
            <w:pPr>
              <w:ind w:left="-14"/>
              <w:jc w:val="center"/>
              <w:rPr>
                <w:color w:val="auto"/>
                <w:sz w:val="24"/>
                <w:szCs w:val="24"/>
              </w:rPr>
            </w:pPr>
            <w:r>
              <w:rPr>
                <w:rFonts w:hint="eastAsia"/>
                <w:color w:val="auto"/>
                <w:sz w:val="24"/>
                <w:szCs w:val="24"/>
              </w:rPr>
              <w:t>项目代码</w:t>
            </w:r>
          </w:p>
        </w:tc>
        <w:tc>
          <w:tcPr>
            <w:tcW w:w="7777" w:type="dxa"/>
            <w:gridSpan w:val="3"/>
            <w:vAlign w:val="center"/>
          </w:tcPr>
          <w:p w14:paraId="102062E9">
            <w:pPr>
              <w:pStyle w:val="4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w:t>
            </w:r>
            <w:r>
              <w:rPr>
                <w:rFonts w:hint="eastAsia" w:ascii="Times New Roman" w:hAnsi="Times New Roman" w:cs="Times New Roman"/>
                <w:color w:val="auto"/>
                <w:sz w:val="24"/>
                <w:szCs w:val="24"/>
                <w:lang w:val="en-US" w:eastAsia="zh-CN"/>
              </w:rPr>
              <w:t>503</w:t>
            </w:r>
            <w:r>
              <w:rPr>
                <w:rFonts w:hint="default" w:ascii="Times New Roman" w:hAnsi="Times New Roman" w:eastAsia="宋体" w:cs="Times New Roman"/>
                <w:color w:val="auto"/>
                <w:sz w:val="24"/>
                <w:szCs w:val="24"/>
              </w:rPr>
              <w:t>-3403</w:t>
            </w:r>
            <w:r>
              <w:rPr>
                <w:rFonts w:hint="eastAsia"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rPr>
              <w:t>-04-0</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464464</w:t>
            </w:r>
          </w:p>
        </w:tc>
      </w:tr>
      <w:tr w14:paraId="27B8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408A94C9">
            <w:pPr>
              <w:ind w:left="-14"/>
              <w:jc w:val="center"/>
              <w:rPr>
                <w:color w:val="auto"/>
                <w:sz w:val="24"/>
                <w:szCs w:val="24"/>
              </w:rPr>
            </w:pPr>
            <w:r>
              <w:rPr>
                <w:rFonts w:hint="eastAsia"/>
                <w:color w:val="auto"/>
                <w:sz w:val="24"/>
                <w:szCs w:val="24"/>
              </w:rPr>
              <w:t>建设单位联系人</w:t>
            </w:r>
          </w:p>
        </w:tc>
        <w:tc>
          <w:tcPr>
            <w:tcW w:w="2161" w:type="dxa"/>
            <w:vAlign w:val="center"/>
          </w:tcPr>
          <w:p w14:paraId="50AF68ED">
            <w:pPr>
              <w:pStyle w:val="44"/>
              <w:spacing w:before="0" w:after="0"/>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单大伟</w:t>
            </w:r>
          </w:p>
        </w:tc>
        <w:tc>
          <w:tcPr>
            <w:tcW w:w="2024" w:type="dxa"/>
            <w:vAlign w:val="center"/>
          </w:tcPr>
          <w:p w14:paraId="5847202E">
            <w:pPr>
              <w:ind w:left="-14" w:leftChars="0"/>
              <w:jc w:val="center"/>
              <w:rPr>
                <w:color w:val="auto"/>
                <w:kern w:val="0"/>
                <w:sz w:val="24"/>
                <w:szCs w:val="24"/>
              </w:rPr>
            </w:pPr>
            <w:r>
              <w:rPr>
                <w:rFonts w:hint="eastAsia"/>
                <w:color w:val="auto"/>
                <w:kern w:val="0"/>
                <w:sz w:val="24"/>
                <w:szCs w:val="24"/>
              </w:rPr>
              <w:t>联系方式</w:t>
            </w:r>
          </w:p>
        </w:tc>
        <w:tc>
          <w:tcPr>
            <w:tcW w:w="3592" w:type="dxa"/>
            <w:vAlign w:val="center"/>
          </w:tcPr>
          <w:p w14:paraId="0A6308CD">
            <w:pPr>
              <w:pStyle w:val="44"/>
              <w:spacing w:before="0" w:after="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lang w:val="en-US" w:eastAsia="zh-CN"/>
              </w:rPr>
              <w:t>13965242730</w:t>
            </w:r>
          </w:p>
        </w:tc>
      </w:tr>
      <w:tr w14:paraId="389D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91" w:type="dxa"/>
            <w:vAlign w:val="center"/>
          </w:tcPr>
          <w:p w14:paraId="0825AC35">
            <w:pPr>
              <w:ind w:left="-14"/>
              <w:jc w:val="center"/>
              <w:rPr>
                <w:color w:val="auto"/>
                <w:sz w:val="24"/>
                <w:szCs w:val="24"/>
              </w:rPr>
            </w:pPr>
            <w:r>
              <w:rPr>
                <w:rFonts w:hint="eastAsia"/>
                <w:color w:val="auto"/>
                <w:sz w:val="24"/>
                <w:szCs w:val="24"/>
              </w:rPr>
              <w:t>建设地点</w:t>
            </w:r>
          </w:p>
        </w:tc>
        <w:tc>
          <w:tcPr>
            <w:tcW w:w="7777" w:type="dxa"/>
            <w:gridSpan w:val="3"/>
            <w:vAlign w:val="center"/>
          </w:tcPr>
          <w:p w14:paraId="1BA5255D">
            <w:pPr>
              <w:widowControl/>
              <w:jc w:val="center"/>
              <w:rPr>
                <w:rFonts w:hint="default" w:eastAsia="宋体"/>
                <w:color w:val="auto"/>
                <w:sz w:val="24"/>
                <w:szCs w:val="24"/>
                <w:lang w:val="en-US" w:eastAsia="zh-CN"/>
              </w:rPr>
            </w:pPr>
            <w:r>
              <w:rPr>
                <w:rFonts w:hint="eastAsia"/>
                <w:color w:val="auto"/>
                <w:sz w:val="24"/>
                <w:szCs w:val="24"/>
                <w:lang w:val="en-US" w:eastAsia="zh-CN"/>
              </w:rPr>
              <w:t>安徽省蚌埠市固镇县经济开发区三星大道005号</w:t>
            </w:r>
          </w:p>
        </w:tc>
      </w:tr>
      <w:tr w14:paraId="1EA0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6CA765D7">
            <w:pPr>
              <w:ind w:left="-14"/>
              <w:jc w:val="center"/>
              <w:rPr>
                <w:color w:val="auto"/>
                <w:sz w:val="24"/>
                <w:szCs w:val="24"/>
              </w:rPr>
            </w:pPr>
            <w:r>
              <w:rPr>
                <w:color w:val="auto"/>
                <w:sz w:val="24"/>
                <w:szCs w:val="24"/>
              </w:rPr>
              <w:t>地理坐标</w:t>
            </w:r>
          </w:p>
        </w:tc>
        <w:tc>
          <w:tcPr>
            <w:tcW w:w="7777" w:type="dxa"/>
            <w:gridSpan w:val="3"/>
            <w:vAlign w:val="center"/>
          </w:tcPr>
          <w:p w14:paraId="43F4CD53">
            <w:pPr>
              <w:pStyle w:val="44"/>
              <w:rPr>
                <w:rFonts w:hint="eastAsia" w:ascii="Times New Roman" w:hAnsi="Times New Roman" w:eastAsia="宋体"/>
                <w:color w:val="auto"/>
                <w:kern w:val="2"/>
                <w:sz w:val="24"/>
                <w:szCs w:val="24"/>
                <w:lang w:val="en-US" w:eastAsia="zh-CN"/>
              </w:rPr>
            </w:pPr>
            <w:r>
              <w:rPr>
                <w:rFonts w:ascii="Times New Roman" w:hAnsi="Times New Roman"/>
                <w:color w:val="auto"/>
                <w:kern w:val="2"/>
                <w:sz w:val="24"/>
                <w:szCs w:val="24"/>
              </w:rPr>
              <w:t>经度</w:t>
            </w:r>
            <w:r>
              <w:rPr>
                <w:rFonts w:ascii="Times New Roman" w:hAnsi="Times New Roman"/>
                <w:color w:val="auto"/>
              </w:rPr>
              <w:t>117</w:t>
            </w:r>
            <w:r>
              <w:rPr>
                <w:rFonts w:hint="eastAsia" w:ascii="Times New Roman" w:hAnsi="Times New Roman"/>
                <w:color w:val="auto"/>
                <w:lang w:eastAsia="zh-CN"/>
              </w:rPr>
              <w:t>度</w:t>
            </w:r>
            <w:r>
              <w:rPr>
                <w:rFonts w:hint="eastAsia" w:ascii="Times New Roman" w:hAnsi="Times New Roman"/>
                <w:color w:val="auto"/>
                <w:lang w:val="en-US" w:eastAsia="zh-CN"/>
              </w:rPr>
              <w:t>20</w:t>
            </w:r>
            <w:r>
              <w:rPr>
                <w:rFonts w:hint="eastAsia" w:ascii="Times New Roman" w:hAnsi="Times New Roman"/>
                <w:color w:val="auto"/>
                <w:lang w:eastAsia="zh-CN"/>
              </w:rPr>
              <w:t>分</w:t>
            </w:r>
            <w:r>
              <w:rPr>
                <w:rFonts w:hint="eastAsia" w:ascii="Times New Roman" w:hAnsi="Times New Roman"/>
                <w:color w:val="auto"/>
                <w:lang w:val="en-US" w:eastAsia="zh-CN"/>
              </w:rPr>
              <w:t>16.556</w:t>
            </w:r>
            <w:r>
              <w:rPr>
                <w:rFonts w:hint="eastAsia" w:ascii="Times New Roman" w:hAnsi="Times New Roman"/>
                <w:color w:val="auto"/>
                <w:lang w:eastAsia="zh-CN"/>
              </w:rPr>
              <w:t>秒</w:t>
            </w:r>
            <w:r>
              <w:rPr>
                <w:color w:val="auto"/>
                <w:sz w:val="24"/>
                <w:szCs w:val="24"/>
              </w:rPr>
              <w:t>，</w:t>
            </w:r>
            <w:r>
              <w:rPr>
                <w:rFonts w:hint="eastAsia"/>
                <w:color w:val="auto"/>
                <w:sz w:val="24"/>
                <w:szCs w:val="24"/>
                <w:lang w:eastAsia="zh-CN"/>
              </w:rPr>
              <w:t>纬度</w:t>
            </w:r>
            <w:r>
              <w:rPr>
                <w:rFonts w:ascii="Times New Roman" w:hAnsi="Times New Roman"/>
                <w:color w:val="auto"/>
              </w:rPr>
              <w:t>3</w:t>
            </w:r>
            <w:r>
              <w:rPr>
                <w:rFonts w:hint="eastAsia" w:ascii="Times New Roman" w:hAnsi="Times New Roman"/>
                <w:color w:val="auto"/>
                <w:lang w:val="en-US" w:eastAsia="zh-CN"/>
              </w:rPr>
              <w:t>3</w:t>
            </w:r>
            <w:r>
              <w:rPr>
                <w:rFonts w:hint="eastAsia" w:ascii="Times New Roman" w:hAnsi="Times New Roman"/>
                <w:color w:val="auto"/>
                <w:lang w:eastAsia="zh-CN"/>
              </w:rPr>
              <w:t>度</w:t>
            </w:r>
            <w:r>
              <w:rPr>
                <w:rFonts w:hint="eastAsia" w:ascii="Times New Roman" w:hAnsi="Times New Roman"/>
                <w:color w:val="auto"/>
                <w:lang w:val="en-US" w:eastAsia="zh-CN"/>
              </w:rPr>
              <w:t>15</w:t>
            </w:r>
            <w:r>
              <w:rPr>
                <w:rFonts w:hint="eastAsia" w:ascii="Times New Roman" w:hAnsi="Times New Roman"/>
                <w:color w:val="auto"/>
                <w:lang w:eastAsia="zh-CN"/>
              </w:rPr>
              <w:t>分</w:t>
            </w:r>
            <w:r>
              <w:rPr>
                <w:rFonts w:hint="eastAsia" w:ascii="Times New Roman" w:hAnsi="Times New Roman"/>
                <w:color w:val="auto"/>
                <w:lang w:val="en-US" w:eastAsia="zh-CN"/>
              </w:rPr>
              <w:t>59.466</w:t>
            </w:r>
            <w:r>
              <w:rPr>
                <w:rFonts w:hint="eastAsia" w:ascii="Times New Roman" w:hAnsi="Times New Roman"/>
                <w:color w:val="auto"/>
                <w:lang w:eastAsia="zh-CN"/>
              </w:rPr>
              <w:t>秒</w:t>
            </w:r>
          </w:p>
        </w:tc>
      </w:tr>
      <w:tr w14:paraId="4773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7A67D4BB">
            <w:pPr>
              <w:adjustRightInd w:val="0"/>
              <w:snapToGrid w:val="0"/>
              <w:jc w:val="center"/>
              <w:rPr>
                <w:color w:val="auto"/>
                <w:sz w:val="24"/>
                <w:szCs w:val="24"/>
              </w:rPr>
            </w:pPr>
            <w:r>
              <w:rPr>
                <w:color w:val="auto"/>
                <w:sz w:val="24"/>
                <w:szCs w:val="24"/>
              </w:rPr>
              <w:t>国民经济</w:t>
            </w:r>
          </w:p>
          <w:p w14:paraId="2D157EA3">
            <w:pPr>
              <w:jc w:val="center"/>
              <w:rPr>
                <w:color w:val="auto"/>
                <w:sz w:val="24"/>
                <w:szCs w:val="24"/>
              </w:rPr>
            </w:pPr>
            <w:r>
              <w:rPr>
                <w:color w:val="auto"/>
                <w:sz w:val="24"/>
                <w:szCs w:val="24"/>
              </w:rPr>
              <w:t>行业类别</w:t>
            </w:r>
          </w:p>
        </w:tc>
        <w:tc>
          <w:tcPr>
            <w:tcW w:w="2161" w:type="dxa"/>
            <w:vAlign w:val="center"/>
          </w:tcPr>
          <w:p w14:paraId="3FA482EA">
            <w:pPr>
              <w:pStyle w:val="38"/>
              <w:widowControl/>
              <w:autoSpaceDE/>
              <w:autoSpaceDN/>
              <w:snapToGrid/>
              <w:spacing w:before="0" w:line="24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C2922塑料板、管、型材制造</w:t>
            </w:r>
          </w:p>
        </w:tc>
        <w:tc>
          <w:tcPr>
            <w:tcW w:w="2024" w:type="dxa"/>
            <w:vAlign w:val="center"/>
          </w:tcPr>
          <w:p w14:paraId="6BF08E8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0821BDEA">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592" w:type="dxa"/>
            <w:vAlign w:val="center"/>
          </w:tcPr>
          <w:p w14:paraId="1CF7E278">
            <w:pPr>
              <w:pStyle w:val="38"/>
              <w:widowControl/>
              <w:autoSpaceDE/>
              <w:autoSpaceDN/>
              <w:snapToGrid/>
              <w:spacing w:before="0" w:line="24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二十六、橡胶和塑料制品业29；53塑料制品业292；其他（年用非溶剂型低VOCs含量涂料10吨以下的除外）</w:t>
            </w:r>
          </w:p>
        </w:tc>
      </w:tr>
      <w:tr w14:paraId="16BE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537AF6C6">
            <w:pPr>
              <w:jc w:val="center"/>
              <w:rPr>
                <w:color w:val="auto"/>
                <w:sz w:val="24"/>
                <w:szCs w:val="24"/>
              </w:rPr>
            </w:pPr>
            <w:r>
              <w:rPr>
                <w:color w:val="auto"/>
                <w:sz w:val="24"/>
                <w:szCs w:val="24"/>
              </w:rPr>
              <w:t>建设性质</w:t>
            </w:r>
          </w:p>
        </w:tc>
        <w:tc>
          <w:tcPr>
            <w:tcW w:w="2161" w:type="dxa"/>
            <w:vAlign w:val="center"/>
          </w:tcPr>
          <w:p w14:paraId="413D939C">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☑新建（迁建）</w:t>
            </w:r>
          </w:p>
          <w:p w14:paraId="4986BA13">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□改建</w:t>
            </w:r>
          </w:p>
          <w:p w14:paraId="2C7F9C75">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□扩建</w:t>
            </w:r>
          </w:p>
          <w:p w14:paraId="54F55FC4">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□技术改造</w:t>
            </w:r>
          </w:p>
        </w:tc>
        <w:tc>
          <w:tcPr>
            <w:tcW w:w="2024" w:type="dxa"/>
            <w:vAlign w:val="center"/>
          </w:tcPr>
          <w:p w14:paraId="57FF918D">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w:t>
            </w:r>
          </w:p>
          <w:p w14:paraId="33BD0A28">
            <w:pPr>
              <w:adjustRightInd w:val="0"/>
              <w:snapToGrid w:val="0"/>
              <w:jc w:val="center"/>
              <w:rPr>
                <w:rFonts w:ascii="宋体" w:hAnsi="宋体" w:cs="宋体"/>
                <w:color w:val="auto"/>
                <w:sz w:val="24"/>
                <w:szCs w:val="24"/>
              </w:rPr>
            </w:pPr>
            <w:r>
              <w:rPr>
                <w:rFonts w:hint="eastAsia" w:ascii="宋体" w:hAnsi="宋体" w:cs="宋体"/>
                <w:color w:val="auto"/>
                <w:sz w:val="24"/>
                <w:szCs w:val="24"/>
              </w:rPr>
              <w:t>申报情形</w:t>
            </w:r>
          </w:p>
        </w:tc>
        <w:tc>
          <w:tcPr>
            <w:tcW w:w="3592" w:type="dxa"/>
            <w:vAlign w:val="center"/>
          </w:tcPr>
          <w:p w14:paraId="05BD3056">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☑首次申报项目</w:t>
            </w:r>
          </w:p>
          <w:p w14:paraId="4BA0A5A8">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□不予批准后再次申报项目</w:t>
            </w:r>
          </w:p>
          <w:p w14:paraId="3DD2A692">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t>□超五年重新审核项目</w:t>
            </w:r>
          </w:p>
          <w:p w14:paraId="19513E30">
            <w:pPr>
              <w:pStyle w:val="44"/>
              <w:spacing w:before="0" w:beforeAutospacing="0" w:after="0" w:afterAutospacing="0"/>
              <w:jc w:val="left"/>
              <w:rPr>
                <w:rFonts w:cs="宋体"/>
                <w:color w:val="auto"/>
                <w:sz w:val="24"/>
                <w:szCs w:val="24"/>
              </w:rPr>
            </w:pPr>
            <w:r>
              <w:rPr>
                <w:rFonts w:hint="eastAsia" w:ascii="Times New Roman" w:hAnsi="Times New Roman"/>
                <w:color w:val="auto"/>
                <w:kern w:val="2"/>
                <w:sz w:val="24"/>
                <w:szCs w:val="24"/>
              </w:rPr>
              <w:t>□重大变动重新报批项目</w:t>
            </w:r>
          </w:p>
        </w:tc>
      </w:tr>
      <w:tr w14:paraId="2C40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91" w:type="dxa"/>
            <w:vAlign w:val="center"/>
          </w:tcPr>
          <w:p w14:paraId="441E0D9B">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项目审批（核准</w:t>
            </w:r>
            <w:r>
              <w:rPr>
                <w:rFonts w:ascii="Times New Roman" w:hAnsi="Times New Roman"/>
                <w:color w:val="auto"/>
                <w:kern w:val="2"/>
                <w:sz w:val="24"/>
                <w:szCs w:val="24"/>
              </w:rPr>
              <w:t>/</w:t>
            </w:r>
            <w:r>
              <w:rPr>
                <w:rFonts w:hint="eastAsia" w:ascii="Times New Roman" w:hAnsi="Times New Roman"/>
                <w:color w:val="auto"/>
                <w:kern w:val="2"/>
                <w:sz w:val="24"/>
                <w:szCs w:val="24"/>
              </w:rPr>
              <w:t>备案）部门</w:t>
            </w:r>
          </w:p>
        </w:tc>
        <w:tc>
          <w:tcPr>
            <w:tcW w:w="2161" w:type="dxa"/>
            <w:vAlign w:val="center"/>
          </w:tcPr>
          <w:p w14:paraId="0C290A46">
            <w:pPr>
              <w:pStyle w:val="44"/>
              <w:spacing w:before="0" w:beforeAutospacing="0" w:after="0" w:afterAutospacing="0"/>
              <w:rPr>
                <w:rFonts w:hint="eastAsia" w:ascii="Times New Roman" w:hAnsi="Times New Roman" w:eastAsia="宋体"/>
                <w:color w:val="auto"/>
                <w:kern w:val="2"/>
                <w:sz w:val="24"/>
                <w:szCs w:val="24"/>
                <w:lang w:eastAsia="zh-CN"/>
              </w:rPr>
            </w:pPr>
            <w:r>
              <w:rPr>
                <w:rFonts w:hint="eastAsia" w:ascii="Times New Roman" w:hAnsi="Times New Roman"/>
                <w:color w:val="auto"/>
                <w:kern w:val="2"/>
                <w:sz w:val="24"/>
                <w:szCs w:val="24"/>
                <w:lang w:eastAsia="zh-CN"/>
              </w:rPr>
              <w:t>蚌埠市固镇县发展和改革委员会</w:t>
            </w:r>
          </w:p>
        </w:tc>
        <w:tc>
          <w:tcPr>
            <w:tcW w:w="2024" w:type="dxa"/>
            <w:vAlign w:val="center"/>
          </w:tcPr>
          <w:p w14:paraId="50A33675">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项目审批（核准</w:t>
            </w:r>
            <w:r>
              <w:rPr>
                <w:rFonts w:ascii="Times New Roman" w:hAnsi="Times New Roman"/>
                <w:color w:val="auto"/>
                <w:kern w:val="2"/>
                <w:sz w:val="24"/>
                <w:szCs w:val="24"/>
              </w:rPr>
              <w:t>/</w:t>
            </w:r>
            <w:r>
              <w:rPr>
                <w:rFonts w:hint="eastAsia" w:ascii="Times New Roman" w:hAnsi="Times New Roman"/>
                <w:color w:val="auto"/>
                <w:kern w:val="2"/>
                <w:sz w:val="24"/>
                <w:szCs w:val="24"/>
              </w:rPr>
              <w:t>备案）文号</w:t>
            </w:r>
          </w:p>
        </w:tc>
        <w:tc>
          <w:tcPr>
            <w:tcW w:w="3592" w:type="dxa"/>
            <w:vAlign w:val="center"/>
          </w:tcPr>
          <w:p w14:paraId="135ED2A3">
            <w:pPr>
              <w:pStyle w:val="44"/>
              <w:spacing w:before="0" w:beforeAutospacing="0" w:after="0" w:afterAutospacing="0"/>
              <w:rPr>
                <w:rFonts w:hint="default" w:ascii="Times New Roman" w:hAnsi="Times New Roman"/>
                <w:color w:val="auto"/>
                <w:kern w:val="2"/>
                <w:sz w:val="24"/>
                <w:szCs w:val="24"/>
                <w:lang w:val="en-US"/>
              </w:rPr>
            </w:pPr>
            <w:r>
              <w:rPr>
                <w:rFonts w:hint="eastAsia" w:ascii="Times New Roman" w:hAnsi="Times New Roman"/>
                <w:color w:val="auto"/>
                <w:kern w:val="2"/>
                <w:sz w:val="24"/>
                <w:szCs w:val="24"/>
                <w:lang w:eastAsia="zh-CN"/>
              </w:rPr>
              <w:t>固经开项字</w:t>
            </w:r>
            <w:r>
              <w:rPr>
                <w:rFonts w:hint="default" w:ascii="Times New Roman" w:hAnsi="Times New Roman" w:eastAsia="微软雅黑" w:cs="Times New Roman"/>
                <w:color w:val="auto"/>
                <w:kern w:val="2"/>
                <w:sz w:val="24"/>
                <w:szCs w:val="24"/>
                <w:lang w:eastAsia="zh-CN"/>
              </w:rPr>
              <w:t>〔</w:t>
            </w:r>
            <w:r>
              <w:rPr>
                <w:rFonts w:hint="default" w:ascii="Times New Roman" w:hAnsi="Times New Roman" w:cs="Times New Roman"/>
                <w:color w:val="auto"/>
                <w:kern w:val="2"/>
                <w:sz w:val="24"/>
                <w:szCs w:val="24"/>
                <w:lang w:val="en-US" w:eastAsia="zh-CN"/>
              </w:rPr>
              <w:t>2025</w:t>
            </w:r>
            <w:r>
              <w:rPr>
                <w:rFonts w:hint="default" w:ascii="Times New Roman" w:hAnsi="Times New Roman" w:eastAsia="微软雅黑" w:cs="Times New Roman"/>
                <w:color w:val="auto"/>
                <w:kern w:val="2"/>
                <w:sz w:val="24"/>
                <w:szCs w:val="24"/>
                <w:lang w:eastAsia="zh-CN"/>
              </w:rPr>
              <w:t>〕</w:t>
            </w:r>
            <w:r>
              <w:rPr>
                <w:rFonts w:hint="default" w:ascii="Times New Roman" w:hAnsi="Times New Roman" w:cs="Times New Roman"/>
                <w:color w:val="auto"/>
                <w:kern w:val="2"/>
                <w:sz w:val="24"/>
                <w:szCs w:val="24"/>
                <w:lang w:val="en-US" w:eastAsia="zh-CN"/>
              </w:rPr>
              <w:t>2</w:t>
            </w:r>
            <w:r>
              <w:rPr>
                <w:rFonts w:hint="eastAsia" w:ascii="Times New Roman" w:hAnsi="Times New Roman"/>
                <w:color w:val="auto"/>
                <w:kern w:val="2"/>
                <w:sz w:val="24"/>
                <w:szCs w:val="24"/>
                <w:lang w:val="en-US" w:eastAsia="zh-CN"/>
              </w:rPr>
              <w:t>5号</w:t>
            </w:r>
          </w:p>
        </w:tc>
      </w:tr>
      <w:tr w14:paraId="2F9D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791A324F">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总投资（万元）</w:t>
            </w:r>
          </w:p>
        </w:tc>
        <w:tc>
          <w:tcPr>
            <w:tcW w:w="2161" w:type="dxa"/>
            <w:vAlign w:val="center"/>
          </w:tcPr>
          <w:p w14:paraId="0A4040AF">
            <w:pPr>
              <w:pStyle w:val="44"/>
              <w:spacing w:before="0" w:beforeAutospacing="0" w:after="0" w:afterAutospacing="0"/>
              <w:rPr>
                <w:rFonts w:hint="default" w:ascii="Times New Roman" w:hAnsi="Times New Roman" w:eastAsia="宋体"/>
                <w:color w:val="auto"/>
                <w:kern w:val="2"/>
                <w:sz w:val="24"/>
                <w:szCs w:val="24"/>
                <w:lang w:val="en-US" w:eastAsia="zh-CN"/>
              </w:rPr>
            </w:pPr>
            <w:r>
              <w:rPr>
                <w:rFonts w:hint="eastAsia" w:ascii="Times New Roman" w:hAnsi="Times New Roman"/>
                <w:color w:val="auto"/>
                <w:kern w:val="2"/>
                <w:sz w:val="24"/>
                <w:szCs w:val="24"/>
                <w:lang w:val="en-US" w:eastAsia="zh-CN"/>
              </w:rPr>
              <w:t>15000</w:t>
            </w:r>
          </w:p>
        </w:tc>
        <w:tc>
          <w:tcPr>
            <w:tcW w:w="2024" w:type="dxa"/>
            <w:vAlign w:val="center"/>
          </w:tcPr>
          <w:p w14:paraId="70DC15FC">
            <w:pPr>
              <w:pStyle w:val="44"/>
              <w:spacing w:before="0" w:beforeAutospacing="0" w:after="0" w:afterAutospacing="0"/>
              <w:rPr>
                <w:rFonts w:ascii="Times New Roman" w:hAnsi="Times New Roman"/>
                <w:color w:val="auto"/>
                <w:kern w:val="2"/>
                <w:sz w:val="24"/>
                <w:szCs w:val="24"/>
              </w:rPr>
            </w:pPr>
            <w:r>
              <w:rPr>
                <w:rFonts w:hint="eastAsia" w:cs="宋体"/>
                <w:color w:val="auto"/>
                <w:sz w:val="24"/>
                <w:szCs w:val="24"/>
              </w:rPr>
              <w:t>环保投资（万元）</w:t>
            </w:r>
          </w:p>
        </w:tc>
        <w:tc>
          <w:tcPr>
            <w:tcW w:w="3592" w:type="dxa"/>
            <w:vAlign w:val="center"/>
          </w:tcPr>
          <w:p w14:paraId="264E1F31">
            <w:pPr>
              <w:pStyle w:val="44"/>
              <w:spacing w:before="0" w:beforeAutospacing="0" w:after="0" w:afterAutospacing="0"/>
              <w:jc w:val="center"/>
              <w:rPr>
                <w:rFonts w:hint="default" w:ascii="Times New Roman" w:hAnsi="Times New Roman" w:eastAsia="宋体"/>
                <w:color w:val="auto"/>
                <w:kern w:val="2"/>
                <w:sz w:val="24"/>
                <w:szCs w:val="24"/>
                <w:lang w:val="en-US" w:eastAsia="zh-CN"/>
              </w:rPr>
            </w:pPr>
            <w:r>
              <w:rPr>
                <w:rFonts w:hint="eastAsia" w:ascii="Times New Roman" w:hAnsi="Times New Roman"/>
                <w:color w:val="auto"/>
                <w:kern w:val="2"/>
                <w:sz w:val="24"/>
                <w:szCs w:val="24"/>
                <w:lang w:val="en-US" w:eastAsia="zh-CN"/>
              </w:rPr>
              <w:t>27</w:t>
            </w:r>
          </w:p>
        </w:tc>
      </w:tr>
      <w:tr w14:paraId="464B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1CB142D2">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环保投资占比（%）</w:t>
            </w:r>
          </w:p>
        </w:tc>
        <w:tc>
          <w:tcPr>
            <w:tcW w:w="2161" w:type="dxa"/>
            <w:vAlign w:val="center"/>
          </w:tcPr>
          <w:p w14:paraId="475541E6">
            <w:pPr>
              <w:pStyle w:val="44"/>
              <w:spacing w:before="0" w:beforeAutospacing="0" w:after="0" w:afterAutospacing="0"/>
              <w:rPr>
                <w:rFonts w:hint="default" w:ascii="Times New Roman" w:hAnsi="Times New Roman"/>
                <w:color w:val="auto"/>
                <w:kern w:val="2"/>
                <w:sz w:val="24"/>
                <w:szCs w:val="24"/>
                <w:lang w:val="en-US"/>
              </w:rPr>
            </w:pPr>
            <w:r>
              <w:rPr>
                <w:rFonts w:hint="eastAsia" w:ascii="Times New Roman" w:hAnsi="Times New Roman"/>
                <w:color w:val="auto"/>
                <w:kern w:val="2"/>
                <w:sz w:val="24"/>
                <w:szCs w:val="24"/>
                <w:lang w:val="en-US" w:eastAsia="zh-CN"/>
              </w:rPr>
              <w:t>0.18</w:t>
            </w:r>
          </w:p>
        </w:tc>
        <w:tc>
          <w:tcPr>
            <w:tcW w:w="2024" w:type="dxa"/>
            <w:vAlign w:val="center"/>
          </w:tcPr>
          <w:p w14:paraId="27F2F974">
            <w:pPr>
              <w:pStyle w:val="44"/>
              <w:spacing w:before="0" w:beforeAutospacing="0" w:after="0" w:afterAutospacing="0"/>
              <w:rPr>
                <w:rFonts w:cs="宋体"/>
                <w:color w:val="auto"/>
                <w:sz w:val="24"/>
                <w:szCs w:val="24"/>
              </w:rPr>
            </w:pPr>
            <w:r>
              <w:rPr>
                <w:rFonts w:hint="eastAsia" w:cs="宋体"/>
                <w:color w:val="auto"/>
                <w:sz w:val="24"/>
                <w:szCs w:val="24"/>
              </w:rPr>
              <w:t>施工工期</w:t>
            </w:r>
          </w:p>
        </w:tc>
        <w:tc>
          <w:tcPr>
            <w:tcW w:w="3592" w:type="dxa"/>
            <w:vAlign w:val="center"/>
          </w:tcPr>
          <w:p w14:paraId="04D4784E">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lang w:val="en-US" w:eastAsia="zh-CN"/>
              </w:rPr>
              <w:t>3</w:t>
            </w:r>
            <w:r>
              <w:rPr>
                <w:rFonts w:hint="eastAsia" w:ascii="Times New Roman" w:hAnsi="Times New Roman"/>
                <w:color w:val="auto"/>
                <w:kern w:val="2"/>
                <w:sz w:val="24"/>
                <w:szCs w:val="24"/>
              </w:rPr>
              <w:t>个月</w:t>
            </w:r>
          </w:p>
        </w:tc>
      </w:tr>
      <w:tr w14:paraId="5843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25D8857D">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是否开工建设</w:t>
            </w:r>
          </w:p>
        </w:tc>
        <w:tc>
          <w:tcPr>
            <w:tcW w:w="2161" w:type="dxa"/>
            <w:vAlign w:val="center"/>
          </w:tcPr>
          <w:p w14:paraId="42B3D8FC">
            <w:pPr>
              <w:pStyle w:val="44"/>
              <w:spacing w:before="0" w:beforeAutospacing="0" w:after="0" w:afterAutospacing="0"/>
              <w:jc w:val="left"/>
              <w:rPr>
                <w:rFonts w:ascii="Times New Roman" w:hAnsi="Times New Roman"/>
                <w:color w:val="auto"/>
                <w:kern w:val="2"/>
                <w:sz w:val="24"/>
                <w:szCs w:val="24"/>
              </w:rPr>
            </w:pPr>
            <w:r>
              <w:rPr>
                <w:rFonts w:hint="eastAsia" w:ascii="MS Mincho" w:hAnsi="MS Mincho" w:eastAsia="MS Mincho" w:cs="MS Mincho"/>
                <w:color w:val="auto"/>
                <w:kern w:val="2"/>
                <w:sz w:val="24"/>
                <w:szCs w:val="24"/>
              </w:rPr>
              <w:t>☑</w:t>
            </w:r>
            <w:r>
              <w:rPr>
                <w:rFonts w:hint="eastAsia" w:ascii="Times New Roman" w:hAnsi="Times New Roman"/>
                <w:color w:val="auto"/>
                <w:kern w:val="2"/>
                <w:sz w:val="24"/>
                <w:szCs w:val="24"/>
              </w:rPr>
              <w:t>否</w:t>
            </w:r>
          </w:p>
          <w:p w14:paraId="2B4C21D6">
            <w:pPr>
              <w:pStyle w:val="44"/>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sym w:font="Wingdings 2" w:char="00A3"/>
            </w:r>
            <w:r>
              <w:rPr>
                <w:rFonts w:hint="eastAsia" w:ascii="Times New Roman" w:hAnsi="Times New Roman"/>
                <w:color w:val="auto"/>
                <w:kern w:val="2"/>
                <w:sz w:val="24"/>
                <w:szCs w:val="24"/>
              </w:rPr>
              <w:t>是：</w:t>
            </w:r>
            <w:r>
              <w:rPr>
                <w:rFonts w:hint="eastAsia" w:ascii="Times New Roman" w:hAnsi="Times New Roman"/>
                <w:color w:val="auto"/>
                <w:kern w:val="2"/>
                <w:sz w:val="24"/>
                <w:szCs w:val="24"/>
                <w:u w:val="single"/>
              </w:rPr>
              <w:t xml:space="preserve">      </w:t>
            </w:r>
          </w:p>
        </w:tc>
        <w:tc>
          <w:tcPr>
            <w:tcW w:w="2024" w:type="dxa"/>
            <w:vAlign w:val="center"/>
          </w:tcPr>
          <w:p w14:paraId="4BCDCC33">
            <w:pPr>
              <w:pStyle w:val="44"/>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用地面积（</w:t>
            </w:r>
            <w:r>
              <w:rPr>
                <w:rFonts w:ascii="Times New Roman" w:hAnsi="Times New Roman"/>
                <w:color w:val="auto"/>
                <w:kern w:val="2"/>
                <w:sz w:val="24"/>
                <w:szCs w:val="24"/>
              </w:rPr>
              <w:t>m</w:t>
            </w:r>
            <w:r>
              <w:rPr>
                <w:rFonts w:ascii="Times New Roman" w:hAnsi="Times New Roman"/>
                <w:color w:val="auto"/>
                <w:kern w:val="2"/>
                <w:sz w:val="24"/>
                <w:szCs w:val="24"/>
                <w:vertAlign w:val="superscript"/>
              </w:rPr>
              <w:t>2</w:t>
            </w:r>
            <w:r>
              <w:rPr>
                <w:rFonts w:hint="eastAsia" w:ascii="Times New Roman" w:hAnsi="Times New Roman"/>
                <w:color w:val="auto"/>
                <w:kern w:val="2"/>
                <w:sz w:val="24"/>
                <w:szCs w:val="24"/>
              </w:rPr>
              <w:t>）</w:t>
            </w:r>
          </w:p>
        </w:tc>
        <w:tc>
          <w:tcPr>
            <w:tcW w:w="3592" w:type="dxa"/>
            <w:vAlign w:val="center"/>
          </w:tcPr>
          <w:p w14:paraId="309A9B61">
            <w:pPr>
              <w:pStyle w:val="44"/>
              <w:spacing w:before="0" w:beforeAutospacing="0" w:after="0" w:afterAutospacing="0"/>
              <w:rPr>
                <w:rFonts w:hint="default" w:ascii="Times New Roman" w:hAnsi="Times New Roman" w:eastAsia="宋体"/>
                <w:color w:val="auto"/>
                <w:kern w:val="2"/>
                <w:sz w:val="24"/>
                <w:szCs w:val="24"/>
                <w:lang w:val="en-US" w:eastAsia="zh-CN"/>
              </w:rPr>
            </w:pPr>
            <w:r>
              <w:rPr>
                <w:rFonts w:hint="eastAsia" w:ascii="Times New Roman" w:hAnsi="Times New Roman"/>
                <w:color w:val="auto"/>
                <w:kern w:val="2"/>
                <w:sz w:val="24"/>
                <w:szCs w:val="24"/>
                <w:lang w:val="en-US" w:eastAsia="zh-CN"/>
              </w:rPr>
              <w:t>27212.9</w:t>
            </w:r>
          </w:p>
        </w:tc>
      </w:tr>
      <w:tr w14:paraId="7CD6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0C71A0E6">
            <w:pPr>
              <w:pStyle w:val="44"/>
              <w:spacing w:before="0" w:beforeAutospacing="0" w:after="0" w:afterAutospacing="0"/>
              <w:rPr>
                <w:rFonts w:ascii="Times New Roman" w:hAnsi="Times New Roman"/>
                <w:color w:val="auto"/>
                <w:kern w:val="2"/>
              </w:rPr>
            </w:pPr>
            <w:r>
              <w:rPr>
                <w:rFonts w:hint="eastAsia" w:ascii="Times New Roman" w:hAnsi="Times New Roman"/>
                <w:color w:val="auto"/>
                <w:kern w:val="2"/>
              </w:rPr>
              <w:t>专项评价设置情况</w:t>
            </w:r>
          </w:p>
        </w:tc>
        <w:tc>
          <w:tcPr>
            <w:tcW w:w="7777" w:type="dxa"/>
            <w:gridSpan w:val="3"/>
            <w:vAlign w:val="center"/>
          </w:tcPr>
          <w:p w14:paraId="22E09C0C">
            <w:pPr>
              <w:pStyle w:val="44"/>
              <w:spacing w:before="0" w:beforeAutospacing="0" w:after="0" w:afterAutospacing="0"/>
              <w:rPr>
                <w:rFonts w:hint="default" w:ascii="Times New Roman" w:hAnsi="Times New Roman" w:eastAsia="宋体"/>
                <w:color w:val="auto"/>
                <w:kern w:val="2"/>
                <w:lang w:val="en-US" w:eastAsia="zh-CN"/>
              </w:rPr>
            </w:pPr>
            <w:r>
              <w:rPr>
                <w:rFonts w:hint="eastAsia" w:ascii="Times New Roman" w:hAnsi="Times New Roman"/>
                <w:color w:val="auto"/>
                <w:kern w:val="2"/>
                <w:lang w:eastAsia="zh-CN"/>
              </w:rPr>
              <w:t>无</w:t>
            </w:r>
          </w:p>
        </w:tc>
      </w:tr>
      <w:tr w14:paraId="101A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1691" w:type="dxa"/>
            <w:vAlign w:val="center"/>
          </w:tcPr>
          <w:p w14:paraId="44AF6CD4">
            <w:pPr>
              <w:pStyle w:val="44"/>
              <w:spacing w:before="0" w:beforeAutospacing="0" w:after="0" w:afterAutospacing="0"/>
              <w:rPr>
                <w:rFonts w:ascii="Times New Roman" w:hAnsi="Times New Roman"/>
                <w:color w:val="auto"/>
                <w:kern w:val="2"/>
              </w:rPr>
            </w:pPr>
            <w:r>
              <w:rPr>
                <w:rFonts w:hint="eastAsia" w:ascii="Times New Roman" w:hAnsi="Times New Roman"/>
                <w:color w:val="auto"/>
                <w:kern w:val="2"/>
              </w:rPr>
              <w:t>规划情况</w:t>
            </w:r>
          </w:p>
        </w:tc>
        <w:tc>
          <w:tcPr>
            <w:tcW w:w="7777" w:type="dxa"/>
            <w:gridSpan w:val="3"/>
            <w:vAlign w:val="center"/>
          </w:tcPr>
          <w:p w14:paraId="0E032447">
            <w:pPr>
              <w:numPr>
                <w:ilvl w:val="0"/>
                <w:numId w:val="0"/>
              </w:num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园区规划名称：</w:t>
            </w:r>
            <w:r>
              <w:rPr>
                <w:rFonts w:hint="default" w:ascii="Times New Roman" w:hAnsi="Times New Roman" w:eastAsia="宋体" w:cs="Times New Roman"/>
                <w:color w:val="auto"/>
                <w:sz w:val="24"/>
                <w:szCs w:val="24"/>
              </w:rPr>
              <w:t>《安徽固镇经济开发区总体发展规划（20</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-203</w:t>
            </w:r>
            <w:r>
              <w:rPr>
                <w:rFonts w:hint="default" w:ascii="Times New Roman" w:hAnsi="Times New Roman" w:eastAsia="宋体" w:cs="Times New Roman"/>
                <w:color w:val="auto"/>
                <w:sz w:val="24"/>
                <w:szCs w:val="24"/>
                <w:lang w:val="en-US" w:eastAsia="zh-CN"/>
              </w:rPr>
              <w:t>5年</w:t>
            </w:r>
            <w:r>
              <w:rPr>
                <w:rFonts w:hint="default" w:ascii="Times New Roman" w:hAnsi="Times New Roman" w:eastAsia="宋体" w:cs="Times New Roman"/>
                <w:color w:val="auto"/>
                <w:sz w:val="24"/>
                <w:szCs w:val="24"/>
              </w:rPr>
              <w:t>）》</w:t>
            </w:r>
          </w:p>
          <w:p w14:paraId="2C8CA0B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eastAsia="宋体"/>
                <w:color w:val="auto"/>
                <w:sz w:val="18"/>
                <w:szCs w:val="18"/>
                <w:lang w:eastAsia="zh-CN"/>
              </w:rPr>
            </w:pPr>
            <w:r>
              <w:rPr>
                <w:rFonts w:hint="eastAsia" w:ascii="Times New Roman" w:hAnsi="Times New Roman" w:eastAsia="宋体" w:cs="Times New Roman"/>
                <w:color w:val="auto"/>
                <w:sz w:val="24"/>
                <w:lang w:val="en-US" w:eastAsia="zh-CN"/>
              </w:rPr>
              <w:t>园区规划审批机关：</w:t>
            </w:r>
            <w:r>
              <w:rPr>
                <w:rFonts w:hint="default" w:ascii="Times New Roman" w:hAnsi="Times New Roman" w:eastAsia="宋体" w:cs="Times New Roman"/>
                <w:color w:val="auto"/>
                <w:sz w:val="24"/>
                <w:lang w:val="en-US" w:eastAsia="zh-CN"/>
              </w:rPr>
              <w:t>安徽省人民政府</w:t>
            </w:r>
          </w:p>
        </w:tc>
      </w:tr>
      <w:tr w14:paraId="135E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691" w:type="dxa"/>
            <w:vAlign w:val="center"/>
          </w:tcPr>
          <w:p w14:paraId="1ED52760">
            <w:pPr>
              <w:pStyle w:val="44"/>
              <w:spacing w:before="0" w:beforeAutospacing="0" w:after="0" w:afterAutospacing="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olor w:val="auto"/>
                <w:kern w:val="2"/>
              </w:rPr>
              <w:t>规划环境影响评价情况</w:t>
            </w:r>
          </w:p>
        </w:tc>
        <w:tc>
          <w:tcPr>
            <w:tcW w:w="7777" w:type="dxa"/>
            <w:gridSpan w:val="3"/>
            <w:vAlign w:val="center"/>
          </w:tcPr>
          <w:p w14:paraId="765A7648">
            <w:pPr>
              <w:pStyle w:val="44"/>
              <w:spacing w:before="0" w:beforeAutospacing="0" w:after="0" w:afterAutospacing="0" w:line="360" w:lineRule="auto"/>
              <w:jc w:val="left"/>
              <w:rPr>
                <w:rFonts w:hint="default" w:ascii="Times New Roman" w:hAnsi="Times New Roman" w:eastAsia="宋体" w:cs="Times New Roman"/>
                <w:color w:val="auto"/>
                <w:sz w:val="24"/>
                <w:szCs w:val="24"/>
              </w:rPr>
            </w:pPr>
            <w:r>
              <w:rPr>
                <w:rFonts w:hint="eastAsia"/>
                <w:color w:val="auto"/>
                <w:sz w:val="24"/>
                <w:szCs w:val="24"/>
                <w:lang w:eastAsia="zh-CN"/>
              </w:rPr>
              <w:t>规划环评名称：</w:t>
            </w:r>
            <w:r>
              <w:rPr>
                <w:rFonts w:hint="default" w:ascii="Times New Roman" w:hAnsi="Times New Roman" w:eastAsia="宋体" w:cs="Times New Roman"/>
                <w:color w:val="auto"/>
                <w:sz w:val="24"/>
                <w:szCs w:val="24"/>
              </w:rPr>
              <w:t>《安徽固镇经济开发区总体发展规划（20</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-203</w:t>
            </w:r>
            <w:r>
              <w:rPr>
                <w:rFonts w:hint="default" w:ascii="Times New Roman" w:hAnsi="Times New Roman" w:eastAsia="宋体" w:cs="Times New Roman"/>
                <w:color w:val="auto"/>
                <w:sz w:val="24"/>
                <w:szCs w:val="24"/>
                <w:lang w:val="en-US" w:eastAsia="zh-CN"/>
              </w:rPr>
              <w:t>5年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（调区）环境影响报告书</w:t>
            </w:r>
            <w:r>
              <w:rPr>
                <w:rFonts w:hint="default" w:ascii="Times New Roman" w:hAnsi="Times New Roman" w:eastAsia="宋体" w:cs="Times New Roman"/>
                <w:color w:val="auto"/>
                <w:sz w:val="24"/>
                <w:szCs w:val="24"/>
              </w:rPr>
              <w:t>》</w:t>
            </w:r>
          </w:p>
          <w:p w14:paraId="08285985">
            <w:pPr>
              <w:pStyle w:val="44"/>
              <w:spacing w:before="0" w:beforeAutospacing="0" w:after="0" w:afterAutospacing="0" w:line="360" w:lineRule="auto"/>
              <w:jc w:val="left"/>
              <w:rPr>
                <w:rFonts w:hint="eastAsia" w:ascii="Times New Roman" w:hAnsi="Times New Roman"/>
                <w:color w:val="auto"/>
                <w:kern w:val="2"/>
                <w:lang w:eastAsia="zh-CN"/>
              </w:rPr>
            </w:pPr>
            <w:r>
              <w:rPr>
                <w:rFonts w:hint="eastAsia"/>
                <w:color w:val="auto"/>
                <w:sz w:val="24"/>
                <w:szCs w:val="24"/>
                <w:lang w:eastAsia="zh-CN"/>
              </w:rPr>
              <w:t>规划环评</w:t>
            </w:r>
            <w:r>
              <w:rPr>
                <w:rFonts w:hint="eastAsia" w:ascii="Times New Roman" w:hAnsi="Times New Roman"/>
                <w:color w:val="auto"/>
                <w:kern w:val="2"/>
                <w:lang w:eastAsia="zh-CN"/>
              </w:rPr>
              <w:t>审批机关：安徽省生态环境厅</w:t>
            </w:r>
          </w:p>
          <w:p w14:paraId="3E28E485">
            <w:pPr>
              <w:pStyle w:val="44"/>
              <w:spacing w:before="0" w:beforeAutospacing="0" w:after="0" w:afterAutospacing="0" w:line="360" w:lineRule="auto"/>
              <w:jc w:val="left"/>
              <w:rPr>
                <w:rFonts w:hint="eastAsia"/>
                <w:color w:val="auto"/>
                <w:sz w:val="24"/>
                <w:szCs w:val="24"/>
                <w:lang w:eastAsia="zh-CN"/>
              </w:rPr>
            </w:pPr>
            <w:r>
              <w:rPr>
                <w:rFonts w:hint="eastAsia"/>
                <w:color w:val="auto"/>
                <w:sz w:val="24"/>
                <w:szCs w:val="24"/>
                <w:lang w:eastAsia="zh-CN"/>
              </w:rPr>
              <w:t>规划环评</w:t>
            </w:r>
            <w:r>
              <w:rPr>
                <w:rFonts w:hint="eastAsia" w:ascii="Times New Roman" w:hAnsi="Times New Roman"/>
                <w:color w:val="auto"/>
                <w:kern w:val="2"/>
                <w:lang w:eastAsia="zh-CN"/>
              </w:rPr>
              <w:t>审批文件名称：</w:t>
            </w:r>
            <w:r>
              <w:rPr>
                <w:rFonts w:hint="eastAsia" w:ascii="Times New Roman" w:hAnsi="Times New Roman"/>
                <w:color w:val="auto"/>
                <w:kern w:val="2"/>
              </w:rPr>
              <w:t>《</w:t>
            </w:r>
            <w:r>
              <w:rPr>
                <w:rFonts w:hint="eastAsia" w:ascii="Times New Roman" w:hAnsi="Times New Roman"/>
                <w:color w:val="auto"/>
                <w:kern w:val="2"/>
                <w:lang w:eastAsia="zh-CN"/>
              </w:rPr>
              <w:t>安徽省生态环境厅关于印送</w:t>
            </w:r>
            <w:r>
              <w:rPr>
                <w:rFonts w:hint="eastAsia" w:ascii="Times New Roman" w:hAnsi="Times New Roman"/>
                <w:color w:val="auto"/>
                <w:kern w:val="2"/>
                <w:lang w:val="en-US" w:eastAsia="zh-CN"/>
              </w:rPr>
              <w:t>&lt;</w:t>
            </w:r>
            <w:r>
              <w:rPr>
                <w:rFonts w:hint="default" w:ascii="Times New Roman" w:hAnsi="Times New Roman" w:eastAsia="宋体" w:cs="Times New Roman"/>
                <w:color w:val="auto"/>
                <w:sz w:val="24"/>
                <w:szCs w:val="24"/>
              </w:rPr>
              <w:t>安徽固镇经济开发区总体发展规划（20</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-203</w:t>
            </w:r>
            <w:r>
              <w:rPr>
                <w:rFonts w:hint="default" w:ascii="Times New Roman" w:hAnsi="Times New Roman" w:eastAsia="宋体" w:cs="Times New Roman"/>
                <w:color w:val="auto"/>
                <w:sz w:val="24"/>
                <w:szCs w:val="24"/>
                <w:lang w:val="en-US" w:eastAsia="zh-CN"/>
              </w:rPr>
              <w:t>5年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（调区）环境影响报告书</w:t>
            </w:r>
            <w:r>
              <w:rPr>
                <w:rFonts w:hint="eastAsia" w:ascii="Times New Roman" w:hAnsi="Times New Roman"/>
                <w:color w:val="auto"/>
                <w:kern w:val="2"/>
              </w:rPr>
              <w:t>审查意见</w:t>
            </w:r>
            <w:r>
              <w:rPr>
                <w:rFonts w:hint="eastAsia" w:ascii="Times New Roman" w:hAnsi="Times New Roman"/>
                <w:color w:val="auto"/>
                <w:kern w:val="2"/>
                <w:lang w:val="en-US" w:eastAsia="zh-CN"/>
              </w:rPr>
              <w:t>&gt;的函</w:t>
            </w:r>
            <w:r>
              <w:rPr>
                <w:rFonts w:hint="eastAsia" w:ascii="Times New Roman" w:hAnsi="Times New Roman"/>
                <w:color w:val="auto"/>
                <w:kern w:val="2"/>
              </w:rPr>
              <w:t>》</w:t>
            </w:r>
          </w:p>
          <w:p w14:paraId="278DB15D">
            <w:pPr>
              <w:pStyle w:val="44"/>
              <w:spacing w:before="0" w:beforeAutospacing="0" w:after="0" w:afterAutospacing="0" w:line="360" w:lineRule="auto"/>
              <w:jc w:val="left"/>
              <w:rPr>
                <w:rFonts w:ascii="Times New Roman" w:hAnsi="Times New Roman" w:eastAsia="宋体" w:cs="Times New Roman"/>
                <w:color w:val="auto"/>
                <w:kern w:val="2"/>
                <w:sz w:val="24"/>
                <w:szCs w:val="24"/>
                <w:lang w:val="en-US" w:eastAsia="zh-CN" w:bidi="ar-SA"/>
              </w:rPr>
            </w:pPr>
            <w:r>
              <w:rPr>
                <w:rFonts w:hint="eastAsia"/>
                <w:color w:val="auto"/>
                <w:sz w:val="24"/>
                <w:szCs w:val="24"/>
                <w:lang w:eastAsia="zh-CN"/>
              </w:rPr>
              <w:t>规划环评</w:t>
            </w:r>
            <w:r>
              <w:rPr>
                <w:rFonts w:hint="eastAsia" w:ascii="Times New Roman" w:hAnsi="Times New Roman"/>
                <w:color w:val="auto"/>
                <w:kern w:val="2"/>
                <w:lang w:eastAsia="zh-CN"/>
              </w:rPr>
              <w:t>审批文件文号：</w:t>
            </w:r>
            <w:r>
              <w:rPr>
                <w:rFonts w:hint="default" w:ascii="Times New Roman" w:hAnsi="Times New Roman" w:eastAsia="宋体" w:cs="Times New Roman"/>
                <w:color w:val="auto"/>
                <w:sz w:val="24"/>
                <w:szCs w:val="24"/>
              </w:rPr>
              <w:t>皖环函[20</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042</w:t>
            </w:r>
            <w:r>
              <w:rPr>
                <w:rFonts w:hint="default" w:ascii="Times New Roman" w:hAnsi="Times New Roman" w:eastAsia="宋体" w:cs="Times New Roman"/>
                <w:color w:val="auto"/>
                <w:sz w:val="24"/>
                <w:szCs w:val="24"/>
              </w:rPr>
              <w:t>号</w:t>
            </w:r>
          </w:p>
        </w:tc>
      </w:tr>
      <w:tr w14:paraId="3E25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3" w:hRule="atLeast"/>
          <w:jc w:val="center"/>
        </w:trPr>
        <w:tc>
          <w:tcPr>
            <w:tcW w:w="1691" w:type="dxa"/>
            <w:vAlign w:val="center"/>
          </w:tcPr>
          <w:p w14:paraId="22498253">
            <w:pPr>
              <w:autoSpaceDE w:val="0"/>
              <w:autoSpaceDN w:val="0"/>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规划及规划环境</w:t>
            </w:r>
            <w:r>
              <w:rPr>
                <w:rFonts w:hint="eastAsia" w:ascii="Times New Roman" w:hAnsi="Times New Roman"/>
                <w:color w:val="auto"/>
                <w:kern w:val="2"/>
                <w:sz w:val="24"/>
                <w:szCs w:val="24"/>
              </w:rPr>
              <w:t>影响评价符合性分析</w:t>
            </w:r>
          </w:p>
        </w:tc>
        <w:tc>
          <w:tcPr>
            <w:tcW w:w="7777" w:type="dxa"/>
            <w:gridSpan w:val="3"/>
            <w:vAlign w:val="center"/>
          </w:tcPr>
          <w:p w14:paraId="0ED3654B">
            <w:pPr>
              <w:spacing w:line="360" w:lineRule="auto"/>
              <w:contextualSpacing/>
              <w:rPr>
                <w:b/>
                <w:color w:val="auto"/>
                <w:sz w:val="24"/>
                <w:szCs w:val="24"/>
              </w:rPr>
            </w:pPr>
            <w:r>
              <w:rPr>
                <w:rFonts w:hint="eastAsia"/>
                <w:b/>
                <w:color w:val="auto"/>
                <w:sz w:val="24"/>
                <w:szCs w:val="24"/>
              </w:rPr>
              <w:t>1、规划符合性</w:t>
            </w:r>
          </w:p>
          <w:p w14:paraId="336AAD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 w:val="24"/>
                <w:szCs w:val="24"/>
                <w:lang w:eastAsia="zh-CN"/>
              </w:rPr>
              <w:t>规划范围：</w:t>
            </w:r>
            <w:r>
              <w:rPr>
                <w:rFonts w:hint="default" w:ascii="Times New Roman" w:hAnsi="Times New Roman" w:eastAsia="宋体" w:cs="Times New Roman"/>
                <w:b w:val="0"/>
                <w:bCs w:val="0"/>
                <w:color w:val="auto"/>
                <w:kern w:val="0"/>
                <w:sz w:val="24"/>
                <w:szCs w:val="24"/>
                <w:lang w:val="en-US" w:eastAsia="zh-CN" w:bidi="ar"/>
              </w:rPr>
              <w:t>规划面积1727.61公顷：北区：区块一面积943.35公顷，四至范围为：东至经四路，南至纬十路，西至旧S101省道路，北至刘集路。南区：包含两个区块，区块二面积402.18公顷，四至范围为：东至京沪高铁，南至新马大道，西至S101省道，北至复兴大道；区块三面积382.08公顷，四至范围为:东至智汇路，南至新马大道，西至京沪高铁，北至复兴大道。</w:t>
            </w:r>
          </w:p>
          <w:p w14:paraId="2F99F5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kern w:val="0"/>
                <w:sz w:val="24"/>
                <w:szCs w:val="24"/>
                <w:lang w:val="en-US" w:eastAsia="zh-CN" w:bidi="ar"/>
              </w:rPr>
              <w:t>规划年限：《安徽固镇经济开发区总体发展规划（2024—2035年）》衔接蚌埠市国土空间总体规划期限，近期至2025年，远期至2035年。</w:t>
            </w:r>
          </w:p>
          <w:p w14:paraId="034702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kern w:val="0"/>
                <w:sz w:val="24"/>
                <w:szCs w:val="24"/>
                <w:lang w:val="en-US" w:eastAsia="zh-CN" w:bidi="ar"/>
              </w:rPr>
              <w:t>规划定位：为了开发区经济社会发展的战略需要，立足于区域比较优势，面向固镇县域、蚌埠市域、皖北地区、安徽省域等多个层面，将固镇经济开发区建设成为长三角地区有影响力农副产品加工产业基地、皖北地区重要的的装备制造产业基地、蚌埠市新兴的精细化工产业基地、固镇县县域经济重要增长极，力争为蚌埠高质量发展贡献重要力量。</w:t>
            </w:r>
          </w:p>
          <w:p w14:paraId="225936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kern w:val="0"/>
                <w:sz w:val="24"/>
                <w:szCs w:val="24"/>
                <w:lang w:val="en-US" w:eastAsia="zh-CN" w:bidi="ar"/>
              </w:rPr>
              <w:t>主导产业：农副产品加工、装备制造、精细化工。</w:t>
            </w:r>
          </w:p>
          <w:p w14:paraId="196FFD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kern w:val="0"/>
                <w:sz w:val="24"/>
                <w:szCs w:val="24"/>
                <w:lang w:val="en-US" w:eastAsia="zh-CN" w:bidi="ar"/>
              </w:rPr>
              <w:t>园区产业布局：按照“组团发展、生态楔入”的总体思路，构筑开发区“两区多组团”空间的发展格局，即两大产业片区、四个专业产业园。构建“两大产业片区”：分别在开发区南北向纵向分布着北部产业片区、南部产业片区两大片区。构建“四个专业产业园”：主要是打造北区：装备制造、精细化工；南区：装备制造、农副产品加工。进一步增强产业集聚的趋势，推动产业结构优化升级，形成区域内部网络化的空间格局。</w:t>
            </w:r>
          </w:p>
          <w:p w14:paraId="7A5130A1">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left"/>
              <w:textAlignment w:val="auto"/>
              <w:rPr>
                <w:rFonts w:ascii="Times New Roman"/>
                <w:color w:val="auto"/>
                <w:kern w:val="2"/>
                <w:sz w:val="24"/>
                <w:szCs w:val="24"/>
              </w:rPr>
            </w:pPr>
            <w:r>
              <w:rPr>
                <w:rFonts w:hint="default" w:ascii="Times New Roman" w:hAnsi="Times New Roman" w:eastAsia="宋体" w:cs="Times New Roman"/>
                <w:b w:val="0"/>
                <w:bCs w:val="0"/>
                <w:color w:val="auto"/>
                <w:spacing w:val="-3"/>
                <w:sz w:val="24"/>
                <w:szCs w:val="24"/>
                <w:lang w:eastAsia="zh-CN"/>
              </w:rPr>
              <w:t>本项目位于固镇经济开发区</w:t>
            </w:r>
            <w:r>
              <w:rPr>
                <w:rFonts w:hint="eastAsia" w:cs="Times New Roman"/>
                <w:b w:val="0"/>
                <w:bCs w:val="0"/>
                <w:color w:val="auto"/>
                <w:spacing w:val="-3"/>
                <w:sz w:val="24"/>
                <w:szCs w:val="24"/>
                <w:lang w:eastAsia="zh-CN"/>
              </w:rPr>
              <w:t>三星大道</w:t>
            </w:r>
            <w:r>
              <w:rPr>
                <w:rFonts w:hint="eastAsia" w:cs="Times New Roman"/>
                <w:b w:val="0"/>
                <w:bCs w:val="0"/>
                <w:color w:val="auto"/>
                <w:spacing w:val="-3"/>
                <w:sz w:val="24"/>
                <w:szCs w:val="24"/>
                <w:lang w:val="en-US" w:eastAsia="zh-CN"/>
              </w:rPr>
              <w:t>005号</w:t>
            </w:r>
            <w:r>
              <w:rPr>
                <w:rFonts w:hint="default" w:ascii="Times New Roman" w:hAnsi="Times New Roman" w:eastAsia="宋体" w:cs="Times New Roman"/>
                <w:b w:val="0"/>
                <w:bCs w:val="0"/>
                <w:color w:val="auto"/>
                <w:spacing w:val="-3"/>
                <w:sz w:val="24"/>
                <w:szCs w:val="24"/>
                <w:lang w:eastAsia="zh-CN"/>
              </w:rPr>
              <w:t>，位于固镇经济开发区北区内，属于工业用地，项目行业类别属于</w:t>
            </w:r>
            <w:r>
              <w:rPr>
                <w:rFonts w:hint="default" w:ascii="Times New Roman" w:hAnsi="Times New Roman" w:eastAsia="宋体" w:cs="Times New Roman"/>
                <w:b w:val="0"/>
                <w:bCs w:val="0"/>
                <w:color w:val="auto"/>
                <w:spacing w:val="-3"/>
                <w:sz w:val="24"/>
                <w:szCs w:val="24"/>
                <w:lang w:val="en-US" w:eastAsia="zh-CN"/>
              </w:rPr>
              <w:t>C</w:t>
            </w:r>
            <w:r>
              <w:rPr>
                <w:rFonts w:hint="default" w:ascii="Times New Roman" w:hAnsi="Times New Roman" w:eastAsia="宋体" w:cs="Times New Roman"/>
                <w:color w:val="auto"/>
                <w:sz w:val="24"/>
                <w:szCs w:val="24"/>
                <w:lang w:val="en-US" w:eastAsia="zh-CN"/>
              </w:rPr>
              <w:t>2922塑料板、管、型材制造</w:t>
            </w:r>
            <w:r>
              <w:rPr>
                <w:rFonts w:hint="default" w:ascii="Times New Roman" w:hAnsi="Times New Roman" w:eastAsia="宋体" w:cs="Times New Roman"/>
                <w:b w:val="0"/>
                <w:bCs w:val="0"/>
                <w:color w:val="auto"/>
                <w:spacing w:val="-3"/>
                <w:sz w:val="24"/>
                <w:szCs w:val="24"/>
                <w:lang w:val="en-US" w:eastAsia="zh-CN"/>
              </w:rPr>
              <w:t>，</w:t>
            </w:r>
            <w:r>
              <w:rPr>
                <w:rFonts w:hint="eastAsia"/>
                <w:color w:val="auto"/>
                <w:sz w:val="24"/>
                <w:szCs w:val="24"/>
                <w:lang w:eastAsia="zh-CN"/>
              </w:rPr>
              <w:t>项目位于开发区北部产业片区，</w:t>
            </w:r>
            <w:r>
              <w:rPr>
                <w:rFonts w:hint="default" w:ascii="Times New Roman" w:hAnsi="Times New Roman" w:eastAsia="宋体" w:cs="Times New Roman"/>
                <w:b w:val="0"/>
                <w:bCs w:val="0"/>
                <w:color w:val="auto"/>
                <w:spacing w:val="-3"/>
                <w:sz w:val="24"/>
                <w:szCs w:val="24"/>
                <w:lang w:val="en-US" w:eastAsia="zh-CN"/>
              </w:rPr>
              <w:t>不与主导产业冲突，不在园区限制及禁止范围内，属于园区允许类，项目符合固镇经济开发区产业定位要求。</w:t>
            </w:r>
          </w:p>
          <w:p w14:paraId="69FBD32E">
            <w:pPr>
              <w:spacing w:line="240" w:lineRule="auto"/>
              <w:contextualSpacing/>
              <w:rPr>
                <w:b/>
                <w:color w:val="auto"/>
                <w:sz w:val="24"/>
                <w:szCs w:val="24"/>
              </w:rPr>
            </w:pPr>
            <w:r>
              <w:rPr>
                <w:rFonts w:hint="eastAsia"/>
                <w:b/>
                <w:color w:val="auto"/>
                <w:sz w:val="24"/>
                <w:szCs w:val="24"/>
              </w:rPr>
              <w:t>2、规划环境影响评价符合性</w:t>
            </w:r>
          </w:p>
          <w:p w14:paraId="75E5E59C">
            <w:pPr>
              <w:spacing w:line="360" w:lineRule="auto"/>
              <w:ind w:firstLine="480" w:firstLineChars="200"/>
              <w:contextualSpacing/>
              <w:rPr>
                <w:rFonts w:hint="eastAsia" w:ascii="Times New Roman" w:hAnsi="Times New Roman"/>
                <w:color w:val="auto"/>
                <w:sz w:val="24"/>
                <w:szCs w:val="24"/>
              </w:rPr>
            </w:pPr>
            <w:r>
              <w:rPr>
                <w:rFonts w:hint="default" w:ascii="Times New Roman" w:hAnsi="Times New Roman" w:eastAsia="宋体" w:cs="Times New Roman"/>
                <w:b w:val="0"/>
                <w:bCs/>
                <w:color w:val="auto"/>
                <w:sz w:val="24"/>
                <w:szCs w:val="24"/>
                <w:u w:val="none"/>
                <w:lang w:eastAsia="zh-CN"/>
              </w:rPr>
              <w:t>项目</w:t>
            </w:r>
            <w:r>
              <w:rPr>
                <w:rFonts w:hint="default" w:ascii="Times New Roman" w:hAnsi="Times New Roman" w:eastAsia="宋体" w:cs="Times New Roman"/>
                <w:b w:val="0"/>
                <w:bCs w:val="0"/>
                <w:color w:val="auto"/>
                <w:sz w:val="24"/>
                <w:szCs w:val="24"/>
                <w:u w:val="none"/>
              </w:rPr>
              <w:t>与</w:t>
            </w:r>
            <w:r>
              <w:rPr>
                <w:rFonts w:hint="default" w:ascii="Times New Roman" w:hAnsi="Times New Roman" w:eastAsia="宋体" w:cs="Times New Roman"/>
                <w:b w:val="0"/>
                <w:bCs w:val="0"/>
                <w:color w:val="auto"/>
                <w:sz w:val="24"/>
                <w:szCs w:val="24"/>
                <w:lang w:eastAsia="zh-CN"/>
              </w:rPr>
              <w:t>安徽固镇经济开发区总体发展</w:t>
            </w:r>
            <w:r>
              <w:rPr>
                <w:rFonts w:hint="default" w:ascii="Times New Roman" w:hAnsi="Times New Roman" w:eastAsia="宋体" w:cs="Times New Roman"/>
                <w:b w:val="0"/>
                <w:bCs w:val="0"/>
                <w:color w:val="auto"/>
                <w:sz w:val="24"/>
                <w:szCs w:val="24"/>
              </w:rPr>
              <w:t>规划（20</w:t>
            </w:r>
            <w:r>
              <w:rPr>
                <w:rFonts w:hint="default" w:ascii="Times New Roman" w:hAnsi="Times New Roman" w:eastAsia="宋体" w:cs="Times New Roman"/>
                <w:b w:val="0"/>
                <w:bCs w:val="0"/>
                <w:color w:val="auto"/>
                <w:sz w:val="24"/>
                <w:szCs w:val="24"/>
                <w:lang w:val="en-US" w:eastAsia="zh-CN"/>
              </w:rPr>
              <w:t>24</w:t>
            </w:r>
            <w:r>
              <w:rPr>
                <w:rFonts w:hint="default" w:ascii="Times New Roman" w:hAnsi="Times New Roman" w:eastAsia="宋体" w:cs="Times New Roman"/>
                <w:b w:val="0"/>
                <w:bCs w:val="0"/>
                <w:color w:val="auto"/>
                <w:sz w:val="24"/>
                <w:szCs w:val="24"/>
              </w:rPr>
              <w:t>-203</w:t>
            </w:r>
            <w:r>
              <w:rPr>
                <w:rFonts w:hint="default" w:ascii="Times New Roman" w:hAnsi="Times New Roman" w:eastAsia="宋体" w:cs="Times New Roman"/>
                <w:b w:val="0"/>
                <w:bCs w:val="0"/>
                <w:color w:val="auto"/>
                <w:sz w:val="24"/>
                <w:szCs w:val="24"/>
                <w:lang w:val="en-US" w:eastAsia="zh-CN"/>
              </w:rPr>
              <w:t>5年</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u w:val="none"/>
              </w:rPr>
              <w:t>环境影响报告书</w:t>
            </w:r>
            <w:r>
              <w:rPr>
                <w:rFonts w:hint="default" w:ascii="Times New Roman" w:hAnsi="Times New Roman" w:eastAsia="宋体" w:cs="Times New Roman"/>
                <w:b w:val="0"/>
                <w:bCs w:val="0"/>
                <w:color w:val="auto"/>
                <w:spacing w:val="-1"/>
                <w:sz w:val="24"/>
                <w:szCs w:val="24"/>
                <w:u w:val="none"/>
                <w:lang w:eastAsia="zh-CN"/>
              </w:rPr>
              <w:t>及其</w:t>
            </w:r>
            <w:r>
              <w:rPr>
                <w:rFonts w:hint="default" w:ascii="Times New Roman" w:hAnsi="Times New Roman" w:eastAsia="宋体" w:cs="Times New Roman"/>
                <w:b w:val="0"/>
                <w:bCs w:val="0"/>
                <w:color w:val="auto"/>
                <w:spacing w:val="-1"/>
                <w:sz w:val="24"/>
                <w:szCs w:val="24"/>
                <w:u w:val="none"/>
              </w:rPr>
              <w:t>审查意见符合性分析如下表所</w:t>
            </w:r>
            <w:r>
              <w:rPr>
                <w:rFonts w:hint="default" w:ascii="Times New Roman" w:hAnsi="Times New Roman" w:eastAsia="宋体" w:cs="Times New Roman"/>
                <w:color w:val="auto"/>
                <w:spacing w:val="-1"/>
                <w:sz w:val="24"/>
                <w:szCs w:val="24"/>
                <w:u w:val="none"/>
              </w:rPr>
              <w:t>示</w:t>
            </w:r>
            <w:r>
              <w:rPr>
                <w:rFonts w:hint="eastAsia" w:ascii="Times New Roman" w:hAnsi="Times New Roman"/>
                <w:color w:val="auto"/>
                <w:sz w:val="24"/>
                <w:szCs w:val="24"/>
              </w:rPr>
              <w:t>。</w:t>
            </w:r>
          </w:p>
          <w:p w14:paraId="6EEA93B1">
            <w:pPr>
              <w:spacing w:line="240" w:lineRule="auto"/>
              <w:ind w:firstLine="422" w:firstLineChars="200"/>
              <w:contextualSpacing/>
              <w:jc w:val="center"/>
              <w:rPr>
                <w:rFonts w:hint="eastAsia" w:ascii="Times New Roman" w:hAnsi="Times New Roman"/>
                <w:b/>
                <w:color w:val="auto"/>
                <w:sz w:val="21"/>
                <w:szCs w:val="21"/>
              </w:rPr>
            </w:pPr>
            <w:r>
              <w:rPr>
                <w:rFonts w:hint="eastAsia" w:ascii="Times New Roman" w:hAnsi="Times New Roman"/>
                <w:b/>
                <w:color w:val="auto"/>
                <w:sz w:val="21"/>
                <w:szCs w:val="21"/>
              </w:rPr>
              <w:t>表 1-1 项目建设与规划环评及其审查意见相符性分析</w:t>
            </w:r>
          </w:p>
          <w:tbl>
            <w:tblPr>
              <w:tblStyle w:val="29"/>
              <w:tblW w:w="7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4230"/>
              <w:gridCol w:w="2220"/>
              <w:gridCol w:w="691"/>
            </w:tblGrid>
            <w:tr w14:paraId="473B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48239244">
                  <w:pPr>
                    <w:contextualSpacing/>
                    <w:jc w:val="center"/>
                    <w:rPr>
                      <w:rFonts w:ascii="Times New Roman" w:hAnsi="Times New Roman"/>
                      <w:color w:val="auto"/>
                      <w:sz w:val="21"/>
                      <w:szCs w:val="21"/>
                    </w:rPr>
                  </w:pPr>
                  <w:r>
                    <w:rPr>
                      <w:rFonts w:ascii="Times New Roman"/>
                      <w:color w:val="auto"/>
                      <w:sz w:val="21"/>
                      <w:szCs w:val="21"/>
                    </w:rPr>
                    <w:t>序号</w:t>
                  </w:r>
                </w:p>
              </w:tc>
              <w:tc>
                <w:tcPr>
                  <w:tcW w:w="4230" w:type="dxa"/>
                  <w:noWrap w:val="0"/>
                  <w:vAlign w:val="top"/>
                </w:tcPr>
                <w:p w14:paraId="2DFD6717">
                  <w:pPr>
                    <w:contextualSpacing/>
                    <w:jc w:val="center"/>
                    <w:rPr>
                      <w:rFonts w:ascii="Times New Roman" w:hAnsi="Times New Roman"/>
                      <w:color w:val="auto"/>
                      <w:sz w:val="21"/>
                      <w:szCs w:val="21"/>
                    </w:rPr>
                  </w:pPr>
                  <w:r>
                    <w:rPr>
                      <w:rFonts w:ascii="Times New Roman"/>
                      <w:color w:val="auto"/>
                      <w:sz w:val="21"/>
                      <w:szCs w:val="21"/>
                    </w:rPr>
                    <w:t>规划环评及其审查意见要求</w:t>
                  </w:r>
                </w:p>
              </w:tc>
              <w:tc>
                <w:tcPr>
                  <w:tcW w:w="2220" w:type="dxa"/>
                  <w:noWrap w:val="0"/>
                  <w:vAlign w:val="top"/>
                </w:tcPr>
                <w:p w14:paraId="2AB350BB">
                  <w:pPr>
                    <w:contextualSpacing/>
                    <w:jc w:val="center"/>
                    <w:rPr>
                      <w:rFonts w:ascii="Times New Roman" w:hAnsi="Times New Roman"/>
                      <w:color w:val="auto"/>
                      <w:sz w:val="21"/>
                      <w:szCs w:val="21"/>
                    </w:rPr>
                  </w:pPr>
                  <w:r>
                    <w:rPr>
                      <w:rFonts w:ascii="Times New Roman"/>
                      <w:color w:val="auto"/>
                      <w:sz w:val="21"/>
                      <w:szCs w:val="21"/>
                    </w:rPr>
                    <w:t>本项目情况</w:t>
                  </w:r>
                </w:p>
              </w:tc>
              <w:tc>
                <w:tcPr>
                  <w:tcW w:w="691" w:type="dxa"/>
                  <w:noWrap w:val="0"/>
                  <w:vAlign w:val="top"/>
                </w:tcPr>
                <w:p w14:paraId="198C123A">
                  <w:pPr>
                    <w:contextualSpacing/>
                    <w:jc w:val="center"/>
                    <w:rPr>
                      <w:rFonts w:ascii="Times New Roman" w:hAnsi="Times New Roman"/>
                      <w:color w:val="auto"/>
                      <w:sz w:val="21"/>
                      <w:szCs w:val="21"/>
                    </w:rPr>
                  </w:pPr>
                  <w:r>
                    <w:rPr>
                      <w:rFonts w:ascii="Times New Roman"/>
                      <w:color w:val="auto"/>
                      <w:sz w:val="21"/>
                      <w:szCs w:val="21"/>
                    </w:rPr>
                    <w:t>相符性</w:t>
                  </w:r>
                </w:p>
              </w:tc>
            </w:tr>
            <w:tr w14:paraId="3B0F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56E2F63A">
                  <w:pPr>
                    <w:contextualSpacing/>
                    <w:jc w:val="center"/>
                    <w:rPr>
                      <w:rFonts w:ascii="Times New Roman" w:hAnsi="Times New Roman"/>
                      <w:color w:val="auto"/>
                      <w:sz w:val="21"/>
                      <w:szCs w:val="21"/>
                    </w:rPr>
                  </w:pPr>
                  <w:r>
                    <w:rPr>
                      <w:rFonts w:ascii="Times New Roman" w:hAnsi="Times New Roman"/>
                      <w:color w:val="auto"/>
                      <w:sz w:val="21"/>
                      <w:szCs w:val="21"/>
                    </w:rPr>
                    <w:t>1</w:t>
                  </w:r>
                </w:p>
              </w:tc>
              <w:tc>
                <w:tcPr>
                  <w:tcW w:w="4230" w:type="dxa"/>
                  <w:noWrap w:val="0"/>
                  <w:vAlign w:val="top"/>
                </w:tcPr>
                <w:p w14:paraId="1E03AEC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u w:val="none"/>
                    </w:rPr>
                    <w:t>加强《规划》引领，坚持绿色协调发展。《规划》应全面贯彻落实习近平生态文明思想，加强《规划》与《淮河流域水污染防治暂行条例》、深入打好污染防治攻坚战相关要求、生态环境分区管控方案及国土空间总体规划的协调衔接，开发区部分区域位于城镇开发区边界外，建议优化调整。开发区位于淮河流域，包含固镇化工园，区域大气、水环境保护压力较大，应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p>
              </w:tc>
              <w:tc>
                <w:tcPr>
                  <w:tcW w:w="2220" w:type="dxa"/>
                  <w:noWrap w:val="0"/>
                  <w:vAlign w:val="top"/>
                </w:tcPr>
                <w:p w14:paraId="3EC19D2F">
                  <w:pPr>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olor w:val="auto"/>
                      <w:sz w:val="21"/>
                      <w:szCs w:val="21"/>
                      <w:lang w:eastAsia="zh-CN"/>
                    </w:rPr>
                  </w:pPr>
                  <w:r>
                    <w:rPr>
                      <w:rFonts w:hint="default" w:ascii="Times New Roman" w:hAnsi="Times New Roman" w:eastAsia="宋体" w:cs="Times New Roman"/>
                      <w:b w:val="0"/>
                      <w:bCs/>
                      <w:color w:val="auto"/>
                      <w:sz w:val="21"/>
                      <w:szCs w:val="21"/>
                      <w:u w:val="none"/>
                      <w:lang w:eastAsia="zh-CN"/>
                    </w:rPr>
                    <w:t>本</w:t>
                  </w:r>
                  <w:r>
                    <w:rPr>
                      <w:rFonts w:hint="default" w:ascii="Times New Roman" w:hAnsi="Times New Roman" w:eastAsia="宋体" w:cs="Times New Roman"/>
                      <w:color w:val="auto"/>
                      <w:sz w:val="21"/>
                      <w:szCs w:val="21"/>
                      <w:u w:val="none"/>
                    </w:rPr>
                    <w:t>项目采取相应的污染治理措施和风险防范措施，使污染物达标排放；</w:t>
                  </w: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color w:val="auto"/>
                      <w:sz w:val="21"/>
                      <w:szCs w:val="21"/>
                      <w:u w:val="none"/>
                    </w:rPr>
                    <w:t>不属于产业政策中淘汰类和限制类发展项目，不在园区规划环评报告书负面清单之内。</w:t>
                  </w:r>
                </w:p>
              </w:tc>
              <w:tc>
                <w:tcPr>
                  <w:tcW w:w="691" w:type="dxa"/>
                  <w:noWrap w:val="0"/>
                  <w:vAlign w:val="top"/>
                </w:tcPr>
                <w:p w14:paraId="51544EBC">
                  <w:pPr>
                    <w:contextualSpacing/>
                    <w:rPr>
                      <w:rFonts w:ascii="Times New Roman" w:hAnsi="Times New Roman"/>
                      <w:color w:val="auto"/>
                      <w:sz w:val="21"/>
                      <w:szCs w:val="21"/>
                    </w:rPr>
                  </w:pPr>
                  <w:r>
                    <w:rPr>
                      <w:rFonts w:ascii="Times New Roman"/>
                      <w:color w:val="auto"/>
                      <w:sz w:val="21"/>
                      <w:szCs w:val="21"/>
                    </w:rPr>
                    <w:t>符合</w:t>
                  </w:r>
                </w:p>
              </w:tc>
            </w:tr>
            <w:tr w14:paraId="08CC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48A70A1C">
                  <w:pPr>
                    <w:contextualSpacing/>
                    <w:jc w:val="center"/>
                    <w:rPr>
                      <w:rFonts w:ascii="Times New Roman" w:hAnsi="Times New Roman"/>
                      <w:color w:val="auto"/>
                      <w:sz w:val="21"/>
                      <w:szCs w:val="21"/>
                    </w:rPr>
                  </w:pPr>
                  <w:r>
                    <w:rPr>
                      <w:rFonts w:ascii="Times New Roman" w:hAnsi="Times New Roman"/>
                      <w:color w:val="auto"/>
                      <w:sz w:val="21"/>
                      <w:szCs w:val="21"/>
                    </w:rPr>
                    <w:t>2</w:t>
                  </w:r>
                </w:p>
              </w:tc>
              <w:tc>
                <w:tcPr>
                  <w:tcW w:w="4230" w:type="dxa"/>
                  <w:noWrap w:val="0"/>
                  <w:vAlign w:val="top"/>
                </w:tcPr>
                <w:p w14:paraId="21A79C3C">
                  <w:pPr>
                    <w:keepNext w:val="0"/>
                    <w:keepLines w:val="0"/>
                    <w:widowControl w:val="0"/>
                    <w:suppressLineNumbers w:val="0"/>
                    <w:spacing w:before="0" w:beforeAutospacing="0" w:after="0" w:afterAutospacing="0"/>
                    <w:ind w:left="0" w:right="0"/>
                    <w:jc w:val="both"/>
                    <w:rPr>
                      <w:rFonts w:ascii="Times New Roman" w:hAnsi="Times New Roman"/>
                      <w:color w:val="auto"/>
                      <w:sz w:val="21"/>
                      <w:szCs w:val="21"/>
                    </w:rPr>
                  </w:pPr>
                  <w:r>
                    <w:rPr>
                      <w:rFonts w:hint="default" w:ascii="Times New Roman" w:hAnsi="Times New Roman" w:eastAsia="宋体" w:cs="Times New Roman"/>
                      <w:color w:val="auto"/>
                      <w:sz w:val="21"/>
                      <w:szCs w:val="21"/>
                      <w:u w:val="none"/>
                    </w:rPr>
                    <w:t>严守环境质量底线，保护区域生态环境质量。开发区周边涉及固镇两河湿地市级自然保护区、安徽三汊河国家湿地公园等生态敏感区，生态环境保护要求较高，应主动避让并与其边界保持一定的缓冲防护距离。开发区应坚持“生态优先、绿色发展”的战略定位，持续巩固突出生态环境问题整改成果，以生态环境质量改善、防范环境风险为核心，明确开发区发展存在的环境制约因素，加快制定开发区区域大气达标计划，在区域大气环境质量稳定达标前，化工园区外禁止“两高一低”项目入区。根据国家和我省大气、水、土壤、环境风险防范和固体废物污染防治相关要求，妥善解决区域现存生态环境问题，确保开发区建设项目污染物长期稳定达标排放，区域生态环境质量持续改善。</w:t>
                  </w:r>
                </w:p>
              </w:tc>
              <w:tc>
                <w:tcPr>
                  <w:tcW w:w="2220" w:type="dxa"/>
                  <w:noWrap w:val="0"/>
                  <w:vAlign w:val="top"/>
                </w:tcPr>
                <w:p w14:paraId="52FC956F">
                  <w:pPr>
                    <w:keepNext w:val="0"/>
                    <w:keepLines w:val="0"/>
                    <w:widowControl w:val="0"/>
                    <w:suppressLineNumbers w:val="0"/>
                    <w:spacing w:before="0" w:beforeAutospacing="0" w:after="0" w:afterAutospacing="0"/>
                    <w:ind w:left="0" w:leftChars="0" w:right="0" w:rightChars="0"/>
                    <w:jc w:val="both"/>
                    <w:rPr>
                      <w:rFonts w:ascii="Times New Roman" w:hAnsi="Times New Roman"/>
                      <w:color w:val="auto"/>
                      <w:sz w:val="21"/>
                      <w:szCs w:val="21"/>
                      <w:highlight w:val="none"/>
                    </w:rPr>
                  </w:pP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color w:val="auto"/>
                      <w:spacing w:val="5"/>
                      <w:sz w:val="21"/>
                      <w:szCs w:val="21"/>
                      <w:u w:val="none"/>
                      <w:lang w:eastAsia="zh-CN"/>
                    </w:rPr>
                    <w:t>产生</w:t>
                  </w:r>
                  <w:r>
                    <w:rPr>
                      <w:rFonts w:hint="default" w:ascii="Times New Roman" w:hAnsi="Times New Roman" w:eastAsia="宋体" w:cs="Times New Roman"/>
                      <w:b w:val="0"/>
                      <w:bCs/>
                      <w:color w:val="auto"/>
                      <w:sz w:val="21"/>
                      <w:szCs w:val="21"/>
                    </w:rPr>
                    <w:t>生活污水经化粪池</w:t>
                  </w:r>
                  <w:r>
                    <w:rPr>
                      <w:rFonts w:hint="default" w:ascii="Times New Roman" w:hAnsi="Times New Roman" w:eastAsia="宋体" w:cs="Times New Roman"/>
                      <w:color w:val="auto"/>
                      <w:sz w:val="21"/>
                      <w:szCs w:val="21"/>
                      <w:lang w:eastAsia="zh-CN"/>
                    </w:rPr>
                    <w:t>预处理</w:t>
                  </w:r>
                  <w:r>
                    <w:rPr>
                      <w:rFonts w:hint="eastAsia" w:cs="Times New Roman"/>
                      <w:color w:val="auto"/>
                      <w:sz w:val="21"/>
                      <w:szCs w:val="21"/>
                      <w:lang w:eastAsia="zh-CN"/>
                    </w:rPr>
                    <w:t>后</w:t>
                  </w:r>
                  <w:r>
                    <w:rPr>
                      <w:rFonts w:hint="default" w:ascii="Times New Roman" w:hAnsi="Times New Roman" w:eastAsia="宋体" w:cs="Times New Roman"/>
                      <w:color w:val="auto"/>
                      <w:sz w:val="21"/>
                      <w:szCs w:val="21"/>
                      <w:lang w:eastAsia="zh-CN"/>
                    </w:rPr>
                    <w:t>排入园区污水管网，进入固镇经济开发区污水处理厂集中处理</w:t>
                  </w:r>
                  <w:r>
                    <w:rPr>
                      <w:rFonts w:hint="default" w:ascii="Times New Roman" w:hAnsi="Times New Roman" w:eastAsia="宋体" w:cs="Times New Roman"/>
                      <w:color w:val="auto"/>
                      <w:sz w:val="21"/>
                      <w:szCs w:val="21"/>
                      <w:u w:val="none"/>
                    </w:rPr>
                    <w:t>，</w:t>
                  </w:r>
                  <w:r>
                    <w:rPr>
                      <w:rFonts w:hint="default" w:ascii="Times New Roman" w:hAnsi="Times New Roman" w:eastAsia="宋体" w:cs="Times New Roman"/>
                      <w:color w:val="auto"/>
                      <w:sz w:val="21"/>
                      <w:szCs w:val="21"/>
                      <w:u w:val="none"/>
                      <w:lang w:eastAsia="zh-CN"/>
                    </w:rPr>
                    <w:t>固镇经济开发区</w:t>
                  </w:r>
                  <w:r>
                    <w:rPr>
                      <w:rFonts w:hint="default" w:ascii="Times New Roman" w:hAnsi="Times New Roman" w:eastAsia="宋体" w:cs="Times New Roman"/>
                      <w:color w:val="auto"/>
                      <w:sz w:val="21"/>
                      <w:szCs w:val="21"/>
                      <w:u w:val="none"/>
                    </w:rPr>
                    <w:t>污水处理厂目前正常运营，目前</w:t>
                  </w:r>
                  <w:r>
                    <w:rPr>
                      <w:rFonts w:hint="default" w:ascii="Times New Roman" w:hAnsi="Times New Roman" w:eastAsia="宋体" w:cs="Times New Roman"/>
                      <w:color w:val="auto"/>
                      <w:sz w:val="21"/>
                      <w:szCs w:val="21"/>
                      <w:u w:val="none"/>
                      <w:lang w:eastAsia="zh-CN"/>
                    </w:rPr>
                    <w:t>固镇经济开发区</w:t>
                  </w:r>
                  <w:r>
                    <w:rPr>
                      <w:rFonts w:hint="default" w:ascii="Times New Roman" w:hAnsi="Times New Roman" w:eastAsia="宋体" w:cs="Times New Roman"/>
                      <w:color w:val="auto"/>
                      <w:sz w:val="21"/>
                      <w:szCs w:val="21"/>
                      <w:u w:val="none"/>
                    </w:rPr>
                    <w:t>污水处理厂还有容量接纳</w:t>
                  </w: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color w:val="auto"/>
                      <w:sz w:val="21"/>
                      <w:szCs w:val="21"/>
                      <w:u w:val="none"/>
                    </w:rPr>
                    <w:t>废水。</w:t>
                  </w: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color w:val="auto"/>
                      <w:sz w:val="21"/>
                      <w:szCs w:val="21"/>
                      <w:u w:val="none"/>
                    </w:rPr>
                    <w:t>能源采用电为清洁能源，项目按照《安徽省大气污染防治条例》和《安徽省大气污染防治行动计划实施方案》的各项要求,针对各类废气采用了相应的污染防治措施，有效控制了项目各类废气的排放。</w:t>
                  </w:r>
                </w:p>
              </w:tc>
              <w:tc>
                <w:tcPr>
                  <w:tcW w:w="691" w:type="dxa"/>
                  <w:noWrap w:val="0"/>
                  <w:vAlign w:val="top"/>
                </w:tcPr>
                <w:p w14:paraId="57CA4C2D">
                  <w:pPr>
                    <w:contextualSpacing/>
                    <w:rPr>
                      <w:rFonts w:ascii="Times New Roman" w:hAnsi="Times New Roman"/>
                      <w:color w:val="auto"/>
                      <w:sz w:val="21"/>
                      <w:szCs w:val="21"/>
                    </w:rPr>
                  </w:pPr>
                  <w:r>
                    <w:rPr>
                      <w:rFonts w:ascii="Times New Roman"/>
                      <w:color w:val="auto"/>
                      <w:sz w:val="21"/>
                      <w:szCs w:val="21"/>
                    </w:rPr>
                    <w:t>符合</w:t>
                  </w:r>
                </w:p>
              </w:tc>
            </w:tr>
            <w:tr w14:paraId="5823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0B6215B3">
                  <w:pPr>
                    <w:contextualSpacing/>
                    <w:jc w:val="center"/>
                    <w:rPr>
                      <w:rFonts w:ascii="Times New Roman" w:hAnsi="Times New Roman"/>
                      <w:color w:val="auto"/>
                      <w:sz w:val="21"/>
                      <w:szCs w:val="21"/>
                    </w:rPr>
                  </w:pPr>
                  <w:r>
                    <w:rPr>
                      <w:rFonts w:ascii="Times New Roman" w:hAnsi="Times New Roman"/>
                      <w:color w:val="auto"/>
                      <w:sz w:val="21"/>
                      <w:szCs w:val="21"/>
                    </w:rPr>
                    <w:t>3</w:t>
                  </w:r>
                </w:p>
              </w:tc>
              <w:tc>
                <w:tcPr>
                  <w:tcW w:w="4230" w:type="dxa"/>
                  <w:noWrap w:val="0"/>
                  <w:vAlign w:val="top"/>
                </w:tcPr>
                <w:p w14:paraId="2A22A0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优化空间布局，加强生态环境分区管控。落实生态环境分区管控要求，结合国家和省长江经济带发展负面清单管控要求及区域资源优势和环境制约因素、开发区产业定位等，进一步</w:t>
                  </w:r>
                </w:p>
                <w:p w14:paraId="2E2DEF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完善调区规划，优化功能分区和空间布局。合理规划不同功能区的环境保护空间，严禁不符合管控要求的各类开发建设活动，规划实施应加强对浍河、怀洪新河、北淝河和周边“三沟一河”等地表水体的保护，重点加强对饮用水水源保护区的防护，规划实施不得损害周边大气环境、水环境、声环境、重要生态敏感区的</w:t>
                  </w:r>
                </w:p>
                <w:p w14:paraId="352DF97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u w:val="none"/>
                    </w:rPr>
                    <w:t>环境质量和生态功能。做好开发区工业企业(重点是化工园区、农副产品加工区)与周边地表水体、居住区等各类环境保护目标的有效隔离，居住区和保护地周边严禁布设生态环境影响较大的建设项目，保障区域生态环境安全，实现产业发展与区域生态环境保护相协调。</w:t>
                  </w:r>
                </w:p>
              </w:tc>
              <w:tc>
                <w:tcPr>
                  <w:tcW w:w="2220" w:type="dxa"/>
                  <w:noWrap w:val="0"/>
                  <w:vAlign w:val="top"/>
                </w:tcPr>
                <w:p w14:paraId="1A3C0365">
                  <w:pPr>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olor w:val="auto"/>
                      <w:sz w:val="21"/>
                      <w:szCs w:val="21"/>
                      <w:lang w:eastAsia="zh-CN"/>
                    </w:rPr>
                  </w:pPr>
                  <w:r>
                    <w:rPr>
                      <w:rFonts w:hint="default" w:ascii="Times New Roman" w:hAnsi="Times New Roman" w:eastAsia="宋体" w:cs="Times New Roman"/>
                      <w:b w:val="0"/>
                      <w:bCs/>
                      <w:color w:val="auto"/>
                      <w:sz w:val="21"/>
                      <w:szCs w:val="21"/>
                      <w:u w:val="none"/>
                      <w:lang w:val="en-US"/>
                    </w:rPr>
                    <w:t>项目</w:t>
                  </w:r>
                  <w:r>
                    <w:rPr>
                      <w:rFonts w:hint="default" w:ascii="Times New Roman" w:hAnsi="Times New Roman" w:eastAsia="宋体" w:cs="Times New Roman"/>
                      <w:color w:val="auto"/>
                      <w:position w:val="0"/>
                      <w:sz w:val="21"/>
                      <w:szCs w:val="21"/>
                      <w:u w:val="none"/>
                      <w:lang w:eastAsia="zh-CN"/>
                    </w:rPr>
                    <w:t>属于</w:t>
                  </w:r>
                  <w:r>
                    <w:rPr>
                      <w:rFonts w:hint="default" w:ascii="Times New Roman" w:hAnsi="Times New Roman" w:eastAsia="宋体" w:cs="Times New Roman"/>
                      <w:color w:val="auto"/>
                      <w:position w:val="0"/>
                      <w:sz w:val="21"/>
                      <w:szCs w:val="21"/>
                      <w:u w:val="none"/>
                      <w:lang w:val="en-US" w:eastAsia="zh-CN"/>
                    </w:rPr>
                    <w:t>C</w:t>
                  </w:r>
                  <w:r>
                    <w:rPr>
                      <w:rFonts w:hint="default" w:ascii="Times New Roman" w:hAnsi="Times New Roman" w:eastAsia="宋体" w:cs="Times New Roman"/>
                      <w:color w:val="auto"/>
                      <w:sz w:val="21"/>
                      <w:szCs w:val="21"/>
                      <w:lang w:val="en-US" w:eastAsia="zh-CN"/>
                    </w:rPr>
                    <w:t>2922塑料板、管、型材制造</w:t>
                  </w:r>
                  <w:r>
                    <w:rPr>
                      <w:rFonts w:hint="default" w:ascii="Times New Roman" w:hAnsi="Times New Roman" w:eastAsia="宋体" w:cs="Times New Roman"/>
                      <w:color w:val="auto"/>
                      <w:position w:val="0"/>
                      <w:sz w:val="21"/>
                      <w:szCs w:val="21"/>
                      <w:u w:val="none"/>
                    </w:rPr>
                    <w:t>，</w:t>
                  </w:r>
                  <w:r>
                    <w:rPr>
                      <w:rFonts w:hint="default" w:ascii="Times New Roman" w:hAnsi="Times New Roman" w:eastAsia="宋体" w:cs="Times New Roman"/>
                      <w:b w:val="0"/>
                      <w:bCs w:val="0"/>
                      <w:color w:val="auto"/>
                      <w:kern w:val="2"/>
                      <w:sz w:val="21"/>
                      <w:szCs w:val="21"/>
                      <w:u w:val="none"/>
                      <w:lang w:val="en-US" w:eastAsia="zh-CN" w:bidi="ar"/>
                    </w:rPr>
                    <w:t>不与主导产业冲突，不属于限制和禁止准入产业</w:t>
                  </w:r>
                  <w:r>
                    <w:rPr>
                      <w:rFonts w:hint="default" w:ascii="Times New Roman" w:hAnsi="Times New Roman" w:eastAsia="宋体" w:cs="Times New Roman"/>
                      <w:color w:val="auto"/>
                      <w:sz w:val="21"/>
                      <w:szCs w:val="21"/>
                      <w:u w:val="none"/>
                    </w:rPr>
                    <w:t>，符合园区的产业规划要求；项目对产生的废气、废水、噪声和固废采取相应的治理措施，使之达标排放和符合环境管理要求，建设风险防范措施，环境风险为可接受水平。</w:t>
                  </w:r>
                </w:p>
              </w:tc>
              <w:tc>
                <w:tcPr>
                  <w:tcW w:w="691" w:type="dxa"/>
                  <w:noWrap w:val="0"/>
                  <w:vAlign w:val="top"/>
                </w:tcPr>
                <w:p w14:paraId="659FF558">
                  <w:pPr>
                    <w:contextualSpacing/>
                    <w:rPr>
                      <w:rFonts w:ascii="Times New Roman" w:hAnsi="Times New Roman"/>
                      <w:color w:val="auto"/>
                      <w:sz w:val="21"/>
                      <w:szCs w:val="21"/>
                    </w:rPr>
                  </w:pPr>
                  <w:r>
                    <w:rPr>
                      <w:rFonts w:ascii="Times New Roman"/>
                      <w:color w:val="auto"/>
                      <w:sz w:val="21"/>
                      <w:szCs w:val="21"/>
                    </w:rPr>
                    <w:t>符合</w:t>
                  </w:r>
                </w:p>
              </w:tc>
            </w:tr>
            <w:tr w14:paraId="022F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6D136E9E">
                  <w:pPr>
                    <w:contextualSpacing/>
                    <w:jc w:val="center"/>
                    <w:rPr>
                      <w:rFonts w:ascii="Times New Roman" w:hAnsi="Times New Roman"/>
                      <w:color w:val="auto"/>
                      <w:sz w:val="21"/>
                      <w:szCs w:val="21"/>
                    </w:rPr>
                  </w:pPr>
                  <w:r>
                    <w:rPr>
                      <w:rFonts w:ascii="Times New Roman" w:hAnsi="Times New Roman"/>
                      <w:color w:val="auto"/>
                      <w:sz w:val="21"/>
                      <w:szCs w:val="21"/>
                    </w:rPr>
                    <w:t>4</w:t>
                  </w:r>
                </w:p>
              </w:tc>
              <w:tc>
                <w:tcPr>
                  <w:tcW w:w="4230" w:type="dxa"/>
                  <w:noWrap w:val="0"/>
                  <w:vAlign w:val="top"/>
                </w:tcPr>
                <w:p w14:paraId="158C18B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完善环保基础设施建设，强化环境污染防控。按照基础设施适当超前建设的原则，根据主导产业、开发时序和开发强度，进一步优化区域供水、排水、供气、供热及中水回用等规划。</w:t>
                  </w:r>
                </w:p>
                <w:p w14:paraId="32D926D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开发区应加快新调入区域环保基础设施建设，尽快完成区块二、区块三含氟废水预处理设施建设，确保含氟废水预处理后满足区域受纳水体环境质量管理要求。加快区块一污水管网升级改造，确保所有化工废水全部进入化工园区污水处理厂处理处置，加快实施化工污水处理厂提标改造工程。结合区域环境质量现状，细</w:t>
                  </w:r>
                </w:p>
                <w:p w14:paraId="2D2C6756">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u w:val="none"/>
                    </w:rPr>
                    <w:t>化开发区污染防治基础设施建设、运行管理要求及应急处理处置方案，合理设定处理规模和排放指标，开发区污水排放总量不得突破现有金山湖湿地排污口批复的3万吨/天污水排放总量，其中区块一化工园区污水处理厂排放量不得突破1万吨/天。加强开发区雨污分流管理，落实开发区北区中水回用方案，做好金山湖尾水湿地运行维护，确保浍河、怀洪新河、北淝河和周边“三沟一河”等水环境功能不降低，受纳水体、下游水环境保护目标及相关考核断面稳定达标。</w:t>
                  </w:r>
                </w:p>
              </w:tc>
              <w:tc>
                <w:tcPr>
                  <w:tcW w:w="2220" w:type="dxa"/>
                  <w:noWrap w:val="0"/>
                  <w:vAlign w:val="top"/>
                </w:tcPr>
                <w:p w14:paraId="2E3FD230">
                  <w:pPr>
                    <w:keepNext w:val="0"/>
                    <w:keepLines w:val="0"/>
                    <w:widowControl w:val="0"/>
                    <w:suppressLineNumbers w:val="0"/>
                    <w:spacing w:before="0" w:beforeAutospacing="0" w:after="0" w:afterAutospacing="0"/>
                    <w:ind w:left="0" w:leftChars="0" w:right="0" w:rightChars="0"/>
                    <w:jc w:val="both"/>
                    <w:rPr>
                      <w:rFonts w:ascii="Times New Roman" w:hAnsi="Times New Roman"/>
                      <w:color w:val="auto"/>
                      <w:sz w:val="21"/>
                      <w:szCs w:val="21"/>
                    </w:rPr>
                  </w:pP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b w:val="0"/>
                      <w:bCs/>
                      <w:color w:val="auto"/>
                      <w:sz w:val="21"/>
                      <w:szCs w:val="21"/>
                    </w:rPr>
                    <w:t>生活污水经化粪池</w:t>
                  </w:r>
                  <w:r>
                    <w:rPr>
                      <w:rFonts w:hint="default" w:ascii="Times New Roman" w:hAnsi="Times New Roman" w:eastAsia="宋体" w:cs="Times New Roman"/>
                      <w:color w:val="auto"/>
                      <w:sz w:val="21"/>
                      <w:szCs w:val="21"/>
                      <w:lang w:eastAsia="zh-CN"/>
                    </w:rPr>
                    <w:t>预处理</w:t>
                  </w:r>
                  <w:r>
                    <w:rPr>
                      <w:rFonts w:hint="eastAsia" w:cs="Times New Roman"/>
                      <w:color w:val="auto"/>
                      <w:sz w:val="21"/>
                      <w:szCs w:val="21"/>
                      <w:lang w:eastAsia="zh-CN"/>
                    </w:rPr>
                    <w:t>后</w:t>
                  </w:r>
                  <w:r>
                    <w:rPr>
                      <w:rFonts w:hint="default" w:ascii="Times New Roman" w:hAnsi="Times New Roman" w:eastAsia="宋体" w:cs="Times New Roman"/>
                      <w:color w:val="auto"/>
                      <w:sz w:val="21"/>
                      <w:szCs w:val="21"/>
                      <w:lang w:eastAsia="zh-CN"/>
                    </w:rPr>
                    <w:t>排入园区污水管网，进入固镇经济开发区污水处理厂集中处理</w:t>
                  </w:r>
                  <w:r>
                    <w:rPr>
                      <w:rFonts w:hint="default" w:ascii="Times New Roman" w:hAnsi="Times New Roman" w:eastAsia="宋体" w:cs="Times New Roman"/>
                      <w:color w:val="auto"/>
                      <w:sz w:val="21"/>
                      <w:szCs w:val="21"/>
                      <w:u w:val="none"/>
                    </w:rPr>
                    <w:t>，</w:t>
                  </w:r>
                  <w:r>
                    <w:rPr>
                      <w:rFonts w:hint="default" w:ascii="Times New Roman" w:hAnsi="Times New Roman" w:eastAsia="宋体" w:cs="Times New Roman"/>
                      <w:color w:val="auto"/>
                      <w:sz w:val="21"/>
                      <w:szCs w:val="21"/>
                      <w:u w:val="none"/>
                      <w:lang w:eastAsia="zh-CN"/>
                    </w:rPr>
                    <w:t>固镇经济开发区</w:t>
                  </w:r>
                  <w:r>
                    <w:rPr>
                      <w:rFonts w:hint="default" w:ascii="Times New Roman" w:hAnsi="Times New Roman" w:eastAsia="宋体" w:cs="Times New Roman"/>
                      <w:color w:val="auto"/>
                      <w:sz w:val="21"/>
                      <w:szCs w:val="21"/>
                      <w:u w:val="none"/>
                    </w:rPr>
                    <w:t>污水处理厂目前正常运营，目前</w:t>
                  </w:r>
                  <w:r>
                    <w:rPr>
                      <w:rFonts w:hint="default" w:ascii="Times New Roman" w:hAnsi="Times New Roman" w:eastAsia="宋体" w:cs="Times New Roman"/>
                      <w:color w:val="auto"/>
                      <w:sz w:val="21"/>
                      <w:szCs w:val="21"/>
                      <w:u w:val="none"/>
                      <w:lang w:eastAsia="zh-CN"/>
                    </w:rPr>
                    <w:t>固镇经济开发区</w:t>
                  </w:r>
                  <w:r>
                    <w:rPr>
                      <w:rFonts w:hint="default" w:ascii="Times New Roman" w:hAnsi="Times New Roman" w:eastAsia="宋体" w:cs="Times New Roman"/>
                      <w:color w:val="auto"/>
                      <w:sz w:val="21"/>
                      <w:szCs w:val="21"/>
                      <w:u w:val="none"/>
                    </w:rPr>
                    <w:t>污水处理厂还有容量接纳</w:t>
                  </w: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color w:val="auto"/>
                      <w:sz w:val="21"/>
                      <w:szCs w:val="21"/>
                      <w:u w:val="none"/>
                    </w:rPr>
                    <w:t>废水。</w:t>
                  </w:r>
                </w:p>
              </w:tc>
              <w:tc>
                <w:tcPr>
                  <w:tcW w:w="691" w:type="dxa"/>
                  <w:noWrap w:val="0"/>
                  <w:vAlign w:val="top"/>
                </w:tcPr>
                <w:p w14:paraId="1F67CB4B">
                  <w:pPr>
                    <w:contextualSpacing/>
                    <w:rPr>
                      <w:rFonts w:ascii="Times New Roman" w:hAnsi="Times New Roman"/>
                      <w:color w:val="auto"/>
                      <w:sz w:val="21"/>
                      <w:szCs w:val="21"/>
                    </w:rPr>
                  </w:pPr>
                  <w:r>
                    <w:rPr>
                      <w:rFonts w:ascii="Times New Roman"/>
                      <w:color w:val="auto"/>
                      <w:sz w:val="21"/>
                      <w:szCs w:val="21"/>
                    </w:rPr>
                    <w:t>符合</w:t>
                  </w:r>
                </w:p>
              </w:tc>
            </w:tr>
            <w:tr w14:paraId="4753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1CF1863D">
                  <w:pPr>
                    <w:contextualSpacing/>
                    <w:jc w:val="center"/>
                    <w:rPr>
                      <w:rFonts w:ascii="Times New Roman" w:hAnsi="Times New Roman"/>
                      <w:color w:val="auto"/>
                      <w:sz w:val="21"/>
                      <w:szCs w:val="21"/>
                    </w:rPr>
                  </w:pPr>
                  <w:r>
                    <w:rPr>
                      <w:rFonts w:ascii="Times New Roman" w:hAnsi="Times New Roman"/>
                      <w:color w:val="auto"/>
                      <w:sz w:val="21"/>
                      <w:szCs w:val="21"/>
                    </w:rPr>
                    <w:t>5</w:t>
                  </w:r>
                </w:p>
              </w:tc>
              <w:tc>
                <w:tcPr>
                  <w:tcW w:w="4230" w:type="dxa"/>
                  <w:noWrap w:val="0"/>
                  <w:vAlign w:val="top"/>
                </w:tcPr>
                <w:p w14:paraId="7D1995DF">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u w:val="none"/>
                    </w:rPr>
                    <w:t>细化生态环境准入清单，推动高质量发展。《报告书》应根据规划区域调整，结合主导产业、区域生态环境质量现状、生态环境分区管控要求和现行生态环境管理要求等,进一步加强产业准入管理。严格执行国家产业政策，严禁不符合淮河流域生态环境保护要求的项目入区。坚决遏制“两高一低”项目盲目发展，引进项目的清洁生产水平应达到国内同行业先进水平。加强对《淮河流域水污染防治暂行条例》限制和禁止项目的入园管控，开发区严禁新建涉及工业废水排放的电镀项目(含电镀工序)，严禁不符合《淮河流域水污染防治暂行条例》的项目入园。</w:t>
                  </w:r>
                </w:p>
              </w:tc>
              <w:tc>
                <w:tcPr>
                  <w:tcW w:w="2220" w:type="dxa"/>
                  <w:noWrap w:val="0"/>
                  <w:vAlign w:val="center"/>
                </w:tcPr>
                <w:p w14:paraId="10A4E7D7">
                  <w:pPr>
                    <w:keepNext w:val="0"/>
                    <w:keepLines w:val="0"/>
                    <w:widowControl w:val="0"/>
                    <w:suppressLineNumbers w:val="0"/>
                    <w:spacing w:before="0" w:beforeAutospacing="0" w:after="0" w:afterAutospacing="0"/>
                    <w:ind w:left="0" w:leftChars="0" w:right="0" w:rightChars="0"/>
                    <w:jc w:val="center"/>
                    <w:rPr>
                      <w:rFonts w:ascii="Times New Roman" w:hAnsi="Times New Roman"/>
                      <w:color w:val="auto"/>
                      <w:sz w:val="21"/>
                      <w:szCs w:val="21"/>
                    </w:rPr>
                  </w:pPr>
                  <w:r>
                    <w:rPr>
                      <w:rFonts w:hint="default" w:ascii="Times New Roman" w:hAnsi="Times New Roman" w:eastAsia="宋体" w:cs="Times New Roman"/>
                      <w:b w:val="0"/>
                      <w:bCs/>
                      <w:color w:val="auto"/>
                      <w:sz w:val="21"/>
                      <w:szCs w:val="21"/>
                      <w:u w:val="none"/>
                      <w:lang w:eastAsia="zh-CN"/>
                    </w:rPr>
                    <w:t>项目</w:t>
                  </w:r>
                  <w:r>
                    <w:rPr>
                      <w:rFonts w:hint="default" w:ascii="Times New Roman" w:hAnsi="Times New Roman" w:eastAsia="宋体" w:cs="Times New Roman"/>
                      <w:color w:val="auto"/>
                      <w:sz w:val="21"/>
                      <w:szCs w:val="21"/>
                      <w:u w:val="none"/>
                    </w:rPr>
                    <w:t>符合开发区产业的生态环境准入</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kern w:val="0"/>
                      <w:sz w:val="21"/>
                      <w:szCs w:val="21"/>
                      <w:lang w:val="en-US" w:eastAsia="zh-CN" w:bidi="ar"/>
                    </w:rPr>
                    <w:t>经对照《安徽省节能减排及应对气候变化工作领导小组关于印发安徽省“两高”项目管理目录(试行)的通知》（皖节能〔2022〕2号），本项目不属于目录中“两高”项目</w:t>
                  </w:r>
                  <w:r>
                    <w:rPr>
                      <w:rFonts w:hint="default" w:ascii="Times New Roman" w:hAnsi="Times New Roman" w:eastAsia="宋体" w:cs="Times New Roman"/>
                      <w:color w:val="auto"/>
                      <w:sz w:val="21"/>
                      <w:szCs w:val="21"/>
                      <w:u w:val="none"/>
                    </w:rPr>
                    <w:t>。</w:t>
                  </w:r>
                </w:p>
              </w:tc>
              <w:tc>
                <w:tcPr>
                  <w:tcW w:w="691" w:type="dxa"/>
                  <w:noWrap w:val="0"/>
                  <w:vAlign w:val="top"/>
                </w:tcPr>
                <w:p w14:paraId="0EDABFE9">
                  <w:pPr>
                    <w:contextualSpacing/>
                    <w:rPr>
                      <w:rFonts w:ascii="Times New Roman" w:hAnsi="Times New Roman"/>
                      <w:color w:val="auto"/>
                      <w:sz w:val="21"/>
                      <w:szCs w:val="21"/>
                    </w:rPr>
                  </w:pPr>
                  <w:r>
                    <w:rPr>
                      <w:rFonts w:ascii="Times New Roman"/>
                      <w:color w:val="auto"/>
                      <w:sz w:val="21"/>
                      <w:szCs w:val="21"/>
                    </w:rPr>
                    <w:t>符合</w:t>
                  </w:r>
                </w:p>
              </w:tc>
            </w:tr>
            <w:tr w14:paraId="28CB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7" w:type="dxa"/>
                  <w:noWrap w:val="0"/>
                  <w:vAlign w:val="top"/>
                </w:tcPr>
                <w:p w14:paraId="4C22E90E">
                  <w:pPr>
                    <w:contextualSpacing/>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6</w:t>
                  </w:r>
                </w:p>
              </w:tc>
              <w:tc>
                <w:tcPr>
                  <w:tcW w:w="4230" w:type="dxa"/>
                  <w:noWrap w:val="0"/>
                  <w:vAlign w:val="top"/>
                </w:tcPr>
                <w:p w14:paraId="706A205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u w:val="none"/>
                    </w:rPr>
                    <w:t>提升环境管理水平，加强生态环境风险防控。着力提升开发区环境管理水平，统筹考虑区域内污染物排放、固体废物(含危险废物)管理、环境风险防范等生态环境管理要求，全面落实环境风险三级防控，做好开发区重大环境风险源的识别与管控，重点关注化工园区环境风险防控，确保事故废水与外环境有效隔离、及时处置。完善环境风险防范应急措施，加强对穿越怀洪新河污水管廊的管理和维护，强化日常环境监管与监测，落实各项环境管理要求。在规划实施过程中，适时开展规划环境影响的跟踪评价。结合规划环评及跟踪评价成果，同步更新</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区域</w:t>
                  </w:r>
                  <w:r>
                    <w:rPr>
                      <w:rFonts w:hint="default" w:ascii="Times New Roman" w:hAnsi="Times New Roman" w:eastAsia="宋体" w:cs="Times New Roman"/>
                      <w:color w:val="auto"/>
                      <w:sz w:val="21"/>
                      <w:szCs w:val="21"/>
                      <w:u w:val="none"/>
                      <w:lang w:eastAsia="zh-CN"/>
                    </w:rPr>
                    <w:t>评估</w:t>
                  </w:r>
                  <w:r>
                    <w:rPr>
                      <w:rFonts w:hint="default" w:ascii="Times New Roman" w:hAnsi="Times New Roman" w:eastAsia="宋体" w:cs="Times New Roman"/>
                      <w:color w:val="auto"/>
                      <w:sz w:val="21"/>
                      <w:szCs w:val="21"/>
                      <w:u w:val="none"/>
                      <w:lang w:val="en-US" w:eastAsia="zh-CN"/>
                    </w:rPr>
                    <w:t>+环境标准”成果。</w:t>
                  </w:r>
                </w:p>
              </w:tc>
              <w:tc>
                <w:tcPr>
                  <w:tcW w:w="2220" w:type="dxa"/>
                  <w:noWrap w:val="0"/>
                  <w:vAlign w:val="center"/>
                </w:tcPr>
                <w:p w14:paraId="3D8CF48F">
                  <w:pPr>
                    <w:keepNext w:val="0"/>
                    <w:keepLines w:val="0"/>
                    <w:widowControl w:val="0"/>
                    <w:suppressLineNumbers w:val="0"/>
                    <w:spacing w:before="0" w:beforeAutospacing="0" w:after="0" w:afterAutospacing="0"/>
                    <w:ind w:left="0" w:leftChars="0" w:right="0" w:rightChars="0"/>
                    <w:jc w:val="center"/>
                    <w:rPr>
                      <w:rFonts w:ascii="Times New Roman"/>
                      <w:color w:val="auto"/>
                      <w:sz w:val="21"/>
                      <w:szCs w:val="21"/>
                    </w:rPr>
                  </w:pPr>
                  <w:r>
                    <w:rPr>
                      <w:rFonts w:hint="default" w:ascii="Times New Roman" w:hAnsi="Times New Roman" w:eastAsia="宋体" w:cs="Times New Roman"/>
                      <w:color w:val="auto"/>
                      <w:spacing w:val="0"/>
                      <w:position w:val="0"/>
                      <w:sz w:val="21"/>
                      <w:szCs w:val="21"/>
                      <w:highlight w:val="none"/>
                      <w:lang w:eastAsia="zh-CN"/>
                    </w:rPr>
                    <w:t>项目严格落实各项风险防范措施，落实厂区分区防渗要求</w:t>
                  </w:r>
                  <w:r>
                    <w:rPr>
                      <w:rFonts w:hint="default" w:ascii="Times New Roman" w:hAnsi="Times New Roman" w:eastAsia="宋体" w:cs="Times New Roman"/>
                      <w:color w:val="auto"/>
                      <w:sz w:val="21"/>
                      <w:szCs w:val="21"/>
                      <w:u w:val="none"/>
                    </w:rPr>
                    <w:t>。</w:t>
                  </w:r>
                </w:p>
              </w:tc>
              <w:tc>
                <w:tcPr>
                  <w:tcW w:w="691" w:type="dxa"/>
                  <w:noWrap w:val="0"/>
                  <w:vAlign w:val="top"/>
                </w:tcPr>
                <w:p w14:paraId="3735D291">
                  <w:pPr>
                    <w:contextualSpacing/>
                    <w:rPr>
                      <w:rFonts w:hint="eastAsia" w:ascii="Times New Roman" w:eastAsia="宋体"/>
                      <w:color w:val="auto"/>
                      <w:sz w:val="21"/>
                      <w:szCs w:val="21"/>
                      <w:lang w:eastAsia="zh-CN"/>
                    </w:rPr>
                  </w:pPr>
                  <w:r>
                    <w:rPr>
                      <w:rFonts w:hint="eastAsia"/>
                      <w:color w:val="auto"/>
                      <w:sz w:val="21"/>
                      <w:szCs w:val="21"/>
                      <w:lang w:eastAsia="zh-CN"/>
                    </w:rPr>
                    <w:t>符合</w:t>
                  </w:r>
                </w:p>
              </w:tc>
            </w:tr>
          </w:tbl>
          <w:p w14:paraId="7DE55731">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sz w:val="24"/>
                <w:szCs w:val="24"/>
                <w:u w:val="none"/>
                <w:lang w:eastAsia="zh-CN"/>
              </w:rPr>
            </w:pPr>
            <w:r>
              <w:rPr>
                <w:rFonts w:hint="eastAsia"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rPr>
              <w:t>与</w:t>
            </w:r>
            <w:r>
              <w:rPr>
                <w:rFonts w:hint="default" w:ascii="Times New Roman" w:hAnsi="Times New Roman" w:eastAsia="宋体" w:cs="Times New Roman"/>
                <w:b/>
                <w:bCs/>
                <w:color w:val="auto"/>
                <w:sz w:val="24"/>
                <w:szCs w:val="24"/>
                <w:u w:val="none"/>
                <w:lang w:eastAsia="zh-CN"/>
              </w:rPr>
              <w:t>安徽固镇</w:t>
            </w:r>
            <w:r>
              <w:rPr>
                <w:rFonts w:hint="default" w:ascii="Times New Roman" w:hAnsi="Times New Roman" w:eastAsia="宋体" w:cs="Times New Roman"/>
                <w:b/>
                <w:bCs/>
                <w:color w:val="auto"/>
                <w:sz w:val="24"/>
                <w:szCs w:val="24"/>
                <w:u w:val="none"/>
              </w:rPr>
              <w:t>经济开发区</w:t>
            </w:r>
            <w:r>
              <w:rPr>
                <w:rFonts w:hint="default" w:ascii="Times New Roman" w:hAnsi="Times New Roman" w:eastAsia="宋体" w:cs="Times New Roman"/>
                <w:b/>
                <w:bCs/>
                <w:color w:val="auto"/>
                <w:sz w:val="24"/>
                <w:szCs w:val="24"/>
                <w:u w:val="none"/>
                <w:lang w:eastAsia="zh-CN"/>
              </w:rPr>
              <w:t>生态</w:t>
            </w:r>
            <w:r>
              <w:rPr>
                <w:rFonts w:hint="default" w:ascii="Times New Roman" w:hAnsi="Times New Roman" w:eastAsia="宋体" w:cs="Times New Roman"/>
                <w:b/>
                <w:bCs/>
                <w:color w:val="auto"/>
                <w:sz w:val="24"/>
                <w:szCs w:val="24"/>
                <w:u w:val="none"/>
              </w:rPr>
              <w:t>环境准入清单</w:t>
            </w:r>
            <w:r>
              <w:rPr>
                <w:rFonts w:hint="default" w:ascii="Times New Roman" w:hAnsi="Times New Roman" w:eastAsia="宋体" w:cs="Times New Roman"/>
                <w:b/>
                <w:bCs/>
                <w:color w:val="auto"/>
                <w:sz w:val="24"/>
                <w:szCs w:val="24"/>
                <w:u w:val="none"/>
                <w:lang w:eastAsia="zh-CN"/>
              </w:rPr>
              <w:t>相符性</w:t>
            </w:r>
          </w:p>
          <w:p w14:paraId="2F6B8FA7">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sz w:val="24"/>
                <w:szCs w:val="24"/>
                <w:u w:val="none"/>
              </w:rPr>
              <w:t>表</w:t>
            </w:r>
            <w:r>
              <w:rPr>
                <w:rFonts w:hint="default" w:ascii="Times New Roman" w:hAnsi="Times New Roman" w:eastAsia="宋体" w:cs="Times New Roman"/>
                <w:b/>
                <w:bCs/>
                <w:color w:val="auto"/>
                <w:spacing w:val="-42"/>
                <w:sz w:val="24"/>
                <w:szCs w:val="24"/>
                <w:u w:val="none"/>
              </w:rPr>
              <w:t xml:space="preserve"> </w:t>
            </w:r>
            <w:r>
              <w:rPr>
                <w:rFonts w:hint="eastAsia" w:eastAsia="宋体" w:cs="Times New Roman"/>
                <w:b/>
                <w:bCs/>
                <w:color w:val="auto"/>
                <w:sz w:val="24"/>
                <w:szCs w:val="24"/>
                <w:highlight w:val="none"/>
                <w:u w:val="none"/>
                <w:lang w:val="en-US" w:eastAsia="zh-CN"/>
              </w:rPr>
              <w:t>1</w:t>
            </w:r>
            <w:r>
              <w:rPr>
                <w:rFonts w:hint="default" w:ascii="Times New Roman" w:hAnsi="Times New Roman" w:eastAsia="宋体" w:cs="Times New Roman"/>
                <w:b/>
                <w:bCs/>
                <w:color w:val="auto"/>
                <w:sz w:val="24"/>
                <w:szCs w:val="24"/>
                <w:highlight w:val="none"/>
                <w:u w:val="none"/>
                <w:lang w:val="en-US" w:eastAsia="zh-CN"/>
              </w:rPr>
              <w:t>-</w:t>
            </w:r>
            <w:r>
              <w:rPr>
                <w:rFonts w:hint="eastAsia" w:eastAsia="宋体" w:cs="Times New Roman"/>
                <w:b/>
                <w:bCs/>
                <w:color w:val="auto"/>
                <w:sz w:val="24"/>
                <w:szCs w:val="24"/>
                <w:highlight w:val="none"/>
                <w:u w:val="none"/>
                <w:lang w:val="en-US" w:eastAsia="zh-CN"/>
              </w:rPr>
              <w:t>2</w:t>
            </w:r>
            <w:r>
              <w:rPr>
                <w:rFonts w:hint="default" w:ascii="Times New Roman" w:hAnsi="Times New Roman" w:eastAsia="宋体" w:cs="Times New Roman"/>
                <w:b/>
                <w:bCs/>
                <w:color w:val="auto"/>
                <w:sz w:val="24"/>
                <w:szCs w:val="24"/>
                <w:u w:val="none"/>
              </w:rPr>
              <w:t xml:space="preserve"> </w:t>
            </w:r>
            <w:r>
              <w:rPr>
                <w:rFonts w:hint="default" w:ascii="Times New Roman" w:hAnsi="Times New Roman" w:eastAsia="宋体" w:cs="Times New Roman"/>
                <w:b/>
                <w:bCs w:val="0"/>
                <w:color w:val="auto"/>
                <w:sz w:val="24"/>
                <w:szCs w:val="24"/>
                <w:u w:val="none"/>
                <w:lang w:eastAsia="zh-CN"/>
              </w:rPr>
              <w:t>项目</w:t>
            </w:r>
            <w:r>
              <w:rPr>
                <w:rFonts w:hint="default" w:ascii="Times New Roman" w:hAnsi="Times New Roman" w:eastAsia="宋体" w:cs="Times New Roman"/>
                <w:b/>
                <w:bCs/>
                <w:color w:val="auto"/>
                <w:sz w:val="24"/>
                <w:szCs w:val="24"/>
                <w:u w:val="none"/>
              </w:rPr>
              <w:t>与</w:t>
            </w:r>
            <w:r>
              <w:rPr>
                <w:rFonts w:hint="default" w:ascii="Times New Roman" w:hAnsi="Times New Roman" w:eastAsia="宋体" w:cs="Times New Roman"/>
                <w:b/>
                <w:bCs/>
                <w:color w:val="auto"/>
                <w:sz w:val="24"/>
                <w:szCs w:val="24"/>
                <w:u w:val="none"/>
                <w:lang w:eastAsia="zh-CN"/>
              </w:rPr>
              <w:t>安徽固镇</w:t>
            </w:r>
            <w:r>
              <w:rPr>
                <w:rFonts w:hint="default" w:ascii="Times New Roman" w:hAnsi="Times New Roman" w:eastAsia="宋体" w:cs="Times New Roman"/>
                <w:b/>
                <w:bCs/>
                <w:color w:val="auto"/>
                <w:sz w:val="24"/>
                <w:szCs w:val="24"/>
                <w:u w:val="none"/>
              </w:rPr>
              <w:t>经济开发区</w:t>
            </w:r>
            <w:r>
              <w:rPr>
                <w:rFonts w:hint="default" w:ascii="Times New Roman" w:hAnsi="Times New Roman" w:eastAsia="宋体" w:cs="Times New Roman"/>
                <w:b/>
                <w:bCs/>
                <w:color w:val="auto"/>
                <w:sz w:val="24"/>
                <w:szCs w:val="24"/>
                <w:u w:val="none"/>
                <w:lang w:eastAsia="zh-CN"/>
              </w:rPr>
              <w:t>生态</w:t>
            </w:r>
            <w:r>
              <w:rPr>
                <w:rFonts w:hint="default" w:ascii="Times New Roman" w:hAnsi="Times New Roman" w:eastAsia="宋体" w:cs="Times New Roman"/>
                <w:b/>
                <w:bCs/>
                <w:color w:val="auto"/>
                <w:sz w:val="24"/>
                <w:szCs w:val="24"/>
                <w:u w:val="none"/>
              </w:rPr>
              <w:t>环境准入清单分析对照一览表</w:t>
            </w:r>
          </w:p>
          <w:tbl>
            <w:tblPr>
              <w:tblStyle w:val="77"/>
              <w:tblW w:w="4996" w:type="pct"/>
              <w:tblInd w:w="-5"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497"/>
              <w:gridCol w:w="649"/>
              <w:gridCol w:w="4551"/>
              <w:gridCol w:w="1303"/>
              <w:gridCol w:w="545"/>
            </w:tblGrid>
            <w:tr w14:paraId="7380E2F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29" w:type="pct"/>
                  <w:tcBorders>
                    <w:bottom w:val="single" w:color="000000" w:sz="4" w:space="0"/>
                    <w:right w:val="single" w:color="000000" w:sz="4" w:space="0"/>
                  </w:tcBorders>
                  <w:noWrap w:val="0"/>
                  <w:vAlign w:val="center"/>
                </w:tcPr>
                <w:p w14:paraId="07B277DF">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position w:val="0"/>
                      <w:sz w:val="21"/>
                      <w:szCs w:val="21"/>
                      <w:u w:val="none"/>
                    </w:rPr>
                  </w:pPr>
                  <w:r>
                    <w:rPr>
                      <w:rFonts w:hint="default" w:ascii="Times New Roman" w:hAnsi="Times New Roman" w:eastAsia="宋体" w:cs="Times New Roman"/>
                      <w:b/>
                      <w:bCs/>
                      <w:color w:val="auto"/>
                      <w:spacing w:val="0"/>
                      <w:position w:val="0"/>
                      <w:sz w:val="21"/>
                      <w:szCs w:val="21"/>
                      <w:u w:val="none"/>
                    </w:rPr>
                    <w:t>类</w:t>
                  </w:r>
                </w:p>
                <w:p w14:paraId="55337337">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position w:val="0"/>
                      <w:sz w:val="21"/>
                      <w:szCs w:val="21"/>
                      <w:u w:val="none"/>
                    </w:rPr>
                  </w:pPr>
                  <w:r>
                    <w:rPr>
                      <w:rFonts w:hint="default" w:ascii="Times New Roman" w:hAnsi="Times New Roman" w:eastAsia="宋体" w:cs="Times New Roman"/>
                      <w:b/>
                      <w:bCs/>
                      <w:color w:val="auto"/>
                      <w:spacing w:val="0"/>
                      <w:position w:val="0"/>
                      <w:sz w:val="21"/>
                      <w:szCs w:val="21"/>
                      <w:u w:val="none"/>
                    </w:rPr>
                    <w:t>别</w:t>
                  </w:r>
                </w:p>
              </w:tc>
              <w:tc>
                <w:tcPr>
                  <w:tcW w:w="430" w:type="pct"/>
                  <w:tcBorders>
                    <w:left w:val="single" w:color="000000" w:sz="4" w:space="0"/>
                    <w:bottom w:val="single" w:color="000000" w:sz="4" w:space="0"/>
                    <w:right w:val="single" w:color="000000" w:sz="4" w:space="0"/>
                  </w:tcBorders>
                  <w:noWrap w:val="0"/>
                  <w:vAlign w:val="center"/>
                </w:tcPr>
                <w:p w14:paraId="6594BE03">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position w:val="0"/>
                      <w:sz w:val="21"/>
                      <w:szCs w:val="21"/>
                      <w:u w:val="none"/>
                      <w:lang w:eastAsia="zh-CN"/>
                    </w:rPr>
                  </w:pPr>
                  <w:r>
                    <w:rPr>
                      <w:rFonts w:hint="default" w:ascii="Times New Roman" w:hAnsi="Times New Roman" w:eastAsia="宋体" w:cs="Times New Roman"/>
                      <w:b/>
                      <w:bCs/>
                      <w:color w:val="auto"/>
                      <w:spacing w:val="0"/>
                      <w:position w:val="0"/>
                      <w:sz w:val="21"/>
                      <w:szCs w:val="21"/>
                      <w:u w:val="none"/>
                      <w:lang w:eastAsia="zh-CN"/>
                    </w:rPr>
                    <w:t>细类</w:t>
                  </w:r>
                </w:p>
              </w:tc>
              <w:tc>
                <w:tcPr>
                  <w:tcW w:w="3015" w:type="pct"/>
                  <w:tcBorders>
                    <w:left w:val="single" w:color="000000" w:sz="4" w:space="0"/>
                    <w:bottom w:val="single" w:color="000000" w:sz="4" w:space="0"/>
                    <w:right w:val="single" w:color="000000" w:sz="4" w:space="0"/>
                  </w:tcBorders>
                  <w:noWrap w:val="0"/>
                  <w:vAlign w:val="center"/>
                </w:tcPr>
                <w:p w14:paraId="4B4343AC">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position w:val="0"/>
                      <w:sz w:val="21"/>
                      <w:szCs w:val="21"/>
                      <w:u w:val="none"/>
                    </w:rPr>
                  </w:pPr>
                  <w:r>
                    <w:rPr>
                      <w:rFonts w:hint="default" w:ascii="Times New Roman" w:hAnsi="Times New Roman" w:eastAsia="宋体" w:cs="Times New Roman"/>
                      <w:b/>
                      <w:bCs/>
                      <w:color w:val="auto"/>
                      <w:spacing w:val="0"/>
                      <w:position w:val="0"/>
                      <w:sz w:val="21"/>
                      <w:szCs w:val="21"/>
                      <w:u w:val="none"/>
                    </w:rPr>
                    <w:t>准入要求</w:t>
                  </w:r>
                </w:p>
              </w:tc>
              <w:tc>
                <w:tcPr>
                  <w:tcW w:w="863" w:type="pct"/>
                  <w:tcBorders>
                    <w:left w:val="single" w:color="000000" w:sz="4" w:space="0"/>
                    <w:bottom w:val="single" w:color="000000" w:sz="4" w:space="0"/>
                    <w:right w:val="single" w:color="auto" w:sz="4" w:space="0"/>
                  </w:tcBorders>
                  <w:noWrap w:val="0"/>
                  <w:vAlign w:val="center"/>
                </w:tcPr>
                <w:p w14:paraId="3A8D76D5">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position w:val="0"/>
                      <w:sz w:val="21"/>
                      <w:szCs w:val="21"/>
                      <w:u w:val="none"/>
                    </w:rPr>
                  </w:pPr>
                  <w:r>
                    <w:rPr>
                      <w:rFonts w:hint="default" w:ascii="Times New Roman" w:hAnsi="Times New Roman" w:eastAsia="宋体" w:cs="Times New Roman"/>
                      <w:b/>
                      <w:bCs w:val="0"/>
                      <w:color w:val="auto"/>
                      <w:spacing w:val="0"/>
                      <w:position w:val="0"/>
                      <w:sz w:val="21"/>
                      <w:szCs w:val="21"/>
                      <w:u w:val="none"/>
                      <w:lang w:eastAsia="zh-CN"/>
                    </w:rPr>
                    <w:t>本项目情况</w:t>
                  </w:r>
                </w:p>
              </w:tc>
              <w:tc>
                <w:tcPr>
                  <w:tcW w:w="361" w:type="pct"/>
                  <w:tcBorders>
                    <w:left w:val="single" w:color="auto" w:sz="4" w:space="0"/>
                    <w:bottom w:val="single" w:color="000000" w:sz="4" w:space="0"/>
                  </w:tcBorders>
                  <w:noWrap w:val="0"/>
                  <w:vAlign w:val="center"/>
                </w:tcPr>
                <w:p w14:paraId="22D88BF2">
                  <w:pPr>
                    <w:pStyle w:val="7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spacing w:val="0"/>
                      <w:position w:val="0"/>
                      <w:sz w:val="21"/>
                      <w:szCs w:val="21"/>
                      <w:u w:val="none"/>
                      <w:lang w:eastAsia="zh-CN"/>
                    </w:rPr>
                  </w:pPr>
                  <w:r>
                    <w:rPr>
                      <w:rFonts w:hint="default" w:ascii="Times New Roman" w:hAnsi="Times New Roman" w:eastAsia="宋体" w:cs="Times New Roman"/>
                      <w:b/>
                      <w:bCs w:val="0"/>
                      <w:color w:val="auto"/>
                      <w:spacing w:val="0"/>
                      <w:position w:val="0"/>
                      <w:sz w:val="21"/>
                      <w:szCs w:val="21"/>
                      <w:u w:val="none"/>
                      <w:lang w:eastAsia="zh-CN"/>
                    </w:rPr>
                    <w:t>符合性</w:t>
                  </w:r>
                </w:p>
              </w:tc>
            </w:tr>
            <w:tr w14:paraId="496D3EE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29" w:type="pct"/>
                  <w:vMerge w:val="restart"/>
                  <w:tcBorders>
                    <w:top w:val="single" w:color="000000" w:sz="4" w:space="0"/>
                    <w:bottom w:val="single" w:color="000000" w:sz="4" w:space="0"/>
                    <w:right w:val="single" w:color="000000" w:sz="4" w:space="0"/>
                  </w:tcBorders>
                  <w:noWrap w:val="0"/>
                  <w:vAlign w:val="center"/>
                </w:tcPr>
                <w:p w14:paraId="5A7BBAC4">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lang w:eastAsia="zh-CN"/>
                    </w:rPr>
                  </w:pPr>
                  <w:r>
                    <w:rPr>
                      <w:rFonts w:hint="default" w:ascii="Times New Roman" w:hAnsi="Times New Roman" w:eastAsia="宋体" w:cs="Times New Roman"/>
                      <w:color w:val="auto"/>
                      <w:spacing w:val="0"/>
                      <w:position w:val="0"/>
                      <w:sz w:val="21"/>
                      <w:szCs w:val="21"/>
                      <w:u w:val="none"/>
                      <w:lang w:eastAsia="zh-CN"/>
                    </w:rPr>
                    <w:t>产业准入</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14:paraId="66382170">
                  <w:pPr>
                    <w:pStyle w:val="7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u w:val="none"/>
                      <w:lang w:eastAsia="zh-CN"/>
                    </w:rPr>
                  </w:pPr>
                  <w:r>
                    <w:rPr>
                      <w:rFonts w:hint="default" w:ascii="Times New Roman" w:hAnsi="Times New Roman" w:eastAsia="宋体" w:cs="Times New Roman"/>
                      <w:color w:val="auto"/>
                      <w:spacing w:val="0"/>
                      <w:position w:val="0"/>
                      <w:sz w:val="21"/>
                      <w:szCs w:val="21"/>
                      <w:u w:val="none"/>
                      <w:lang w:eastAsia="zh-CN"/>
                    </w:rPr>
                    <w:t>有条件准入</w:t>
                  </w:r>
                </w:p>
              </w:tc>
              <w:tc>
                <w:tcPr>
                  <w:tcW w:w="3015" w:type="pct"/>
                  <w:tcBorders>
                    <w:top w:val="single" w:color="000000" w:sz="4" w:space="0"/>
                    <w:left w:val="single" w:color="000000" w:sz="4" w:space="0"/>
                    <w:bottom w:val="single" w:color="000000" w:sz="4" w:space="0"/>
                    <w:right w:val="single" w:color="000000" w:sz="4" w:space="0"/>
                  </w:tcBorders>
                  <w:noWrap w:val="0"/>
                  <w:vAlign w:val="center"/>
                </w:tcPr>
                <w:p w14:paraId="513C616B">
                  <w:pPr>
                    <w:keepNext w:val="0"/>
                    <w:keepLines w:val="0"/>
                    <w:widowControl/>
                    <w:suppressLineNumbers w:val="0"/>
                    <w:jc w:val="left"/>
                    <w:rPr>
                      <w:rFonts w:hint="default" w:ascii="Times New Roman" w:hAnsi="Times New Roman" w:eastAsia="宋体" w:cs="Times New Roman"/>
                      <w:color w:val="auto"/>
                      <w:spacing w:val="0"/>
                      <w:position w:val="0"/>
                      <w:sz w:val="21"/>
                      <w:szCs w:val="21"/>
                      <w:u w:val="none"/>
                    </w:rPr>
                  </w:pPr>
                  <w:r>
                    <w:rPr>
                      <w:rFonts w:hint="default" w:ascii="Times New Roman" w:hAnsi="Times New Roman" w:eastAsia="宋体" w:cs="Times New Roman"/>
                      <w:color w:val="auto"/>
                      <w:kern w:val="0"/>
                      <w:sz w:val="21"/>
                      <w:szCs w:val="21"/>
                      <w:lang w:val="en-US" w:eastAsia="zh-CN" w:bidi="ar"/>
                    </w:rPr>
                    <w:t>对于南区内新建、扩建排放含氟废水项目，应建设含氟废水预处理设施，含氟废水经污水预处理设施处理达到行业排放标准后，排放至经开区除氟系统，除氟系统处理至2.0mg/L后方可排入现代产业园污水处理厂，经污水处理厂排放至受纳水体。确保开发区周边受纳水体的水环境功能、下游水环境保护目标及相关考核断面水质稳定达标。</w:t>
                  </w:r>
                </w:p>
              </w:tc>
              <w:tc>
                <w:tcPr>
                  <w:tcW w:w="863" w:type="pct"/>
                  <w:vMerge w:val="restart"/>
                  <w:tcBorders>
                    <w:top w:val="single" w:color="000000" w:sz="4" w:space="0"/>
                    <w:left w:val="single" w:color="000000" w:sz="4" w:space="0"/>
                    <w:right w:val="single" w:color="auto" w:sz="4" w:space="0"/>
                  </w:tcBorders>
                  <w:noWrap w:val="0"/>
                  <w:vAlign w:val="center"/>
                </w:tcPr>
                <w:p w14:paraId="1E0DADE3">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本项目属于C</w:t>
                  </w:r>
                  <w:r>
                    <w:rPr>
                      <w:rFonts w:hint="default" w:ascii="Times New Roman" w:hAnsi="Times New Roman" w:eastAsia="宋体" w:cs="Times New Roman"/>
                      <w:color w:val="auto"/>
                      <w:sz w:val="21"/>
                      <w:szCs w:val="21"/>
                      <w:lang w:val="en-US" w:eastAsia="zh-CN"/>
                    </w:rPr>
                    <w:t>2922塑料板、管、型材制造</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b w:val="0"/>
                      <w:bCs w:val="0"/>
                      <w:color w:val="auto"/>
                      <w:spacing w:val="-3"/>
                      <w:sz w:val="21"/>
                      <w:szCs w:val="21"/>
                      <w:lang w:val="en-US" w:eastAsia="zh-CN"/>
                    </w:rPr>
                    <w:t>不与主导产业冲突，不在园区限制及禁止范围内，属于园区允许类，</w:t>
                  </w:r>
                  <w:r>
                    <w:rPr>
                      <w:rFonts w:hint="default" w:ascii="Times New Roman" w:hAnsi="Times New Roman" w:eastAsia="宋体" w:cs="Times New Roman"/>
                      <w:color w:val="auto"/>
                      <w:kern w:val="0"/>
                      <w:sz w:val="21"/>
                      <w:szCs w:val="21"/>
                      <w:lang w:val="en-US" w:eastAsia="zh-CN" w:bidi="ar"/>
                    </w:rPr>
                    <w:t>符合园区产业定位。项目不属于“两高一低”项目</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不属于</w:t>
                  </w:r>
                  <w:r>
                    <w:rPr>
                      <w:rFonts w:hint="eastAsia" w:ascii="Times New Roman" w:hAnsi="Times New Roman" w:cs="Times New Roman"/>
                      <w:color w:val="auto"/>
                      <w:kern w:val="0"/>
                      <w:sz w:val="21"/>
                      <w:szCs w:val="21"/>
                      <w:lang w:val="en-US" w:eastAsia="zh-CN" w:bidi="ar"/>
                    </w:rPr>
                    <w:t>电镀</w:t>
                  </w:r>
                  <w:r>
                    <w:rPr>
                      <w:rFonts w:hint="default" w:ascii="Times New Roman" w:hAnsi="Times New Roman" w:eastAsia="宋体" w:cs="Times New Roman"/>
                      <w:color w:val="auto"/>
                      <w:kern w:val="0"/>
                      <w:sz w:val="21"/>
                      <w:szCs w:val="21"/>
                      <w:lang w:val="en-US" w:eastAsia="zh-CN" w:bidi="ar"/>
                    </w:rPr>
                    <w:t>项目</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属于《产业结构调整指导目录（2024年本）》允许类项目</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不属于《淮河流域水污染防治暂行条例》</w:t>
                  </w:r>
                  <w:r>
                    <w:rPr>
                      <w:rFonts w:hint="eastAsia" w:ascii="Times New Roman" w:hAnsi="Times New Roman" w:cs="Times New Roman"/>
                      <w:color w:val="auto"/>
                      <w:kern w:val="0"/>
                      <w:sz w:val="21"/>
                      <w:szCs w:val="21"/>
                      <w:lang w:val="en-US" w:eastAsia="zh-CN" w:bidi="ar"/>
                    </w:rPr>
                    <w:t>中限制类、禁止类项目；不属于</w:t>
                  </w:r>
                  <w:r>
                    <w:rPr>
                      <w:rFonts w:hint="default" w:ascii="Times New Roman" w:hAnsi="Times New Roman" w:eastAsia="宋体" w:cs="Times New Roman"/>
                      <w:color w:val="auto"/>
                      <w:kern w:val="0"/>
                      <w:sz w:val="21"/>
                      <w:szCs w:val="21"/>
                      <w:lang w:val="en-US" w:eastAsia="zh-CN" w:bidi="ar"/>
                    </w:rPr>
                    <w:t>《外商投资准入特别管理措施（负面清单）》中明令禁止的项目等。</w:t>
                  </w:r>
                </w:p>
                <w:p w14:paraId="2C144B02">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361" w:type="pct"/>
                  <w:vMerge w:val="restart"/>
                  <w:tcBorders>
                    <w:top w:val="single" w:color="000000" w:sz="4" w:space="0"/>
                    <w:left w:val="single" w:color="auto" w:sz="4" w:space="0"/>
                  </w:tcBorders>
                  <w:noWrap w:val="0"/>
                  <w:vAlign w:val="center"/>
                </w:tcPr>
                <w:p w14:paraId="4B0DC89C">
                  <w:pPr>
                    <w:pStyle w:val="7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u w:val="none"/>
                    </w:rPr>
                  </w:pPr>
                  <w:r>
                    <w:rPr>
                      <w:rFonts w:hint="default" w:ascii="Times New Roman" w:hAnsi="Times New Roman" w:eastAsia="宋体" w:cs="Times New Roman"/>
                      <w:color w:val="auto"/>
                      <w:spacing w:val="0"/>
                      <w:position w:val="0"/>
                      <w:sz w:val="21"/>
                      <w:szCs w:val="21"/>
                      <w:u w:val="none"/>
                      <w:lang w:eastAsia="zh-CN"/>
                    </w:rPr>
                    <w:t>符合</w:t>
                  </w:r>
                </w:p>
              </w:tc>
            </w:tr>
            <w:tr w14:paraId="2771714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29" w:type="pct"/>
                  <w:vMerge w:val="continue"/>
                  <w:tcBorders>
                    <w:top w:val="single" w:color="000000" w:sz="4" w:space="0"/>
                    <w:bottom w:val="single" w:color="000000" w:sz="4" w:space="0"/>
                    <w:right w:val="single" w:color="000000" w:sz="4" w:space="0"/>
                  </w:tcBorders>
                  <w:noWrap w:val="0"/>
                  <w:vAlign w:val="center"/>
                </w:tcPr>
                <w:p w14:paraId="0E6EE2E2">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430" w:type="pct"/>
                  <w:tcBorders>
                    <w:top w:val="single" w:color="000000" w:sz="4" w:space="0"/>
                    <w:left w:val="single" w:color="000000" w:sz="4" w:space="0"/>
                    <w:bottom w:val="single" w:color="000000" w:sz="4" w:space="0"/>
                    <w:right w:val="single" w:color="000000" w:sz="4" w:space="0"/>
                  </w:tcBorders>
                  <w:noWrap w:val="0"/>
                  <w:vAlign w:val="center"/>
                </w:tcPr>
                <w:p w14:paraId="5A51033C">
                  <w:pPr>
                    <w:pStyle w:val="7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u w:val="none"/>
                      <w:lang w:eastAsia="zh-CN"/>
                    </w:rPr>
                  </w:pPr>
                  <w:r>
                    <w:rPr>
                      <w:rFonts w:hint="default" w:ascii="Times New Roman" w:hAnsi="Times New Roman" w:eastAsia="宋体" w:cs="Times New Roman"/>
                      <w:color w:val="auto"/>
                      <w:spacing w:val="0"/>
                      <w:position w:val="0"/>
                      <w:sz w:val="21"/>
                      <w:szCs w:val="21"/>
                      <w:u w:val="none"/>
                      <w:lang w:eastAsia="zh-CN"/>
                    </w:rPr>
                    <w:t>限制类</w:t>
                  </w:r>
                </w:p>
              </w:tc>
              <w:tc>
                <w:tcPr>
                  <w:tcW w:w="3015" w:type="pct"/>
                  <w:tcBorders>
                    <w:top w:val="single" w:color="000000" w:sz="4" w:space="0"/>
                    <w:left w:val="single" w:color="000000" w:sz="4" w:space="0"/>
                    <w:bottom w:val="single" w:color="000000" w:sz="4" w:space="0"/>
                    <w:right w:val="single" w:color="000000" w:sz="4" w:space="0"/>
                  </w:tcBorders>
                  <w:noWrap w:val="0"/>
                  <w:vAlign w:val="center"/>
                </w:tcPr>
                <w:p w14:paraId="0066A5D9">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限制水污染物排放量较大的项目入园。 </w:t>
                  </w:r>
                </w:p>
                <w:p w14:paraId="6B4611EE">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限制入园项目主要指国家现行产业政策中未禁止或未淘汰的污染型项目。这类项目应根据工业园区规划的产业发展方向，同时根据园区环境容量及其他环境条件从严要求，并严格执行环境影响评价制度，限制入园项目主要包括： </w:t>
                  </w:r>
                </w:p>
                <w:p w14:paraId="1D0115C7">
                  <w:pPr>
                    <w:keepNext w:val="0"/>
                    <w:keepLines w:val="0"/>
                    <w:widowControl/>
                    <w:suppressLineNumbers w:val="0"/>
                    <w:jc w:val="left"/>
                    <w:rPr>
                      <w:rFonts w:hint="default" w:ascii="Times New Roman" w:hAnsi="Times New Roman" w:eastAsia="宋体" w:cs="Times New Roman"/>
                      <w:color w:val="auto"/>
                      <w:spacing w:val="0"/>
                      <w:position w:val="0"/>
                      <w:sz w:val="21"/>
                      <w:szCs w:val="21"/>
                      <w:u w:val="none"/>
                    </w:rPr>
                  </w:pPr>
                  <w:r>
                    <w:rPr>
                      <w:rFonts w:hint="default" w:ascii="Times New Roman" w:hAnsi="Times New Roman" w:eastAsia="宋体" w:cs="Times New Roman"/>
                      <w:color w:val="auto"/>
                      <w:kern w:val="0"/>
                      <w:sz w:val="21"/>
                      <w:szCs w:val="21"/>
                      <w:lang w:val="en-US" w:eastAsia="zh-CN" w:bidi="ar"/>
                    </w:rPr>
                    <w:t>《淮河流域水污染防治暂行条例》中限制类项目；《产业结构调整指导目录》（2024年本）中限制类项目；与工业园区规划的产业类型不相容的其他产业项目；严格“两高一低”项目管理。</w:t>
                  </w:r>
                </w:p>
              </w:tc>
              <w:tc>
                <w:tcPr>
                  <w:tcW w:w="863" w:type="pct"/>
                  <w:vMerge w:val="continue"/>
                  <w:tcBorders>
                    <w:left w:val="single" w:color="000000" w:sz="4" w:space="0"/>
                    <w:right w:val="single" w:color="auto" w:sz="4" w:space="0"/>
                  </w:tcBorders>
                  <w:noWrap w:val="0"/>
                  <w:vAlign w:val="center"/>
                </w:tcPr>
                <w:p w14:paraId="54F09FAA">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361" w:type="pct"/>
                  <w:vMerge w:val="continue"/>
                  <w:tcBorders>
                    <w:left w:val="single" w:color="auto" w:sz="4" w:space="0"/>
                  </w:tcBorders>
                  <w:noWrap w:val="0"/>
                  <w:vAlign w:val="center"/>
                </w:tcPr>
                <w:p w14:paraId="6C7CD144">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r>
            <w:tr w14:paraId="1B1F454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29" w:type="pct"/>
                  <w:vMerge w:val="continue"/>
                  <w:tcBorders>
                    <w:top w:val="single" w:color="000000" w:sz="4" w:space="0"/>
                    <w:bottom w:val="single" w:color="000000" w:sz="4" w:space="0"/>
                    <w:right w:val="single" w:color="000000" w:sz="4" w:space="0"/>
                  </w:tcBorders>
                  <w:noWrap w:val="0"/>
                  <w:vAlign w:val="center"/>
                </w:tcPr>
                <w:p w14:paraId="4A272105">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430" w:type="pct"/>
                  <w:tcBorders>
                    <w:top w:val="single" w:color="000000" w:sz="4" w:space="0"/>
                    <w:left w:val="single" w:color="000000" w:sz="4" w:space="0"/>
                    <w:bottom w:val="single" w:color="000000" w:sz="4" w:space="0"/>
                    <w:right w:val="single" w:color="000000" w:sz="4" w:space="0"/>
                  </w:tcBorders>
                  <w:noWrap w:val="0"/>
                  <w:vAlign w:val="center"/>
                </w:tcPr>
                <w:p w14:paraId="4D087694">
                  <w:pPr>
                    <w:pStyle w:val="7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u w:val="none"/>
                      <w:lang w:eastAsia="zh-CN"/>
                    </w:rPr>
                  </w:pPr>
                  <w:r>
                    <w:rPr>
                      <w:rFonts w:hint="default" w:ascii="Times New Roman" w:hAnsi="Times New Roman" w:eastAsia="宋体" w:cs="Times New Roman"/>
                      <w:color w:val="auto"/>
                      <w:spacing w:val="0"/>
                      <w:position w:val="0"/>
                      <w:sz w:val="21"/>
                      <w:szCs w:val="21"/>
                      <w:u w:val="none"/>
                      <w:lang w:eastAsia="zh-CN"/>
                    </w:rPr>
                    <w:t>禁止类</w:t>
                  </w:r>
                </w:p>
              </w:tc>
              <w:tc>
                <w:tcPr>
                  <w:tcW w:w="3015" w:type="pct"/>
                  <w:tcBorders>
                    <w:top w:val="single" w:color="000000" w:sz="4" w:space="0"/>
                    <w:left w:val="single" w:color="000000" w:sz="4" w:space="0"/>
                    <w:bottom w:val="single" w:color="000000" w:sz="4" w:space="0"/>
                    <w:right w:val="single" w:color="000000" w:sz="4" w:space="0"/>
                  </w:tcBorders>
                  <w:noWrap w:val="0"/>
                  <w:vAlign w:val="center"/>
                </w:tcPr>
                <w:p w14:paraId="7135EAC2">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严禁新建涉及工业废水排放的电镀项目（含电镀工序）。禁止入园项目是指国家现行产业政策明令禁止或淘汰的产业和工艺，以及排污量较大，污染控制难度大，不符合工业园区水污染及大气污染总量控制原则的项目。禁止入园项目主要为产业政策明令禁止或淘汰的项目。包括： </w:t>
                  </w:r>
                </w:p>
                <w:p w14:paraId="6C84E20C">
                  <w:pPr>
                    <w:keepNext w:val="0"/>
                    <w:keepLines w:val="0"/>
                    <w:widowControl/>
                    <w:suppressLineNumbers w:val="0"/>
                    <w:jc w:val="left"/>
                    <w:rPr>
                      <w:rFonts w:hint="default" w:ascii="Times New Roman" w:hAnsi="Times New Roman" w:eastAsia="宋体" w:cs="Times New Roman"/>
                      <w:color w:val="auto"/>
                      <w:spacing w:val="0"/>
                      <w:position w:val="0"/>
                      <w:sz w:val="21"/>
                      <w:szCs w:val="21"/>
                      <w:u w:val="none"/>
                    </w:rPr>
                  </w:pPr>
                  <w:r>
                    <w:rPr>
                      <w:rFonts w:hint="default" w:ascii="Times New Roman" w:hAnsi="Times New Roman" w:eastAsia="宋体" w:cs="Times New Roman"/>
                      <w:color w:val="auto"/>
                      <w:kern w:val="0"/>
                      <w:sz w:val="21"/>
                      <w:szCs w:val="21"/>
                      <w:lang w:val="en-US" w:eastAsia="zh-CN" w:bidi="ar"/>
                    </w:rPr>
                    <w:t>《淮河流域水污染防治暂行条例》中禁止类项目；《产业结构调整指导目录》（2024年本）中淘汰类项目；《外商投资准入特别管理措施（负面清单）》中明令禁止的项目等。</w:t>
                  </w:r>
                </w:p>
              </w:tc>
              <w:tc>
                <w:tcPr>
                  <w:tcW w:w="863" w:type="pct"/>
                  <w:vMerge w:val="continue"/>
                  <w:tcBorders>
                    <w:left w:val="single" w:color="000000" w:sz="4" w:space="0"/>
                    <w:right w:val="single" w:color="auto" w:sz="4" w:space="0"/>
                  </w:tcBorders>
                  <w:noWrap w:val="0"/>
                  <w:vAlign w:val="center"/>
                </w:tcPr>
                <w:p w14:paraId="418F5EB6">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361" w:type="pct"/>
                  <w:vMerge w:val="continue"/>
                  <w:tcBorders>
                    <w:left w:val="single" w:color="auto" w:sz="4" w:space="0"/>
                  </w:tcBorders>
                  <w:noWrap w:val="0"/>
                  <w:vAlign w:val="center"/>
                </w:tcPr>
                <w:p w14:paraId="612137E5">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r>
            <w:tr w14:paraId="0555E82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29" w:type="pct"/>
                  <w:vMerge w:val="continue"/>
                  <w:tcBorders>
                    <w:top w:val="single" w:color="000000" w:sz="4" w:space="0"/>
                    <w:right w:val="single" w:color="000000" w:sz="4" w:space="0"/>
                  </w:tcBorders>
                  <w:noWrap w:val="0"/>
                  <w:vAlign w:val="center"/>
                </w:tcPr>
                <w:p w14:paraId="1FC54951">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430" w:type="pct"/>
                  <w:tcBorders>
                    <w:top w:val="single" w:color="000000" w:sz="4" w:space="0"/>
                    <w:left w:val="single" w:color="000000" w:sz="4" w:space="0"/>
                    <w:right w:val="single" w:color="000000" w:sz="4" w:space="0"/>
                  </w:tcBorders>
                  <w:noWrap w:val="0"/>
                  <w:vAlign w:val="center"/>
                </w:tcPr>
                <w:p w14:paraId="71469A8F">
                  <w:pPr>
                    <w:pStyle w:val="7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u w:val="none"/>
                      <w:lang w:eastAsia="zh-CN"/>
                    </w:rPr>
                  </w:pPr>
                  <w:r>
                    <w:rPr>
                      <w:rFonts w:hint="default" w:ascii="Times New Roman" w:hAnsi="Times New Roman" w:eastAsia="宋体" w:cs="Times New Roman"/>
                      <w:color w:val="auto"/>
                      <w:spacing w:val="0"/>
                      <w:position w:val="0"/>
                      <w:sz w:val="21"/>
                      <w:szCs w:val="21"/>
                      <w:u w:val="none"/>
                      <w:lang w:eastAsia="zh-CN"/>
                    </w:rPr>
                    <w:t>其他</w:t>
                  </w:r>
                </w:p>
              </w:tc>
              <w:tc>
                <w:tcPr>
                  <w:tcW w:w="3015" w:type="pct"/>
                  <w:tcBorders>
                    <w:top w:val="single" w:color="000000" w:sz="4" w:space="0"/>
                    <w:left w:val="single" w:color="000000" w:sz="4" w:space="0"/>
                    <w:right w:val="single" w:color="000000" w:sz="4" w:space="0"/>
                  </w:tcBorders>
                  <w:noWrap w:val="0"/>
                  <w:vAlign w:val="center"/>
                </w:tcPr>
                <w:p w14:paraId="443E50FC">
                  <w:pPr>
                    <w:keepNext w:val="0"/>
                    <w:keepLines w:val="0"/>
                    <w:widowControl/>
                    <w:suppressLineNumbers w:val="0"/>
                    <w:jc w:val="left"/>
                    <w:rPr>
                      <w:rFonts w:hint="default" w:ascii="Times New Roman" w:hAnsi="Times New Roman" w:eastAsia="宋体" w:cs="Times New Roman"/>
                      <w:color w:val="auto"/>
                      <w:spacing w:val="0"/>
                      <w:position w:val="0"/>
                      <w:sz w:val="21"/>
                      <w:szCs w:val="21"/>
                      <w:u w:val="none"/>
                    </w:rPr>
                  </w:pPr>
                  <w:r>
                    <w:rPr>
                      <w:rFonts w:hint="default" w:ascii="Times New Roman" w:hAnsi="Times New Roman" w:eastAsia="宋体" w:cs="Times New Roman"/>
                      <w:color w:val="auto"/>
                      <w:kern w:val="0"/>
                      <w:sz w:val="21"/>
                      <w:szCs w:val="21"/>
                      <w:lang w:val="en-US" w:eastAsia="zh-CN" w:bidi="ar"/>
                    </w:rPr>
                    <w:t>入区项目应符合《安徽省经济和信息化厅安徽省发展和改革委员会安徽省自然资源厅安徽省生态环境厅安徽省应急管理厅关于进一步规范化工项目建设管理的通知》（皖经信原材料[2022]73号）、《市场准入负面清单》、《固镇经开区入园项目准入清单》及蚌埠市生态环境分区管控等相关文件要求。</w:t>
                  </w:r>
                </w:p>
              </w:tc>
              <w:tc>
                <w:tcPr>
                  <w:tcW w:w="863" w:type="pct"/>
                  <w:vMerge w:val="continue"/>
                  <w:tcBorders>
                    <w:left w:val="single" w:color="000000" w:sz="4" w:space="0"/>
                    <w:right w:val="single" w:color="auto" w:sz="4" w:space="0"/>
                  </w:tcBorders>
                  <w:noWrap w:val="0"/>
                  <w:vAlign w:val="center"/>
                </w:tcPr>
                <w:p w14:paraId="231624F6">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c>
                <w:tcPr>
                  <w:tcW w:w="361" w:type="pct"/>
                  <w:vMerge w:val="continue"/>
                  <w:tcBorders>
                    <w:left w:val="single" w:color="auto" w:sz="4" w:space="0"/>
                  </w:tcBorders>
                  <w:noWrap w:val="0"/>
                  <w:vAlign w:val="center"/>
                </w:tcPr>
                <w:p w14:paraId="4EB7B734">
                  <w:pPr>
                    <w:pStyle w:val="78"/>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u w:val="none"/>
                    </w:rPr>
                  </w:pPr>
                </w:p>
              </w:tc>
            </w:tr>
          </w:tbl>
          <w:p w14:paraId="09FC756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u w:val="none"/>
              </w:rPr>
              <w:t>从上表可知，项目不属于</w:t>
            </w:r>
            <w:r>
              <w:rPr>
                <w:rFonts w:hint="default" w:ascii="Times New Roman" w:hAnsi="Times New Roman" w:eastAsia="宋体" w:cs="Times New Roman"/>
                <w:b w:val="0"/>
                <w:bCs/>
                <w:color w:val="auto"/>
                <w:spacing w:val="9"/>
                <w:sz w:val="24"/>
                <w:szCs w:val="24"/>
                <w:u w:val="none"/>
              </w:rPr>
              <w:t>产业政策中淘汰类和限制类发展项目，不在园区规划环评</w:t>
            </w:r>
            <w:r>
              <w:rPr>
                <w:rFonts w:hint="default" w:ascii="Times New Roman" w:hAnsi="Times New Roman" w:eastAsia="宋体" w:cs="Times New Roman"/>
                <w:b w:val="0"/>
                <w:bCs/>
                <w:color w:val="auto"/>
                <w:spacing w:val="5"/>
                <w:sz w:val="24"/>
                <w:szCs w:val="24"/>
                <w:u w:val="none"/>
              </w:rPr>
              <w:t>负面清单之内。</w:t>
            </w:r>
          </w:p>
        </w:tc>
      </w:tr>
      <w:tr w14:paraId="334E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5" w:hRule="atLeast"/>
          <w:jc w:val="center"/>
        </w:trPr>
        <w:tc>
          <w:tcPr>
            <w:tcW w:w="1691" w:type="dxa"/>
            <w:vAlign w:val="center"/>
          </w:tcPr>
          <w:p w14:paraId="0DBE84BE">
            <w:pPr>
              <w:autoSpaceDE w:val="0"/>
              <w:autoSpaceDN w:val="0"/>
              <w:adjustRightInd w:val="0"/>
              <w:snapToGrid w:val="0"/>
              <w:jc w:val="center"/>
              <w:rPr>
                <w:rFonts w:hint="eastAsia"/>
                <w:color w:val="auto"/>
                <w:sz w:val="24"/>
                <w:szCs w:val="24"/>
              </w:rPr>
            </w:pPr>
            <w:r>
              <w:rPr>
                <w:rFonts w:hint="default" w:ascii="Times New Roman" w:hAnsi="Times New Roman" w:eastAsia="宋体" w:cs="Times New Roman"/>
                <w:color w:val="auto"/>
                <w:sz w:val="24"/>
                <w:szCs w:val="24"/>
              </w:rPr>
              <w:t>其他符合性分析</w:t>
            </w:r>
          </w:p>
        </w:tc>
        <w:tc>
          <w:tcPr>
            <w:tcW w:w="7777" w:type="dxa"/>
            <w:gridSpan w:val="3"/>
            <w:vAlign w:val="center"/>
          </w:tcPr>
          <w:p w14:paraId="266CD148">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eastAsia="zh-CN"/>
              </w:rPr>
              <w:t>产业政策符合性分析</w:t>
            </w:r>
          </w:p>
          <w:p w14:paraId="484DDE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lang w:val="en-US" w:eastAsia="zh-CN"/>
              </w:rPr>
            </w:pPr>
            <w:r>
              <w:rPr>
                <w:rFonts w:ascii="Times New Roman" w:hAnsi="Times New Roman"/>
                <w:color w:val="auto"/>
                <w:sz w:val="24"/>
                <w:szCs w:val="24"/>
              </w:rPr>
              <w:t>根据《安徽固镇经济开发区总体发展规划（20</w:t>
            </w:r>
            <w:r>
              <w:rPr>
                <w:rFonts w:hint="eastAsia"/>
                <w:color w:val="auto"/>
                <w:sz w:val="24"/>
                <w:szCs w:val="24"/>
                <w:lang w:val="en-US" w:eastAsia="zh-CN"/>
              </w:rPr>
              <w:t>21</w:t>
            </w:r>
            <w:r>
              <w:rPr>
                <w:rFonts w:ascii="Times New Roman" w:hAnsi="Times New Roman"/>
                <w:color w:val="auto"/>
                <w:sz w:val="24"/>
                <w:szCs w:val="24"/>
              </w:rPr>
              <w:t>-203</w:t>
            </w:r>
            <w:r>
              <w:rPr>
                <w:rFonts w:hint="eastAsia"/>
                <w:color w:val="auto"/>
                <w:sz w:val="24"/>
                <w:szCs w:val="24"/>
                <w:lang w:val="en-US" w:eastAsia="zh-CN"/>
              </w:rPr>
              <w:t>5</w:t>
            </w:r>
            <w:r>
              <w:rPr>
                <w:rFonts w:ascii="Times New Roman" w:hAnsi="Times New Roman"/>
                <w:color w:val="auto"/>
                <w:sz w:val="24"/>
                <w:szCs w:val="24"/>
              </w:rPr>
              <w:t>）》，固镇经济开发区</w:t>
            </w:r>
            <w:r>
              <w:rPr>
                <w:rFonts w:hint="eastAsia"/>
                <w:color w:val="auto"/>
                <w:sz w:val="24"/>
                <w:szCs w:val="24"/>
                <w:lang w:eastAsia="zh-CN"/>
              </w:rPr>
              <w:t>产业布局分别在开发区南北纵向分布着</w:t>
            </w:r>
            <w:r>
              <w:rPr>
                <w:rFonts w:hint="eastAsia" w:ascii="宋体" w:hAnsi="宋体" w:eastAsia="宋体" w:cs="宋体"/>
                <w:color w:val="auto"/>
                <w:kern w:val="0"/>
                <w:sz w:val="24"/>
                <w:szCs w:val="24"/>
                <w:lang w:val="en-US" w:eastAsia="zh-CN" w:bidi="ar"/>
              </w:rPr>
              <w:t>北部产业片区、南部产业片区两大片区。</w:t>
            </w:r>
            <w:r>
              <w:rPr>
                <w:rFonts w:ascii="Times New Roman" w:hAnsi="Times New Roman"/>
                <w:color w:val="auto"/>
                <w:sz w:val="24"/>
                <w:szCs w:val="24"/>
              </w:rPr>
              <w:t>主导产业为装备制造</w:t>
            </w:r>
            <w:r>
              <w:rPr>
                <w:rFonts w:hint="eastAsia"/>
                <w:color w:val="auto"/>
                <w:sz w:val="24"/>
                <w:szCs w:val="24"/>
                <w:lang w:eastAsia="zh-CN"/>
              </w:rPr>
              <w:t>产</w:t>
            </w:r>
            <w:r>
              <w:rPr>
                <w:rFonts w:ascii="Times New Roman" w:hAnsi="Times New Roman"/>
                <w:color w:val="auto"/>
                <w:sz w:val="24"/>
                <w:szCs w:val="24"/>
              </w:rPr>
              <w:t>业、农副产品加工产业、</w:t>
            </w:r>
            <w:r>
              <w:rPr>
                <w:rFonts w:hint="eastAsia"/>
                <w:color w:val="auto"/>
                <w:sz w:val="24"/>
                <w:szCs w:val="24"/>
                <w:lang w:eastAsia="zh-CN"/>
              </w:rPr>
              <w:t>精细化工产业</w:t>
            </w:r>
            <w:r>
              <w:rPr>
                <w:rFonts w:ascii="Times New Roman" w:hAnsi="Times New Roman"/>
                <w:color w:val="auto"/>
                <w:sz w:val="24"/>
                <w:szCs w:val="24"/>
              </w:rPr>
              <w:t>。本项目属于</w:t>
            </w:r>
            <w:r>
              <w:rPr>
                <w:rFonts w:hint="default" w:ascii="Times New Roman" w:hAnsi="Times New Roman" w:eastAsia="宋体" w:cs="Times New Roman"/>
                <w:color w:val="auto"/>
                <w:sz w:val="24"/>
                <w:lang w:val="en-US" w:eastAsia="zh-CN"/>
              </w:rPr>
              <w:t>C2922塑料板、管、型材制造</w:t>
            </w:r>
            <w:r>
              <w:rPr>
                <w:rFonts w:hint="eastAsia"/>
                <w:color w:val="auto"/>
                <w:sz w:val="24"/>
                <w:lang w:val="en-US" w:eastAsia="zh-CN"/>
              </w:rPr>
              <w:t>，</w:t>
            </w:r>
            <w:r>
              <w:rPr>
                <w:rFonts w:hint="eastAsia" w:ascii="Times New Roman" w:hAnsi="Times New Roman" w:eastAsia="宋体" w:cs="Times New Roman"/>
                <w:color w:val="auto"/>
                <w:kern w:val="0"/>
                <w:sz w:val="24"/>
                <w:szCs w:val="20"/>
                <w:lang w:val="en-US" w:eastAsia="zh-CN" w:bidi="ar-SA"/>
              </w:rPr>
              <w:t>不在安徽固镇经济开发区限制及禁止类范围内，属于园区允许类，项目</w:t>
            </w:r>
            <w:r>
              <w:rPr>
                <w:rFonts w:ascii="Times New Roman" w:hAnsi="Times New Roman"/>
                <w:color w:val="auto"/>
                <w:sz w:val="24"/>
                <w:szCs w:val="24"/>
              </w:rPr>
              <w:t>符合</w:t>
            </w:r>
            <w:r>
              <w:rPr>
                <w:rFonts w:hint="eastAsia"/>
                <w:color w:val="auto"/>
                <w:sz w:val="24"/>
                <w:szCs w:val="24"/>
                <w:lang w:eastAsia="zh-CN"/>
              </w:rPr>
              <w:t>固镇经济开发区总体发展规划</w:t>
            </w:r>
            <w:r>
              <w:rPr>
                <w:rFonts w:hint="default" w:ascii="Times New Roman" w:hAnsi="Times New Roman" w:eastAsia="宋体" w:cs="Times New Roman"/>
                <w:color w:val="auto"/>
                <w:sz w:val="24"/>
                <w:szCs w:val="24"/>
                <w:highlight w:val="none"/>
              </w:rPr>
              <w:t>。</w:t>
            </w:r>
            <w:r>
              <w:rPr>
                <w:rFonts w:hint="eastAsia"/>
                <w:color w:val="auto"/>
                <w:sz w:val="24"/>
                <w:szCs w:val="24"/>
                <w:highlight w:val="none"/>
                <w:lang w:eastAsia="zh-CN"/>
              </w:rPr>
              <w:t>根据</w:t>
            </w:r>
            <w:r>
              <w:rPr>
                <w:rFonts w:hint="eastAsia"/>
                <w:color w:val="auto"/>
                <w:sz w:val="24"/>
                <w:szCs w:val="24"/>
                <w:highlight w:val="none"/>
              </w:rPr>
              <w:t>《产业</w:t>
            </w:r>
            <w:r>
              <w:rPr>
                <w:rFonts w:hint="eastAsia"/>
                <w:color w:val="auto"/>
                <w:sz w:val="24"/>
                <w:highlight w:val="none"/>
              </w:rPr>
              <w:t>结构调整指导目录（</w:t>
            </w:r>
            <w:r>
              <w:rPr>
                <w:color w:val="auto"/>
                <w:sz w:val="24"/>
                <w:highlight w:val="none"/>
              </w:rPr>
              <w:t>20</w:t>
            </w:r>
            <w:r>
              <w:rPr>
                <w:rFonts w:hint="eastAsia"/>
                <w:color w:val="auto"/>
                <w:sz w:val="24"/>
                <w:highlight w:val="none"/>
                <w:lang w:val="en-US" w:eastAsia="zh-CN"/>
              </w:rPr>
              <w:t>24</w:t>
            </w:r>
            <w:r>
              <w:rPr>
                <w:rFonts w:hint="eastAsia"/>
                <w:color w:val="auto"/>
                <w:sz w:val="24"/>
                <w:highlight w:val="none"/>
              </w:rPr>
              <w:t>年本）》</w:t>
            </w:r>
            <w:r>
              <w:rPr>
                <w:rFonts w:hint="eastAsia"/>
                <w:color w:val="auto"/>
                <w:sz w:val="24"/>
                <w:highlight w:val="none"/>
                <w:lang w:eastAsia="zh-CN"/>
              </w:rPr>
              <w:t>中规定，本项目</w:t>
            </w:r>
            <w:r>
              <w:rPr>
                <w:rFonts w:hint="eastAsia"/>
                <w:b w:val="0"/>
                <w:bCs/>
                <w:color w:val="auto"/>
                <w:sz w:val="24"/>
                <w:szCs w:val="24"/>
                <w:lang w:eastAsia="zh-CN"/>
              </w:rPr>
              <w:t>不属于</w:t>
            </w:r>
            <w:r>
              <w:rPr>
                <w:rFonts w:hint="eastAsia"/>
                <w:color w:val="auto"/>
                <w:sz w:val="24"/>
                <w:highlight w:val="none"/>
                <w:lang w:eastAsia="zh-CN"/>
              </w:rPr>
              <w:t>限制类、淘汰类和鼓励类</w:t>
            </w:r>
            <w:r>
              <w:rPr>
                <w:rFonts w:hint="default" w:ascii="Times New Roman" w:hAnsi="Times New Roman" w:eastAsia="宋体" w:cs="Times New Roman"/>
                <w:color w:val="auto"/>
                <w:sz w:val="24"/>
                <w:szCs w:val="24"/>
              </w:rPr>
              <w:t>项目，视为允许类</w:t>
            </w:r>
            <w:r>
              <w:rPr>
                <w:rFonts w:hint="eastAsia" w:cs="Times New Roman"/>
                <w:color w:val="auto"/>
                <w:sz w:val="24"/>
                <w:szCs w:val="24"/>
                <w:lang w:eastAsia="zh-CN"/>
              </w:rPr>
              <w:t>项目</w:t>
            </w:r>
            <w:r>
              <w:rPr>
                <w:rFonts w:hint="default" w:ascii="Times New Roman" w:hAnsi="Times New Roman" w:eastAsia="宋体" w:cs="Times New Roman"/>
                <w:color w:val="auto"/>
                <w:sz w:val="24"/>
                <w:szCs w:val="24"/>
              </w:rPr>
              <w:t>。</w:t>
            </w:r>
            <w:r>
              <w:rPr>
                <w:snapToGrid w:val="0"/>
                <w:color w:val="auto"/>
                <w:kern w:val="0"/>
                <w:sz w:val="24"/>
              </w:rPr>
              <w:t>本项目于20</w:t>
            </w:r>
            <w:r>
              <w:rPr>
                <w:rFonts w:hint="eastAsia"/>
                <w:snapToGrid w:val="0"/>
                <w:color w:val="auto"/>
                <w:kern w:val="0"/>
                <w:sz w:val="24"/>
                <w:lang w:val="en-US" w:eastAsia="zh-CN"/>
              </w:rPr>
              <w:t>25</w:t>
            </w:r>
            <w:r>
              <w:rPr>
                <w:snapToGrid w:val="0"/>
                <w:color w:val="auto"/>
                <w:kern w:val="0"/>
                <w:sz w:val="24"/>
              </w:rPr>
              <w:t>年</w:t>
            </w:r>
            <w:r>
              <w:rPr>
                <w:rFonts w:hint="eastAsia"/>
                <w:snapToGrid w:val="0"/>
                <w:color w:val="auto"/>
                <w:kern w:val="0"/>
                <w:sz w:val="24"/>
                <w:lang w:val="en-US" w:eastAsia="zh-CN"/>
              </w:rPr>
              <w:t>3</w:t>
            </w:r>
            <w:r>
              <w:rPr>
                <w:snapToGrid w:val="0"/>
                <w:color w:val="auto"/>
                <w:kern w:val="0"/>
                <w:sz w:val="24"/>
              </w:rPr>
              <w:t>月获得蚌埠市</w:t>
            </w:r>
            <w:r>
              <w:rPr>
                <w:rFonts w:hint="eastAsia"/>
                <w:snapToGrid w:val="0"/>
                <w:color w:val="auto"/>
                <w:kern w:val="0"/>
                <w:sz w:val="24"/>
                <w:lang w:eastAsia="zh-CN"/>
              </w:rPr>
              <w:t>固镇县</w:t>
            </w:r>
            <w:r>
              <w:rPr>
                <w:snapToGrid w:val="0"/>
                <w:color w:val="auto"/>
                <w:kern w:val="0"/>
                <w:sz w:val="24"/>
              </w:rPr>
              <w:t>发展和改革委员会的备案（项目编码：</w:t>
            </w:r>
            <w:r>
              <w:rPr>
                <w:rFonts w:hint="default" w:ascii="Times New Roman" w:hAnsi="Times New Roman" w:eastAsia="宋体" w:cs="Times New Roman"/>
                <w:color w:val="auto"/>
                <w:sz w:val="24"/>
                <w:szCs w:val="24"/>
              </w:rPr>
              <w:t>2</w:t>
            </w:r>
            <w:r>
              <w:rPr>
                <w:rFonts w:hint="eastAsia" w:ascii="Times New Roman" w:hAnsi="Times New Roman" w:cs="Times New Roman"/>
                <w:color w:val="auto"/>
                <w:sz w:val="24"/>
                <w:szCs w:val="24"/>
                <w:lang w:val="en-US" w:eastAsia="zh-CN"/>
              </w:rPr>
              <w:t>503</w:t>
            </w:r>
            <w:r>
              <w:rPr>
                <w:rFonts w:hint="default" w:ascii="Times New Roman" w:hAnsi="Times New Roman" w:eastAsia="宋体" w:cs="Times New Roman"/>
                <w:color w:val="auto"/>
                <w:sz w:val="24"/>
                <w:szCs w:val="24"/>
              </w:rPr>
              <w:t>-3403</w:t>
            </w:r>
            <w:r>
              <w:rPr>
                <w:rFonts w:hint="eastAsia"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rPr>
              <w:t>-04-0</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464464</w:t>
            </w:r>
            <w:r>
              <w:rPr>
                <w:snapToGrid w:val="0"/>
                <w:color w:val="auto"/>
                <w:kern w:val="0"/>
                <w:sz w:val="24"/>
              </w:rPr>
              <w:t>）。因此，本项目建设符合国家和地方产业政策要求。</w:t>
            </w:r>
          </w:p>
          <w:p w14:paraId="09C51027">
            <w:pPr>
              <w:pStyle w:val="5"/>
              <w:pageBreakBefore w:val="0"/>
              <w:widowControl w:val="0"/>
              <w:tabs>
                <w:tab w:val="left" w:pos="567"/>
              </w:tabs>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default" w:ascii="Times New Roman" w:hAnsi="Times New Roman" w:eastAsia="宋体" w:cs="Times New Roman"/>
                <w:color w:val="auto"/>
                <w:sz w:val="24"/>
                <w:szCs w:val="24"/>
                <w:highlight w:val="none"/>
              </w:rPr>
            </w:pP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与《重点行业挥发性有机物综合治理方案》相符性分析</w:t>
            </w:r>
          </w:p>
          <w:p w14:paraId="479AF6CE">
            <w:pPr>
              <w:keepNext w:val="0"/>
              <w:keepLines w:val="0"/>
              <w:pageBreakBefore w:val="0"/>
              <w:widowControl w:val="0"/>
              <w:kinsoku/>
              <w:wordWrap/>
              <w:overflowPunct/>
              <w:topLinePunct w:val="0"/>
              <w:autoSpaceDE/>
              <w:autoSpaceDN/>
              <w:bidi w:val="0"/>
              <w:adjustRightInd/>
              <w:snapToGrid/>
              <w:ind w:firstLine="0"/>
              <w:jc w:val="center"/>
              <w:textAlignment w:val="auto"/>
              <w:rPr>
                <w:b/>
                <w:color w:val="auto"/>
              </w:rPr>
            </w:pPr>
            <w:r>
              <w:rPr>
                <w:b/>
                <w:color w:val="auto"/>
              </w:rPr>
              <w:t>表1</w:t>
            </w:r>
            <w:r>
              <w:rPr>
                <w:rFonts w:hint="eastAsia"/>
                <w:b/>
                <w:color w:val="auto"/>
              </w:rPr>
              <w:t>-</w:t>
            </w:r>
            <w:r>
              <w:rPr>
                <w:rFonts w:hint="eastAsia"/>
                <w:b/>
                <w:color w:val="auto"/>
                <w:lang w:val="en-US" w:eastAsia="zh-CN"/>
              </w:rPr>
              <w:t xml:space="preserve">3 </w:t>
            </w:r>
            <w:r>
              <w:rPr>
                <w:b/>
                <w:color w:val="auto"/>
              </w:rPr>
              <w:t>“重点行业挥发性有机物综合治理方案”符合性分析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7"/>
              <w:gridCol w:w="2114"/>
              <w:gridCol w:w="720"/>
            </w:tblGrid>
            <w:tr w14:paraId="1563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7" w:type="dxa"/>
                  <w:tcBorders>
                    <w:bottom w:val="single" w:color="auto" w:sz="6" w:space="0"/>
                    <w:right w:val="single" w:color="auto" w:sz="6" w:space="0"/>
                  </w:tcBorders>
                  <w:vAlign w:val="center"/>
                </w:tcPr>
                <w:p w14:paraId="1EFB2643">
                  <w:pPr>
                    <w:pStyle w:val="87"/>
                    <w:rPr>
                      <w:b w:val="0"/>
                      <w:bCs w:val="0"/>
                      <w:color w:val="auto"/>
                    </w:rPr>
                  </w:pPr>
                  <w:r>
                    <w:rPr>
                      <w:b w:val="0"/>
                      <w:bCs w:val="0"/>
                      <w:color w:val="auto"/>
                    </w:rPr>
                    <w:t>重点行业挥发性有机物综合治理方案要求</w:t>
                  </w:r>
                </w:p>
              </w:tc>
              <w:tc>
                <w:tcPr>
                  <w:tcW w:w="2114" w:type="dxa"/>
                  <w:tcBorders>
                    <w:left w:val="single" w:color="auto" w:sz="6" w:space="0"/>
                    <w:bottom w:val="single" w:color="auto" w:sz="6" w:space="0"/>
                    <w:right w:val="single" w:color="auto" w:sz="6" w:space="0"/>
                  </w:tcBorders>
                  <w:vAlign w:val="center"/>
                </w:tcPr>
                <w:p w14:paraId="23F7A19F">
                  <w:pPr>
                    <w:pStyle w:val="87"/>
                    <w:rPr>
                      <w:b w:val="0"/>
                      <w:bCs w:val="0"/>
                      <w:color w:val="auto"/>
                    </w:rPr>
                  </w:pPr>
                  <w:r>
                    <w:rPr>
                      <w:b w:val="0"/>
                      <w:bCs w:val="0"/>
                      <w:color w:val="auto"/>
                    </w:rPr>
                    <w:t>本项目建设情况</w:t>
                  </w:r>
                </w:p>
              </w:tc>
              <w:tc>
                <w:tcPr>
                  <w:tcW w:w="720" w:type="dxa"/>
                  <w:tcBorders>
                    <w:left w:val="single" w:color="auto" w:sz="6" w:space="0"/>
                    <w:bottom w:val="single" w:color="auto" w:sz="6" w:space="0"/>
                  </w:tcBorders>
                  <w:vAlign w:val="center"/>
                </w:tcPr>
                <w:p w14:paraId="6E001CF6">
                  <w:pPr>
                    <w:pStyle w:val="87"/>
                    <w:rPr>
                      <w:b w:val="0"/>
                      <w:bCs w:val="0"/>
                      <w:color w:val="auto"/>
                    </w:rPr>
                  </w:pPr>
                  <w:r>
                    <w:rPr>
                      <w:b w:val="0"/>
                      <w:bCs w:val="0"/>
                      <w:color w:val="auto"/>
                    </w:rPr>
                    <w:t>相符性</w:t>
                  </w:r>
                </w:p>
              </w:tc>
            </w:tr>
            <w:tr w14:paraId="68C4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7" w:type="dxa"/>
                  <w:tcBorders>
                    <w:top w:val="single" w:color="auto" w:sz="6" w:space="0"/>
                    <w:bottom w:val="single" w:color="auto" w:sz="6" w:space="0"/>
                    <w:right w:val="single" w:color="auto" w:sz="6" w:space="0"/>
                  </w:tcBorders>
                  <w:vAlign w:val="center"/>
                </w:tcPr>
                <w:p w14:paraId="384069B0">
                  <w:pPr>
                    <w:pStyle w:val="86"/>
                    <w:rPr>
                      <w:b w:val="0"/>
                      <w:bCs w:val="0"/>
                      <w:color w:val="auto"/>
                    </w:rPr>
                  </w:pPr>
                  <w:r>
                    <w:rPr>
                      <w:b w:val="0"/>
                      <w:bCs w:val="0"/>
                      <w:color w:val="auto"/>
                    </w:rPr>
                    <w:t>全面加强无组织排放控制。通过采取设备与场所密闭、工艺改进、废气有效收集等措施，削减VOCs无组织排放</w:t>
                  </w:r>
                </w:p>
              </w:tc>
              <w:tc>
                <w:tcPr>
                  <w:tcW w:w="2114" w:type="dxa"/>
                  <w:tcBorders>
                    <w:top w:val="single" w:color="auto" w:sz="6" w:space="0"/>
                    <w:left w:val="single" w:color="auto" w:sz="6" w:space="0"/>
                    <w:bottom w:val="single" w:color="auto" w:sz="6" w:space="0"/>
                    <w:right w:val="single" w:color="auto" w:sz="6" w:space="0"/>
                  </w:tcBorders>
                  <w:vAlign w:val="center"/>
                </w:tcPr>
                <w:p w14:paraId="1A235BB5">
                  <w:pPr>
                    <w:pStyle w:val="86"/>
                    <w:rPr>
                      <w:b w:val="0"/>
                      <w:bCs w:val="0"/>
                      <w:color w:val="auto"/>
                    </w:rPr>
                  </w:pPr>
                  <w:r>
                    <w:rPr>
                      <w:b w:val="0"/>
                      <w:bCs w:val="0"/>
                      <w:color w:val="auto"/>
                    </w:rPr>
                    <w:t>本项目产生的有机废气由产污点上方设置集气罩收集</w:t>
                  </w:r>
                </w:p>
              </w:tc>
              <w:tc>
                <w:tcPr>
                  <w:tcW w:w="720" w:type="dxa"/>
                  <w:tcBorders>
                    <w:top w:val="single" w:color="auto" w:sz="6" w:space="0"/>
                    <w:left w:val="single" w:color="auto" w:sz="6" w:space="0"/>
                    <w:bottom w:val="single" w:color="auto" w:sz="6" w:space="0"/>
                  </w:tcBorders>
                  <w:vAlign w:val="center"/>
                </w:tcPr>
                <w:p w14:paraId="5981EF44">
                  <w:pPr>
                    <w:pStyle w:val="86"/>
                    <w:rPr>
                      <w:b w:val="0"/>
                      <w:bCs w:val="0"/>
                      <w:color w:val="auto"/>
                    </w:rPr>
                  </w:pPr>
                  <w:r>
                    <w:rPr>
                      <w:b w:val="0"/>
                      <w:bCs w:val="0"/>
                      <w:color w:val="auto"/>
                    </w:rPr>
                    <w:t>符合</w:t>
                  </w:r>
                </w:p>
              </w:tc>
            </w:tr>
            <w:tr w14:paraId="1159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7" w:type="dxa"/>
                  <w:tcBorders>
                    <w:top w:val="single" w:color="auto" w:sz="6" w:space="0"/>
                    <w:bottom w:val="single" w:color="auto" w:sz="6" w:space="0"/>
                    <w:right w:val="single" w:color="auto" w:sz="6" w:space="0"/>
                  </w:tcBorders>
                  <w:vAlign w:val="center"/>
                </w:tcPr>
                <w:p w14:paraId="65B5B52C">
                  <w:pPr>
                    <w:pStyle w:val="86"/>
                    <w:rPr>
                      <w:b w:val="0"/>
                      <w:bCs w:val="0"/>
                      <w:color w:val="auto"/>
                    </w:rPr>
                  </w:pPr>
                  <w:r>
                    <w:rPr>
                      <w:b w:val="0"/>
                      <w:bCs w:val="0"/>
                      <w:color w:val="auto"/>
                    </w:rPr>
                    <w:t>推进建设适宜高效的治污设施。鼓励企业采用多种技术的组合工艺，提高VOCs治理效率。低浓度、大风量废气，宜采用沸石转轮吸附、活性炭吸附、减</w:t>
                  </w:r>
                  <w:r>
                    <w:rPr>
                      <w:b w:val="0"/>
                      <w:bCs w:val="0"/>
                      <w:color w:val="auto"/>
                    </w:rPr>
                    <w:cr/>
                  </w:r>
                  <w:r>
                    <w:rPr>
                      <w:b w:val="0"/>
                      <w:bCs w:val="0"/>
                      <w:color w:val="auto"/>
                    </w:rPr>
                    <w:t>增浓等浓缩技术，提高VOCs浓度后净化处理；高浓度废气，优先进行溶剂回收，难以回收的，宜采用高温焚烧、催化燃烧等技术。油气（溶剂）回收宜采用冷凝+吸附、吸附+</w:t>
                  </w:r>
                  <w:r>
                    <w:rPr>
                      <w:b w:val="0"/>
                      <w:bCs w:val="0"/>
                      <w:color w:val="auto"/>
                    </w:rPr>
                    <w:cr/>
                  </w:r>
                  <w:r>
                    <w:rPr>
                      <w:b w:val="0"/>
                      <w:bCs w:val="0"/>
                      <w:color w:val="auto"/>
                    </w:rPr>
                    <w:t>收、膜分离+吸附等技术。低温等离子、光催化、光氧化技术主要适用于恶臭异味等治理；生物法主要适用于低浓度VOCs废气治理和恶臭异味治理。非水溶性的VOCs废气禁止采用水或水溶液喷淋吸收处理。</w:t>
                  </w:r>
                </w:p>
              </w:tc>
              <w:tc>
                <w:tcPr>
                  <w:tcW w:w="2114" w:type="dxa"/>
                  <w:tcBorders>
                    <w:top w:val="single" w:color="auto" w:sz="6" w:space="0"/>
                    <w:left w:val="single" w:color="auto" w:sz="6" w:space="0"/>
                    <w:bottom w:val="single" w:color="auto" w:sz="6" w:space="0"/>
                    <w:right w:val="single" w:color="auto" w:sz="6" w:space="0"/>
                  </w:tcBorders>
                  <w:vAlign w:val="center"/>
                </w:tcPr>
                <w:p w14:paraId="06F4420A">
                  <w:pPr>
                    <w:pStyle w:val="86"/>
                    <w:rPr>
                      <w:b w:val="0"/>
                      <w:bCs w:val="0"/>
                      <w:color w:val="auto"/>
                    </w:rPr>
                  </w:pPr>
                  <w:r>
                    <w:rPr>
                      <w:b w:val="0"/>
                      <w:bCs w:val="0"/>
                      <w:color w:val="auto"/>
                    </w:rPr>
                    <w:t>本项目</w:t>
                  </w:r>
                  <w:r>
                    <w:rPr>
                      <w:rFonts w:hint="eastAsia"/>
                      <w:b w:val="0"/>
                      <w:bCs w:val="0"/>
                      <w:color w:val="auto"/>
                      <w:lang w:eastAsia="zh-CN"/>
                    </w:rPr>
                    <w:t>有机废气产生浓度较低，采用二级活性炭吸附装置</w:t>
                  </w:r>
                  <w:r>
                    <w:rPr>
                      <w:b w:val="0"/>
                      <w:bCs w:val="0"/>
                      <w:color w:val="auto"/>
                    </w:rPr>
                    <w:t>处理。</w:t>
                  </w:r>
                </w:p>
              </w:tc>
              <w:tc>
                <w:tcPr>
                  <w:tcW w:w="720" w:type="dxa"/>
                  <w:tcBorders>
                    <w:top w:val="single" w:color="auto" w:sz="6" w:space="0"/>
                    <w:left w:val="single" w:color="auto" w:sz="6" w:space="0"/>
                    <w:bottom w:val="single" w:color="auto" w:sz="6" w:space="0"/>
                  </w:tcBorders>
                  <w:vAlign w:val="center"/>
                </w:tcPr>
                <w:p w14:paraId="63962012">
                  <w:pPr>
                    <w:pStyle w:val="86"/>
                    <w:rPr>
                      <w:b w:val="0"/>
                      <w:bCs w:val="0"/>
                      <w:color w:val="auto"/>
                    </w:rPr>
                  </w:pPr>
                  <w:r>
                    <w:rPr>
                      <w:b w:val="0"/>
                      <w:bCs w:val="0"/>
                      <w:color w:val="auto"/>
                    </w:rPr>
                    <w:t>符合</w:t>
                  </w:r>
                </w:p>
              </w:tc>
            </w:tr>
            <w:tr w14:paraId="680A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7" w:type="dxa"/>
                  <w:tcBorders>
                    <w:top w:val="single" w:color="auto" w:sz="6" w:space="0"/>
                    <w:right w:val="single" w:color="auto" w:sz="6" w:space="0"/>
                  </w:tcBorders>
                  <w:vAlign w:val="center"/>
                </w:tcPr>
                <w:p w14:paraId="2613AAE2">
                  <w:pPr>
                    <w:pStyle w:val="86"/>
                    <w:rPr>
                      <w:b w:val="0"/>
                      <w:bCs w:val="0"/>
                      <w:color w:val="auto"/>
                    </w:rPr>
                  </w:pPr>
                  <w:r>
                    <w:rPr>
                      <w:b w:val="0"/>
                      <w:bCs w:val="0"/>
                      <w:color w:val="auto"/>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w:t>
                  </w:r>
                  <w:r>
                    <w:rPr>
                      <w:b w:val="0"/>
                      <w:bCs w:val="0"/>
                      <w:color w:val="auto"/>
                    </w:rPr>
                    <w:cr/>
                  </w:r>
                  <w:r>
                    <w:rPr>
                      <w:b w:val="0"/>
                      <w:bCs w:val="0"/>
                      <w:color w:val="auto"/>
                    </w:rPr>
                    <w:t>率不低于80%；</w:t>
                  </w:r>
                </w:p>
              </w:tc>
              <w:tc>
                <w:tcPr>
                  <w:tcW w:w="2114" w:type="dxa"/>
                  <w:tcBorders>
                    <w:top w:val="single" w:color="auto" w:sz="6" w:space="0"/>
                    <w:left w:val="single" w:color="auto" w:sz="6" w:space="0"/>
                    <w:right w:val="single" w:color="auto" w:sz="6" w:space="0"/>
                  </w:tcBorders>
                  <w:vAlign w:val="center"/>
                </w:tcPr>
                <w:p w14:paraId="5B8F79DD">
                  <w:pPr>
                    <w:pStyle w:val="86"/>
                    <w:rPr>
                      <w:b w:val="0"/>
                      <w:bCs w:val="0"/>
                      <w:color w:val="auto"/>
                    </w:rPr>
                  </w:pPr>
                  <w:r>
                    <w:rPr>
                      <w:b w:val="0"/>
                      <w:bCs w:val="0"/>
                      <w:color w:val="auto"/>
                    </w:rPr>
                    <w:t>项目有机废气收集通过</w:t>
                  </w:r>
                  <w:r>
                    <w:rPr>
                      <w:rFonts w:hint="eastAsia"/>
                      <w:b w:val="0"/>
                      <w:bCs w:val="0"/>
                      <w:color w:val="auto"/>
                      <w:lang w:eastAsia="zh-CN"/>
                    </w:rPr>
                    <w:t>二级活性炭吸附装置</w:t>
                  </w:r>
                  <w:r>
                    <w:rPr>
                      <w:b w:val="0"/>
                      <w:bCs w:val="0"/>
                      <w:color w:val="auto"/>
                    </w:rPr>
                    <w:t>处理，处理效率可达</w:t>
                  </w:r>
                  <w:r>
                    <w:rPr>
                      <w:rFonts w:hint="eastAsia"/>
                      <w:b w:val="0"/>
                      <w:bCs w:val="0"/>
                      <w:color w:val="auto"/>
                      <w:lang w:val="en-US" w:eastAsia="zh-CN"/>
                    </w:rPr>
                    <w:t>90</w:t>
                  </w:r>
                  <w:r>
                    <w:rPr>
                      <w:b w:val="0"/>
                      <w:bCs w:val="0"/>
                      <w:color w:val="auto"/>
                    </w:rPr>
                    <w:t>%</w:t>
                  </w:r>
                </w:p>
              </w:tc>
              <w:tc>
                <w:tcPr>
                  <w:tcW w:w="720" w:type="dxa"/>
                  <w:tcBorders>
                    <w:top w:val="single" w:color="auto" w:sz="6" w:space="0"/>
                    <w:left w:val="single" w:color="auto" w:sz="6" w:space="0"/>
                  </w:tcBorders>
                  <w:vAlign w:val="center"/>
                </w:tcPr>
                <w:p w14:paraId="2A43045B">
                  <w:pPr>
                    <w:pStyle w:val="86"/>
                    <w:rPr>
                      <w:b w:val="0"/>
                      <w:bCs w:val="0"/>
                      <w:color w:val="auto"/>
                    </w:rPr>
                  </w:pPr>
                  <w:r>
                    <w:rPr>
                      <w:b w:val="0"/>
                      <w:bCs w:val="0"/>
                      <w:color w:val="auto"/>
                    </w:rPr>
                    <w:t>符合</w:t>
                  </w:r>
                </w:p>
              </w:tc>
            </w:tr>
          </w:tbl>
          <w:p w14:paraId="6285FC15">
            <w:pPr>
              <w:jc w:val="left"/>
              <w:rPr>
                <w:color w:val="auto"/>
                <w:sz w:val="24"/>
                <w:szCs w:val="24"/>
                <w:highlight w:val="none"/>
              </w:rPr>
            </w:pPr>
            <w:r>
              <w:rPr>
                <w:rFonts w:hint="eastAsia"/>
                <w:b/>
                <w:color w:val="auto"/>
                <w:sz w:val="24"/>
                <w:szCs w:val="24"/>
                <w:highlight w:val="none"/>
                <w:lang w:val="en-US" w:eastAsia="zh-CN"/>
              </w:rPr>
              <w:t>3.</w:t>
            </w:r>
            <w:r>
              <w:rPr>
                <w:b/>
                <w:bCs/>
                <w:color w:val="auto"/>
                <w:kern w:val="0"/>
                <w:sz w:val="24"/>
                <w:szCs w:val="24"/>
                <w:highlight w:val="none"/>
                <w:lang w:bidi="ar"/>
              </w:rPr>
              <w:t>与《安徽省生态环境厅关于全面推进挥发性有机物综合治理工作的通知》（2019.9.30）相符性分析</w:t>
            </w:r>
          </w:p>
          <w:p w14:paraId="49249236">
            <w:pPr>
              <w:ind w:firstLine="482"/>
              <w:jc w:val="center"/>
              <w:rPr>
                <w:b/>
                <w:bCs/>
                <w:color w:val="auto"/>
              </w:rPr>
            </w:pPr>
            <w:r>
              <w:rPr>
                <w:b/>
                <w:bCs/>
                <w:color w:val="auto"/>
              </w:rPr>
              <w:t>表</w:t>
            </w:r>
            <w:r>
              <w:rPr>
                <w:rFonts w:hint="eastAsia"/>
                <w:b/>
                <w:bCs/>
                <w:color w:val="auto"/>
              </w:rPr>
              <w:t>1-</w:t>
            </w:r>
            <w:r>
              <w:rPr>
                <w:rFonts w:hint="eastAsia"/>
                <w:b/>
                <w:bCs/>
                <w:color w:val="auto"/>
                <w:lang w:val="en-US" w:eastAsia="zh-CN"/>
              </w:rPr>
              <w:t xml:space="preserve">4 </w:t>
            </w:r>
            <w:r>
              <w:rPr>
                <w:b/>
                <w:bCs/>
                <w:color w:val="auto"/>
              </w:rPr>
              <w:t>与</w:t>
            </w:r>
            <w:r>
              <w:rPr>
                <w:rFonts w:hint="eastAsia"/>
                <w:b/>
                <w:bCs/>
                <w:color w:val="auto"/>
              </w:rPr>
              <w:t>“</w:t>
            </w:r>
            <w:r>
              <w:rPr>
                <w:b/>
                <w:bCs/>
                <w:color w:val="auto"/>
              </w:rPr>
              <w:t>全面推进挥发性有机物综合治理工作的通知</w:t>
            </w:r>
            <w:r>
              <w:rPr>
                <w:rFonts w:hint="eastAsia"/>
                <w:b/>
                <w:bCs/>
                <w:color w:val="auto"/>
              </w:rPr>
              <w:t>”</w:t>
            </w:r>
            <w:r>
              <w:rPr>
                <w:b/>
                <w:bCs/>
                <w:color w:val="auto"/>
              </w:rPr>
              <w:t>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7"/>
              <w:gridCol w:w="2563"/>
              <w:gridCol w:w="721"/>
            </w:tblGrid>
            <w:tr w14:paraId="436F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pct"/>
                  <w:tcBorders>
                    <w:bottom w:val="single" w:color="auto" w:sz="4" w:space="0"/>
                    <w:right w:val="single" w:color="auto" w:sz="4" w:space="0"/>
                  </w:tcBorders>
                  <w:vAlign w:val="center"/>
                </w:tcPr>
                <w:p w14:paraId="1B0A0C18">
                  <w:pPr>
                    <w:pStyle w:val="86"/>
                    <w:rPr>
                      <w:color w:val="auto"/>
                      <w:sz w:val="21"/>
                      <w:szCs w:val="21"/>
                    </w:rPr>
                  </w:pPr>
                  <w:r>
                    <w:rPr>
                      <w:color w:val="auto"/>
                      <w:sz w:val="21"/>
                      <w:szCs w:val="21"/>
                    </w:rPr>
                    <w:t>要求内容</w:t>
                  </w:r>
                </w:p>
              </w:tc>
              <w:tc>
                <w:tcPr>
                  <w:tcW w:w="1697" w:type="pct"/>
                  <w:tcBorders>
                    <w:left w:val="single" w:color="auto" w:sz="4" w:space="0"/>
                    <w:bottom w:val="single" w:color="auto" w:sz="4" w:space="0"/>
                    <w:right w:val="single" w:color="auto" w:sz="4" w:space="0"/>
                  </w:tcBorders>
                  <w:vAlign w:val="center"/>
                </w:tcPr>
                <w:p w14:paraId="6B7EAC77">
                  <w:pPr>
                    <w:pStyle w:val="86"/>
                    <w:rPr>
                      <w:color w:val="auto"/>
                      <w:sz w:val="21"/>
                      <w:szCs w:val="21"/>
                    </w:rPr>
                  </w:pPr>
                  <w:r>
                    <w:rPr>
                      <w:color w:val="auto"/>
                      <w:sz w:val="21"/>
                      <w:szCs w:val="21"/>
                    </w:rPr>
                    <w:t>本项目建设情况</w:t>
                  </w:r>
                </w:p>
              </w:tc>
              <w:tc>
                <w:tcPr>
                  <w:tcW w:w="477" w:type="pct"/>
                  <w:tcBorders>
                    <w:left w:val="single" w:color="auto" w:sz="4" w:space="0"/>
                    <w:bottom w:val="single" w:color="auto" w:sz="4" w:space="0"/>
                  </w:tcBorders>
                  <w:vAlign w:val="center"/>
                </w:tcPr>
                <w:p w14:paraId="75AB3076">
                  <w:pPr>
                    <w:pStyle w:val="86"/>
                    <w:rPr>
                      <w:color w:val="auto"/>
                      <w:sz w:val="21"/>
                      <w:szCs w:val="21"/>
                    </w:rPr>
                  </w:pPr>
                  <w:r>
                    <w:rPr>
                      <w:color w:val="auto"/>
                      <w:sz w:val="21"/>
                      <w:szCs w:val="21"/>
                    </w:rPr>
                    <w:t>相符性</w:t>
                  </w:r>
                </w:p>
              </w:tc>
            </w:tr>
            <w:tr w14:paraId="3F60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pct"/>
                  <w:tcBorders>
                    <w:top w:val="single" w:color="auto" w:sz="4" w:space="0"/>
                    <w:bottom w:val="single" w:color="auto" w:sz="4" w:space="0"/>
                    <w:right w:val="single" w:color="auto" w:sz="4" w:space="0"/>
                  </w:tcBorders>
                  <w:vAlign w:val="center"/>
                </w:tcPr>
                <w:p w14:paraId="18445015">
                  <w:pPr>
                    <w:pStyle w:val="86"/>
                    <w:rPr>
                      <w:color w:val="auto"/>
                      <w:sz w:val="21"/>
                      <w:szCs w:val="21"/>
                    </w:rPr>
                  </w:pPr>
                  <w:r>
                    <w:rPr>
                      <w:color w:val="auto"/>
                      <w:sz w:val="21"/>
                      <w:szCs w:val="21"/>
                    </w:rPr>
                    <w:t>严格环境项目准入，严控新增VOCs排放量，各地要严格限制石化、化工、包装印刷、工业涂装等高VOCs排放建设项目，不得新建未纳入《石化产业规划布局方案》的炼化项目，新建VOCs企业应进入园区</w:t>
                  </w:r>
                </w:p>
              </w:tc>
              <w:tc>
                <w:tcPr>
                  <w:tcW w:w="1697" w:type="pct"/>
                  <w:tcBorders>
                    <w:top w:val="single" w:color="auto" w:sz="4" w:space="0"/>
                    <w:left w:val="single" w:color="auto" w:sz="4" w:space="0"/>
                    <w:bottom w:val="single" w:color="auto" w:sz="4" w:space="0"/>
                    <w:right w:val="single" w:color="auto" w:sz="4" w:space="0"/>
                  </w:tcBorders>
                  <w:vAlign w:val="center"/>
                </w:tcPr>
                <w:p w14:paraId="0FC0FB51">
                  <w:pPr>
                    <w:pStyle w:val="86"/>
                    <w:jc w:val="left"/>
                    <w:rPr>
                      <w:color w:val="auto"/>
                      <w:sz w:val="21"/>
                      <w:szCs w:val="21"/>
                    </w:rPr>
                  </w:pPr>
                  <w:r>
                    <w:rPr>
                      <w:color w:val="auto"/>
                      <w:sz w:val="21"/>
                      <w:szCs w:val="21"/>
                    </w:rPr>
                    <w:t>本项目位于</w:t>
                  </w:r>
                  <w:r>
                    <w:rPr>
                      <w:rFonts w:hint="default" w:ascii="Times New Roman" w:hAnsi="Times New Roman" w:eastAsia="宋体" w:cs="Times New Roman"/>
                      <w:b w:val="0"/>
                      <w:bCs w:val="0"/>
                      <w:color w:val="auto"/>
                      <w:spacing w:val="-3"/>
                      <w:sz w:val="21"/>
                      <w:szCs w:val="21"/>
                      <w:lang w:eastAsia="zh-CN"/>
                    </w:rPr>
                    <w:t>固镇经济开发区</w:t>
                  </w:r>
                  <w:r>
                    <w:rPr>
                      <w:rFonts w:hint="eastAsia" w:cs="Times New Roman"/>
                      <w:b w:val="0"/>
                      <w:bCs w:val="0"/>
                      <w:color w:val="auto"/>
                      <w:spacing w:val="-3"/>
                      <w:sz w:val="21"/>
                      <w:szCs w:val="21"/>
                      <w:lang w:eastAsia="zh-CN"/>
                    </w:rPr>
                    <w:t>三星大道</w:t>
                  </w:r>
                  <w:r>
                    <w:rPr>
                      <w:rFonts w:hint="eastAsia" w:cs="Times New Roman"/>
                      <w:b w:val="0"/>
                      <w:bCs w:val="0"/>
                      <w:color w:val="auto"/>
                      <w:spacing w:val="-3"/>
                      <w:sz w:val="21"/>
                      <w:szCs w:val="21"/>
                      <w:lang w:val="en-US" w:eastAsia="zh-CN"/>
                    </w:rPr>
                    <w:t>005号</w:t>
                  </w:r>
                  <w:r>
                    <w:rPr>
                      <w:color w:val="auto"/>
                      <w:sz w:val="21"/>
                      <w:szCs w:val="21"/>
                    </w:rPr>
                    <w:t>，</w:t>
                  </w:r>
                  <w:r>
                    <w:rPr>
                      <w:rFonts w:hint="eastAsia"/>
                      <w:color w:val="auto"/>
                      <w:sz w:val="21"/>
                      <w:szCs w:val="21"/>
                    </w:rPr>
                    <w:t>项目位于</w:t>
                  </w:r>
                  <w:r>
                    <w:rPr>
                      <w:color w:val="auto"/>
                      <w:sz w:val="21"/>
                      <w:szCs w:val="21"/>
                    </w:rPr>
                    <w:t>工业园区</w:t>
                  </w:r>
                  <w:r>
                    <w:rPr>
                      <w:rFonts w:hint="eastAsia"/>
                      <w:color w:val="auto"/>
                      <w:sz w:val="21"/>
                      <w:szCs w:val="21"/>
                      <w:lang w:eastAsia="zh-CN"/>
                    </w:rPr>
                    <w:t>，不属于炼化项目</w:t>
                  </w:r>
                  <w:r>
                    <w:rPr>
                      <w:color w:val="auto"/>
                      <w:sz w:val="21"/>
                      <w:szCs w:val="21"/>
                    </w:rPr>
                    <w:t>。</w:t>
                  </w:r>
                </w:p>
              </w:tc>
              <w:tc>
                <w:tcPr>
                  <w:tcW w:w="477" w:type="pct"/>
                  <w:tcBorders>
                    <w:top w:val="single" w:color="auto" w:sz="4" w:space="0"/>
                    <w:left w:val="single" w:color="auto" w:sz="4" w:space="0"/>
                    <w:bottom w:val="single" w:color="auto" w:sz="4" w:space="0"/>
                  </w:tcBorders>
                  <w:vAlign w:val="center"/>
                </w:tcPr>
                <w:p w14:paraId="7976030D">
                  <w:pPr>
                    <w:pStyle w:val="86"/>
                    <w:rPr>
                      <w:color w:val="auto"/>
                      <w:sz w:val="21"/>
                      <w:szCs w:val="21"/>
                    </w:rPr>
                  </w:pPr>
                  <w:r>
                    <w:rPr>
                      <w:color w:val="auto"/>
                      <w:sz w:val="21"/>
                      <w:szCs w:val="21"/>
                    </w:rPr>
                    <w:t>符合</w:t>
                  </w:r>
                </w:p>
              </w:tc>
            </w:tr>
            <w:tr w14:paraId="4D13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2825" w:type="pct"/>
                  <w:tcBorders>
                    <w:top w:val="single" w:color="auto" w:sz="4" w:space="0"/>
                    <w:bottom w:val="single" w:color="auto" w:sz="4" w:space="0"/>
                    <w:right w:val="single" w:color="auto" w:sz="4" w:space="0"/>
                  </w:tcBorders>
                  <w:vAlign w:val="center"/>
                </w:tcPr>
                <w:p w14:paraId="1E28E969">
                  <w:pPr>
                    <w:pStyle w:val="86"/>
                    <w:rPr>
                      <w:color w:val="auto"/>
                      <w:sz w:val="21"/>
                      <w:szCs w:val="21"/>
                    </w:rPr>
                  </w:pPr>
                  <w:r>
                    <w:rPr>
                      <w:color w:val="auto"/>
                      <w:sz w:val="21"/>
                      <w:szCs w:val="21"/>
                    </w:rPr>
                    <w:t>继续在全省范围内清理整治涉VOCs“散乱污”企业，包括但不限于涂料、油墨、合成革、橡胶制品、塑料制品、化纤生产等化工企业以及使用溶剂型涂料、油墨、胶粘剂和其他有机溶剂的印刷、家具、钢结构、人造板、注塑等制造加工企业以及露天喷漆汽车维修作业等。</w:t>
                  </w:r>
                </w:p>
              </w:tc>
              <w:tc>
                <w:tcPr>
                  <w:tcW w:w="1697" w:type="pct"/>
                  <w:tcBorders>
                    <w:top w:val="single" w:color="auto" w:sz="4" w:space="0"/>
                    <w:left w:val="single" w:color="auto" w:sz="4" w:space="0"/>
                    <w:bottom w:val="single" w:color="auto" w:sz="4" w:space="0"/>
                    <w:right w:val="single" w:color="auto" w:sz="4" w:space="0"/>
                  </w:tcBorders>
                  <w:vAlign w:val="center"/>
                </w:tcPr>
                <w:p w14:paraId="228F1945">
                  <w:pPr>
                    <w:pStyle w:val="86"/>
                    <w:jc w:val="left"/>
                    <w:rPr>
                      <w:color w:val="auto"/>
                      <w:sz w:val="21"/>
                      <w:szCs w:val="21"/>
                    </w:rPr>
                  </w:pPr>
                  <w:r>
                    <w:rPr>
                      <w:color w:val="auto"/>
                      <w:sz w:val="21"/>
                      <w:szCs w:val="21"/>
                    </w:rPr>
                    <w:t>本项目不属于</w:t>
                  </w:r>
                  <w:r>
                    <w:rPr>
                      <w:rFonts w:hint="eastAsia"/>
                      <w:color w:val="auto"/>
                      <w:sz w:val="21"/>
                      <w:szCs w:val="21"/>
                      <w:lang w:eastAsia="zh-CN"/>
                    </w:rPr>
                    <w:t>“</w:t>
                  </w:r>
                  <w:r>
                    <w:rPr>
                      <w:color w:val="auto"/>
                      <w:sz w:val="21"/>
                      <w:szCs w:val="21"/>
                    </w:rPr>
                    <w:t>散乱污</w:t>
                  </w:r>
                  <w:r>
                    <w:rPr>
                      <w:rFonts w:hint="eastAsia"/>
                      <w:color w:val="auto"/>
                      <w:sz w:val="21"/>
                      <w:szCs w:val="21"/>
                      <w:lang w:eastAsia="zh-CN"/>
                    </w:rPr>
                    <w:t>”</w:t>
                  </w:r>
                  <w:r>
                    <w:rPr>
                      <w:color w:val="auto"/>
                      <w:sz w:val="21"/>
                      <w:szCs w:val="21"/>
                    </w:rPr>
                    <w:t>企业。</w:t>
                  </w:r>
                </w:p>
              </w:tc>
              <w:tc>
                <w:tcPr>
                  <w:tcW w:w="477" w:type="pct"/>
                  <w:tcBorders>
                    <w:top w:val="single" w:color="auto" w:sz="4" w:space="0"/>
                    <w:left w:val="single" w:color="auto" w:sz="4" w:space="0"/>
                    <w:bottom w:val="single" w:color="auto" w:sz="4" w:space="0"/>
                  </w:tcBorders>
                  <w:vAlign w:val="center"/>
                </w:tcPr>
                <w:p w14:paraId="66C9216A">
                  <w:pPr>
                    <w:pStyle w:val="86"/>
                    <w:rPr>
                      <w:color w:val="auto"/>
                      <w:sz w:val="21"/>
                      <w:szCs w:val="21"/>
                    </w:rPr>
                  </w:pPr>
                  <w:r>
                    <w:rPr>
                      <w:color w:val="auto"/>
                      <w:sz w:val="21"/>
                      <w:szCs w:val="21"/>
                    </w:rPr>
                    <w:t>符合</w:t>
                  </w:r>
                </w:p>
              </w:tc>
            </w:tr>
            <w:tr w14:paraId="062E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pct"/>
                  <w:tcBorders>
                    <w:top w:val="single" w:color="auto" w:sz="4" w:space="0"/>
                    <w:right w:val="single" w:color="auto" w:sz="4" w:space="0"/>
                  </w:tcBorders>
                  <w:vAlign w:val="center"/>
                </w:tcPr>
                <w:p w14:paraId="0A9D4748">
                  <w:pPr>
                    <w:pStyle w:val="86"/>
                    <w:rPr>
                      <w:color w:val="auto"/>
                      <w:sz w:val="21"/>
                      <w:szCs w:val="21"/>
                    </w:rPr>
                  </w:pPr>
                  <w:r>
                    <w:rPr>
                      <w:color w:val="auto"/>
                      <w:sz w:val="21"/>
                      <w:szCs w:val="21"/>
                    </w:rPr>
                    <w:t>2020年底前，所有取得排污许可证的涉VOCs企业应自行编制《涉VOCs企业信息清单》和《VOCs治理台账》</w:t>
                  </w:r>
                  <w:r>
                    <w:rPr>
                      <w:rFonts w:hint="eastAsia"/>
                      <w:color w:val="auto"/>
                      <w:sz w:val="21"/>
                      <w:szCs w:val="21"/>
                      <w:lang w:eastAsia="zh-CN"/>
                    </w:rPr>
                    <w:t>，</w:t>
                  </w:r>
                  <w:r>
                    <w:rPr>
                      <w:color w:val="auto"/>
                      <w:sz w:val="21"/>
                      <w:szCs w:val="21"/>
                    </w:rPr>
                    <w:t>2020年1月1日起，新改扩建涉VOCs企业应将《涉VOCs企业信息清单》随竣工环保验收一并报生态环境部门备案。</w:t>
                  </w:r>
                </w:p>
              </w:tc>
              <w:tc>
                <w:tcPr>
                  <w:tcW w:w="1697" w:type="pct"/>
                  <w:tcBorders>
                    <w:top w:val="single" w:color="auto" w:sz="4" w:space="0"/>
                    <w:left w:val="single" w:color="auto" w:sz="4" w:space="0"/>
                    <w:right w:val="single" w:color="auto" w:sz="4" w:space="0"/>
                  </w:tcBorders>
                  <w:vAlign w:val="center"/>
                </w:tcPr>
                <w:p w14:paraId="4EC44662">
                  <w:pPr>
                    <w:pStyle w:val="86"/>
                    <w:jc w:val="left"/>
                    <w:rPr>
                      <w:color w:val="auto"/>
                      <w:sz w:val="21"/>
                      <w:szCs w:val="21"/>
                    </w:rPr>
                  </w:pPr>
                  <w:r>
                    <w:rPr>
                      <w:color w:val="auto"/>
                      <w:sz w:val="21"/>
                      <w:szCs w:val="21"/>
                    </w:rPr>
                    <w:t>本项目建成后将按要求编制《涉VOCs企业信息清单》和《VOCs治理台账》，并《涉VOCs企业信息清单》随竣工环保验收一并报</w:t>
                  </w:r>
                  <w:r>
                    <w:rPr>
                      <w:rFonts w:hint="eastAsia"/>
                      <w:color w:val="auto"/>
                      <w:sz w:val="21"/>
                      <w:szCs w:val="21"/>
                    </w:rPr>
                    <w:t>怀远</w:t>
                  </w:r>
                  <w:r>
                    <w:rPr>
                      <w:color w:val="auto"/>
                      <w:sz w:val="21"/>
                      <w:szCs w:val="21"/>
                    </w:rPr>
                    <w:t>生态环境分局备案</w:t>
                  </w:r>
                </w:p>
              </w:tc>
              <w:tc>
                <w:tcPr>
                  <w:tcW w:w="477" w:type="pct"/>
                  <w:tcBorders>
                    <w:top w:val="single" w:color="auto" w:sz="4" w:space="0"/>
                    <w:left w:val="single" w:color="auto" w:sz="4" w:space="0"/>
                  </w:tcBorders>
                  <w:vAlign w:val="center"/>
                </w:tcPr>
                <w:p w14:paraId="5ACD0467">
                  <w:pPr>
                    <w:pStyle w:val="86"/>
                    <w:rPr>
                      <w:color w:val="auto"/>
                      <w:sz w:val="21"/>
                      <w:szCs w:val="21"/>
                    </w:rPr>
                  </w:pPr>
                  <w:r>
                    <w:rPr>
                      <w:color w:val="auto"/>
                      <w:sz w:val="21"/>
                      <w:szCs w:val="21"/>
                    </w:rPr>
                    <w:t>符合</w:t>
                  </w:r>
                </w:p>
              </w:tc>
            </w:tr>
          </w:tbl>
          <w:p w14:paraId="0802E703">
            <w:pPr>
              <w:spacing w:line="360" w:lineRule="auto"/>
              <w:rPr>
                <w:rFonts w:hint="eastAsia" w:eastAsia="宋体"/>
                <w:b/>
                <w:bCs/>
                <w:color w:val="auto"/>
                <w:kern w:val="0"/>
                <w:sz w:val="24"/>
                <w:lang w:eastAsia="zh-CN"/>
              </w:rPr>
            </w:pPr>
            <w:r>
              <w:rPr>
                <w:rFonts w:hint="eastAsia"/>
                <w:b/>
                <w:color w:val="auto"/>
                <w:sz w:val="24"/>
                <w:szCs w:val="24"/>
                <w:lang w:val="en-US" w:eastAsia="zh-CN"/>
              </w:rPr>
              <w:t>4</w:t>
            </w:r>
            <w:r>
              <w:rPr>
                <w:rFonts w:hint="eastAsia"/>
                <w:b/>
                <w:color w:val="auto"/>
                <w:sz w:val="24"/>
                <w:szCs w:val="24"/>
              </w:rPr>
              <w:t>.</w:t>
            </w:r>
            <w:r>
              <w:rPr>
                <w:rFonts w:hint="default" w:ascii="Times New Roman" w:hAnsi="Times New Roman" w:cs="Times New Roman"/>
                <w:b/>
                <w:bCs/>
                <w:color w:val="auto"/>
                <w:kern w:val="0"/>
                <w:sz w:val="24"/>
                <w:szCs w:val="24"/>
              </w:rPr>
              <w:t>与</w:t>
            </w:r>
            <w:r>
              <w:rPr>
                <w:rFonts w:hint="default" w:ascii="Times New Roman" w:hAnsi="Times New Roman" w:eastAsia="宋体" w:cs="Times New Roman"/>
                <w:b/>
                <w:bCs/>
                <w:color w:val="auto"/>
                <w:sz w:val="24"/>
                <w:szCs w:val="24"/>
              </w:rPr>
              <w:t>《挥发性有机物治理实用手册（第二版）》</w:t>
            </w:r>
            <w:r>
              <w:rPr>
                <w:rFonts w:hint="default" w:ascii="Times New Roman" w:hAnsi="Times New Roman" w:cs="Times New Roman"/>
                <w:b/>
                <w:bCs/>
                <w:color w:val="auto"/>
                <w:kern w:val="0"/>
                <w:sz w:val="24"/>
                <w:szCs w:val="24"/>
              </w:rPr>
              <w:t>符合</w:t>
            </w:r>
            <w:r>
              <w:rPr>
                <w:rFonts w:hint="eastAsia"/>
                <w:b/>
                <w:bCs/>
                <w:color w:val="auto"/>
                <w:kern w:val="0"/>
                <w:sz w:val="24"/>
              </w:rPr>
              <w:t>性</w:t>
            </w:r>
            <w:r>
              <w:rPr>
                <w:rFonts w:hint="eastAsia"/>
                <w:b/>
                <w:bCs/>
                <w:color w:val="auto"/>
                <w:kern w:val="0"/>
                <w:sz w:val="24"/>
                <w:lang w:eastAsia="zh-CN"/>
              </w:rPr>
              <w:t>分析</w:t>
            </w:r>
          </w:p>
          <w:p w14:paraId="0835C5FB">
            <w:pPr>
              <w:spacing w:line="240" w:lineRule="auto"/>
              <w:jc w:val="center"/>
              <w:rPr>
                <w:rFonts w:hint="eastAsia"/>
                <w:b/>
                <w:bCs/>
                <w:color w:val="auto"/>
                <w:kern w:val="0"/>
                <w:sz w:val="21"/>
                <w:szCs w:val="21"/>
              </w:rPr>
            </w:pPr>
            <w:r>
              <w:rPr>
                <w:rFonts w:hint="eastAsia"/>
                <w:b/>
                <w:bCs/>
                <w:color w:val="auto"/>
                <w:kern w:val="0"/>
                <w:sz w:val="21"/>
                <w:szCs w:val="21"/>
              </w:rPr>
              <w:t>表1-</w:t>
            </w:r>
            <w:r>
              <w:rPr>
                <w:rFonts w:hint="eastAsia"/>
                <w:b/>
                <w:bCs/>
                <w:color w:val="auto"/>
                <w:kern w:val="0"/>
                <w:sz w:val="21"/>
                <w:szCs w:val="21"/>
                <w:lang w:val="en-US" w:eastAsia="zh-CN"/>
              </w:rPr>
              <w:t>5</w:t>
            </w:r>
            <w:r>
              <w:rPr>
                <w:b/>
                <w:bCs/>
                <w:color w:val="auto"/>
                <w:kern w:val="0"/>
                <w:sz w:val="21"/>
                <w:szCs w:val="21"/>
              </w:rPr>
              <w:t xml:space="preserve"> </w:t>
            </w:r>
            <w:r>
              <w:rPr>
                <w:rFonts w:hint="eastAsia"/>
                <w:b/>
                <w:bCs/>
                <w:color w:val="auto"/>
                <w:kern w:val="0"/>
                <w:sz w:val="21"/>
                <w:szCs w:val="21"/>
              </w:rPr>
              <w:t>项目</w:t>
            </w:r>
            <w:r>
              <w:rPr>
                <w:rFonts w:hint="eastAsia"/>
                <w:b/>
                <w:bCs/>
                <w:color w:val="auto"/>
                <w:kern w:val="0"/>
                <w:sz w:val="21"/>
                <w:szCs w:val="21"/>
                <w:lang w:eastAsia="zh-CN"/>
              </w:rPr>
              <w:t>与</w:t>
            </w:r>
            <w:r>
              <w:rPr>
                <w:rFonts w:hint="default" w:ascii="Times New Roman" w:hAnsi="Times New Roman" w:eastAsia="宋体" w:cs="Times New Roman"/>
                <w:b/>
                <w:bCs/>
                <w:color w:val="auto"/>
                <w:sz w:val="21"/>
                <w:szCs w:val="21"/>
              </w:rPr>
              <w:t>《挥发性有机物治理实用手册（第二版）》</w:t>
            </w:r>
            <w:r>
              <w:rPr>
                <w:rFonts w:hint="eastAsia"/>
                <w:b/>
                <w:bCs/>
                <w:color w:val="auto"/>
                <w:kern w:val="0"/>
                <w:sz w:val="21"/>
                <w:szCs w:val="21"/>
              </w:rPr>
              <w:t>符合性分析表</w:t>
            </w:r>
          </w:p>
          <w:tbl>
            <w:tblPr>
              <w:tblStyle w:val="29"/>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1"/>
              <w:gridCol w:w="1785"/>
              <w:gridCol w:w="683"/>
            </w:tblGrid>
            <w:tr w14:paraId="0065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0" w:type="pct"/>
                  <w:noWrap w:val="0"/>
                  <w:vAlign w:val="center"/>
                </w:tcPr>
                <w:p w14:paraId="49A660D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相关要求</w:t>
                  </w:r>
                </w:p>
              </w:tc>
              <w:tc>
                <w:tcPr>
                  <w:tcW w:w="1193" w:type="pct"/>
                  <w:noWrap w:val="0"/>
                  <w:vAlign w:val="center"/>
                </w:tcPr>
                <w:p w14:paraId="217F7F8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项目建设情况</w:t>
                  </w:r>
                </w:p>
              </w:tc>
              <w:tc>
                <w:tcPr>
                  <w:tcW w:w="456" w:type="pct"/>
                  <w:noWrap w:val="0"/>
                  <w:vAlign w:val="center"/>
                </w:tcPr>
                <w:p w14:paraId="74FB6E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13D7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0" w:type="pct"/>
                  <w:noWrap w:val="0"/>
                  <w:vAlign w:val="center"/>
                </w:tcPr>
                <w:p w14:paraId="47B8470E">
                  <w:pPr>
                    <w:keepNext w:val="0"/>
                    <w:keepLines w:val="0"/>
                    <w:widowControl/>
                    <w:suppressLineNumbers w:val="0"/>
                    <w:jc w:val="left"/>
                    <w:rPr>
                      <w:rFonts w:hint="default" w:ascii="Times New Roman" w:hAnsi="Times New Roman" w:eastAsia="宋体" w:cs="Times New Roman"/>
                      <w:color w:val="auto"/>
                      <w:sz w:val="21"/>
                      <w:szCs w:val="21"/>
                      <w:lang w:val="en"/>
                    </w:rPr>
                  </w:pPr>
                  <w:r>
                    <w:rPr>
                      <w:rFonts w:hint="default" w:ascii="Times New Roman" w:hAnsi="Times New Roman" w:eastAsia="宋体" w:cs="Times New Roman"/>
                      <w:color w:val="auto"/>
                      <w:kern w:val="0"/>
                      <w:sz w:val="21"/>
                      <w:szCs w:val="21"/>
                      <w:lang w:val="en-US" w:eastAsia="zh-CN" w:bidi="ar"/>
                    </w:rPr>
                    <w:t>我国VOCs末端治理技术众多，主要包括水喷淋、静电除油等预处理技术，吸附、燃烧、吸收、冷凝及其组合治理技术等。不同技术的适用范围不一致，其对废气组分及浓度、温度、湿度、风量等因素有不同要求，因此在判断企业选用的技术是否适用时，需从多方面进行考虑。吸附法包括再生式和抛弃式，其适用于中低风量，温度低于 50℃，浓度小于5000 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的VOCs。采用煤质颗粒活性炭时，其碘值不宜低于800 mg/g，气体流速宜低于0.60m/s；当采用移动床和流化床吸附装置，吸附层的气体流速应根据吸附剂的用量、粒度和体密度等确定。吸附装置净化效率不低于90%。对于一次性吸附工艺，当排气浓度不能满足设计或排放要求时应更换吸附剂；对于可再生工艺，应定期对吸附剂动态吸附量进行检测，当动态吸附量降低至设计值的80%时宜更换吸附剂。吸附剂的吸附和脱附再生工艺应不产生二次污染。</w:t>
                  </w:r>
                </w:p>
              </w:tc>
              <w:tc>
                <w:tcPr>
                  <w:tcW w:w="1193" w:type="pct"/>
                  <w:noWrap w:val="0"/>
                  <w:vAlign w:val="center"/>
                </w:tcPr>
                <w:p w14:paraId="57C9A950">
                  <w:pPr>
                    <w:adjustRightInd w:val="0"/>
                    <w:snapToGrid w:val="0"/>
                    <w:jc w:val="center"/>
                    <w:rPr>
                      <w:rFonts w:hint="default" w:ascii="Times New Roman" w:hAnsi="Times New Roman" w:eastAsia="宋体" w:cs="Times New Roman"/>
                      <w:color w:val="auto"/>
                      <w:sz w:val="21"/>
                      <w:szCs w:val="21"/>
                      <w:lang w:val="en" w:eastAsia="zh-CN"/>
                    </w:rPr>
                  </w:pPr>
                  <w:r>
                    <w:rPr>
                      <w:rFonts w:hint="default" w:ascii="Times New Roman" w:hAnsi="Times New Roman" w:eastAsia="宋体" w:cs="Times New Roman"/>
                      <w:color w:val="auto"/>
                      <w:sz w:val="21"/>
                      <w:szCs w:val="21"/>
                    </w:rPr>
                    <w:t>本项目按照相关工程技术规范设计净化工艺和设备，</w:t>
                  </w:r>
                  <w:r>
                    <w:rPr>
                      <w:rFonts w:hint="default" w:ascii="Times New Roman" w:hAnsi="Times New Roman" w:eastAsia="宋体" w:cs="Times New Roman"/>
                      <w:color w:val="auto"/>
                      <w:sz w:val="21"/>
                      <w:szCs w:val="21"/>
                      <w:lang w:eastAsia="zh-CN"/>
                    </w:rPr>
                    <w:t>含</w:t>
                  </w:r>
                  <w:r>
                    <w:rPr>
                      <w:rFonts w:hint="default" w:ascii="Times New Roman" w:hAnsi="Times New Roman" w:eastAsia="宋体" w:cs="Times New Roman"/>
                      <w:color w:val="auto"/>
                      <w:sz w:val="21"/>
                      <w:szCs w:val="21"/>
                      <w:lang w:val="en-US" w:eastAsia="zh-CN"/>
                    </w:rPr>
                    <w:t>VOCs废气通过二级活性炭净化治理。</w:t>
                  </w:r>
                  <w:r>
                    <w:rPr>
                      <w:rFonts w:hint="default" w:ascii="Times New Roman" w:hAnsi="Times New Roman" w:eastAsia="宋体" w:cs="Times New Roman"/>
                      <w:color w:val="auto"/>
                      <w:sz w:val="21"/>
                      <w:szCs w:val="21"/>
                      <w:lang w:eastAsia="zh-CN"/>
                    </w:rPr>
                    <w:t>净化效率不低于</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%，可有效减少VOCs的排放，确保废气达标排放。本项目废气治理使用活性炭碘值不低于</w:t>
                  </w:r>
                  <w:r>
                    <w:rPr>
                      <w:rFonts w:hint="default" w:ascii="Times New Roman" w:hAnsi="Times New Roman" w:eastAsia="宋体" w:cs="Times New Roman"/>
                      <w:color w:val="auto"/>
                      <w:sz w:val="21"/>
                      <w:szCs w:val="21"/>
                      <w:lang w:val="en-US" w:eastAsia="zh-CN"/>
                    </w:rPr>
                    <w:t>800</w:t>
                  </w:r>
                  <w:r>
                    <w:rPr>
                      <w:rFonts w:hint="default" w:ascii="Times New Roman" w:hAnsi="Times New Roman" w:eastAsia="宋体" w:cs="Times New Roman"/>
                      <w:color w:val="auto"/>
                      <w:sz w:val="21"/>
                      <w:szCs w:val="21"/>
                    </w:rPr>
                    <w:t>mg/g</w:t>
                  </w:r>
                  <w:r>
                    <w:rPr>
                      <w:rFonts w:hint="default" w:ascii="Times New Roman" w:hAnsi="Times New Roman" w:eastAsia="宋体" w:cs="Times New Roman"/>
                      <w:color w:val="auto"/>
                      <w:sz w:val="21"/>
                      <w:szCs w:val="21"/>
                      <w:lang w:eastAsia="zh-CN"/>
                    </w:rPr>
                    <w:t>。</w:t>
                  </w:r>
                </w:p>
              </w:tc>
              <w:tc>
                <w:tcPr>
                  <w:tcW w:w="456" w:type="pct"/>
                  <w:noWrap w:val="0"/>
                  <w:vAlign w:val="center"/>
                </w:tcPr>
                <w:p w14:paraId="402D7A61">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bl>
          <w:p w14:paraId="6A3D0D05">
            <w:pPr>
              <w:spacing w:line="360" w:lineRule="auto"/>
              <w:rPr>
                <w:rFonts w:hint="default" w:ascii="Times New Roman" w:hAnsi="Times New Roman" w:eastAsia="宋体" w:cs="Times New Roman"/>
                <w:b/>
                <w:bCs/>
                <w:color w:val="auto"/>
                <w:sz w:val="24"/>
                <w:szCs w:val="32"/>
              </w:rPr>
            </w:pPr>
            <w:r>
              <w:rPr>
                <w:rFonts w:hint="eastAsia" w:cs="Times New Roman"/>
                <w:b/>
                <w:bCs/>
                <w:color w:val="auto"/>
                <w:sz w:val="24"/>
                <w:lang w:val="en-US" w:eastAsia="zh-CN"/>
              </w:rPr>
              <w:t>5.</w:t>
            </w:r>
            <w:r>
              <w:rPr>
                <w:rFonts w:hint="default" w:ascii="Times New Roman" w:hAnsi="Times New Roman" w:eastAsia="宋体" w:cs="Times New Roman"/>
                <w:b/>
                <w:bCs/>
                <w:color w:val="auto"/>
                <w:sz w:val="24"/>
              </w:rPr>
              <w:t>与</w:t>
            </w:r>
            <w:r>
              <w:rPr>
                <w:rFonts w:hint="eastAsia" w:ascii="Times New Roman" w:hAnsi="Times New Roman" w:eastAsia="宋体" w:cs="Times New Roman"/>
                <w:b/>
                <w:bCs/>
                <w:color w:val="auto"/>
                <w:sz w:val="24"/>
              </w:rPr>
              <w:t>《空气质量持续改善行动计划》的通知</w:t>
            </w:r>
            <w:r>
              <w:rPr>
                <w:rFonts w:hint="default" w:ascii="Times New Roman" w:hAnsi="Times New Roman" w:eastAsia="宋体" w:cs="Times New Roman"/>
                <w:b/>
                <w:bCs/>
                <w:color w:val="auto"/>
                <w:sz w:val="24"/>
              </w:rPr>
              <w:t>国发〔2023〕24号</w:t>
            </w:r>
            <w:r>
              <w:rPr>
                <w:rFonts w:hint="eastAsia" w:ascii="Times New Roman" w:hAnsi="Times New Roman" w:eastAsia="宋体" w:cs="Times New Roman"/>
                <w:b/>
                <w:bCs/>
                <w:color w:val="auto"/>
                <w:sz w:val="24"/>
                <w:lang w:val="en-US" w:eastAsia="zh-CN"/>
              </w:rPr>
              <w:t>符合性分析</w:t>
            </w:r>
          </w:p>
          <w:p w14:paraId="37F2E61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与国发〔2023〕24号</w:t>
            </w:r>
            <w:r>
              <w:rPr>
                <w:rFonts w:hint="eastAsia" w:ascii="Times New Roman" w:hAnsi="Times New Roman" w:eastAsia="宋体" w:cs="Times New Roman"/>
                <w:b/>
                <w:bCs/>
                <w:color w:val="auto"/>
                <w:sz w:val="21"/>
                <w:szCs w:val="21"/>
                <w:lang w:val="en-US" w:eastAsia="zh-CN"/>
              </w:rPr>
              <w:t>文</w:t>
            </w:r>
            <w:r>
              <w:rPr>
                <w:rFonts w:hint="default" w:ascii="Times New Roman" w:hAnsi="Times New Roman" w:eastAsia="宋体" w:cs="Times New Roman"/>
                <w:b/>
                <w:bCs/>
                <w:color w:val="auto"/>
                <w:sz w:val="21"/>
                <w:szCs w:val="21"/>
              </w:rPr>
              <w:t>相符性分析</w:t>
            </w:r>
          </w:p>
          <w:tbl>
            <w:tblPr>
              <w:tblStyle w:val="29"/>
              <w:tblW w:w="761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828"/>
              <w:gridCol w:w="1546"/>
              <w:gridCol w:w="789"/>
            </w:tblGrid>
            <w:tr w14:paraId="0DD6FB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56" w:type="dxa"/>
                  <w:noWrap w:val="0"/>
                  <w:vAlign w:val="center"/>
                </w:tcPr>
                <w:p w14:paraId="73DBDE1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4828" w:type="dxa"/>
                  <w:noWrap w:val="0"/>
                  <w:vAlign w:val="center"/>
                </w:tcPr>
                <w:p w14:paraId="4D76EF5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国发〔2023〕24号内容</w:t>
                  </w:r>
                </w:p>
              </w:tc>
              <w:tc>
                <w:tcPr>
                  <w:tcW w:w="1546" w:type="dxa"/>
                  <w:noWrap w:val="0"/>
                  <w:vAlign w:val="center"/>
                </w:tcPr>
                <w:p w14:paraId="5A8D30C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789" w:type="dxa"/>
                  <w:noWrap w:val="0"/>
                  <w:vAlign w:val="center"/>
                </w:tcPr>
                <w:p w14:paraId="051004A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相符性</w:t>
                  </w:r>
                </w:p>
              </w:tc>
            </w:tr>
            <w:tr w14:paraId="6D5508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56" w:type="dxa"/>
                  <w:noWrap w:val="0"/>
                  <w:vAlign w:val="center"/>
                </w:tcPr>
                <w:p w14:paraId="2C9AFD4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828" w:type="dxa"/>
                  <w:noWrap w:val="0"/>
                  <w:vAlign w:val="center"/>
                </w:tcPr>
                <w:p w14:paraId="5E893739">
                  <w:pPr>
                    <w:numPr>
                      <w:ilvl w:val="0"/>
                      <w:numId w:val="0"/>
                    </w:num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（六）</w:t>
                  </w:r>
                  <w:r>
                    <w:rPr>
                      <w:rFonts w:hint="default" w:ascii="Times New Roman" w:hAnsi="Times New Roman" w:eastAsia="宋体" w:cs="Times New Roman"/>
                      <w:color w:val="auto"/>
                      <w:sz w:val="21"/>
                      <w:szCs w:val="21"/>
                      <w:lang w:val="en-US" w:eastAsia="zh-CN"/>
                    </w:rPr>
                    <w:t>坚决遏制高耗能、高排放、低水平项目盲目上马。</w:t>
                  </w:r>
                  <w:r>
                    <w:rPr>
                      <w:rFonts w:hint="eastAsia" w:ascii="Times New Roman" w:hAnsi="Times New Roman" w:eastAsia="宋体" w:cs="Times New Roman"/>
                      <w:color w:val="auto"/>
                      <w:sz w:val="21"/>
                      <w:szCs w:val="21"/>
                      <w:lang w:val="en-US" w:eastAsia="zh-CN"/>
                    </w:rPr>
                    <w:t>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5C72D60E">
                  <w:pPr>
                    <w:numPr>
                      <w:ilvl w:val="0"/>
                      <w:numId w:val="0"/>
                    </w:num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（七）</w:t>
                  </w:r>
                  <w:r>
                    <w:rPr>
                      <w:rFonts w:hint="eastAsia" w:ascii="Times New Roman" w:hAnsi="Times New Roman" w:eastAsia="宋体" w:cs="Times New Roman"/>
                      <w:color w:val="auto"/>
                      <w:sz w:val="21"/>
                      <w:szCs w:val="21"/>
                      <w:lang w:val="en-US" w:eastAsia="zh-CN"/>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546" w:type="dxa"/>
                  <w:noWrap w:val="0"/>
                  <w:vAlign w:val="center"/>
                </w:tcPr>
                <w:p w14:paraId="6A5B4CA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val="en-US" w:eastAsia="zh-CN"/>
                    </w:rPr>
                    <w:t>项目不属于两高</w:t>
                  </w:r>
                  <w:r>
                    <w:rPr>
                      <w:rFonts w:hint="eastAsia" w:cs="Times New Roman"/>
                      <w:color w:val="auto"/>
                      <w:sz w:val="21"/>
                      <w:szCs w:val="21"/>
                      <w:lang w:val="en-US" w:eastAsia="zh-CN"/>
                    </w:rPr>
                    <w:t>项目</w:t>
                  </w:r>
                </w:p>
              </w:tc>
              <w:tc>
                <w:tcPr>
                  <w:tcW w:w="789" w:type="dxa"/>
                  <w:noWrap w:val="0"/>
                  <w:vAlign w:val="center"/>
                </w:tcPr>
                <w:p w14:paraId="53A043E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AC6AE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56" w:type="dxa"/>
                  <w:noWrap w:val="0"/>
                  <w:vAlign w:val="center"/>
                </w:tcPr>
                <w:p w14:paraId="1C3CDBD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828" w:type="dxa"/>
                  <w:noWrap w:val="0"/>
                  <w:vAlign w:val="center"/>
                </w:tcPr>
                <w:p w14:paraId="4053D4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（十一）积极开展燃煤锅炉关停整合。</w:t>
                  </w:r>
                  <w:r>
                    <w:rPr>
                      <w:rFonts w:hint="eastAsia" w:ascii="Times New Roman" w:hAnsi="Times New Roman" w:eastAsia="宋体" w:cs="Times New Roman"/>
                      <w:color w:val="auto"/>
                      <w:sz w:val="21"/>
                      <w:szCs w:val="21"/>
                      <w:lang w:val="en-US" w:eastAsia="zh-CN"/>
                    </w:rPr>
                    <w:t>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2.5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546" w:type="dxa"/>
                  <w:noWrap w:val="0"/>
                  <w:vAlign w:val="center"/>
                </w:tcPr>
                <w:p w14:paraId="5DEB54D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本项目生产不使用</w:t>
                  </w:r>
                  <w:r>
                    <w:rPr>
                      <w:rFonts w:hint="eastAsia" w:cs="Times New Roman"/>
                      <w:color w:val="auto"/>
                      <w:sz w:val="21"/>
                      <w:szCs w:val="21"/>
                      <w:lang w:val="en-US" w:eastAsia="zh-CN"/>
                    </w:rPr>
                    <w:t>燃煤</w:t>
                  </w:r>
                  <w:r>
                    <w:rPr>
                      <w:rFonts w:hint="eastAsia" w:ascii="Times New Roman" w:hAnsi="Times New Roman" w:eastAsia="宋体" w:cs="Times New Roman"/>
                      <w:color w:val="auto"/>
                      <w:sz w:val="21"/>
                      <w:szCs w:val="21"/>
                      <w:lang w:val="en-US" w:eastAsia="zh-CN"/>
                    </w:rPr>
                    <w:t>锅炉</w:t>
                  </w:r>
                </w:p>
              </w:tc>
              <w:tc>
                <w:tcPr>
                  <w:tcW w:w="789" w:type="dxa"/>
                  <w:noWrap w:val="0"/>
                  <w:vAlign w:val="center"/>
                </w:tcPr>
                <w:p w14:paraId="1650255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1E21E28D">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根据上表分析可知，本项目建设满足</w:t>
            </w:r>
            <w:r>
              <w:rPr>
                <w:rFonts w:hint="default" w:ascii="Times New Roman" w:hAnsi="Times New Roman" w:eastAsia="宋体" w:cs="Times New Roman"/>
                <w:color w:val="auto"/>
                <w:sz w:val="24"/>
              </w:rPr>
              <w:t>国发〔2023〕24号</w:t>
            </w:r>
            <w:r>
              <w:rPr>
                <w:rFonts w:hint="eastAsia" w:ascii="Times New Roman" w:hAnsi="Times New Roman" w:eastAsia="宋体" w:cs="Times New Roman"/>
                <w:color w:val="auto"/>
                <w:sz w:val="24"/>
                <w:lang w:val="en-US" w:eastAsia="zh-CN"/>
              </w:rPr>
              <w:t>文要求。</w:t>
            </w:r>
          </w:p>
          <w:p w14:paraId="68CF4671">
            <w:pPr>
              <w:spacing w:line="360" w:lineRule="auto"/>
              <w:rPr>
                <w:rFonts w:hint="default" w:ascii="Times New Roman" w:hAnsi="Times New Roman" w:eastAsia="宋体" w:cs="Times New Roman"/>
                <w:b/>
                <w:bCs/>
                <w:color w:val="auto"/>
                <w:kern w:val="0"/>
                <w:sz w:val="24"/>
                <w:szCs w:val="24"/>
              </w:rPr>
            </w:pPr>
            <w:r>
              <w:rPr>
                <w:rFonts w:hint="eastAsia"/>
                <w:b/>
                <w:color w:val="auto"/>
                <w:sz w:val="24"/>
                <w:szCs w:val="24"/>
                <w:lang w:val="en-US" w:eastAsia="zh-CN"/>
              </w:rPr>
              <w:t>6</w:t>
            </w:r>
            <w:r>
              <w:rPr>
                <w:rFonts w:hint="eastAsia"/>
                <w:b/>
                <w:color w:val="auto"/>
                <w:sz w:val="24"/>
                <w:szCs w:val="24"/>
              </w:rPr>
              <w:t>.</w:t>
            </w:r>
            <w:r>
              <w:rPr>
                <w:rFonts w:hint="default" w:ascii="Times New Roman" w:hAnsi="Times New Roman" w:eastAsia="宋体" w:cs="Times New Roman"/>
                <w:b/>
                <w:color w:val="auto"/>
                <w:sz w:val="24"/>
                <w:szCs w:val="24"/>
              </w:rPr>
              <w:t>“三线一单”相符性分</w:t>
            </w:r>
            <w:r>
              <w:rPr>
                <w:rFonts w:hint="default" w:ascii="Times New Roman" w:hAnsi="Times New Roman" w:eastAsia="宋体" w:cs="Times New Roman"/>
                <w:b/>
                <w:bCs/>
                <w:color w:val="auto"/>
                <w:kern w:val="0"/>
                <w:sz w:val="24"/>
                <w:szCs w:val="24"/>
              </w:rPr>
              <w:t>析</w:t>
            </w:r>
          </w:p>
          <w:p w14:paraId="4205CD63">
            <w:pPr>
              <w:pageBreakBefore w:val="0"/>
              <w:kinsoku/>
              <w:wordWrap/>
              <w:overflowPunct/>
              <w:topLinePunct w:val="0"/>
              <w:autoSpaceDE/>
              <w:autoSpaceDN/>
              <w:bidi w:val="0"/>
              <w:adjustRightInd/>
              <w:snapToGrid/>
              <w:spacing w:line="360" w:lineRule="auto"/>
              <w:ind w:left="0" w:right="0" w:firstLine="503"/>
              <w:jc w:val="both"/>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3"/>
                <w:sz w:val="24"/>
                <w:szCs w:val="24"/>
                <w:u w:val="none"/>
              </w:rPr>
              <w:t>中华人民共和国环境保护部环环评〔2016〕150号文《关于以改善环境质量为</w:t>
            </w:r>
            <w:r>
              <w:rPr>
                <w:rFonts w:hint="default" w:ascii="Times New Roman" w:hAnsi="Times New Roman" w:eastAsia="宋体" w:cs="Times New Roman"/>
                <w:b w:val="0"/>
                <w:bCs w:val="0"/>
                <w:color w:val="auto"/>
                <w:spacing w:val="-4"/>
                <w:sz w:val="24"/>
                <w:szCs w:val="24"/>
                <w:u w:val="none"/>
              </w:rPr>
              <w:t>核心</w:t>
            </w:r>
            <w:r>
              <w:rPr>
                <w:rFonts w:hint="default" w:ascii="Times New Roman" w:hAnsi="Times New Roman" w:eastAsia="宋体" w:cs="Times New Roman"/>
                <w:b w:val="0"/>
                <w:bCs w:val="0"/>
                <w:color w:val="auto"/>
                <w:spacing w:val="2"/>
                <w:sz w:val="24"/>
                <w:szCs w:val="24"/>
                <w:u w:val="none"/>
              </w:rPr>
              <w:t>加强环境影响评价管理的通知》要求：为适应以改善环境质量为核心的环境管理要</w:t>
            </w:r>
            <w:r>
              <w:rPr>
                <w:rFonts w:hint="default" w:ascii="Times New Roman" w:hAnsi="Times New Roman" w:eastAsia="宋体" w:cs="Times New Roman"/>
                <w:b w:val="0"/>
                <w:bCs w:val="0"/>
                <w:color w:val="auto"/>
                <w:spacing w:val="-1"/>
                <w:sz w:val="24"/>
                <w:szCs w:val="24"/>
                <w:u w:val="none"/>
              </w:rPr>
              <w:t>求，切实加强环境影响评价（以下简称环评）管理，落实“生态保护红线、环境质量底线、资源利用上线和环境准入负面清单”（以下简称“三线一单”）约束，建立项目环评审批与规划环评、现有项目环境管理、区域环境质量联动机制（以下简称“三挂钩”机制</w:t>
            </w:r>
            <w:r>
              <w:rPr>
                <w:rFonts w:hint="default" w:ascii="Times New Roman" w:hAnsi="Times New Roman" w:eastAsia="宋体" w:cs="Times New Roman"/>
                <w:b w:val="0"/>
                <w:bCs w:val="0"/>
                <w:color w:val="auto"/>
                <w:spacing w:val="7"/>
                <w:sz w:val="24"/>
                <w:szCs w:val="24"/>
                <w:u w:val="none"/>
              </w:rPr>
              <w:t>），</w:t>
            </w:r>
            <w:r>
              <w:rPr>
                <w:rFonts w:hint="default" w:ascii="Times New Roman" w:hAnsi="Times New Roman" w:eastAsia="宋体" w:cs="Times New Roman"/>
                <w:b w:val="0"/>
                <w:bCs w:val="0"/>
                <w:color w:val="auto"/>
                <w:spacing w:val="-1"/>
                <w:sz w:val="24"/>
                <w:szCs w:val="24"/>
                <w:u w:val="none"/>
              </w:rPr>
              <w:t>更好地发挥环评制度从源头防范环境污染和生态破坏的作用，加快推进</w:t>
            </w:r>
            <w:r>
              <w:rPr>
                <w:rFonts w:hint="default" w:ascii="Times New Roman" w:hAnsi="Times New Roman" w:eastAsia="宋体" w:cs="Times New Roman"/>
                <w:b w:val="0"/>
                <w:bCs w:val="0"/>
                <w:color w:val="auto"/>
                <w:spacing w:val="-3"/>
                <w:sz w:val="24"/>
                <w:szCs w:val="24"/>
                <w:u w:val="none"/>
              </w:rPr>
              <w:t>改善环境质量。</w:t>
            </w:r>
          </w:p>
          <w:p w14:paraId="660DE02F">
            <w:pPr>
              <w:keepNext w:val="0"/>
              <w:keepLines w:val="0"/>
              <w:pageBreakBefore w:val="0"/>
              <w:kinsoku/>
              <w:wordWrap/>
              <w:overflowPunct/>
              <w:topLinePunct w:val="0"/>
              <w:autoSpaceDE/>
              <w:autoSpaceDN/>
              <w:bidi w:val="0"/>
              <w:adjustRightInd/>
              <w:snapToGrid/>
              <w:spacing w:line="360" w:lineRule="auto"/>
              <w:ind w:left="0" w:right="0" w:firstLine="472"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2"/>
                <w:sz w:val="24"/>
                <w:szCs w:val="24"/>
                <w:u w:val="none"/>
              </w:rPr>
              <w:t>（1）生态保护红线</w:t>
            </w:r>
          </w:p>
          <w:p w14:paraId="6DE24371">
            <w:pPr>
              <w:keepNext w:val="0"/>
              <w:keepLines w:val="0"/>
              <w:pageBreakBefore w:val="0"/>
              <w:kinsoku/>
              <w:wordWrap/>
              <w:overflowPunct/>
              <w:topLinePunct w:val="0"/>
              <w:autoSpaceDE/>
              <w:autoSpaceDN/>
              <w:bidi w:val="0"/>
              <w:adjustRightInd/>
              <w:snapToGrid/>
              <w:spacing w:line="360" w:lineRule="auto"/>
              <w:ind w:left="0" w:right="0" w:firstLine="451"/>
              <w:jc w:val="both"/>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项目</w:t>
            </w:r>
            <w:r>
              <w:rPr>
                <w:rFonts w:hint="default" w:ascii="Times New Roman" w:hAnsi="Times New Roman" w:eastAsia="宋体" w:cs="Times New Roman"/>
                <w:b w:val="0"/>
                <w:bCs w:val="0"/>
                <w:color w:val="auto"/>
                <w:spacing w:val="-1"/>
                <w:sz w:val="24"/>
                <w:szCs w:val="24"/>
                <w:u w:val="none"/>
              </w:rPr>
              <w:t>位于</w:t>
            </w:r>
            <w:r>
              <w:rPr>
                <w:rFonts w:hint="default" w:ascii="Times New Roman" w:hAnsi="Times New Roman" w:eastAsia="宋体" w:cs="Times New Roman"/>
                <w:b w:val="0"/>
                <w:bCs w:val="0"/>
                <w:color w:val="auto"/>
                <w:spacing w:val="-3"/>
                <w:sz w:val="24"/>
                <w:szCs w:val="24"/>
                <w:lang w:eastAsia="zh-CN"/>
              </w:rPr>
              <w:t>固镇经济开发区</w:t>
            </w:r>
            <w:r>
              <w:rPr>
                <w:rFonts w:hint="eastAsia" w:cs="Times New Roman"/>
                <w:b w:val="0"/>
                <w:bCs w:val="0"/>
                <w:color w:val="auto"/>
                <w:spacing w:val="-3"/>
                <w:sz w:val="24"/>
                <w:szCs w:val="24"/>
                <w:lang w:eastAsia="zh-CN"/>
              </w:rPr>
              <w:t>三星大道</w:t>
            </w:r>
            <w:r>
              <w:rPr>
                <w:rFonts w:hint="eastAsia" w:cs="Times New Roman"/>
                <w:b w:val="0"/>
                <w:bCs w:val="0"/>
                <w:color w:val="auto"/>
                <w:spacing w:val="-3"/>
                <w:sz w:val="24"/>
                <w:szCs w:val="24"/>
                <w:lang w:val="en-US" w:eastAsia="zh-CN"/>
              </w:rPr>
              <w:t>005号</w:t>
            </w:r>
            <w:r>
              <w:rPr>
                <w:rFonts w:hint="default" w:ascii="Times New Roman" w:hAnsi="Times New Roman" w:eastAsia="宋体" w:cs="Times New Roman"/>
                <w:b w:val="0"/>
                <w:bCs w:val="0"/>
                <w:color w:val="auto"/>
                <w:spacing w:val="-2"/>
                <w:sz w:val="24"/>
                <w:szCs w:val="24"/>
                <w:u w:val="none"/>
              </w:rPr>
              <w:t>，项目</w:t>
            </w:r>
            <w:r>
              <w:rPr>
                <w:rFonts w:hint="default" w:ascii="Times New Roman" w:hAnsi="Times New Roman" w:eastAsia="宋体" w:cs="Times New Roman"/>
                <w:b w:val="0"/>
                <w:bCs w:val="0"/>
                <w:color w:val="auto"/>
                <w:spacing w:val="-2"/>
                <w:sz w:val="24"/>
                <w:szCs w:val="24"/>
                <w:u w:val="none"/>
                <w:lang w:eastAsia="zh-CN"/>
              </w:rPr>
              <w:t>用地</w:t>
            </w:r>
            <w:r>
              <w:rPr>
                <w:rFonts w:hint="default" w:ascii="Times New Roman" w:hAnsi="Times New Roman" w:eastAsia="宋体" w:cs="Times New Roman"/>
                <w:b w:val="0"/>
                <w:bCs w:val="0"/>
                <w:color w:val="auto"/>
                <w:spacing w:val="-1"/>
                <w:sz w:val="24"/>
                <w:szCs w:val="24"/>
                <w:u w:val="none"/>
              </w:rPr>
              <w:t>为工业用地，不占用基本农田，项目不在安徽省蚌埠市生</w:t>
            </w:r>
            <w:r>
              <w:rPr>
                <w:rFonts w:hint="default" w:ascii="Times New Roman" w:hAnsi="Times New Roman" w:eastAsia="宋体" w:cs="Times New Roman"/>
                <w:b w:val="0"/>
                <w:bCs w:val="0"/>
                <w:color w:val="auto"/>
                <w:spacing w:val="-2"/>
                <w:sz w:val="24"/>
                <w:szCs w:val="24"/>
                <w:u w:val="none"/>
              </w:rPr>
              <w:t>态红线区</w:t>
            </w:r>
            <w:r>
              <w:rPr>
                <w:rFonts w:hint="default" w:ascii="Times New Roman" w:hAnsi="Times New Roman" w:eastAsia="宋体" w:cs="Times New Roman"/>
                <w:b w:val="0"/>
                <w:bCs w:val="0"/>
                <w:color w:val="auto"/>
                <w:spacing w:val="-1"/>
                <w:sz w:val="24"/>
                <w:szCs w:val="24"/>
                <w:u w:val="none"/>
              </w:rPr>
              <w:t>域范围内，符合生态</w:t>
            </w:r>
            <w:r>
              <w:rPr>
                <w:rFonts w:hint="default" w:ascii="Times New Roman" w:hAnsi="Times New Roman" w:eastAsia="宋体" w:cs="Times New Roman"/>
                <w:b w:val="0"/>
                <w:bCs w:val="0"/>
                <w:color w:val="auto"/>
                <w:spacing w:val="-1"/>
                <w:sz w:val="24"/>
                <w:szCs w:val="24"/>
                <w:u w:val="none"/>
                <w:lang w:eastAsia="zh-CN"/>
              </w:rPr>
              <w:t>保护</w:t>
            </w:r>
            <w:r>
              <w:rPr>
                <w:rFonts w:hint="default" w:ascii="Times New Roman" w:hAnsi="Times New Roman" w:eastAsia="宋体" w:cs="Times New Roman"/>
                <w:b w:val="0"/>
                <w:bCs w:val="0"/>
                <w:color w:val="auto"/>
                <w:spacing w:val="-1"/>
                <w:sz w:val="24"/>
                <w:szCs w:val="24"/>
                <w:u w:val="none"/>
              </w:rPr>
              <w:t>红线要求。</w:t>
            </w:r>
          </w:p>
          <w:p w14:paraId="41958E74">
            <w:pPr>
              <w:keepNext w:val="0"/>
              <w:keepLines w:val="0"/>
              <w:pageBreakBefore w:val="0"/>
              <w:widowControl/>
              <w:kinsoku/>
              <w:wordWrap/>
              <w:overflowPunct/>
              <w:topLinePunct w:val="0"/>
              <w:autoSpaceDE/>
              <w:autoSpaceDN/>
              <w:bidi w:val="0"/>
              <w:adjustRightInd/>
              <w:snapToGrid/>
              <w:spacing w:line="360" w:lineRule="auto"/>
              <w:ind w:right="0" w:firstLine="476"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1"/>
                <w:sz w:val="24"/>
                <w:szCs w:val="24"/>
                <w:u w:val="none"/>
              </w:rPr>
              <w:t>（2）与环境质量底线相符性分析</w:t>
            </w:r>
          </w:p>
          <w:p w14:paraId="0F3211CC">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3"/>
                <w:sz w:val="24"/>
                <w:szCs w:val="24"/>
                <w:u w:val="none"/>
              </w:rPr>
              <w:t>1）水环境质量底线及分区管控</w:t>
            </w:r>
          </w:p>
          <w:p w14:paraId="6BE43EC9">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2"/>
                <w:sz w:val="24"/>
                <w:szCs w:val="24"/>
                <w:u w:val="none"/>
              </w:rPr>
              <w:t>项目位于</w:t>
            </w:r>
            <w:r>
              <w:rPr>
                <w:rFonts w:hint="default" w:ascii="Times New Roman" w:hAnsi="Times New Roman" w:eastAsia="宋体" w:cs="Times New Roman"/>
                <w:b w:val="0"/>
                <w:bCs w:val="0"/>
                <w:color w:val="auto"/>
                <w:spacing w:val="-3"/>
                <w:sz w:val="24"/>
                <w:szCs w:val="24"/>
                <w:lang w:eastAsia="zh-CN"/>
              </w:rPr>
              <w:t>固镇经济开发区</w:t>
            </w:r>
            <w:r>
              <w:rPr>
                <w:rFonts w:hint="eastAsia" w:cs="Times New Roman"/>
                <w:b w:val="0"/>
                <w:bCs w:val="0"/>
                <w:color w:val="auto"/>
                <w:spacing w:val="-3"/>
                <w:sz w:val="24"/>
                <w:szCs w:val="24"/>
                <w:lang w:eastAsia="zh-CN"/>
              </w:rPr>
              <w:t>三星大道</w:t>
            </w:r>
            <w:r>
              <w:rPr>
                <w:rFonts w:hint="eastAsia" w:cs="Times New Roman"/>
                <w:b w:val="0"/>
                <w:bCs w:val="0"/>
                <w:color w:val="auto"/>
                <w:spacing w:val="-3"/>
                <w:sz w:val="24"/>
                <w:szCs w:val="24"/>
                <w:lang w:val="en-US" w:eastAsia="zh-CN"/>
              </w:rPr>
              <w:t>005号</w:t>
            </w:r>
            <w:r>
              <w:rPr>
                <w:rFonts w:hint="default" w:ascii="Times New Roman" w:hAnsi="Times New Roman" w:eastAsia="宋体" w:cs="Times New Roman"/>
                <w:b w:val="0"/>
                <w:bCs w:val="0"/>
                <w:color w:val="auto"/>
                <w:spacing w:val="-2"/>
                <w:sz w:val="24"/>
                <w:szCs w:val="24"/>
                <w:u w:val="none"/>
              </w:rPr>
              <w:t>，根据《长江经济</w:t>
            </w:r>
            <w:r>
              <w:rPr>
                <w:rFonts w:hint="default" w:ascii="Times New Roman" w:hAnsi="Times New Roman" w:eastAsia="宋体" w:cs="Times New Roman"/>
                <w:b w:val="0"/>
                <w:bCs w:val="0"/>
                <w:color w:val="auto"/>
                <w:spacing w:val="-3"/>
                <w:sz w:val="24"/>
                <w:szCs w:val="24"/>
                <w:u w:val="none"/>
              </w:rPr>
              <w:t>带战略环境评价蚌埠市“三线一单”文本》，</w:t>
            </w:r>
            <w:r>
              <w:rPr>
                <w:rFonts w:hint="default" w:ascii="Times New Roman" w:hAnsi="Times New Roman" w:eastAsia="宋体" w:cs="Times New Roman"/>
                <w:b w:val="0"/>
                <w:bCs w:val="0"/>
                <w:color w:val="auto"/>
                <w:spacing w:val="-4"/>
                <w:sz w:val="24"/>
                <w:szCs w:val="24"/>
                <w:u w:val="none"/>
              </w:rPr>
              <w:t>经与蚌埠市水环境分区管控图对照分析可</w:t>
            </w:r>
            <w:r>
              <w:rPr>
                <w:rFonts w:hint="default" w:ascii="Times New Roman" w:hAnsi="Times New Roman" w:eastAsia="宋体" w:cs="Times New Roman"/>
                <w:b w:val="0"/>
                <w:bCs w:val="0"/>
                <w:color w:val="auto"/>
                <w:spacing w:val="-1"/>
                <w:sz w:val="24"/>
                <w:szCs w:val="24"/>
                <w:u w:val="none"/>
              </w:rPr>
              <w:t>知，</w:t>
            </w:r>
            <w:r>
              <w:rPr>
                <w:rFonts w:hint="default" w:ascii="Times New Roman" w:hAnsi="Times New Roman" w:eastAsia="宋体" w:cs="Times New Roman"/>
                <w:b w:val="0"/>
                <w:bCs w:val="0"/>
                <w:color w:val="auto"/>
                <w:sz w:val="24"/>
                <w:szCs w:val="24"/>
                <w:u w:val="none"/>
              </w:rPr>
              <w:t>项目</w:t>
            </w:r>
            <w:r>
              <w:rPr>
                <w:rFonts w:hint="default" w:ascii="Times New Roman" w:hAnsi="Times New Roman" w:eastAsia="宋体" w:cs="Times New Roman"/>
                <w:b w:val="0"/>
                <w:bCs w:val="0"/>
                <w:color w:val="auto"/>
                <w:spacing w:val="-1"/>
                <w:sz w:val="24"/>
                <w:szCs w:val="24"/>
                <w:u w:val="none"/>
                <w:lang w:eastAsia="zh-CN"/>
              </w:rPr>
              <w:t>位于工业污染重点管控区</w:t>
            </w:r>
            <w:r>
              <w:rPr>
                <w:rFonts w:hint="default" w:ascii="Times New Roman" w:hAnsi="Times New Roman" w:eastAsia="宋体" w:cs="Times New Roman"/>
                <w:b w:val="0"/>
                <w:bCs w:val="0"/>
                <w:color w:val="auto"/>
                <w:spacing w:val="-1"/>
                <w:sz w:val="24"/>
                <w:szCs w:val="24"/>
                <w:u w:val="none"/>
              </w:rPr>
              <w:t>。</w:t>
            </w:r>
          </w:p>
          <w:p w14:paraId="76724C9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eastAsia="宋体" w:cs="Times New Roman"/>
                <w:b w:val="0"/>
                <w:bCs w:val="0"/>
                <w:color w:val="auto"/>
                <w:sz w:val="24"/>
                <w:szCs w:val="24"/>
                <w:u w:val="none"/>
                <w:lang w:eastAsia="zh-CN"/>
              </w:rPr>
            </w:pPr>
            <w:r>
              <w:rPr>
                <w:rFonts w:hint="default" w:ascii="Times New Roman" w:hAnsi="Times New Roman" w:eastAsia="宋体" w:cs="Times New Roman"/>
                <w:b w:val="0"/>
                <w:bCs w:val="0"/>
                <w:color w:val="auto"/>
                <w:sz w:val="24"/>
                <w:szCs w:val="24"/>
                <w:u w:val="none"/>
              </w:rPr>
              <w:t>重点管控</w:t>
            </w:r>
            <w:r>
              <w:rPr>
                <w:rFonts w:hint="default" w:ascii="Times New Roman" w:hAnsi="Times New Roman" w:eastAsia="宋体" w:cs="Times New Roman"/>
                <w:b w:val="0"/>
                <w:bCs w:val="0"/>
                <w:color w:val="auto"/>
                <w:sz w:val="24"/>
                <w:szCs w:val="24"/>
                <w:u w:val="none"/>
                <w:lang w:eastAsia="zh-CN"/>
              </w:rPr>
              <w:t>区</w:t>
            </w:r>
            <w:r>
              <w:rPr>
                <w:rFonts w:hint="default" w:ascii="Times New Roman" w:hAnsi="Times New Roman" w:eastAsia="宋体" w:cs="Times New Roman"/>
                <w:b w:val="0"/>
                <w:bCs w:val="0"/>
                <w:color w:val="auto"/>
                <w:sz w:val="24"/>
                <w:szCs w:val="24"/>
                <w:u w:val="none"/>
              </w:rPr>
              <w:t>管控要求：</w:t>
            </w:r>
            <w:r>
              <w:rPr>
                <w:rFonts w:hint="default" w:ascii="Times New Roman" w:hAnsi="Times New Roman" w:eastAsia="宋体" w:cs="Times New Roman"/>
                <w:color w:val="auto"/>
                <w:kern w:val="2"/>
                <w:sz w:val="24"/>
                <w:szCs w:val="24"/>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w:t>
            </w:r>
            <w:r>
              <w:rPr>
                <w:rFonts w:hint="default" w:ascii="Times New Roman" w:hAnsi="Times New Roman" w:eastAsia="宋体" w:cs="Times New Roman"/>
                <w:color w:val="auto"/>
                <w:kern w:val="2"/>
                <w:sz w:val="24"/>
                <w:szCs w:val="24"/>
                <w:lang w:val="en-US" w:eastAsia="zh-CN"/>
              </w:rPr>
              <w:t>四</w:t>
            </w:r>
            <w:r>
              <w:rPr>
                <w:rFonts w:hint="default" w:ascii="Times New Roman" w:hAnsi="Times New Roman" w:eastAsia="宋体" w:cs="Times New Roman"/>
                <w:color w:val="auto"/>
                <w:kern w:val="2"/>
                <w:sz w:val="24"/>
                <w:szCs w:val="24"/>
              </w:rPr>
              <w:t>五”生态环境保护规划》《安徽省“十</w:t>
            </w:r>
            <w:r>
              <w:rPr>
                <w:rFonts w:hint="default" w:ascii="Times New Roman" w:hAnsi="Times New Roman" w:eastAsia="宋体" w:cs="Times New Roman"/>
                <w:color w:val="auto"/>
                <w:kern w:val="2"/>
                <w:sz w:val="24"/>
                <w:szCs w:val="24"/>
                <w:lang w:val="en-US" w:eastAsia="zh-CN"/>
              </w:rPr>
              <w:t>四</w:t>
            </w:r>
            <w:r>
              <w:rPr>
                <w:rFonts w:hint="default" w:ascii="Times New Roman" w:hAnsi="Times New Roman" w:eastAsia="宋体" w:cs="Times New Roman"/>
                <w:color w:val="auto"/>
                <w:kern w:val="2"/>
                <w:sz w:val="24"/>
                <w:szCs w:val="24"/>
              </w:rPr>
              <w:t>五”环境保护规划》《安徽省“十</w:t>
            </w:r>
            <w:r>
              <w:rPr>
                <w:rFonts w:hint="default" w:ascii="Times New Roman" w:hAnsi="Times New Roman" w:eastAsia="宋体" w:cs="Times New Roman"/>
                <w:color w:val="auto"/>
                <w:kern w:val="2"/>
                <w:sz w:val="24"/>
                <w:szCs w:val="24"/>
                <w:lang w:val="en-US" w:eastAsia="zh-CN"/>
              </w:rPr>
              <w:t>四</w:t>
            </w:r>
            <w:r>
              <w:rPr>
                <w:rFonts w:hint="default" w:ascii="Times New Roman" w:hAnsi="Times New Roman" w:eastAsia="宋体" w:cs="Times New Roman"/>
                <w:color w:val="auto"/>
                <w:kern w:val="2"/>
                <w:sz w:val="24"/>
                <w:szCs w:val="24"/>
              </w:rPr>
              <w:t>五”节能减排实施方案》等要求，新建、改建和扩建项目水污染物实施“等量替代”</w:t>
            </w:r>
            <w:r>
              <w:rPr>
                <w:rFonts w:hint="default" w:ascii="Times New Roman" w:hAnsi="Times New Roman" w:eastAsia="宋体" w:cs="Times New Roman"/>
                <w:color w:val="auto"/>
                <w:kern w:val="2"/>
                <w:sz w:val="24"/>
                <w:szCs w:val="24"/>
                <w:lang w:eastAsia="zh-CN"/>
              </w:rPr>
              <w:t>。</w:t>
            </w:r>
          </w:p>
          <w:p w14:paraId="0748186C">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color w:val="auto"/>
                <w:sz w:val="24"/>
                <w:szCs w:val="24"/>
                <w:lang w:eastAsia="zh-CN"/>
              </w:rPr>
              <w:t>本项目符合性分析：</w:t>
            </w:r>
            <w:r>
              <w:rPr>
                <w:rFonts w:hint="default" w:ascii="Times New Roman" w:hAnsi="Times New Roman" w:eastAsia="宋体" w:cs="Times New Roman"/>
                <w:b w:val="0"/>
                <w:bCs/>
                <w:color w:val="auto"/>
                <w:sz w:val="24"/>
                <w:szCs w:val="24"/>
              </w:rPr>
              <w:t>项目生活污水经化粪池</w:t>
            </w:r>
            <w:r>
              <w:rPr>
                <w:rFonts w:hint="default" w:ascii="Times New Roman" w:hAnsi="Times New Roman" w:eastAsia="宋体" w:cs="Times New Roman"/>
                <w:color w:val="auto"/>
                <w:sz w:val="24"/>
                <w:szCs w:val="24"/>
                <w:lang w:eastAsia="zh-CN"/>
              </w:rPr>
              <w:t>预处理</w:t>
            </w:r>
            <w:r>
              <w:rPr>
                <w:rFonts w:hint="eastAsia" w:cs="Times New Roman"/>
                <w:color w:val="auto"/>
                <w:sz w:val="24"/>
                <w:szCs w:val="24"/>
                <w:lang w:eastAsia="zh-CN"/>
              </w:rPr>
              <w:t>后</w:t>
            </w:r>
            <w:r>
              <w:rPr>
                <w:rFonts w:hint="default" w:ascii="Times New Roman" w:hAnsi="Times New Roman" w:eastAsia="宋体" w:cs="Times New Roman"/>
                <w:color w:val="auto"/>
                <w:sz w:val="24"/>
                <w:szCs w:val="24"/>
                <w:lang w:eastAsia="zh-CN"/>
              </w:rPr>
              <w:t>排入园区污水管网，进入固镇经济开发区污水处理厂集中处理，</w:t>
            </w:r>
            <w:r>
              <w:rPr>
                <w:rFonts w:hint="default" w:ascii="Times New Roman" w:hAnsi="Times New Roman" w:eastAsia="宋体" w:cs="Times New Roman"/>
                <w:snapToGrid w:val="0"/>
                <w:color w:val="auto"/>
                <w:kern w:val="0"/>
                <w:sz w:val="24"/>
                <w:szCs w:val="24"/>
              </w:rPr>
              <w:t>经处理达到《城镇污水处理厂污染物排放标准》（GB18918-2002）中的一级A标准后排入</w:t>
            </w:r>
            <w:r>
              <w:rPr>
                <w:rFonts w:hint="default" w:ascii="Times New Roman" w:hAnsi="Times New Roman" w:eastAsia="宋体" w:cs="Times New Roman"/>
                <w:snapToGrid w:val="0"/>
                <w:color w:val="auto"/>
                <w:kern w:val="0"/>
                <w:sz w:val="24"/>
                <w:szCs w:val="24"/>
                <w:lang w:eastAsia="zh-CN"/>
              </w:rPr>
              <w:t>北淝河</w:t>
            </w:r>
            <w:r>
              <w:rPr>
                <w:rFonts w:hint="default" w:ascii="Times New Roman" w:hAnsi="Times New Roman" w:eastAsia="宋体" w:cs="Times New Roman"/>
                <w:snapToGrid w:val="0"/>
                <w:color w:val="auto"/>
                <w:kern w:val="0"/>
                <w:sz w:val="24"/>
                <w:szCs w:val="24"/>
              </w:rPr>
              <w:t>，</w:t>
            </w:r>
            <w:r>
              <w:rPr>
                <w:rFonts w:hint="default" w:ascii="Times New Roman" w:hAnsi="Times New Roman" w:eastAsia="宋体" w:cs="Times New Roman"/>
                <w:color w:val="auto"/>
                <w:sz w:val="24"/>
                <w:szCs w:val="24"/>
                <w:highlight w:val="none"/>
                <w:lang w:eastAsia="zh-CN"/>
              </w:rPr>
              <w:t>对周边地表水影响较小</w:t>
            </w:r>
            <w:r>
              <w:rPr>
                <w:rFonts w:hint="default" w:ascii="Times New Roman" w:hAnsi="Times New Roman" w:eastAsia="宋体" w:cs="Times New Roman"/>
                <w:color w:val="auto"/>
                <w:sz w:val="24"/>
                <w:szCs w:val="24"/>
                <w:highlight w:val="none"/>
              </w:rPr>
              <w:t>，不会降低现有环境功能</w:t>
            </w:r>
            <w:r>
              <w:rPr>
                <w:rFonts w:hint="default" w:ascii="Times New Roman" w:hAnsi="Times New Roman" w:eastAsia="宋体" w:cs="Times New Roman"/>
                <w:b w:val="0"/>
                <w:bCs w:val="0"/>
                <w:color w:val="auto"/>
                <w:sz w:val="24"/>
                <w:szCs w:val="24"/>
                <w:u w:val="none"/>
                <w:lang w:val="en-US" w:eastAsia="zh-CN"/>
              </w:rPr>
              <w:t>。</w:t>
            </w:r>
          </w:p>
          <w:p w14:paraId="66AB67F3">
            <w:pPr>
              <w:keepNext w:val="0"/>
              <w:keepLines w:val="0"/>
              <w:pageBreakBefore w:val="0"/>
              <w:widowControl/>
              <w:numPr>
                <w:ilvl w:val="0"/>
                <w:numId w:val="3"/>
              </w:numPr>
              <w:kinsoku/>
              <w:wordWrap/>
              <w:overflowPunct/>
              <w:topLinePunct w:val="0"/>
              <w:autoSpaceDE/>
              <w:autoSpaceDN/>
              <w:bidi w:val="0"/>
              <w:adjustRightInd/>
              <w:snapToGrid/>
              <w:spacing w:line="360" w:lineRule="auto"/>
              <w:ind w:left="0" w:right="0" w:firstLine="476" w:firstLineChars="200"/>
              <w:textAlignment w:val="auto"/>
              <w:outlineLvl w:val="9"/>
              <w:rPr>
                <w:rFonts w:hint="default" w:ascii="Times New Roman" w:hAnsi="Times New Roman" w:eastAsia="宋体" w:cs="Times New Roman"/>
                <w:b w:val="0"/>
                <w:bCs w:val="0"/>
                <w:color w:val="auto"/>
                <w:spacing w:val="-1"/>
                <w:sz w:val="24"/>
                <w:szCs w:val="24"/>
                <w:u w:val="none"/>
              </w:rPr>
            </w:pPr>
            <w:r>
              <w:rPr>
                <w:rFonts w:hint="default" w:ascii="Times New Roman" w:hAnsi="Times New Roman" w:eastAsia="宋体" w:cs="Times New Roman"/>
                <w:b w:val="0"/>
                <w:bCs w:val="0"/>
                <w:color w:val="auto"/>
                <w:spacing w:val="-1"/>
                <w:sz w:val="24"/>
                <w:szCs w:val="24"/>
                <w:u w:val="none"/>
              </w:rPr>
              <w:t>大气环境质量底线及分区管控</w:t>
            </w:r>
          </w:p>
          <w:p w14:paraId="5E7C416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经与《蚌埠市大气环境分区管控图》对照分析可知，</w:t>
            </w:r>
            <w:r>
              <w:rPr>
                <w:rFonts w:hint="default" w:ascii="Times New Roman" w:hAnsi="Times New Roman" w:eastAsia="宋体" w:cs="Times New Roman"/>
                <w:b w:val="0"/>
                <w:bCs w:val="0"/>
                <w:color w:val="auto"/>
                <w:sz w:val="24"/>
                <w:szCs w:val="24"/>
                <w:u w:val="none"/>
                <w:lang w:eastAsia="zh-CN"/>
              </w:rPr>
              <w:t>项目位于受体敏感重点管控区</w:t>
            </w:r>
            <w:r>
              <w:rPr>
                <w:rFonts w:hint="default" w:ascii="Times New Roman" w:hAnsi="Times New Roman" w:eastAsia="宋体" w:cs="Times New Roman"/>
                <w:b w:val="0"/>
                <w:bCs w:val="0"/>
                <w:color w:val="auto"/>
                <w:sz w:val="24"/>
                <w:szCs w:val="24"/>
                <w:u w:val="none"/>
              </w:rPr>
              <w:t>。</w:t>
            </w:r>
          </w:p>
          <w:p w14:paraId="1978632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重点管控</w:t>
            </w:r>
            <w:r>
              <w:rPr>
                <w:rFonts w:hint="default" w:ascii="Times New Roman" w:hAnsi="Times New Roman" w:eastAsia="宋体" w:cs="Times New Roman"/>
                <w:b w:val="0"/>
                <w:bCs w:val="0"/>
                <w:color w:val="auto"/>
                <w:sz w:val="24"/>
                <w:szCs w:val="24"/>
                <w:u w:val="none"/>
                <w:lang w:eastAsia="zh-CN"/>
              </w:rPr>
              <w:t>区</w:t>
            </w:r>
            <w:r>
              <w:rPr>
                <w:rFonts w:hint="default" w:ascii="Times New Roman" w:hAnsi="Times New Roman" w:eastAsia="宋体" w:cs="Times New Roman"/>
                <w:b w:val="0"/>
                <w:bCs w:val="0"/>
                <w:color w:val="auto"/>
                <w:sz w:val="24"/>
                <w:szCs w:val="24"/>
                <w:u w:val="none"/>
              </w:rPr>
              <w:t>管控要求：</w:t>
            </w:r>
            <w:r>
              <w:rPr>
                <w:rFonts w:hint="default" w:ascii="Times New Roman" w:hAnsi="Times New Roman" w:eastAsia="宋体" w:cs="Times New Roman"/>
                <w:bCs/>
                <w:color w:val="auto"/>
                <w:kern w:val="2"/>
                <w:sz w:val="24"/>
                <w:szCs w:val="24"/>
              </w:rPr>
              <w:t>落实《“十</w:t>
            </w:r>
            <w:r>
              <w:rPr>
                <w:rFonts w:hint="default" w:ascii="Times New Roman" w:hAnsi="Times New Roman" w:eastAsia="宋体" w:cs="Times New Roman"/>
                <w:bCs/>
                <w:color w:val="auto"/>
                <w:kern w:val="2"/>
                <w:sz w:val="24"/>
                <w:szCs w:val="24"/>
                <w:lang w:val="en-US" w:eastAsia="zh-CN"/>
              </w:rPr>
              <w:t>四</w:t>
            </w:r>
            <w:r>
              <w:rPr>
                <w:rFonts w:hint="default" w:ascii="Times New Roman" w:hAnsi="Times New Roman" w:eastAsia="宋体" w:cs="Times New Roman"/>
                <w:bCs/>
                <w:color w:val="auto"/>
                <w:kern w:val="2"/>
                <w:sz w:val="24"/>
                <w:szCs w:val="24"/>
              </w:rPr>
              <w:t>五”生态环境保护规划》《安徽省“十</w:t>
            </w:r>
            <w:r>
              <w:rPr>
                <w:rFonts w:hint="default" w:ascii="Times New Roman" w:hAnsi="Times New Roman" w:eastAsia="宋体" w:cs="Times New Roman"/>
                <w:bCs/>
                <w:color w:val="auto"/>
                <w:kern w:val="2"/>
                <w:sz w:val="24"/>
                <w:szCs w:val="24"/>
                <w:lang w:val="en-US" w:eastAsia="zh-CN"/>
              </w:rPr>
              <w:t>四</w:t>
            </w:r>
            <w:r>
              <w:rPr>
                <w:rFonts w:hint="default" w:ascii="Times New Roman" w:hAnsi="Times New Roman" w:eastAsia="宋体" w:cs="Times New Roman"/>
                <w:bCs/>
                <w:color w:val="auto"/>
                <w:kern w:val="2"/>
                <w:sz w:val="24"/>
                <w:szCs w:val="24"/>
              </w:rPr>
              <w:t>五”环境保护规划》</w:t>
            </w:r>
            <w:r>
              <w:rPr>
                <w:rFonts w:hint="default"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lang w:val="en-US" w:eastAsia="zh-CN"/>
              </w:rPr>
              <w:t>蚌埠</w:t>
            </w:r>
            <w:r>
              <w:rPr>
                <w:rFonts w:hint="default" w:ascii="Times New Roman" w:hAnsi="Times New Roman" w:eastAsia="宋体" w:cs="Times New Roman"/>
                <w:bCs/>
                <w:color w:val="auto"/>
                <w:kern w:val="2"/>
                <w:sz w:val="24"/>
                <w:szCs w:val="24"/>
              </w:rPr>
              <w:t>市“十四五”生态环境保护规划</w:t>
            </w:r>
            <w:r>
              <w:rPr>
                <w:rFonts w:hint="default" w:ascii="Times New Roman" w:hAnsi="Times New Roman" w:eastAsia="宋体" w:cs="Times New Roman"/>
                <w:bCs/>
                <w:color w:val="auto"/>
                <w:kern w:val="2"/>
                <w:sz w:val="24"/>
                <w:szCs w:val="24"/>
                <w:lang w:eastAsia="zh-CN"/>
              </w:rPr>
              <w:t>》、中共蚌埠市委 蚌埠市人民政府关于印发《深入打好污染防治攻坚战实施方案》的通知</w:t>
            </w:r>
            <w:r>
              <w:rPr>
                <w:rFonts w:hint="default" w:ascii="Times New Roman" w:hAnsi="Times New Roman" w:eastAsia="宋体" w:cs="Times New Roman"/>
                <w:bCs/>
                <w:color w:val="auto"/>
                <w:kern w:val="2"/>
                <w:sz w:val="24"/>
                <w:szCs w:val="24"/>
              </w:rPr>
              <w:t>等要求，严格落实目标，加强环境监管，促进生态环境质量好转。上年度PM</w:t>
            </w:r>
            <w:r>
              <w:rPr>
                <w:rFonts w:hint="default" w:ascii="Times New Roman" w:hAnsi="Times New Roman" w:eastAsia="宋体" w:cs="Times New Roman"/>
                <w:bCs/>
                <w:color w:val="auto"/>
                <w:kern w:val="2"/>
                <w:sz w:val="24"/>
                <w:szCs w:val="24"/>
                <w:vertAlign w:val="subscript"/>
              </w:rPr>
              <w:t>2.5</w:t>
            </w:r>
            <w:r>
              <w:rPr>
                <w:rFonts w:hint="default" w:ascii="Times New Roman" w:hAnsi="Times New Roman" w:eastAsia="宋体" w:cs="Times New Roman"/>
                <w:bCs/>
                <w:color w:val="auto"/>
                <w:kern w:val="2"/>
                <w:sz w:val="24"/>
                <w:szCs w:val="24"/>
              </w:rPr>
              <w:t>不达标城市新建、改建和扩建项目大气污染物实施“倍量替代”，执行特别排放标准的行业实施提标升级改造</w:t>
            </w:r>
            <w:r>
              <w:rPr>
                <w:rFonts w:hint="default" w:ascii="Times New Roman" w:hAnsi="Times New Roman" w:eastAsia="宋体" w:cs="Times New Roman"/>
                <w:b w:val="0"/>
                <w:bCs w:val="0"/>
                <w:color w:val="auto"/>
                <w:spacing w:val="-1"/>
                <w:sz w:val="24"/>
                <w:szCs w:val="24"/>
                <w:u w:val="none"/>
              </w:rPr>
              <w:t>。</w:t>
            </w:r>
          </w:p>
          <w:p w14:paraId="311513F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color w:val="auto"/>
                <w:sz w:val="24"/>
                <w:szCs w:val="24"/>
                <w:lang w:eastAsia="zh-CN"/>
              </w:rPr>
              <w:t>本项目符合性分析：</w:t>
            </w:r>
            <w:r>
              <w:rPr>
                <w:rFonts w:hint="default" w:ascii="Times New Roman" w:hAnsi="Times New Roman" w:eastAsia="宋体" w:cs="Times New Roman"/>
                <w:b w:val="0"/>
                <w:bCs w:val="0"/>
                <w:color w:val="auto"/>
                <w:sz w:val="24"/>
                <w:szCs w:val="24"/>
                <w:u w:val="none"/>
              </w:rPr>
              <w:t>根据环境质量公报，</w:t>
            </w:r>
            <w:r>
              <w:rPr>
                <w:rFonts w:hint="default" w:ascii="Times New Roman" w:hAnsi="Times New Roman" w:eastAsia="宋体" w:cs="Times New Roman"/>
                <w:b w:val="0"/>
                <w:bCs w:val="0"/>
                <w:color w:val="auto"/>
                <w:sz w:val="24"/>
                <w:szCs w:val="24"/>
              </w:rPr>
              <w:t>蚌埠市202</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年SO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、NO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10</w:t>
            </w:r>
            <w:r>
              <w:rPr>
                <w:rFonts w:hint="default" w:ascii="Times New Roman" w:hAnsi="Times New Roman" w:eastAsia="宋体" w:cs="Times New Roman"/>
                <w:b w:val="0"/>
                <w:bCs w:val="0"/>
                <w:color w:val="auto"/>
                <w:sz w:val="24"/>
                <w:szCs w:val="24"/>
              </w:rPr>
              <w:t>、CO</w:t>
            </w:r>
            <w:r>
              <w:rPr>
                <w:rFonts w:hint="default" w:ascii="Times New Roman" w:hAnsi="Times New Roman" w:eastAsia="宋体" w:cs="Times New Roman"/>
                <w:b w:val="0"/>
                <w:bCs w:val="0"/>
                <w:color w:val="auto"/>
                <w:sz w:val="24"/>
                <w:szCs w:val="24"/>
                <w:u w:val="none"/>
              </w:rPr>
              <w:t>均满足《环境空气质量标准》（GB3095-2012）中二类标准，</w:t>
            </w:r>
            <w:r>
              <w:rPr>
                <w:rFonts w:hint="eastAsia" w:ascii="Times New Roman" w:hAnsi="Times New Roman" w:eastAsia="宋体" w:cs="Times New Roman"/>
                <w:color w:val="auto"/>
                <w:sz w:val="24"/>
              </w:rPr>
              <w:t>PM</w:t>
            </w:r>
            <w:r>
              <w:rPr>
                <w:rFonts w:hint="eastAsia" w:ascii="Times New Roman" w:hAnsi="Times New Roman" w:eastAsia="宋体" w:cs="Times New Roman"/>
                <w:color w:val="auto"/>
                <w:sz w:val="24"/>
                <w:vertAlign w:val="subscript"/>
              </w:rPr>
              <w:t>2.5</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O</w:t>
            </w:r>
            <w:r>
              <w:rPr>
                <w:rFonts w:hint="eastAsia"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b w:val="0"/>
                <w:bCs w:val="0"/>
                <w:color w:val="auto"/>
                <w:sz w:val="24"/>
                <w:szCs w:val="24"/>
                <w:u w:val="none"/>
              </w:rPr>
              <w:t>不满足《环境空气质量标准》</w:t>
            </w:r>
            <w:r>
              <w:rPr>
                <w:rFonts w:hint="default" w:ascii="Times New Roman" w:hAnsi="Times New Roman" w:eastAsia="宋体" w:cs="Times New Roman"/>
                <w:b w:val="0"/>
                <w:bCs w:val="0"/>
                <w:color w:val="auto"/>
                <w:spacing w:val="-2"/>
                <w:sz w:val="24"/>
                <w:szCs w:val="24"/>
                <w:u w:val="none"/>
              </w:rPr>
              <w:t>（GB3095-2012）中二类标准，蚌埠市为环境空</w:t>
            </w:r>
            <w:r>
              <w:rPr>
                <w:rFonts w:hint="default" w:ascii="Times New Roman" w:hAnsi="Times New Roman" w:eastAsia="宋体" w:cs="Times New Roman"/>
                <w:b w:val="0"/>
                <w:bCs w:val="0"/>
                <w:color w:val="auto"/>
                <w:spacing w:val="-3"/>
                <w:sz w:val="24"/>
                <w:szCs w:val="24"/>
                <w:u w:val="none"/>
              </w:rPr>
              <w:t>气质量不达标区</w:t>
            </w:r>
            <w:r>
              <w:rPr>
                <w:rFonts w:hint="default" w:ascii="Times New Roman" w:hAnsi="Times New Roman" w:eastAsia="宋体" w:cs="Times New Roman"/>
                <w:b w:val="0"/>
                <w:bCs w:val="0"/>
                <w:color w:val="auto"/>
                <w:spacing w:val="-3"/>
                <w:sz w:val="24"/>
                <w:szCs w:val="24"/>
                <w:u w:val="none"/>
                <w:lang w:eastAsia="zh-CN"/>
              </w:rPr>
              <w:t>。根据引用的监测数据，</w:t>
            </w:r>
            <w:r>
              <w:rPr>
                <w:rFonts w:hint="default" w:ascii="Times New Roman" w:hAnsi="Times New Roman" w:eastAsia="宋体" w:cs="Times New Roman"/>
                <w:color w:val="auto"/>
                <w:kern w:val="2"/>
                <w:sz w:val="24"/>
                <w:szCs w:val="24"/>
                <w:u w:val="none"/>
                <w:lang w:val="en-US" w:eastAsia="zh-CN"/>
              </w:rPr>
              <w:t>TSP日均值</w:t>
            </w:r>
            <w:r>
              <w:rPr>
                <w:rFonts w:hint="default" w:ascii="Times New Roman" w:hAnsi="Times New Roman" w:eastAsia="宋体" w:cs="Times New Roman"/>
                <w:color w:val="auto"/>
                <w:kern w:val="2"/>
                <w:sz w:val="24"/>
                <w:szCs w:val="24"/>
                <w:u w:val="none"/>
              </w:rPr>
              <w:t>满足《环境空气质量标准》（GB3095-2012）标准限值</w:t>
            </w:r>
            <w:r>
              <w:rPr>
                <w:rFonts w:hint="default" w:ascii="Times New Roman" w:hAnsi="Times New Roman" w:eastAsia="宋体" w:cs="Times New Roman"/>
                <w:color w:val="auto"/>
                <w:kern w:val="2"/>
                <w:sz w:val="24"/>
                <w:szCs w:val="24"/>
                <w:u w:val="none"/>
                <w:lang w:eastAsia="zh-CN"/>
              </w:rPr>
              <w:t>；</w:t>
            </w:r>
            <w:r>
              <w:rPr>
                <w:rFonts w:hint="default" w:ascii="Times New Roman" w:hAnsi="Times New Roman" w:eastAsia="宋体" w:cs="Times New Roman"/>
                <w:snapToGrid/>
                <w:color w:val="auto"/>
                <w:kern w:val="2"/>
                <w:sz w:val="24"/>
                <w:szCs w:val="24"/>
                <w:lang w:val="en-US" w:eastAsia="zh-CN" w:bidi="ar-SA"/>
              </w:rPr>
              <w:t>非甲烷总烃满足《大气污染物综合排放标准详解》小时均值2mg/m</w:t>
            </w:r>
            <w:r>
              <w:rPr>
                <w:rFonts w:hint="default" w:ascii="Times New Roman" w:hAnsi="Times New Roman" w:eastAsia="宋体" w:cs="Times New Roman"/>
                <w:snapToGrid/>
                <w:color w:val="auto"/>
                <w:kern w:val="2"/>
                <w:sz w:val="24"/>
                <w:szCs w:val="24"/>
                <w:vertAlign w:val="superscript"/>
                <w:lang w:val="en-US" w:eastAsia="zh-CN" w:bidi="ar-SA"/>
              </w:rPr>
              <w:t>3</w:t>
            </w:r>
            <w:r>
              <w:rPr>
                <w:rFonts w:hint="default" w:ascii="Times New Roman" w:hAnsi="Times New Roman" w:eastAsia="宋体" w:cs="Times New Roman"/>
                <w:snapToGrid/>
                <w:color w:val="auto"/>
                <w:kern w:val="2"/>
                <w:sz w:val="24"/>
                <w:szCs w:val="24"/>
                <w:lang w:val="en-US" w:eastAsia="zh-CN" w:bidi="ar-SA"/>
              </w:rPr>
              <w:t>标准限值要求</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val="0"/>
                <w:color w:val="auto"/>
                <w:spacing w:val="-3"/>
                <w:sz w:val="24"/>
                <w:szCs w:val="24"/>
                <w:u w:val="none"/>
                <w:lang w:eastAsia="zh-CN"/>
              </w:rPr>
              <w:t>本项目各废气通过相应废气治理设施处理后均可达标排放。因此，项目建成后废气污染物对周边大气环境影响较小，不会降低区域大气环境功能。项目排放大气污染物总量经环保部门核准</w:t>
            </w:r>
            <w:r>
              <w:rPr>
                <w:rFonts w:hint="default" w:ascii="Times New Roman" w:hAnsi="Times New Roman" w:eastAsia="宋体" w:cs="Times New Roman"/>
                <w:b w:val="0"/>
                <w:bCs w:val="0"/>
                <w:color w:val="auto"/>
                <w:spacing w:val="-1"/>
                <w:sz w:val="24"/>
                <w:szCs w:val="24"/>
                <w:u w:val="none"/>
              </w:rPr>
              <w:t>。</w:t>
            </w:r>
          </w:p>
          <w:p w14:paraId="5B71B42F">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1"/>
                <w:sz w:val="24"/>
                <w:szCs w:val="24"/>
                <w:u w:val="none"/>
              </w:rPr>
              <w:t>3）土壤环境风险防控底线及分区管控</w:t>
            </w:r>
          </w:p>
          <w:p w14:paraId="3DF108DB">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lang w:val="en-US" w:eastAsia="zh-CN"/>
              </w:rPr>
              <w:t>根据《蚌埠市土壤污染防治规划 (2021-2025年)》，</w:t>
            </w:r>
            <w:r>
              <w:rPr>
                <w:rFonts w:hint="default" w:ascii="Times New Roman" w:hAnsi="Times New Roman" w:eastAsia="宋体" w:cs="Times New Roman"/>
                <w:b w:val="0"/>
                <w:bCs w:val="0"/>
                <w:color w:val="auto"/>
                <w:sz w:val="24"/>
                <w:szCs w:val="24"/>
                <w:u w:val="none"/>
              </w:rPr>
              <w:t>到2025年，全市土壤和地下水环境质量总体保持稳定，局部地区稳中向好，受污染耕地和污染地块安全利用水平得到巩固提升，进一步保障老百姓“吃得放心、住得安心”</w:t>
            </w:r>
            <w:r>
              <w:rPr>
                <w:rFonts w:hint="default" w:ascii="Times New Roman" w:hAnsi="Times New Roman" w:eastAsia="宋体" w:cs="Times New Roman"/>
                <w:b w:val="0"/>
                <w:bCs w:val="0"/>
                <w:color w:val="auto"/>
                <w:sz w:val="24"/>
                <w:szCs w:val="24"/>
                <w:u w:val="none"/>
                <w:lang w:eastAsia="zh-CN"/>
              </w:rPr>
              <w:t>；</w:t>
            </w:r>
            <w:r>
              <w:rPr>
                <w:rFonts w:hint="default" w:ascii="Times New Roman" w:hAnsi="Times New Roman" w:eastAsia="宋体" w:cs="Times New Roman"/>
                <w:b w:val="0"/>
                <w:bCs w:val="0"/>
                <w:color w:val="auto"/>
                <w:sz w:val="24"/>
                <w:szCs w:val="24"/>
                <w:u w:val="none"/>
              </w:rPr>
              <w:t>农业面源污染得到初步管控，农村生态环境基础设施建设加快推进，生产生活方式绿色转型取得显著成效，农村生态环 境明显改善，打造生态宜居的美丽乡村，为老百姓留住山清水秀、鸟语花香的田园风光。</w:t>
            </w:r>
            <w:r>
              <w:rPr>
                <w:rFonts w:hint="default" w:ascii="Times New Roman" w:hAnsi="Times New Roman" w:eastAsia="宋体" w:cs="Times New Roman"/>
                <w:b w:val="0"/>
                <w:bCs w:val="0"/>
                <w:color w:val="auto"/>
                <w:sz w:val="24"/>
                <w:szCs w:val="24"/>
                <w:u w:val="none"/>
                <w:lang w:val="en-US" w:eastAsia="zh-CN"/>
              </w:rPr>
              <w:t>根据规划指标，</w:t>
            </w:r>
            <w:r>
              <w:rPr>
                <w:rFonts w:hint="default" w:ascii="Times New Roman" w:hAnsi="Times New Roman" w:eastAsia="宋体" w:cs="Times New Roman"/>
                <w:b w:val="0"/>
                <w:bCs w:val="0"/>
                <w:color w:val="auto"/>
                <w:sz w:val="24"/>
                <w:szCs w:val="24"/>
                <w:u w:val="none"/>
              </w:rPr>
              <w:t>到202</w:t>
            </w:r>
            <w:r>
              <w:rPr>
                <w:rFonts w:hint="default" w:ascii="Times New Roman" w:hAnsi="Times New Roman" w:eastAsia="宋体" w:cs="Times New Roman"/>
                <w:b w:val="0"/>
                <w:bCs w:val="0"/>
                <w:color w:val="auto"/>
                <w:sz w:val="24"/>
                <w:szCs w:val="24"/>
                <w:u w:val="none"/>
                <w:lang w:val="en-US" w:eastAsia="zh-CN"/>
              </w:rPr>
              <w:t>5</w:t>
            </w:r>
            <w:r>
              <w:rPr>
                <w:rFonts w:hint="default" w:ascii="Times New Roman" w:hAnsi="Times New Roman" w:eastAsia="宋体" w:cs="Times New Roman"/>
                <w:b w:val="0"/>
                <w:bCs w:val="0"/>
                <w:color w:val="auto"/>
                <w:sz w:val="24"/>
                <w:szCs w:val="24"/>
                <w:u w:val="none"/>
              </w:rPr>
              <w:t>年，受污染耕地安全利用率达到95%左右，重点建设用地安全利用率</w:t>
            </w:r>
            <w:r>
              <w:rPr>
                <w:rFonts w:hint="default" w:ascii="Times New Roman" w:hAnsi="Times New Roman" w:eastAsia="宋体" w:cs="Times New Roman"/>
                <w:b w:val="0"/>
                <w:bCs w:val="0"/>
                <w:color w:val="auto"/>
                <w:sz w:val="24"/>
                <w:szCs w:val="24"/>
                <w:u w:val="none"/>
                <w:lang w:val="en-US" w:eastAsia="zh-CN"/>
              </w:rPr>
              <w:t>得到有效保障</w:t>
            </w:r>
            <w:r>
              <w:rPr>
                <w:rFonts w:hint="default" w:ascii="Times New Roman" w:hAnsi="Times New Roman" w:eastAsia="宋体" w:cs="Times New Roman"/>
                <w:b w:val="0"/>
                <w:bCs w:val="0"/>
                <w:color w:val="auto"/>
                <w:sz w:val="24"/>
                <w:szCs w:val="24"/>
                <w:u w:val="none"/>
              </w:rPr>
              <w:t>。</w:t>
            </w:r>
          </w:p>
          <w:p w14:paraId="7E723A4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eastAsia="宋体" w:cs="Times New Roman"/>
                <w:b w:val="0"/>
                <w:bCs w:val="0"/>
                <w:color w:val="auto"/>
                <w:spacing w:val="-4"/>
                <w:sz w:val="24"/>
                <w:szCs w:val="24"/>
                <w:u w:val="none"/>
              </w:rPr>
            </w:pPr>
            <w:r>
              <w:rPr>
                <w:rFonts w:hint="default" w:ascii="Times New Roman" w:hAnsi="Times New Roman" w:eastAsia="宋体" w:cs="Times New Roman"/>
                <w:b w:val="0"/>
                <w:bCs w:val="0"/>
                <w:color w:val="auto"/>
                <w:sz w:val="24"/>
                <w:szCs w:val="24"/>
                <w:u w:val="none"/>
              </w:rPr>
              <w:t>经与《蚌埠市土壤污染风险分区防控图》对照分析可知，项目</w:t>
            </w:r>
            <w:r>
              <w:rPr>
                <w:rFonts w:hint="default" w:ascii="Times New Roman" w:hAnsi="Times New Roman" w:eastAsia="宋体" w:cs="Times New Roman"/>
                <w:b w:val="0"/>
                <w:bCs w:val="0"/>
                <w:color w:val="auto"/>
                <w:sz w:val="24"/>
                <w:szCs w:val="24"/>
                <w:u w:val="none"/>
                <w:lang w:eastAsia="zh-CN"/>
              </w:rPr>
              <w:t>位于建设用地污染风险重点管控区</w:t>
            </w:r>
            <w:r>
              <w:rPr>
                <w:rFonts w:hint="default" w:ascii="Times New Roman" w:hAnsi="Times New Roman" w:eastAsia="宋体" w:cs="Times New Roman"/>
                <w:b w:val="0"/>
                <w:bCs w:val="0"/>
                <w:color w:val="auto"/>
                <w:spacing w:val="-4"/>
                <w:sz w:val="24"/>
                <w:szCs w:val="24"/>
                <w:u w:val="none"/>
              </w:rPr>
              <w:t>。</w:t>
            </w:r>
          </w:p>
          <w:p w14:paraId="74BB00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u w:val="none"/>
              </w:rPr>
              <w:t>重点管控</w:t>
            </w:r>
            <w:r>
              <w:rPr>
                <w:rFonts w:hint="default" w:ascii="Times New Roman" w:hAnsi="Times New Roman" w:eastAsia="宋体" w:cs="Times New Roman"/>
                <w:b w:val="0"/>
                <w:bCs w:val="0"/>
                <w:color w:val="auto"/>
                <w:sz w:val="24"/>
                <w:szCs w:val="24"/>
                <w:u w:val="none"/>
                <w:lang w:eastAsia="zh-CN"/>
              </w:rPr>
              <w:t>区</w:t>
            </w:r>
            <w:r>
              <w:rPr>
                <w:rFonts w:hint="default" w:ascii="Times New Roman" w:hAnsi="Times New Roman" w:eastAsia="宋体" w:cs="Times New Roman"/>
                <w:b w:val="0"/>
                <w:bCs w:val="0"/>
                <w:color w:val="auto"/>
                <w:sz w:val="24"/>
                <w:szCs w:val="24"/>
                <w:u w:val="none"/>
              </w:rPr>
              <w:t>管控要求：</w:t>
            </w:r>
            <w:r>
              <w:rPr>
                <w:rFonts w:hint="default" w:ascii="Times New Roman" w:hAnsi="Times New Roman" w:eastAsia="宋体" w:cs="Times New Roman"/>
                <w:color w:val="auto"/>
                <w:kern w:val="0"/>
                <w:sz w:val="24"/>
                <w:szCs w:val="24"/>
                <w:lang w:val="en-US" w:eastAsia="zh-CN" w:bidi="ar"/>
              </w:rPr>
              <w:t>落实《中华人民共和国土壤污染防治法》《土壤污染防治行动计划》《农用地土壤环境管理办法（试行）》《工矿用地土壤环境管理办法（试行）》《“十三五”生态环境保护规划》《安徽省“十三五”环境保护规划》《蚌埠市环境保护“十三五”规划》《安徽省“十三五”重金属污染综合防治规划》《安徽省“十三五”危险废物污染防治规划》《安徽省土壤污染防治工作方案》《蚌埠市土壤污染防治工作方案》等要求，防止土壤污染风险。</w:t>
            </w:r>
          </w:p>
          <w:p w14:paraId="27059C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szCs w:val="24"/>
                <w:lang w:eastAsia="zh-CN"/>
              </w:rPr>
              <w:t>本项目符合性分析：</w:t>
            </w:r>
            <w:r>
              <w:rPr>
                <w:rFonts w:hint="default" w:ascii="Times New Roman" w:hAnsi="Times New Roman" w:eastAsia="宋体" w:cs="Times New Roman"/>
                <w:color w:val="auto"/>
                <w:kern w:val="0"/>
                <w:sz w:val="24"/>
                <w:szCs w:val="24"/>
                <w:lang w:val="en-US" w:eastAsia="zh-CN" w:bidi="ar"/>
              </w:rPr>
              <w:t>本项目建成后对厂区采取分区防渗措施，危废暂存间实施重点防渗，等效黏土防渗层Mb≥6.0m，K≤1×10</w:t>
            </w:r>
            <w:r>
              <w:rPr>
                <w:rFonts w:hint="default" w:ascii="Times New Roman" w:hAnsi="Times New Roman" w:eastAsia="宋体" w:cs="Times New Roman"/>
                <w:color w:val="auto"/>
                <w:kern w:val="0"/>
                <w:sz w:val="24"/>
                <w:szCs w:val="24"/>
                <w:vertAlign w:val="superscript"/>
                <w:lang w:val="en-US" w:eastAsia="zh-CN" w:bidi="ar"/>
              </w:rPr>
              <w:t>-7</w:t>
            </w:r>
            <w:r>
              <w:rPr>
                <w:rFonts w:hint="default" w:ascii="Times New Roman" w:hAnsi="Times New Roman" w:eastAsia="宋体" w:cs="Times New Roman"/>
                <w:color w:val="auto"/>
                <w:kern w:val="0"/>
                <w:sz w:val="24"/>
                <w:szCs w:val="24"/>
                <w:lang w:val="en-US" w:eastAsia="zh-CN" w:bidi="ar"/>
              </w:rPr>
              <w:t>cm/s，或参照《危险废物贮存污染控制标准》（GB18597-2023）设置。</w:t>
            </w:r>
          </w:p>
          <w:p w14:paraId="3877E42F">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2"/>
                <w:sz w:val="24"/>
                <w:szCs w:val="24"/>
                <w:u w:val="none"/>
              </w:rPr>
              <w:t>（3）资源利用上线</w:t>
            </w:r>
          </w:p>
          <w:p w14:paraId="18C3C81E">
            <w:pPr>
              <w:keepNext w:val="0"/>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3"/>
                <w:sz w:val="24"/>
                <w:szCs w:val="24"/>
                <w:u w:val="none"/>
              </w:rPr>
              <w:t>1）水资源利用上线及分区管控</w:t>
            </w:r>
          </w:p>
          <w:p w14:paraId="6B84F313">
            <w:pPr>
              <w:keepNext w:val="0"/>
              <w:keepLines w:val="0"/>
              <w:pageBreakBefore w:val="0"/>
              <w:widowControl/>
              <w:kinsoku/>
              <w:wordWrap/>
              <w:overflowPunct/>
              <w:topLinePunct w:val="0"/>
              <w:autoSpaceDE/>
              <w:autoSpaceDN/>
              <w:bidi w:val="0"/>
              <w:adjustRightInd/>
              <w:snapToGrid/>
              <w:spacing w:line="360" w:lineRule="auto"/>
              <w:ind w:left="0" w:right="0" w:firstLine="48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4"/>
                <w:sz w:val="24"/>
                <w:szCs w:val="24"/>
                <w:u w:val="none"/>
              </w:rPr>
              <w:t>根据蚌埠市水资源条件和《长江经济带战略环境评价蚌埠市“三线一单”编制文本》</w:t>
            </w:r>
            <w:r>
              <w:rPr>
                <w:rFonts w:hint="default" w:ascii="Times New Roman" w:hAnsi="Times New Roman" w:eastAsia="宋体" w:cs="Times New Roman"/>
                <w:b w:val="0"/>
                <w:bCs w:val="0"/>
                <w:color w:val="auto"/>
                <w:spacing w:val="-1"/>
                <w:sz w:val="24"/>
                <w:szCs w:val="24"/>
                <w:u w:val="none"/>
              </w:rPr>
              <w:t>划定成果，蚌埠市水资源管控区包括重点管控区和一般管控区，其中重点管控区主</w:t>
            </w:r>
            <w:r>
              <w:rPr>
                <w:rFonts w:hint="default" w:ascii="Times New Roman" w:hAnsi="Times New Roman" w:eastAsia="宋体" w:cs="Times New Roman"/>
                <w:b w:val="0"/>
                <w:bCs w:val="0"/>
                <w:color w:val="auto"/>
                <w:sz w:val="24"/>
                <w:szCs w:val="24"/>
                <w:u w:val="none"/>
              </w:rPr>
              <w:t>要涉及地下水开采重点管控区。对照蚌埠市地下水开采重点</w:t>
            </w:r>
            <w:r>
              <w:rPr>
                <w:rFonts w:hint="default" w:ascii="Times New Roman" w:hAnsi="Times New Roman" w:eastAsia="宋体" w:cs="Times New Roman"/>
                <w:b w:val="0"/>
                <w:bCs w:val="0"/>
                <w:color w:val="auto"/>
                <w:spacing w:val="-1"/>
                <w:sz w:val="24"/>
                <w:szCs w:val="24"/>
                <w:u w:val="none"/>
              </w:rPr>
              <w:t>管控区图，项目</w:t>
            </w:r>
            <w:r>
              <w:rPr>
                <w:rFonts w:hint="default" w:ascii="Times New Roman" w:hAnsi="Times New Roman" w:eastAsia="宋体" w:cs="Times New Roman"/>
                <w:b w:val="0"/>
                <w:bCs w:val="0"/>
                <w:color w:val="auto"/>
                <w:spacing w:val="-1"/>
                <w:sz w:val="24"/>
                <w:szCs w:val="24"/>
                <w:u w:val="none"/>
                <w:lang w:eastAsia="zh-CN"/>
              </w:rPr>
              <w:t>位于地下水开采重点管控区</w:t>
            </w:r>
            <w:r>
              <w:rPr>
                <w:rFonts w:hint="default" w:ascii="Times New Roman" w:hAnsi="Times New Roman" w:eastAsia="宋体" w:cs="Times New Roman"/>
                <w:b w:val="0"/>
                <w:bCs w:val="0"/>
                <w:color w:val="auto"/>
                <w:spacing w:val="-2"/>
                <w:sz w:val="24"/>
                <w:szCs w:val="24"/>
                <w:u w:val="none"/>
              </w:rPr>
              <w:t>。</w:t>
            </w:r>
          </w:p>
          <w:p w14:paraId="53C7ECDF">
            <w:pPr>
              <w:keepNext w:val="0"/>
              <w:keepLines w:val="0"/>
              <w:pageBreakBefore w:val="0"/>
              <w:widowControl/>
              <w:kinsoku/>
              <w:wordWrap/>
              <w:overflowPunct/>
              <w:topLinePunct w:val="0"/>
              <w:autoSpaceDE/>
              <w:autoSpaceDN/>
              <w:bidi w:val="0"/>
              <w:adjustRightInd/>
              <w:snapToGrid/>
              <w:spacing w:line="360" w:lineRule="auto"/>
              <w:ind w:left="0" w:right="0" w:firstLine="485"/>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1"/>
                <w:sz w:val="24"/>
                <w:szCs w:val="24"/>
                <w:u w:val="none"/>
              </w:rPr>
              <w:t>管控要求：落实《国务院办公厅关于印发实行最严格水资源管理制度考核办法</w:t>
            </w:r>
            <w:r>
              <w:rPr>
                <w:rFonts w:hint="default" w:ascii="Times New Roman" w:hAnsi="Times New Roman" w:eastAsia="宋体" w:cs="Times New Roman"/>
                <w:b w:val="0"/>
                <w:bCs w:val="0"/>
                <w:color w:val="auto"/>
                <w:spacing w:val="-3"/>
                <w:sz w:val="24"/>
                <w:szCs w:val="24"/>
                <w:u w:val="none"/>
              </w:rPr>
              <w:t>的通知》《“十三五”水资源消耗总量和强度双控行动方案》、《安徽省“十三五”水资源消耗总量和强度双控工作方案》、《蚌埠市“十三五”</w:t>
            </w:r>
            <w:r>
              <w:rPr>
                <w:rFonts w:hint="default" w:ascii="Times New Roman" w:hAnsi="Times New Roman" w:eastAsia="宋体" w:cs="Times New Roman"/>
                <w:b w:val="0"/>
                <w:bCs w:val="0"/>
                <w:color w:val="auto"/>
                <w:spacing w:val="-4"/>
                <w:sz w:val="24"/>
                <w:szCs w:val="24"/>
                <w:u w:val="none"/>
              </w:rPr>
              <w:t>水资源消耗总量和强度双控工</w:t>
            </w:r>
            <w:r>
              <w:rPr>
                <w:rFonts w:hint="default" w:ascii="Times New Roman" w:hAnsi="Times New Roman" w:eastAsia="宋体" w:cs="Times New Roman"/>
                <w:b w:val="0"/>
                <w:bCs w:val="0"/>
                <w:color w:val="auto"/>
                <w:spacing w:val="-2"/>
                <w:sz w:val="24"/>
                <w:szCs w:val="24"/>
                <w:u w:val="none"/>
              </w:rPr>
              <w:t>作实施方案》等要求。</w:t>
            </w:r>
          </w:p>
          <w:p w14:paraId="2A36F28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项目用水均由当地自来水管网供给，不开采地下水。因此，项目资源利用符合水资源利用上线的要求。</w:t>
            </w:r>
          </w:p>
          <w:p w14:paraId="0E3D05AC">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1"/>
                <w:sz w:val="24"/>
                <w:szCs w:val="24"/>
                <w:u w:val="none"/>
              </w:rPr>
              <w:t>2）土地资源利用上线及分区管控</w:t>
            </w:r>
          </w:p>
          <w:p w14:paraId="39FADC95">
            <w:pPr>
              <w:keepNext w:val="0"/>
              <w:keepLines w:val="0"/>
              <w:pageBreakBefore w:val="0"/>
              <w:widowControl/>
              <w:kinsoku/>
              <w:wordWrap/>
              <w:overflowPunct/>
              <w:topLinePunct w:val="0"/>
              <w:autoSpaceDE/>
              <w:autoSpaceDN/>
              <w:bidi w:val="0"/>
              <w:adjustRightInd/>
              <w:snapToGrid/>
              <w:spacing w:line="360" w:lineRule="auto"/>
              <w:ind w:left="0" w:right="0" w:firstLine="48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4"/>
                <w:sz w:val="24"/>
                <w:szCs w:val="24"/>
                <w:u w:val="none"/>
              </w:rPr>
              <w:t>根据《长江经济带战略环境评价蚌埠市“三线一单”编制文本》，蚌埠市土地资源</w:t>
            </w:r>
            <w:r>
              <w:rPr>
                <w:rFonts w:hint="default" w:ascii="Times New Roman" w:hAnsi="Times New Roman" w:eastAsia="宋体" w:cs="Times New Roman"/>
                <w:b w:val="0"/>
                <w:bCs w:val="0"/>
                <w:color w:val="auto"/>
                <w:spacing w:val="-3"/>
                <w:sz w:val="24"/>
                <w:szCs w:val="24"/>
                <w:u w:val="none"/>
              </w:rPr>
              <w:t>共划分7个管控区。其中重点管控区0个；一般管控区7个，面积为5950.72平方公</w:t>
            </w:r>
            <w:r>
              <w:rPr>
                <w:rFonts w:hint="default" w:ascii="Times New Roman" w:hAnsi="Times New Roman" w:eastAsia="宋体" w:cs="Times New Roman"/>
                <w:b w:val="0"/>
                <w:bCs w:val="0"/>
                <w:color w:val="auto"/>
                <w:spacing w:val="-3"/>
                <w:position w:val="2"/>
                <w:sz w:val="24"/>
                <w:szCs w:val="24"/>
                <w:u w:val="none"/>
              </w:rPr>
              <w:t>里，占全市国土面积的100%。</w:t>
            </w:r>
          </w:p>
          <w:p w14:paraId="7B423BCE">
            <w:pPr>
              <w:keepNext w:val="0"/>
              <w:keepLines w:val="0"/>
              <w:pageBreakBefore w:val="0"/>
              <w:widowControl/>
              <w:kinsoku/>
              <w:wordWrap/>
              <w:overflowPunct/>
              <w:topLinePunct w:val="0"/>
              <w:autoSpaceDE/>
              <w:autoSpaceDN/>
              <w:bidi w:val="0"/>
              <w:adjustRightInd/>
              <w:snapToGrid/>
              <w:spacing w:line="360" w:lineRule="auto"/>
              <w:ind w:left="0" w:right="0" w:firstLine="478"/>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1"/>
                <w:sz w:val="24"/>
                <w:szCs w:val="24"/>
                <w:u w:val="none"/>
              </w:rPr>
              <w:t>本项位于</w:t>
            </w:r>
            <w:r>
              <w:rPr>
                <w:rFonts w:hint="default" w:ascii="Times New Roman" w:hAnsi="Times New Roman" w:eastAsia="宋体" w:cs="Times New Roman"/>
                <w:b w:val="0"/>
                <w:bCs w:val="0"/>
                <w:color w:val="auto"/>
                <w:spacing w:val="-3"/>
                <w:sz w:val="24"/>
                <w:szCs w:val="24"/>
                <w:lang w:eastAsia="zh-CN"/>
              </w:rPr>
              <w:t>固镇经济开发区</w:t>
            </w:r>
            <w:r>
              <w:rPr>
                <w:rFonts w:hint="eastAsia" w:cs="Times New Roman"/>
                <w:b w:val="0"/>
                <w:bCs w:val="0"/>
                <w:color w:val="auto"/>
                <w:spacing w:val="-3"/>
                <w:sz w:val="24"/>
                <w:szCs w:val="24"/>
                <w:lang w:eastAsia="zh-CN"/>
              </w:rPr>
              <w:t>三星大道</w:t>
            </w:r>
            <w:r>
              <w:rPr>
                <w:rFonts w:hint="eastAsia" w:cs="Times New Roman"/>
                <w:b w:val="0"/>
                <w:bCs w:val="0"/>
                <w:color w:val="auto"/>
                <w:spacing w:val="-3"/>
                <w:sz w:val="24"/>
                <w:szCs w:val="24"/>
                <w:lang w:val="en-US" w:eastAsia="zh-CN"/>
              </w:rPr>
              <w:t>005号</w:t>
            </w:r>
            <w:r>
              <w:rPr>
                <w:rFonts w:hint="default" w:ascii="Times New Roman" w:hAnsi="Times New Roman" w:eastAsia="宋体" w:cs="Times New Roman"/>
                <w:b w:val="0"/>
                <w:bCs w:val="0"/>
                <w:color w:val="auto"/>
                <w:spacing w:val="-2"/>
                <w:sz w:val="24"/>
                <w:szCs w:val="24"/>
                <w:u w:val="none"/>
              </w:rPr>
              <w:t>，占用的土地规划</w:t>
            </w:r>
            <w:r>
              <w:rPr>
                <w:rFonts w:hint="default" w:ascii="Times New Roman" w:hAnsi="Times New Roman" w:eastAsia="宋体" w:cs="Times New Roman"/>
                <w:b w:val="0"/>
                <w:bCs w:val="0"/>
                <w:color w:val="auto"/>
                <w:sz w:val="24"/>
                <w:szCs w:val="24"/>
                <w:u w:val="none"/>
              </w:rPr>
              <w:t>为工业用地，项目占地区域土地面积较小，因此，项目</w:t>
            </w:r>
            <w:r>
              <w:rPr>
                <w:rFonts w:hint="default" w:ascii="Times New Roman" w:hAnsi="Times New Roman" w:eastAsia="宋体" w:cs="Times New Roman"/>
                <w:b w:val="0"/>
                <w:bCs w:val="0"/>
                <w:color w:val="auto"/>
                <w:spacing w:val="-1"/>
                <w:sz w:val="24"/>
                <w:szCs w:val="24"/>
                <w:u w:val="none"/>
              </w:rPr>
              <w:t>建设满足土地资源利用上</w:t>
            </w:r>
            <w:r>
              <w:rPr>
                <w:rFonts w:hint="default" w:ascii="Times New Roman" w:hAnsi="Times New Roman" w:eastAsia="宋体" w:cs="Times New Roman"/>
                <w:b w:val="0"/>
                <w:bCs w:val="0"/>
                <w:color w:val="auto"/>
                <w:spacing w:val="-2"/>
                <w:sz w:val="24"/>
                <w:szCs w:val="24"/>
                <w:u w:val="none"/>
              </w:rPr>
              <w:t>线及分区管控要求。</w:t>
            </w:r>
          </w:p>
          <w:p w14:paraId="25EBFA25">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pacing w:val="-2"/>
                <w:sz w:val="24"/>
                <w:szCs w:val="24"/>
                <w:u w:val="none"/>
              </w:rPr>
              <w:t>（4）生态环境准入清单</w:t>
            </w:r>
          </w:p>
          <w:p w14:paraId="10F3A7F3">
            <w:pPr>
              <w:pageBreakBefore w:val="0"/>
              <w:widowControl w:val="0"/>
              <w:kinsoku/>
              <w:wordWrap/>
              <w:overflowPunct/>
              <w:topLinePunct w:val="0"/>
              <w:bidi w:val="0"/>
              <w:snapToGrid/>
              <w:spacing w:before="0" w:beforeAutospacing="0" w:after="0" w:afterAutospacing="0" w:line="336" w:lineRule="auto"/>
              <w:ind w:firstLine="480" w:firstLineChars="200"/>
              <w:jc w:val="left"/>
              <w:textAlignment w:val="auto"/>
              <w:rPr>
                <w:rFonts w:hint="default" w:ascii="Times New Roman" w:hAnsi="Times New Roman" w:eastAsia="宋体" w:cs="Times New Roman"/>
                <w:b/>
                <w:bCs/>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经查询安徽省“三线一单”公众服务平台，项目环境管控单元编码为ZH</w:t>
            </w:r>
            <w:r>
              <w:rPr>
                <w:rFonts w:hint="default" w:ascii="Times New Roman" w:hAnsi="Times New Roman" w:eastAsia="宋体" w:cs="Times New Roman"/>
                <w:color w:val="auto"/>
                <w:sz w:val="24"/>
                <w:szCs w:val="24"/>
              </w:rPr>
              <w:t>3403232000</w:t>
            </w:r>
            <w:r>
              <w:rPr>
                <w:rFonts w:hint="eastAsia" w:cs="Times New Roman"/>
                <w:color w:val="auto"/>
                <w:sz w:val="24"/>
                <w:szCs w:val="24"/>
                <w:lang w:val="en-US" w:eastAsia="zh-CN"/>
              </w:rPr>
              <w:t>5</w:t>
            </w:r>
            <w:r>
              <w:rPr>
                <w:rFonts w:hint="default" w:ascii="Times New Roman" w:hAnsi="Times New Roman" w:eastAsia="宋体" w:cs="Times New Roman"/>
                <w:color w:val="auto"/>
                <w:kern w:val="0"/>
                <w:sz w:val="24"/>
                <w:szCs w:val="24"/>
                <w:u w:val="none"/>
                <w:lang w:val="en-US" w:eastAsia="zh-CN" w:bidi="ar-SA"/>
              </w:rPr>
              <w:t>，管控单元类型属于重点管控单元，详见图</w:t>
            </w:r>
            <w:r>
              <w:rPr>
                <w:rFonts w:hint="eastAsia" w:cs="Times New Roman"/>
                <w:color w:val="auto"/>
                <w:kern w:val="0"/>
                <w:sz w:val="24"/>
                <w:szCs w:val="24"/>
                <w:u w:val="none"/>
                <w:lang w:val="en-US" w:eastAsia="zh-CN" w:bidi="ar-SA"/>
              </w:rPr>
              <w:t>1</w:t>
            </w:r>
            <w:r>
              <w:rPr>
                <w:rFonts w:hint="default" w:ascii="Times New Roman" w:hAnsi="Times New Roman" w:eastAsia="宋体" w:cs="Times New Roman"/>
                <w:color w:val="auto"/>
                <w:kern w:val="0"/>
                <w:sz w:val="24"/>
                <w:szCs w:val="24"/>
                <w:u w:val="none"/>
                <w:lang w:val="en-US" w:eastAsia="zh-CN" w:bidi="ar-SA"/>
              </w:rPr>
              <w:t>-</w:t>
            </w:r>
            <w:r>
              <w:rPr>
                <w:rFonts w:hint="eastAsia" w:cs="Times New Roman"/>
                <w:color w:val="auto"/>
                <w:kern w:val="0"/>
                <w:sz w:val="24"/>
                <w:szCs w:val="24"/>
                <w:u w:val="none"/>
                <w:lang w:val="en-US" w:eastAsia="zh-CN" w:bidi="ar-SA"/>
              </w:rPr>
              <w:t>3</w:t>
            </w:r>
            <w:r>
              <w:rPr>
                <w:rFonts w:hint="default" w:ascii="Times New Roman" w:hAnsi="Times New Roman" w:eastAsia="宋体" w:cs="Times New Roman"/>
                <w:color w:val="auto"/>
                <w:kern w:val="0"/>
                <w:sz w:val="24"/>
                <w:szCs w:val="24"/>
                <w:u w:val="none"/>
                <w:lang w:val="en-US" w:eastAsia="zh-CN" w:bidi="ar-SA"/>
              </w:rPr>
              <w:t>。</w:t>
            </w:r>
          </w:p>
          <w:p w14:paraId="4DDC1C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根据《全国主体功能区规划》、《安徽省主体功能区规划》和《长江经济带战略环境评价蚌埠市“三线一单”编制文本》，蚌埠市生态环境准入清单以“三线”管控要求为基础，从要素和领域入手，按照空间布局约束、污染物排放管控、环境风险管控、资源开发效率4个维度，分别梳理国家和地方相关法律法规及各类规划、计划、政策文件以及战略/规划环评成果，衔接集成既有管理要求，有针对性提出生态环境准入要求。</w:t>
            </w:r>
          </w:p>
          <w:p w14:paraId="1A9EB2B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省级清单、区域清单和市级清单适用于全省及市级的一般性管控要求，由优先保护、重点管控、一般管控三大类环境管控单元生态环境准入清单组成。其中优先保护单元生态环境准入清单针对生态空间及大气、水、土壤等环境要素的优先保护区编制，主要强调空间用途管控，以禁止和限制开发为主；重点管控单元生态环境准入清单针对大气、水、土壤、资源能源及岸线等要素的重点管控区编制，主要从空间布局约束、污染物排放管控、环境风险防控和资源利用效率要求等方面提出要求；一般管控单元根据内部地块属性，按单要素重点管控区执行重点管控单元相应管理要求。</w:t>
            </w:r>
          </w:p>
          <w:p w14:paraId="5B627A37">
            <w:p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 w:val="24"/>
                <w:szCs w:val="24"/>
                <w:u w:val="none"/>
              </w:rPr>
              <w:t>项目需落实各项污染防治及风险管控措施，符合管控要求</w:t>
            </w:r>
            <w:r>
              <w:rPr>
                <w:rFonts w:hint="eastAsia" w:ascii="Times New Roman" w:hAnsi="Times New Roman" w:eastAsia="宋体" w:cs="Times New Roman"/>
                <w:b w:val="0"/>
                <w:bCs w:val="0"/>
                <w:color w:val="auto"/>
                <w:sz w:val="24"/>
                <w:szCs w:val="24"/>
                <w:u w:val="none"/>
                <w:lang w:eastAsia="zh-CN"/>
              </w:rPr>
              <w:t>。</w:t>
            </w:r>
          </w:p>
          <w:p w14:paraId="2D7C7F6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项目与《蚌埠市国土空间总体规划（2021-2035 年）》符合性分析</w:t>
            </w:r>
          </w:p>
          <w:p w14:paraId="1C3E56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eastAsia="zh-CN"/>
              </w:rPr>
              <w:t>《蚌埠市国土空间总体规</w:t>
            </w:r>
            <w:r>
              <w:rPr>
                <w:rFonts w:hint="default" w:ascii="Times New Roman" w:hAnsi="Times New Roman" w:eastAsia="宋体" w:cs="Times New Roman"/>
                <w:color w:val="auto"/>
                <w:sz w:val="24"/>
                <w:szCs w:val="24"/>
                <w:highlight w:val="none"/>
                <w:u w:val="none"/>
                <w:lang w:eastAsia="zh-CN"/>
              </w:rPr>
              <w:t>划（2021-2035年）》于2024年3月2日经安徽省人民政府审查后予以批复，批复文号（皖政秘[2024]44号）。对照国土空间规划中“三区三线”划定成果，本项目位于</w:t>
            </w:r>
            <w:r>
              <w:rPr>
                <w:rFonts w:hint="default" w:ascii="Times New Roman" w:hAnsi="Times New Roman" w:eastAsia="宋体" w:cs="Times New Roman"/>
                <w:color w:val="auto"/>
                <w:sz w:val="24"/>
                <w:szCs w:val="24"/>
                <w:u w:val="none"/>
                <w:lang w:eastAsia="zh-CN"/>
              </w:rPr>
              <w:t>固镇</w:t>
            </w:r>
            <w:r>
              <w:rPr>
                <w:rFonts w:hint="default" w:ascii="Times New Roman" w:hAnsi="Times New Roman" w:eastAsia="宋体" w:cs="Times New Roman"/>
                <w:color w:val="auto"/>
                <w:sz w:val="24"/>
                <w:szCs w:val="24"/>
                <w:u w:val="none"/>
              </w:rPr>
              <w:t>经济开发区</w:t>
            </w:r>
            <w:r>
              <w:rPr>
                <w:rFonts w:hint="default" w:ascii="Times New Roman" w:hAnsi="Times New Roman" w:eastAsia="宋体" w:cs="Times New Roman"/>
                <w:color w:val="auto"/>
                <w:sz w:val="24"/>
                <w:szCs w:val="24"/>
                <w:highlight w:val="none"/>
                <w:u w:val="none"/>
                <w:lang w:eastAsia="zh-CN"/>
              </w:rPr>
              <w:t>内，不属于永久基本农田、生态保护红线划定范围内。项目所在地位于蚌埠市城镇空间划定的城镇开发边界范围内，符合三区三线的要求。本项目在蚌埠市三区三线划定成果中的位置详见</w:t>
            </w:r>
            <w:r>
              <w:rPr>
                <w:rFonts w:hint="eastAsia" w:cs="Times New Roman"/>
                <w:color w:val="auto"/>
                <w:sz w:val="24"/>
                <w:szCs w:val="24"/>
                <w:highlight w:val="none"/>
                <w:u w:val="none"/>
                <w:lang w:eastAsia="zh-CN"/>
              </w:rPr>
              <w:t>附</w:t>
            </w:r>
            <w:r>
              <w:rPr>
                <w:rFonts w:hint="default" w:ascii="Times New Roman" w:hAnsi="Times New Roman" w:eastAsia="宋体" w:cs="Times New Roman"/>
                <w:color w:val="auto"/>
                <w:sz w:val="24"/>
                <w:szCs w:val="24"/>
                <w:highlight w:val="none"/>
                <w:u w:val="none"/>
                <w:lang w:eastAsia="zh-CN"/>
              </w:rPr>
              <w:t>图</w:t>
            </w:r>
            <w:r>
              <w:rPr>
                <w:rFonts w:hint="default" w:ascii="Times New Roman" w:hAnsi="Times New Roman" w:eastAsia="宋体" w:cs="Times New Roman"/>
                <w:color w:val="auto"/>
                <w:sz w:val="24"/>
                <w:szCs w:val="24"/>
                <w:highlight w:val="none"/>
                <w:u w:val="none"/>
                <w:lang w:val="en-US" w:eastAsia="zh-CN"/>
              </w:rPr>
              <w:t>。</w:t>
            </w:r>
          </w:p>
          <w:p w14:paraId="63854CFA">
            <w:pPr>
              <w:pStyle w:val="44"/>
              <w:spacing w:before="0" w:beforeAutospacing="0" w:after="0" w:afterAutospacing="0"/>
              <w:jc w:val="both"/>
              <w:rPr>
                <w:rFonts w:hint="default" w:ascii="Times New Roman" w:hAnsi="Times New Roman" w:eastAsia="宋体" w:cs="Times New Roman"/>
                <w:color w:val="auto"/>
                <w:kern w:val="0"/>
                <w:sz w:val="24"/>
                <w:szCs w:val="24"/>
                <w:lang w:val="en-US" w:eastAsia="zh-CN"/>
              </w:rPr>
            </w:pPr>
          </w:p>
          <w:p w14:paraId="7DA5B84C">
            <w:pPr>
              <w:pStyle w:val="44"/>
              <w:spacing w:before="0" w:beforeAutospacing="0" w:after="0" w:afterAutospacing="0" w:line="360" w:lineRule="auto"/>
              <w:jc w:val="both"/>
              <w:rPr>
                <w:rFonts w:hint="default" w:ascii="Times New Roman" w:hAnsi="Times New Roman" w:eastAsia="宋体" w:cs="Times New Roman"/>
                <w:color w:val="auto"/>
                <w:kern w:val="0"/>
                <w:sz w:val="24"/>
                <w:szCs w:val="24"/>
                <w:lang w:val="en-US" w:eastAsia="zh-CN"/>
              </w:rPr>
            </w:pPr>
          </w:p>
        </w:tc>
      </w:tr>
    </w:tbl>
    <w:p w14:paraId="3DB4FAC8">
      <w:pPr>
        <w:pStyle w:val="28"/>
        <w:rPr>
          <w:snapToGrid w:val="0"/>
          <w:color w:val="auto"/>
        </w:rPr>
        <w:sectPr>
          <w:footerReference r:id="rId5" w:type="default"/>
          <w:pgSz w:w="11906" w:h="16838"/>
          <w:pgMar w:top="1440" w:right="1134"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5" w:name="_Toc15543"/>
    </w:p>
    <w:tbl>
      <w:tblPr>
        <w:tblStyle w:val="29"/>
        <w:tblW w:w="4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2337"/>
      </w:tblGrid>
      <w:tr w14:paraId="665D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35" w:type="pct"/>
            <w:vAlign w:val="center"/>
          </w:tcPr>
          <w:p w14:paraId="0F4C406C">
            <w:pPr>
              <w:adjustRightInd w:val="0"/>
              <w:snapToGrid w:val="0"/>
              <w:jc w:val="center"/>
              <w:rPr>
                <w:b w:val="0"/>
                <w:bCs w:val="0"/>
                <w:color w:val="auto"/>
                <w:sz w:val="24"/>
                <w:szCs w:val="24"/>
              </w:rPr>
            </w:pPr>
          </w:p>
        </w:tc>
        <w:tc>
          <w:tcPr>
            <w:tcW w:w="4464" w:type="pct"/>
            <w:vAlign w:val="center"/>
          </w:tcPr>
          <w:p w14:paraId="6D27969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3622040</wp:posOffset>
                      </wp:positionH>
                      <wp:positionV relativeFrom="paragraph">
                        <wp:posOffset>1146175</wp:posOffset>
                      </wp:positionV>
                      <wp:extent cx="876300" cy="313055"/>
                      <wp:effectExtent l="5080" t="4445" r="13970" b="444500"/>
                      <wp:wrapNone/>
                      <wp:docPr id="15" name="自选图形 30"/>
                      <wp:cNvGraphicFramePr/>
                      <a:graphic xmlns:a="http://schemas.openxmlformats.org/drawingml/2006/main">
                        <a:graphicData uri="http://schemas.microsoft.com/office/word/2010/wordprocessingShape">
                          <wps:wsp>
                            <wps:cNvSpPr/>
                            <wps:spPr>
                              <a:xfrm>
                                <a:off x="7118350" y="3141980"/>
                                <a:ext cx="876300" cy="313055"/>
                              </a:xfrm>
                              <a:prstGeom prst="wedgeRectCallout">
                                <a:avLst>
                                  <a:gd name="adj1" fmla="val -43769"/>
                                  <a:gd name="adj2" fmla="val 184278"/>
                                </a:avLst>
                              </a:prstGeom>
                              <a:noFill/>
                              <a:ln w="9525" cap="flat" cmpd="sng">
                                <a:solidFill>
                                  <a:srgbClr val="FF0000"/>
                                </a:solidFill>
                                <a:prstDash val="solid"/>
                                <a:miter/>
                                <a:headEnd type="none" w="med" len="med"/>
                                <a:tailEnd type="none" w="med" len="med"/>
                              </a:ln>
                            </wps:spPr>
                            <wps:txbx>
                              <w:txbxContent>
                                <w:p w14:paraId="10A8D1F5">
                                  <w:pPr>
                                    <w:keepNext w:val="0"/>
                                    <w:keepLines w:val="0"/>
                                    <w:pageBreakBefore w:val="0"/>
                                    <w:widowControl/>
                                    <w:kinsoku/>
                                    <w:wordWrap/>
                                    <w:overflowPunct/>
                                    <w:topLinePunct w:val="0"/>
                                    <w:bidi w:val="0"/>
                                    <w:adjustRightInd/>
                                    <w:snapToGrid/>
                                    <w:jc w:val="center"/>
                                    <w:textAlignment w:val="auto"/>
                                    <w:rPr>
                                      <w:rFonts w:hint="eastAsia" w:eastAsia="宋体"/>
                                      <w:color w:val="FF0000"/>
                                      <w:lang w:eastAsia="zh-CN"/>
                                    </w:rPr>
                                  </w:pPr>
                                  <w:r>
                                    <w:rPr>
                                      <w:rFonts w:hint="eastAsia" w:eastAsia="宋体"/>
                                      <w:color w:val="FF0000"/>
                                      <w:lang w:eastAsia="zh-CN"/>
                                    </w:rPr>
                                    <w:t>本项目</w:t>
                                  </w:r>
                                </w:p>
                              </w:txbxContent>
                            </wps:txbx>
                            <wps:bodyPr wrap="square" upright="1"/>
                          </wps:wsp>
                        </a:graphicData>
                      </a:graphic>
                    </wp:anchor>
                  </w:drawing>
                </mc:Choice>
                <mc:Fallback>
                  <w:pict>
                    <v:shape id="自选图形 30" o:spid="_x0000_s1026" o:spt="61" type="#_x0000_t61" style="position:absolute;left:0pt;margin-left:285.2pt;margin-top:90.25pt;height:24.65pt;width:69pt;z-index:251660288;mso-width-relative:page;mso-height-relative:page;" filled="f" stroked="t" coordsize="21600,21600" o:gfxdata="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JRaCNsAAAALAQAADwAA&#10;AAAAAAABACAAAAAiAAAAZHJzL2Rvd25yZXYueG1sUEsBAhQAFAAAAAgAh07iQADAomFMAgAAgAQA&#10;AA4AAAAAAAAAAQAgAAAAKgEAAGRycy9lMm9Eb2MueG1sUEsFBgAAAAAGAAYAWQEAAOgFAAAAAA==&#10;" adj="1346,50604">
                      <v:fill on="f" focussize="0,0"/>
                      <v:stroke color="#FF0000" joinstyle="miter"/>
                      <v:imagedata o:title=""/>
                      <o:lock v:ext="edit" aspectratio="f"/>
                      <v:textbox>
                        <w:txbxContent>
                          <w:p w14:paraId="10A8D1F5">
                            <w:pPr>
                              <w:keepNext w:val="0"/>
                              <w:keepLines w:val="0"/>
                              <w:pageBreakBefore w:val="0"/>
                              <w:widowControl/>
                              <w:kinsoku/>
                              <w:wordWrap/>
                              <w:overflowPunct/>
                              <w:topLinePunct w:val="0"/>
                              <w:bidi w:val="0"/>
                              <w:adjustRightInd/>
                              <w:snapToGrid/>
                              <w:jc w:val="center"/>
                              <w:textAlignment w:val="auto"/>
                              <w:rPr>
                                <w:rFonts w:hint="eastAsia" w:eastAsia="宋体"/>
                                <w:color w:val="FF0000"/>
                                <w:lang w:eastAsia="zh-CN"/>
                              </w:rPr>
                            </w:pPr>
                            <w:r>
                              <w:rPr>
                                <w:rFonts w:hint="eastAsia" w:eastAsia="宋体"/>
                                <w:color w:val="FF0000"/>
                                <w:lang w:eastAsia="zh-CN"/>
                              </w:rPr>
                              <w:t>本项目</w:t>
                            </w:r>
                          </w:p>
                        </w:txbxContent>
                      </v:textbox>
                    </v:shape>
                  </w:pict>
                </mc:Fallback>
              </mc:AlternateContent>
            </w:r>
            <w:r>
              <w:rPr>
                <w:rFonts w:hint="default" w:ascii="Times New Roman" w:hAnsi="Times New Roman" w:eastAsia="宋体" w:cs="Times New Roman"/>
                <w:color w:val="auto"/>
                <w:sz w:val="24"/>
              </w:rPr>
              <w:drawing>
                <wp:inline distT="0" distB="0" distL="114300" distR="114300">
                  <wp:extent cx="7687310" cy="3408680"/>
                  <wp:effectExtent l="0" t="0" r="8890" b="1270"/>
                  <wp:docPr id="23" name="图片 23" descr="8f4837fc8079191beeb313580bc49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f4837fc8079191beeb313580bc4980d"/>
                          <pic:cNvPicPr>
                            <a:picLocks noChangeAspect="1"/>
                          </pic:cNvPicPr>
                        </pic:nvPicPr>
                        <pic:blipFill>
                          <a:blip r:embed="rId7"/>
                          <a:stretch>
                            <a:fillRect/>
                          </a:stretch>
                        </pic:blipFill>
                        <pic:spPr>
                          <a:xfrm>
                            <a:off x="0" y="0"/>
                            <a:ext cx="7687310" cy="3408680"/>
                          </a:xfrm>
                          <a:prstGeom prst="rect">
                            <a:avLst/>
                          </a:prstGeom>
                        </pic:spPr>
                      </pic:pic>
                    </a:graphicData>
                  </a:graphic>
                </wp:inline>
              </w:drawing>
            </w:r>
          </w:p>
          <w:p w14:paraId="3936F156">
            <w:pPr>
              <w:adjustRightInd w:val="0"/>
              <w:snapToGrid w:val="0"/>
              <w:jc w:val="center"/>
              <w:rPr>
                <w:rFonts w:hint="eastAsia"/>
                <w:b/>
                <w:color w:val="auto"/>
                <w:sz w:val="21"/>
                <w:szCs w:val="21"/>
                <w:lang w:eastAsia="zh-CN" w:bidi="en-US"/>
              </w:rPr>
            </w:pPr>
            <w:r>
              <w:rPr>
                <w:rFonts w:hint="eastAsia"/>
                <w:b/>
                <w:color w:val="auto"/>
                <w:sz w:val="21"/>
                <w:szCs w:val="21"/>
                <w:lang w:eastAsia="zh-CN" w:bidi="en-US"/>
              </w:rPr>
              <w:t>图</w:t>
            </w:r>
            <w:r>
              <w:rPr>
                <w:b/>
                <w:color w:val="auto"/>
                <w:sz w:val="21"/>
                <w:szCs w:val="21"/>
                <w:lang w:bidi="en-US"/>
              </w:rPr>
              <w:t>1</w:t>
            </w:r>
            <w:r>
              <w:rPr>
                <w:rFonts w:hint="eastAsia"/>
                <w:b/>
                <w:color w:val="auto"/>
                <w:sz w:val="21"/>
                <w:szCs w:val="21"/>
                <w:lang w:bidi="en-US"/>
              </w:rPr>
              <w:t>-</w:t>
            </w:r>
            <w:r>
              <w:rPr>
                <w:rFonts w:hint="eastAsia"/>
                <w:b/>
                <w:color w:val="auto"/>
                <w:sz w:val="21"/>
                <w:szCs w:val="21"/>
                <w:lang w:val="en-US" w:eastAsia="zh-CN" w:bidi="en-US"/>
              </w:rPr>
              <w:t xml:space="preserve">3 </w:t>
            </w:r>
            <w:r>
              <w:rPr>
                <w:rFonts w:hint="eastAsia"/>
                <w:b/>
                <w:color w:val="auto"/>
                <w:sz w:val="21"/>
                <w:szCs w:val="21"/>
                <w:lang w:eastAsia="zh-CN" w:bidi="en-US"/>
              </w:rPr>
              <w:t>本项目位于“三线一单”分区管控区域示意图</w:t>
            </w:r>
          </w:p>
          <w:p w14:paraId="09D31C9B">
            <w:pPr>
              <w:adjustRightInd w:val="0"/>
              <w:snapToGrid w:val="0"/>
              <w:jc w:val="center"/>
              <w:rPr>
                <w:rFonts w:hint="eastAsia"/>
                <w:b/>
                <w:color w:val="auto"/>
                <w:sz w:val="21"/>
                <w:szCs w:val="21"/>
                <w:lang w:eastAsia="zh-CN" w:bidi="en-US"/>
              </w:rPr>
            </w:pPr>
          </w:p>
          <w:p w14:paraId="2FE173AE">
            <w:pPr>
              <w:adjustRightInd w:val="0"/>
              <w:snapToGrid w:val="0"/>
              <w:jc w:val="center"/>
              <w:rPr>
                <w:rFonts w:hint="eastAsia"/>
                <w:b/>
                <w:color w:val="auto"/>
                <w:sz w:val="21"/>
                <w:szCs w:val="21"/>
                <w:lang w:eastAsia="zh-CN" w:bidi="en-US"/>
              </w:rPr>
            </w:pPr>
          </w:p>
          <w:p w14:paraId="6554740E">
            <w:pPr>
              <w:adjustRightInd w:val="0"/>
              <w:snapToGrid w:val="0"/>
              <w:jc w:val="center"/>
              <w:rPr>
                <w:rFonts w:hint="eastAsia"/>
                <w:b/>
                <w:color w:val="auto"/>
                <w:sz w:val="21"/>
                <w:szCs w:val="21"/>
                <w:lang w:eastAsia="zh-CN" w:bidi="en-US"/>
              </w:rPr>
            </w:pPr>
          </w:p>
          <w:p w14:paraId="27B11173">
            <w:pPr>
              <w:adjustRightInd w:val="0"/>
              <w:snapToGrid w:val="0"/>
              <w:jc w:val="center"/>
              <w:rPr>
                <w:rFonts w:hint="eastAsia"/>
                <w:b/>
                <w:color w:val="auto"/>
                <w:sz w:val="21"/>
                <w:szCs w:val="21"/>
                <w:lang w:eastAsia="zh-CN" w:bidi="en-US"/>
              </w:rPr>
            </w:pPr>
          </w:p>
          <w:p w14:paraId="202581C6">
            <w:pPr>
              <w:adjustRightInd w:val="0"/>
              <w:snapToGrid w:val="0"/>
              <w:jc w:val="center"/>
              <w:rPr>
                <w:rFonts w:hint="eastAsia"/>
                <w:b/>
                <w:color w:val="auto"/>
                <w:sz w:val="21"/>
                <w:szCs w:val="21"/>
                <w:lang w:eastAsia="zh-CN" w:bidi="en-US"/>
              </w:rPr>
            </w:pPr>
          </w:p>
          <w:p w14:paraId="11C9891A">
            <w:pPr>
              <w:adjustRightInd w:val="0"/>
              <w:snapToGrid w:val="0"/>
              <w:jc w:val="center"/>
              <w:rPr>
                <w:rFonts w:hint="eastAsia"/>
                <w:b/>
                <w:color w:val="auto"/>
                <w:sz w:val="21"/>
                <w:szCs w:val="21"/>
                <w:lang w:eastAsia="zh-CN" w:bidi="en-US"/>
              </w:rPr>
            </w:pPr>
          </w:p>
          <w:p w14:paraId="7AE52782">
            <w:pPr>
              <w:adjustRightInd w:val="0"/>
              <w:snapToGrid w:val="0"/>
              <w:jc w:val="center"/>
              <w:rPr>
                <w:rFonts w:hint="eastAsia"/>
                <w:b/>
                <w:color w:val="auto"/>
                <w:sz w:val="21"/>
                <w:szCs w:val="21"/>
                <w:lang w:eastAsia="zh-CN" w:bidi="en-US"/>
              </w:rPr>
            </w:pPr>
          </w:p>
          <w:p w14:paraId="434E3B2D">
            <w:pPr>
              <w:adjustRightInd w:val="0"/>
              <w:snapToGrid w:val="0"/>
              <w:jc w:val="center"/>
              <w:rPr>
                <w:rFonts w:hint="eastAsia"/>
                <w:b/>
                <w:color w:val="auto"/>
                <w:sz w:val="21"/>
                <w:szCs w:val="21"/>
                <w:lang w:eastAsia="zh-CN" w:bidi="en-US"/>
              </w:rPr>
            </w:pPr>
          </w:p>
          <w:p w14:paraId="0522694D">
            <w:pPr>
              <w:adjustRightInd w:val="0"/>
              <w:snapToGrid w:val="0"/>
              <w:jc w:val="center"/>
              <w:rPr>
                <w:rFonts w:hint="default"/>
                <w:b w:val="0"/>
                <w:bCs w:val="0"/>
                <w:color w:val="auto"/>
                <w:sz w:val="24"/>
                <w:szCs w:val="24"/>
                <w:lang w:val="en-US" w:eastAsia="zh-CN"/>
              </w:rPr>
            </w:pPr>
            <w:r>
              <w:rPr>
                <w:rFonts w:hint="eastAsia"/>
                <w:b/>
                <w:color w:val="auto"/>
                <w:sz w:val="21"/>
                <w:szCs w:val="21"/>
                <w:lang w:val="en-US" w:eastAsia="zh-CN" w:bidi="en-US"/>
              </w:rPr>
              <w:t xml:space="preserve"> </w:t>
            </w:r>
          </w:p>
        </w:tc>
      </w:tr>
    </w:tbl>
    <w:p w14:paraId="1078C14A">
      <w:pPr>
        <w:pStyle w:val="28"/>
        <w:rPr>
          <w:snapToGrid w:val="0"/>
          <w:color w:val="auto"/>
        </w:rPr>
        <w:sectPr>
          <w:pgSz w:w="16838" w:h="11906" w:orient="landscape"/>
          <w:pgMar w:top="1417" w:right="1440" w:bottom="1134"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0DC95F4">
      <w:pPr>
        <w:pStyle w:val="28"/>
        <w:rPr>
          <w:rFonts w:hAnsi="Times New Roman"/>
          <w:snapToGrid w:val="0"/>
          <w:color w:val="auto"/>
        </w:rPr>
      </w:pPr>
      <w:bookmarkStart w:id="6" w:name="_Toc11759"/>
      <w:r>
        <w:rPr>
          <w:snapToGrid w:val="0"/>
          <w:color w:val="auto"/>
        </w:rPr>
        <w:t>二、建设项目工程分析</w:t>
      </w:r>
      <w:bookmarkEnd w:id="5"/>
      <w:bookmarkEnd w:id="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115"/>
      </w:tblGrid>
      <w:tr w14:paraId="1AA9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6F6B677A">
            <w:pPr>
              <w:autoSpaceDE w:val="0"/>
              <w:autoSpaceDN w:val="0"/>
              <w:adjustRightInd w:val="0"/>
              <w:snapToGrid w:val="0"/>
              <w:jc w:val="center"/>
              <w:rPr>
                <w:color w:val="auto"/>
                <w:sz w:val="24"/>
                <w:szCs w:val="24"/>
              </w:rPr>
            </w:pPr>
            <w:r>
              <w:rPr>
                <w:rFonts w:hint="eastAsia"/>
                <w:color w:val="auto"/>
                <w:sz w:val="24"/>
                <w:szCs w:val="24"/>
              </w:rPr>
              <w:t>建设内容</w:t>
            </w:r>
          </w:p>
        </w:tc>
        <w:tc>
          <w:tcPr>
            <w:tcW w:w="9115" w:type="dxa"/>
            <w:vAlign w:val="center"/>
          </w:tcPr>
          <w:p w14:paraId="483F1713">
            <w:pPr>
              <w:spacing w:line="360" w:lineRule="auto"/>
              <w:rPr>
                <w:b/>
                <w:color w:val="auto"/>
                <w:sz w:val="24"/>
                <w:szCs w:val="24"/>
              </w:rPr>
            </w:pPr>
            <w:r>
              <w:rPr>
                <w:b/>
                <w:color w:val="auto"/>
                <w:sz w:val="24"/>
                <w:szCs w:val="24"/>
              </w:rPr>
              <w:t>1、建设内容</w:t>
            </w:r>
          </w:p>
          <w:p w14:paraId="084C43B2">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eastAsia="宋体"/>
                <w:color w:val="auto"/>
                <w:sz w:val="24"/>
                <w:szCs w:val="24"/>
                <w:lang w:eastAsia="zh-CN"/>
              </w:rPr>
            </w:pPr>
            <w:r>
              <w:rPr>
                <w:rFonts w:hint="eastAsia"/>
                <w:color w:val="auto"/>
                <w:sz w:val="24"/>
                <w:szCs w:val="24"/>
                <w:lang w:eastAsia="zh-CN"/>
              </w:rPr>
              <w:t>宇格明叶（安徽）环保科技有限公司</w:t>
            </w:r>
            <w:r>
              <w:rPr>
                <w:rFonts w:hint="eastAsia"/>
                <w:color w:val="auto"/>
                <w:sz w:val="24"/>
                <w:szCs w:val="24"/>
              </w:rPr>
              <w:t>拟</w:t>
            </w:r>
            <w:r>
              <w:rPr>
                <w:color w:val="auto"/>
                <w:sz w:val="24"/>
                <w:szCs w:val="24"/>
              </w:rPr>
              <w:t>投资</w:t>
            </w:r>
            <w:r>
              <w:rPr>
                <w:rFonts w:hint="eastAsia"/>
                <w:color w:val="auto"/>
                <w:sz w:val="24"/>
                <w:szCs w:val="24"/>
                <w:lang w:val="en-US" w:eastAsia="zh-CN"/>
              </w:rPr>
              <w:t>15000</w:t>
            </w:r>
            <w:r>
              <w:rPr>
                <w:color w:val="auto"/>
                <w:sz w:val="24"/>
                <w:szCs w:val="24"/>
              </w:rPr>
              <w:t>万元</w:t>
            </w:r>
            <w:r>
              <w:rPr>
                <w:rFonts w:hint="eastAsia"/>
                <w:color w:val="auto"/>
                <w:sz w:val="24"/>
                <w:szCs w:val="24"/>
                <w:lang w:eastAsia="zh-CN"/>
              </w:rPr>
              <w:t>新建</w:t>
            </w:r>
            <w:r>
              <w:rPr>
                <w:rFonts w:hint="eastAsia"/>
                <w:color w:val="auto"/>
                <w:sz w:val="24"/>
                <w:szCs w:val="24"/>
              </w:rPr>
              <w:t>“</w:t>
            </w:r>
            <w:r>
              <w:rPr>
                <w:rFonts w:hint="eastAsia" w:ascii="Times New Roman" w:hAnsi="Times New Roman"/>
                <w:color w:val="auto"/>
                <w:sz w:val="24"/>
                <w:szCs w:val="24"/>
                <w:lang w:val="en-US" w:eastAsia="zh-CN"/>
              </w:rPr>
              <w:t>年产</w:t>
            </w:r>
            <w:r>
              <w:rPr>
                <w:rFonts w:hint="eastAsia"/>
                <w:color w:val="auto"/>
                <w:sz w:val="24"/>
                <w:szCs w:val="24"/>
                <w:lang w:val="en-US" w:eastAsia="zh-CN"/>
              </w:rPr>
              <w:t>20万套环保材料及环保设备生产基地</w:t>
            </w:r>
            <w:r>
              <w:rPr>
                <w:rFonts w:hint="eastAsia" w:ascii="Times New Roman" w:hAnsi="Times New Roman"/>
                <w:color w:val="auto"/>
                <w:sz w:val="24"/>
                <w:szCs w:val="24"/>
                <w:lang w:val="en-US" w:eastAsia="zh-CN"/>
              </w:rPr>
              <w:t>项目</w:t>
            </w:r>
            <w:r>
              <w:rPr>
                <w:rFonts w:hint="eastAsia"/>
                <w:color w:val="auto"/>
                <w:sz w:val="24"/>
                <w:szCs w:val="24"/>
              </w:rPr>
              <w:t>”</w:t>
            </w:r>
            <w:r>
              <w:rPr>
                <w:rFonts w:hint="eastAsia"/>
                <w:color w:val="auto"/>
                <w:sz w:val="24"/>
                <w:szCs w:val="24"/>
                <w:lang w:eastAsia="zh-CN"/>
              </w:rPr>
              <w:t>，</w:t>
            </w:r>
            <w:r>
              <w:rPr>
                <w:color w:val="auto"/>
                <w:sz w:val="24"/>
                <w:szCs w:val="24"/>
              </w:rPr>
              <w:t>项目选址位于</w:t>
            </w:r>
            <w:r>
              <w:rPr>
                <w:rFonts w:hint="eastAsia"/>
                <w:color w:val="auto"/>
                <w:sz w:val="24"/>
                <w:szCs w:val="24"/>
                <w:lang w:eastAsia="zh-CN"/>
              </w:rPr>
              <w:t>蚌埠市</w:t>
            </w:r>
            <w:r>
              <w:rPr>
                <w:rFonts w:hint="eastAsia"/>
                <w:color w:val="auto"/>
                <w:sz w:val="24"/>
                <w:szCs w:val="24"/>
                <w:lang w:val="en-US" w:eastAsia="zh-CN"/>
              </w:rPr>
              <w:t>固镇经济开发区三星大道005号，。</w:t>
            </w:r>
            <w:r>
              <w:rPr>
                <w:rFonts w:hint="eastAsia"/>
                <w:color w:val="auto"/>
                <w:sz w:val="24"/>
                <w:szCs w:val="24"/>
                <w:lang w:eastAsia="zh-CN"/>
              </w:rPr>
              <w:t>项目占地</w:t>
            </w:r>
            <w:r>
              <w:rPr>
                <w:rFonts w:hint="eastAsia"/>
                <w:color w:val="auto"/>
                <w:sz w:val="24"/>
                <w:szCs w:val="24"/>
                <w:lang w:val="en-US" w:eastAsia="zh-CN"/>
              </w:rPr>
              <w:t>41亩，建设生产车间及办公楼</w:t>
            </w:r>
            <w:r>
              <w:rPr>
                <w:rFonts w:hint="eastAsia"/>
                <w:color w:val="auto"/>
                <w:sz w:val="24"/>
                <w:szCs w:val="24"/>
                <w:lang w:eastAsia="zh-CN"/>
              </w:rPr>
              <w:t>，</w:t>
            </w:r>
            <w:r>
              <w:rPr>
                <w:color w:val="auto"/>
                <w:sz w:val="24"/>
                <w:szCs w:val="24"/>
              </w:rPr>
              <w:t>项目建成后，</w:t>
            </w:r>
            <w:r>
              <w:rPr>
                <w:rFonts w:hint="eastAsia"/>
                <w:color w:val="auto"/>
                <w:sz w:val="24"/>
                <w:szCs w:val="24"/>
                <w:lang w:eastAsia="zh-CN"/>
              </w:rPr>
              <w:t>可</w:t>
            </w:r>
            <w:r>
              <w:rPr>
                <w:rFonts w:hint="eastAsia" w:ascii="Times New Roman" w:hAnsi="Times New Roman"/>
                <w:color w:val="auto"/>
                <w:sz w:val="24"/>
                <w:szCs w:val="24"/>
                <w:lang w:val="en-US" w:eastAsia="zh-CN"/>
              </w:rPr>
              <w:t>年产</w:t>
            </w:r>
            <w:r>
              <w:rPr>
                <w:rFonts w:hint="eastAsia"/>
                <w:color w:val="auto"/>
                <w:sz w:val="24"/>
                <w:szCs w:val="24"/>
                <w:lang w:val="en-US" w:eastAsia="zh-CN"/>
              </w:rPr>
              <w:t>20万套环保材料及环保设备</w:t>
            </w:r>
            <w:r>
              <w:rPr>
                <w:rFonts w:hint="eastAsia"/>
                <w:color w:val="auto"/>
                <w:sz w:val="24"/>
                <w:szCs w:val="24"/>
                <w:lang w:eastAsia="zh-CN"/>
              </w:rPr>
              <w:t>。</w:t>
            </w:r>
          </w:p>
          <w:p w14:paraId="676473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default" w:ascii="Times New Roman" w:hAnsi="Times New Roman" w:eastAsia="宋体" w:cs="Times New Roman"/>
                <w:color w:val="auto"/>
                <w:sz w:val="24"/>
                <w:szCs w:val="24"/>
              </w:rPr>
              <w:t>根据《建</w:t>
            </w:r>
            <w:r>
              <w:rPr>
                <w:color w:val="auto"/>
                <w:sz w:val="24"/>
                <w:szCs w:val="24"/>
              </w:rPr>
              <w:t>设项目环境影响评价分类管理名录</w:t>
            </w:r>
            <w:r>
              <w:rPr>
                <w:rFonts w:hint="eastAsia"/>
                <w:color w:val="auto"/>
                <w:sz w:val="24"/>
                <w:szCs w:val="24"/>
              </w:rPr>
              <w:t>（2</w:t>
            </w:r>
            <w:r>
              <w:rPr>
                <w:color w:val="auto"/>
                <w:sz w:val="24"/>
                <w:szCs w:val="24"/>
              </w:rPr>
              <w:t>021</w:t>
            </w:r>
            <w:r>
              <w:rPr>
                <w:rFonts w:hint="eastAsia"/>
                <w:color w:val="auto"/>
                <w:sz w:val="24"/>
                <w:szCs w:val="24"/>
              </w:rPr>
              <w:t>年版）</w:t>
            </w:r>
            <w:r>
              <w:rPr>
                <w:color w:val="auto"/>
                <w:sz w:val="24"/>
                <w:szCs w:val="24"/>
              </w:rPr>
              <w:t>》本项目属于</w:t>
            </w:r>
            <w:r>
              <w:rPr>
                <w:rFonts w:hint="eastAsia"/>
                <w:color w:val="auto"/>
                <w:sz w:val="24"/>
                <w:szCs w:val="24"/>
              </w:rPr>
              <w:t>“</w:t>
            </w:r>
            <w:r>
              <w:rPr>
                <w:rFonts w:hint="eastAsia" w:eastAsia="宋体"/>
                <w:color w:val="auto"/>
                <w:sz w:val="24"/>
                <w:lang w:val="en-US" w:eastAsia="zh-CN"/>
              </w:rPr>
              <w:t>二十六、橡胶和塑料制品业29；53塑料制品业292；其他（年用非溶剂型低VOCs含量涂料10吨以下的除外）</w:t>
            </w:r>
            <w:r>
              <w:rPr>
                <w:rFonts w:hint="eastAsia"/>
                <w:color w:val="auto"/>
                <w:sz w:val="24"/>
                <w:szCs w:val="24"/>
              </w:rPr>
              <w:t>”</w:t>
            </w:r>
            <w:r>
              <w:rPr>
                <w:color w:val="auto"/>
                <w:sz w:val="24"/>
                <w:szCs w:val="24"/>
              </w:rPr>
              <w:t>，</w:t>
            </w:r>
            <w:r>
              <w:rPr>
                <w:rFonts w:hint="eastAsia"/>
                <w:color w:val="auto"/>
                <w:sz w:val="24"/>
                <w:szCs w:val="24"/>
                <w:lang w:eastAsia="zh-CN"/>
              </w:rPr>
              <w:t>需编制</w:t>
            </w:r>
            <w:r>
              <w:rPr>
                <w:color w:val="auto"/>
                <w:sz w:val="24"/>
                <w:szCs w:val="24"/>
              </w:rPr>
              <w:t>环境影响报告表。</w:t>
            </w:r>
          </w:p>
          <w:p w14:paraId="7770AB4D">
            <w:pPr>
              <w:spacing w:line="360" w:lineRule="auto"/>
              <w:ind w:firstLine="480" w:firstLineChars="200"/>
              <w:rPr>
                <w:color w:val="auto"/>
                <w:sz w:val="24"/>
                <w:szCs w:val="24"/>
              </w:rPr>
            </w:pPr>
            <w:r>
              <w:rPr>
                <w:color w:val="auto"/>
                <w:sz w:val="24"/>
                <w:szCs w:val="24"/>
              </w:rPr>
              <w:t>建设单位</w:t>
            </w:r>
            <w:r>
              <w:rPr>
                <w:rFonts w:hint="eastAsia"/>
                <w:color w:val="auto"/>
                <w:sz w:val="24"/>
                <w:szCs w:val="24"/>
                <w:lang w:eastAsia="zh-CN"/>
              </w:rPr>
              <w:t>宇格明叶（安徽）环保科技有限公司</w:t>
            </w:r>
            <w:r>
              <w:rPr>
                <w:color w:val="auto"/>
                <w:sz w:val="24"/>
                <w:szCs w:val="24"/>
              </w:rPr>
              <w:t>委托</w:t>
            </w:r>
            <w:r>
              <w:rPr>
                <w:rFonts w:hint="eastAsia"/>
                <w:color w:val="auto"/>
                <w:sz w:val="24"/>
                <w:szCs w:val="24"/>
                <w:lang w:eastAsia="zh-CN"/>
              </w:rPr>
              <w:t>蚌埠富鑫环境科技有限公司</w:t>
            </w:r>
            <w:r>
              <w:rPr>
                <w:color w:val="auto"/>
                <w:sz w:val="24"/>
                <w:szCs w:val="24"/>
              </w:rPr>
              <w:t>对该项目进行环境影响评价工作。接受委托后，我单位技术人员对本项目进行了的详细的现场踏勘、资料收集工作，在对本项目工程有关环境现状和可能造成的环境影响进行分析后，依照环境影响评价技术导则的要求编制了环境影响报告表。报请</w:t>
            </w:r>
            <w:r>
              <w:rPr>
                <w:rFonts w:hint="eastAsia"/>
                <w:color w:val="auto"/>
                <w:sz w:val="24"/>
                <w:szCs w:val="24"/>
                <w:lang w:eastAsia="zh-CN"/>
              </w:rPr>
              <w:t>生态环境</w:t>
            </w:r>
            <w:r>
              <w:rPr>
                <w:color w:val="auto"/>
                <w:sz w:val="24"/>
                <w:szCs w:val="24"/>
              </w:rPr>
              <w:t>主管部门审批，以期为项目实施和管理提供参考依据。</w:t>
            </w:r>
          </w:p>
          <w:p w14:paraId="69FA4A50">
            <w:pPr>
              <w:spacing w:line="240" w:lineRule="auto"/>
              <w:ind w:firstLine="480" w:firstLineChars="200"/>
              <w:rPr>
                <w:color w:val="auto"/>
                <w:sz w:val="24"/>
                <w:szCs w:val="24"/>
              </w:rPr>
            </w:pPr>
            <w:r>
              <w:rPr>
                <w:color w:val="auto"/>
                <w:sz w:val="24"/>
                <w:szCs w:val="24"/>
              </w:rPr>
              <w:t>项目建设内容见下表。</w:t>
            </w:r>
          </w:p>
          <w:p w14:paraId="16BEC594">
            <w:pPr>
              <w:spacing w:line="240" w:lineRule="auto"/>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1</w:t>
            </w:r>
            <w:r>
              <w:rPr>
                <w:b/>
                <w:color w:val="auto"/>
                <w:sz w:val="21"/>
                <w:szCs w:val="21"/>
              </w:rPr>
              <w:t>项目建设内容一览表</w:t>
            </w:r>
          </w:p>
          <w:tbl>
            <w:tblPr>
              <w:tblStyle w:val="29"/>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51"/>
              <w:gridCol w:w="1857"/>
              <w:gridCol w:w="4322"/>
              <w:gridCol w:w="1039"/>
            </w:tblGrid>
            <w:tr w14:paraId="0F85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Align w:val="center"/>
                </w:tcPr>
                <w:p w14:paraId="6C8196C8">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工程名称</w:t>
                  </w:r>
                </w:p>
              </w:tc>
              <w:tc>
                <w:tcPr>
                  <w:tcW w:w="589" w:type="pct"/>
                  <w:vAlign w:val="center"/>
                </w:tcPr>
                <w:p w14:paraId="6C3E0A96">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单项工程名称</w:t>
                  </w:r>
                </w:p>
              </w:tc>
              <w:tc>
                <w:tcPr>
                  <w:tcW w:w="3465" w:type="pct"/>
                  <w:gridSpan w:val="2"/>
                  <w:vAlign w:val="center"/>
                </w:tcPr>
                <w:p w14:paraId="754069EC">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工程建设内容</w:t>
                  </w:r>
                </w:p>
              </w:tc>
              <w:tc>
                <w:tcPr>
                  <w:tcW w:w="582" w:type="pct"/>
                  <w:vAlign w:val="center"/>
                </w:tcPr>
                <w:p w14:paraId="19169A72">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备注</w:t>
                  </w:r>
                </w:p>
              </w:tc>
            </w:tr>
            <w:tr w14:paraId="7026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Align w:val="center"/>
                </w:tcPr>
                <w:p w14:paraId="1CF4D1A2">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主体工程</w:t>
                  </w:r>
                </w:p>
              </w:tc>
              <w:tc>
                <w:tcPr>
                  <w:tcW w:w="589" w:type="pct"/>
                  <w:vAlign w:val="center"/>
                </w:tcPr>
                <w:p w14:paraId="637875D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生产车间</w:t>
                  </w:r>
                </w:p>
              </w:tc>
              <w:tc>
                <w:tcPr>
                  <w:tcW w:w="3465" w:type="pct"/>
                  <w:gridSpan w:val="2"/>
                  <w:vAlign w:val="center"/>
                </w:tcPr>
                <w:p w14:paraId="0BEDB0D7">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b w:val="0"/>
                      <w:bCs/>
                      <w:color w:val="auto"/>
                      <w:sz w:val="21"/>
                      <w:szCs w:val="21"/>
                      <w:lang w:eastAsia="zh-CN"/>
                    </w:rPr>
                    <w:t>厂房建筑面积</w:t>
                  </w:r>
                  <w:r>
                    <w:rPr>
                      <w:rFonts w:hint="eastAsia"/>
                      <w:b w:val="0"/>
                      <w:bCs/>
                      <w:color w:val="auto"/>
                      <w:sz w:val="21"/>
                      <w:szCs w:val="21"/>
                      <w:lang w:val="en-US" w:eastAsia="zh-CN"/>
                    </w:rPr>
                    <w:t>18201.93</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eastAsia="zh-CN"/>
                    </w:rPr>
                    <w:t>高度</w:t>
                  </w:r>
                  <w:r>
                    <w:rPr>
                      <w:rFonts w:hint="eastAsia"/>
                      <w:b w:val="0"/>
                      <w:bCs/>
                      <w:color w:val="auto"/>
                      <w:sz w:val="21"/>
                      <w:szCs w:val="21"/>
                      <w:lang w:val="en-US" w:eastAsia="zh-CN"/>
                    </w:rPr>
                    <w:t>11.15m</w:t>
                  </w:r>
                  <w:r>
                    <w:rPr>
                      <w:rFonts w:hint="eastAsia"/>
                      <w:b w:val="0"/>
                      <w:bCs/>
                      <w:color w:val="auto"/>
                      <w:sz w:val="21"/>
                      <w:szCs w:val="21"/>
                      <w:lang w:eastAsia="zh-CN"/>
                    </w:rPr>
                    <w:t>。主要为原料区、成品区及生产区，生产区包括挤出机台、注塑机台、粉碎机、</w:t>
                  </w:r>
                  <w:r>
                    <w:rPr>
                      <w:rFonts w:hint="eastAsia"/>
                      <w:b w:val="0"/>
                      <w:bCs/>
                      <w:color w:val="auto"/>
                      <w:sz w:val="21"/>
                      <w:szCs w:val="21"/>
                      <w:lang w:val="en-US" w:eastAsia="zh-CN"/>
                    </w:rPr>
                    <w:t>PP板材加工区</w:t>
                  </w:r>
                  <w:r>
                    <w:rPr>
                      <w:rFonts w:hint="eastAsia"/>
                      <w:b w:val="0"/>
                      <w:bCs/>
                      <w:color w:val="auto"/>
                      <w:sz w:val="21"/>
                      <w:szCs w:val="21"/>
                      <w:lang w:eastAsia="zh-CN"/>
                    </w:rPr>
                    <w:t>等，项目建成后，可年产</w:t>
                  </w:r>
                  <w:r>
                    <w:rPr>
                      <w:rFonts w:hint="eastAsia"/>
                      <w:b w:val="0"/>
                      <w:bCs/>
                      <w:color w:val="auto"/>
                      <w:sz w:val="21"/>
                      <w:szCs w:val="21"/>
                      <w:lang w:val="en-US" w:eastAsia="zh-CN"/>
                    </w:rPr>
                    <w:t>20万套环保材料及环保设备。</w:t>
                  </w:r>
                </w:p>
              </w:tc>
              <w:tc>
                <w:tcPr>
                  <w:tcW w:w="582" w:type="pct"/>
                  <w:vAlign w:val="center"/>
                </w:tcPr>
                <w:p w14:paraId="216F9ABA">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新建</w:t>
                  </w:r>
                </w:p>
              </w:tc>
            </w:tr>
            <w:tr w14:paraId="5164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restart"/>
                  <w:vAlign w:val="center"/>
                </w:tcPr>
                <w:p w14:paraId="04153613">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rFonts w:hint="eastAsia"/>
                      <w:b w:val="0"/>
                      <w:bCs/>
                      <w:color w:val="auto"/>
                      <w:sz w:val="21"/>
                      <w:szCs w:val="21"/>
                      <w:lang w:eastAsia="zh-CN"/>
                    </w:rPr>
                    <w:t>储运</w:t>
                  </w:r>
                  <w:r>
                    <w:rPr>
                      <w:b w:val="0"/>
                      <w:bCs/>
                      <w:color w:val="auto"/>
                      <w:sz w:val="21"/>
                      <w:szCs w:val="21"/>
                    </w:rPr>
                    <w:t>工程</w:t>
                  </w:r>
                </w:p>
              </w:tc>
              <w:tc>
                <w:tcPr>
                  <w:tcW w:w="589" w:type="pct"/>
                  <w:vAlign w:val="center"/>
                </w:tcPr>
                <w:p w14:paraId="3AA2ACFC">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原料区</w:t>
                  </w:r>
                </w:p>
              </w:tc>
              <w:tc>
                <w:tcPr>
                  <w:tcW w:w="3465" w:type="pct"/>
                  <w:gridSpan w:val="2"/>
                  <w:vAlign w:val="center"/>
                </w:tcPr>
                <w:p w14:paraId="33D1919F">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rFonts w:hint="eastAsia"/>
                      <w:b w:val="0"/>
                      <w:bCs/>
                      <w:color w:val="auto"/>
                      <w:sz w:val="21"/>
                      <w:szCs w:val="21"/>
                      <w:lang w:eastAsia="zh-CN"/>
                    </w:rPr>
                    <w:t>位于生产车间西侧，建筑面积约</w:t>
                  </w:r>
                  <w:r>
                    <w:rPr>
                      <w:rFonts w:hint="eastAsia"/>
                      <w:b w:val="0"/>
                      <w:bCs/>
                      <w:color w:val="auto"/>
                      <w:sz w:val="21"/>
                      <w:szCs w:val="21"/>
                      <w:lang w:val="en-US" w:eastAsia="zh-CN"/>
                    </w:rPr>
                    <w:t>1000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eastAsia="zh-CN"/>
                    </w:rPr>
                    <w:t>用于存放</w:t>
                  </w:r>
                  <w:r>
                    <w:rPr>
                      <w:rFonts w:hint="eastAsia"/>
                      <w:color w:val="auto"/>
                      <w:sz w:val="21"/>
                      <w:szCs w:val="21"/>
                      <w:lang w:val="en-US" w:eastAsia="zh-CN"/>
                    </w:rPr>
                    <w:t>PP原粒、PP改性料、色母粒</w:t>
                  </w:r>
                  <w:r>
                    <w:rPr>
                      <w:rFonts w:hint="eastAsia"/>
                      <w:color w:val="auto"/>
                      <w:sz w:val="21"/>
                      <w:szCs w:val="21"/>
                      <w:lang w:eastAsia="zh-CN"/>
                    </w:rPr>
                    <w:t>等原料。</w:t>
                  </w:r>
                </w:p>
              </w:tc>
              <w:tc>
                <w:tcPr>
                  <w:tcW w:w="582" w:type="pct"/>
                  <w:vMerge w:val="restart"/>
                  <w:vAlign w:val="center"/>
                </w:tcPr>
                <w:p w14:paraId="670FB94F">
                  <w:pPr>
                    <w:jc w:val="center"/>
                    <w:rPr>
                      <w:rFonts w:hint="eastAsia"/>
                      <w:color w:val="auto"/>
                      <w:lang w:eastAsia="zh-CN"/>
                    </w:rPr>
                  </w:pPr>
                  <w:r>
                    <w:rPr>
                      <w:rFonts w:hint="eastAsia"/>
                      <w:b w:val="0"/>
                      <w:bCs/>
                      <w:color w:val="auto"/>
                      <w:sz w:val="21"/>
                      <w:szCs w:val="21"/>
                      <w:lang w:eastAsia="zh-CN"/>
                    </w:rPr>
                    <w:t>新建</w:t>
                  </w:r>
                </w:p>
              </w:tc>
            </w:tr>
            <w:tr w14:paraId="30AC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1C5346A7">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60AFEC9C">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成品区</w:t>
                  </w:r>
                </w:p>
              </w:tc>
              <w:tc>
                <w:tcPr>
                  <w:tcW w:w="3465" w:type="pct"/>
                  <w:gridSpan w:val="2"/>
                  <w:vAlign w:val="center"/>
                </w:tcPr>
                <w:p w14:paraId="45FA995B">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位于生产车间</w:t>
                  </w:r>
                  <w:r>
                    <w:rPr>
                      <w:rFonts w:hint="eastAsia"/>
                      <w:b w:val="0"/>
                      <w:bCs/>
                      <w:color w:val="auto"/>
                      <w:sz w:val="21"/>
                      <w:szCs w:val="21"/>
                      <w:lang w:val="en-US" w:eastAsia="zh-CN"/>
                    </w:rPr>
                    <w:t>东侧，</w:t>
                  </w:r>
                  <w:r>
                    <w:rPr>
                      <w:rFonts w:hint="eastAsia"/>
                      <w:b w:val="0"/>
                      <w:bCs/>
                      <w:color w:val="auto"/>
                      <w:sz w:val="21"/>
                      <w:szCs w:val="21"/>
                      <w:lang w:eastAsia="zh-CN"/>
                    </w:rPr>
                    <w:t>建筑面积</w:t>
                  </w:r>
                  <w:r>
                    <w:rPr>
                      <w:rFonts w:hint="eastAsia"/>
                      <w:b w:val="0"/>
                      <w:bCs/>
                      <w:color w:val="auto"/>
                      <w:sz w:val="21"/>
                      <w:szCs w:val="21"/>
                      <w:lang w:val="en-US" w:eastAsia="zh-CN"/>
                    </w:rPr>
                    <w:t>8000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eastAsia="zh-CN"/>
                    </w:rPr>
                    <w:t>用于成品储存。</w:t>
                  </w:r>
                </w:p>
              </w:tc>
              <w:tc>
                <w:tcPr>
                  <w:tcW w:w="582" w:type="pct"/>
                  <w:vMerge w:val="continue"/>
                  <w:vAlign w:val="center"/>
                </w:tcPr>
                <w:p w14:paraId="3F68191B">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r>
            <w:tr w14:paraId="39B6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Align w:val="center"/>
                </w:tcPr>
                <w:p w14:paraId="23685594">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辅助工程</w:t>
                  </w:r>
                </w:p>
              </w:tc>
              <w:tc>
                <w:tcPr>
                  <w:tcW w:w="589" w:type="pct"/>
                  <w:vAlign w:val="center"/>
                </w:tcPr>
                <w:p w14:paraId="54F7289F">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综合办公区</w:t>
                  </w:r>
                </w:p>
              </w:tc>
              <w:tc>
                <w:tcPr>
                  <w:tcW w:w="3465" w:type="pct"/>
                  <w:gridSpan w:val="2"/>
                  <w:vAlign w:val="center"/>
                </w:tcPr>
                <w:p w14:paraId="4A43EF72">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default" w:ascii="Times New Roman" w:hAnsi="Times New Roman" w:eastAsia="宋体" w:cs="Times New Roman"/>
                      <w:b w:val="0"/>
                      <w:bCs/>
                      <w:color w:val="auto"/>
                      <w:sz w:val="21"/>
                      <w:szCs w:val="21"/>
                      <w:lang w:eastAsia="zh-CN"/>
                    </w:rPr>
                    <w:t>建筑面积</w:t>
                  </w:r>
                  <w:r>
                    <w:rPr>
                      <w:rFonts w:hint="eastAsia" w:ascii="Times New Roman" w:hAnsi="Times New Roman" w:eastAsia="宋体" w:cs="Times New Roman"/>
                      <w:b w:val="0"/>
                      <w:bCs/>
                      <w:color w:val="auto"/>
                      <w:sz w:val="21"/>
                      <w:szCs w:val="21"/>
                      <w:lang w:val="en-US" w:eastAsia="zh-CN"/>
                    </w:rPr>
                    <w:t>约1000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F，高度</w:t>
                  </w:r>
                  <w:r>
                    <w:rPr>
                      <w:rFonts w:hint="eastAsia" w:ascii="Times New Roman" w:hAnsi="Times New Roman" w:eastAsia="宋体" w:cs="Times New Roman"/>
                      <w:color w:val="auto"/>
                      <w:sz w:val="21"/>
                      <w:szCs w:val="21"/>
                      <w:lang w:val="en-US" w:eastAsia="zh-CN"/>
                    </w:rPr>
                    <w:t>13.3</w:t>
                  </w:r>
                  <w:r>
                    <w:rPr>
                      <w:rFonts w:hint="default" w:ascii="Times New Roman" w:hAnsi="Times New Roman" w:eastAsia="宋体" w:cs="Times New Roman"/>
                      <w:color w:val="auto"/>
                      <w:sz w:val="21"/>
                      <w:szCs w:val="21"/>
                      <w:lang w:val="en-US" w:eastAsia="zh-CN"/>
                    </w:rPr>
                    <w:t>m。</w:t>
                  </w:r>
                </w:p>
              </w:tc>
              <w:tc>
                <w:tcPr>
                  <w:tcW w:w="582" w:type="pct"/>
                  <w:vAlign w:val="center"/>
                </w:tcPr>
                <w:p w14:paraId="61176B84">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新建</w:t>
                  </w:r>
                </w:p>
              </w:tc>
            </w:tr>
            <w:tr w14:paraId="6537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restart"/>
                  <w:vAlign w:val="center"/>
                </w:tcPr>
                <w:p w14:paraId="787A3F3D">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公用工程</w:t>
                  </w:r>
                </w:p>
              </w:tc>
              <w:tc>
                <w:tcPr>
                  <w:tcW w:w="589" w:type="pct"/>
                  <w:vAlign w:val="center"/>
                </w:tcPr>
                <w:p w14:paraId="6F05373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供水</w:t>
                  </w:r>
                </w:p>
              </w:tc>
              <w:tc>
                <w:tcPr>
                  <w:tcW w:w="3465" w:type="pct"/>
                  <w:gridSpan w:val="2"/>
                  <w:vAlign w:val="center"/>
                </w:tcPr>
                <w:p w14:paraId="0E12DBFD">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color w:val="auto"/>
                      <w:szCs w:val="21"/>
                    </w:rPr>
                    <w:t>项目用水取自市政供水管网</w:t>
                  </w:r>
                  <w:r>
                    <w:rPr>
                      <w:rFonts w:hint="eastAsia"/>
                      <w:color w:val="auto"/>
                      <w:szCs w:val="21"/>
                      <w:lang w:eastAsia="zh-CN"/>
                    </w:rPr>
                    <w:t>。</w:t>
                  </w:r>
                </w:p>
              </w:tc>
              <w:tc>
                <w:tcPr>
                  <w:tcW w:w="582" w:type="pct"/>
                  <w:vAlign w:val="center"/>
                </w:tcPr>
                <w:p w14:paraId="014ECFBB">
                  <w:pPr>
                    <w:snapToGrid w:val="0"/>
                    <w:jc w:val="center"/>
                    <w:rPr>
                      <w:b w:val="0"/>
                      <w:bCs/>
                      <w:color w:val="auto"/>
                      <w:sz w:val="21"/>
                      <w:szCs w:val="21"/>
                    </w:rPr>
                  </w:pPr>
                  <w:r>
                    <w:rPr>
                      <w:rFonts w:hint="eastAsia"/>
                      <w:b w:val="0"/>
                      <w:bCs/>
                      <w:color w:val="auto"/>
                      <w:sz w:val="21"/>
                      <w:szCs w:val="21"/>
                      <w:lang w:eastAsia="zh-CN"/>
                    </w:rPr>
                    <w:t>新建</w:t>
                  </w:r>
                </w:p>
              </w:tc>
            </w:tr>
            <w:tr w14:paraId="38C3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601B53B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54410A98">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排水</w:t>
                  </w:r>
                </w:p>
              </w:tc>
              <w:tc>
                <w:tcPr>
                  <w:tcW w:w="3465" w:type="pct"/>
                  <w:gridSpan w:val="2"/>
                  <w:vAlign w:val="center"/>
                </w:tcPr>
                <w:p w14:paraId="01E09769">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default" w:ascii="Times New Roman" w:hAnsi="Times New Roman" w:eastAsia="宋体" w:cs="Times New Roman"/>
                      <w:color w:val="auto"/>
                      <w:sz w:val="21"/>
                      <w:szCs w:val="21"/>
                      <w:u w:val="none"/>
                      <w:lang w:eastAsia="zh-CN"/>
                    </w:rPr>
                    <w:t>采取雨污分流，雨水进入园区雨水管网，</w:t>
                  </w:r>
                  <w:r>
                    <w:rPr>
                      <w:rFonts w:hint="default" w:ascii="Times New Roman" w:hAnsi="Times New Roman" w:eastAsia="宋体" w:cs="Times New Roman"/>
                      <w:b w:val="0"/>
                      <w:bCs/>
                      <w:color w:val="auto"/>
                      <w:sz w:val="21"/>
                      <w:szCs w:val="21"/>
                    </w:rPr>
                    <w:t>项目生活污水经化粪池</w:t>
                  </w:r>
                  <w:r>
                    <w:rPr>
                      <w:rFonts w:hint="default" w:ascii="Times New Roman" w:hAnsi="Times New Roman" w:eastAsia="宋体" w:cs="Times New Roman"/>
                      <w:color w:val="auto"/>
                      <w:sz w:val="21"/>
                      <w:szCs w:val="21"/>
                      <w:lang w:eastAsia="zh-CN"/>
                    </w:rPr>
                    <w:t>预处理</w:t>
                  </w:r>
                  <w:r>
                    <w:rPr>
                      <w:rFonts w:hint="eastAsia"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lang w:eastAsia="zh-CN"/>
                    </w:rPr>
                    <w:t>排入</w:t>
                  </w:r>
                  <w:r>
                    <w:rPr>
                      <w:rFonts w:hint="eastAsia" w:ascii="Times New Roman" w:hAnsi="Times New Roman" w:eastAsia="宋体" w:cs="Times New Roman"/>
                      <w:color w:val="auto"/>
                      <w:sz w:val="21"/>
                      <w:szCs w:val="21"/>
                      <w:lang w:eastAsia="zh-CN"/>
                    </w:rPr>
                    <w:t>园区</w:t>
                  </w:r>
                  <w:r>
                    <w:rPr>
                      <w:rFonts w:hint="default" w:ascii="Times New Roman" w:hAnsi="Times New Roman" w:eastAsia="宋体" w:cs="Times New Roman"/>
                      <w:color w:val="auto"/>
                      <w:sz w:val="21"/>
                      <w:szCs w:val="21"/>
                      <w:lang w:eastAsia="zh-CN"/>
                    </w:rPr>
                    <w:t>污水管网，进入固镇经济开发区污水处理厂处理达标后排入北淝河下段</w:t>
                  </w:r>
                  <w:r>
                    <w:rPr>
                      <w:rFonts w:hint="eastAsia"/>
                      <w:color w:val="auto"/>
                      <w:sz w:val="21"/>
                      <w:szCs w:val="21"/>
                      <w:lang w:eastAsia="zh-CN"/>
                    </w:rPr>
                    <w:t>。</w:t>
                  </w:r>
                </w:p>
              </w:tc>
              <w:tc>
                <w:tcPr>
                  <w:tcW w:w="582" w:type="pct"/>
                  <w:vAlign w:val="center"/>
                </w:tcPr>
                <w:p w14:paraId="0EAD6AB1">
                  <w:pPr>
                    <w:snapToGrid w:val="0"/>
                    <w:jc w:val="center"/>
                    <w:rPr>
                      <w:b w:val="0"/>
                      <w:bCs/>
                      <w:color w:val="auto"/>
                      <w:sz w:val="21"/>
                      <w:szCs w:val="21"/>
                    </w:rPr>
                  </w:pPr>
                  <w:r>
                    <w:rPr>
                      <w:rFonts w:hint="eastAsia"/>
                      <w:b w:val="0"/>
                      <w:bCs/>
                      <w:color w:val="auto"/>
                      <w:sz w:val="21"/>
                      <w:szCs w:val="21"/>
                      <w:lang w:eastAsia="zh-CN"/>
                    </w:rPr>
                    <w:t>新建</w:t>
                  </w:r>
                </w:p>
              </w:tc>
            </w:tr>
            <w:tr w14:paraId="5ED8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624968E5">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777C1107">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供电</w:t>
                  </w:r>
                </w:p>
              </w:tc>
              <w:tc>
                <w:tcPr>
                  <w:tcW w:w="3465" w:type="pct"/>
                  <w:gridSpan w:val="2"/>
                  <w:vAlign w:val="center"/>
                </w:tcPr>
                <w:p w14:paraId="66993970">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val="en-GB" w:eastAsia="zh-CN"/>
                    </w:rPr>
                  </w:pPr>
                  <w:r>
                    <w:rPr>
                      <w:color w:val="auto"/>
                      <w:szCs w:val="21"/>
                    </w:rPr>
                    <w:t>项目用电接自市政供电线路</w:t>
                  </w:r>
                  <w:r>
                    <w:rPr>
                      <w:rFonts w:hint="eastAsia"/>
                      <w:color w:val="auto"/>
                      <w:szCs w:val="21"/>
                      <w:lang w:eastAsia="zh-CN"/>
                    </w:rPr>
                    <w:t>。</w:t>
                  </w:r>
                </w:p>
              </w:tc>
              <w:tc>
                <w:tcPr>
                  <w:tcW w:w="582" w:type="pct"/>
                  <w:vAlign w:val="center"/>
                </w:tcPr>
                <w:p w14:paraId="5247603C">
                  <w:pPr>
                    <w:snapToGrid w:val="0"/>
                    <w:jc w:val="center"/>
                    <w:rPr>
                      <w:rFonts w:ascii="Times New Roman" w:hAnsi="Times New Roman" w:eastAsia="宋体" w:cs="Times New Roman"/>
                      <w:b w:val="0"/>
                      <w:bCs/>
                      <w:color w:val="auto"/>
                      <w:kern w:val="2"/>
                      <w:sz w:val="21"/>
                      <w:szCs w:val="21"/>
                      <w:lang w:val="en-GB" w:eastAsia="zh-CN" w:bidi="ar-SA"/>
                    </w:rPr>
                  </w:pPr>
                  <w:r>
                    <w:rPr>
                      <w:rFonts w:hint="eastAsia"/>
                      <w:b w:val="0"/>
                      <w:bCs/>
                      <w:color w:val="auto"/>
                      <w:sz w:val="21"/>
                      <w:szCs w:val="21"/>
                      <w:lang w:eastAsia="zh-CN"/>
                    </w:rPr>
                    <w:t>新建</w:t>
                  </w:r>
                </w:p>
              </w:tc>
            </w:tr>
            <w:tr w14:paraId="0D2C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restart"/>
                  <w:vAlign w:val="center"/>
                </w:tcPr>
                <w:p w14:paraId="738B50F0">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环保工程</w:t>
                  </w:r>
                </w:p>
              </w:tc>
              <w:tc>
                <w:tcPr>
                  <w:tcW w:w="589" w:type="pct"/>
                  <w:vMerge w:val="restart"/>
                  <w:vAlign w:val="center"/>
                </w:tcPr>
                <w:p w14:paraId="4B2B9020">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废气治理</w:t>
                  </w:r>
                </w:p>
              </w:tc>
              <w:tc>
                <w:tcPr>
                  <w:tcW w:w="1041" w:type="pct"/>
                  <w:vAlign w:val="center"/>
                </w:tcPr>
                <w:p w14:paraId="4AD51DFE">
                  <w:pPr>
                    <w:adjustRightInd w:val="0"/>
                    <w:spacing w:line="240" w:lineRule="auto"/>
                    <w:jc w:val="center"/>
                    <w:rPr>
                      <w:rFonts w:hint="eastAsia"/>
                      <w:b w:val="0"/>
                      <w:bCs/>
                      <w:color w:val="auto"/>
                      <w:kern w:val="0"/>
                      <w:sz w:val="21"/>
                      <w:szCs w:val="21"/>
                      <w:lang w:eastAsia="zh-CN"/>
                    </w:rPr>
                  </w:pPr>
                  <w:r>
                    <w:rPr>
                      <w:rFonts w:hint="eastAsia" w:cs="Times New Roman"/>
                      <w:b w:val="0"/>
                      <w:bCs w:val="0"/>
                      <w:color w:val="auto"/>
                      <w:sz w:val="21"/>
                      <w:szCs w:val="21"/>
                      <w:lang w:eastAsia="zh-CN"/>
                    </w:rPr>
                    <w:t>挤出、注塑废气</w:t>
                  </w:r>
                </w:p>
              </w:tc>
              <w:tc>
                <w:tcPr>
                  <w:tcW w:w="2423" w:type="pct"/>
                  <w:vAlign w:val="center"/>
                </w:tcPr>
                <w:p w14:paraId="147B9458">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b w:val="0"/>
                      <w:bCs/>
                      <w:color w:val="auto"/>
                      <w:sz w:val="21"/>
                      <w:szCs w:val="21"/>
                      <w:lang w:eastAsia="zh-CN"/>
                    </w:rPr>
                  </w:pPr>
                  <w:r>
                    <w:rPr>
                      <w:rFonts w:hint="eastAsia" w:cs="Times New Roman"/>
                      <w:color w:val="auto"/>
                      <w:sz w:val="21"/>
                      <w:szCs w:val="21"/>
                      <w:u w:val="none"/>
                      <w:lang w:eastAsia="zh-CN"/>
                    </w:rPr>
                    <w:t>集气罩收集</w:t>
                  </w:r>
                  <w:r>
                    <w:rPr>
                      <w:rFonts w:hint="eastAsia" w:ascii="Times New Roman" w:hAnsi="Times New Roman" w:cs="Times New Roman"/>
                      <w:color w:val="auto"/>
                      <w:sz w:val="21"/>
                      <w:szCs w:val="21"/>
                      <w:u w:val="none"/>
                      <w:lang w:val="en-US" w:eastAsia="zh-CN"/>
                    </w:rPr>
                    <w:t>+二级活性炭吸附装置+20m排气筒</w:t>
                  </w:r>
                  <w:r>
                    <w:rPr>
                      <w:rFonts w:hint="default" w:ascii="Times New Roman" w:hAnsi="Times New Roman" w:eastAsia="宋体" w:cs="Times New Roman"/>
                      <w:color w:val="auto"/>
                      <w:sz w:val="21"/>
                      <w:szCs w:val="21"/>
                    </w:rPr>
                    <w:t>（DA00</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）排放</w:t>
                  </w:r>
                </w:p>
              </w:tc>
              <w:tc>
                <w:tcPr>
                  <w:tcW w:w="582" w:type="pct"/>
                  <w:vMerge w:val="restart"/>
                  <w:vAlign w:val="center"/>
                </w:tcPr>
                <w:p w14:paraId="66161F55">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rPr>
                    <w:t>新建</w:t>
                  </w:r>
                </w:p>
              </w:tc>
            </w:tr>
            <w:tr w14:paraId="5317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48A9F4A1">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Merge w:val="continue"/>
                  <w:vAlign w:val="center"/>
                </w:tcPr>
                <w:p w14:paraId="2AADCB17">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041" w:type="pct"/>
                  <w:vAlign w:val="center"/>
                </w:tcPr>
                <w:p w14:paraId="08BC5289">
                  <w:pPr>
                    <w:adjustRightInd w:val="0"/>
                    <w:spacing w:line="240" w:lineRule="auto"/>
                    <w:jc w:val="center"/>
                    <w:rPr>
                      <w:rFonts w:hint="eastAsia" w:cs="Times New Roman"/>
                      <w:b w:val="0"/>
                      <w:bCs w:val="0"/>
                      <w:color w:val="auto"/>
                      <w:sz w:val="21"/>
                      <w:szCs w:val="21"/>
                      <w:lang w:eastAsia="zh-CN"/>
                    </w:rPr>
                  </w:pPr>
                  <w:r>
                    <w:rPr>
                      <w:rFonts w:hint="eastAsia" w:cs="Times New Roman"/>
                      <w:b w:val="0"/>
                      <w:bCs w:val="0"/>
                      <w:color w:val="auto"/>
                      <w:sz w:val="21"/>
                      <w:szCs w:val="21"/>
                      <w:lang w:eastAsia="zh-CN"/>
                    </w:rPr>
                    <w:t>破碎粉尘</w:t>
                  </w:r>
                </w:p>
              </w:tc>
              <w:tc>
                <w:tcPr>
                  <w:tcW w:w="2423" w:type="pct"/>
                  <w:vAlign w:val="center"/>
                </w:tcPr>
                <w:p w14:paraId="0F4C34DA">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s="Times New Roman"/>
                      <w:color w:val="auto"/>
                      <w:sz w:val="21"/>
                      <w:szCs w:val="21"/>
                      <w:u w:val="none"/>
                      <w:lang w:eastAsia="zh-CN"/>
                    </w:rPr>
                  </w:pPr>
                  <w:r>
                    <w:rPr>
                      <w:rFonts w:hint="eastAsia" w:cs="Times New Roman"/>
                      <w:color w:val="auto"/>
                      <w:sz w:val="21"/>
                      <w:szCs w:val="21"/>
                      <w:u w:val="none"/>
                      <w:lang w:eastAsia="zh-CN"/>
                    </w:rPr>
                    <w:t>设置防尘帘，无组织排放</w:t>
                  </w:r>
                </w:p>
              </w:tc>
              <w:tc>
                <w:tcPr>
                  <w:tcW w:w="582" w:type="pct"/>
                  <w:vMerge w:val="continue"/>
                  <w:vAlign w:val="center"/>
                </w:tcPr>
                <w:p w14:paraId="64BD2314">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rPr>
                  </w:pPr>
                </w:p>
              </w:tc>
            </w:tr>
            <w:tr w14:paraId="67A7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73B52EAF">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17ED47F1">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废水治理</w:t>
                  </w:r>
                </w:p>
              </w:tc>
              <w:tc>
                <w:tcPr>
                  <w:tcW w:w="3465" w:type="pct"/>
                  <w:gridSpan w:val="2"/>
                  <w:vAlign w:val="center"/>
                </w:tcPr>
                <w:p w14:paraId="20D0320E">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rPr>
                    <w:t>项目生活污水经化粪池</w:t>
                  </w:r>
                  <w:r>
                    <w:rPr>
                      <w:rFonts w:hint="eastAsia"/>
                      <w:color w:val="auto"/>
                      <w:sz w:val="21"/>
                      <w:szCs w:val="21"/>
                      <w:lang w:eastAsia="zh-CN"/>
                    </w:rPr>
                    <w:t>预处理后排入园区污水管网，至固镇经济开发区污水处理厂处理达标后排入北淝河下段。</w:t>
                  </w:r>
                </w:p>
              </w:tc>
              <w:tc>
                <w:tcPr>
                  <w:tcW w:w="582" w:type="pct"/>
                  <w:vAlign w:val="center"/>
                </w:tcPr>
                <w:p w14:paraId="34C5B393">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eastAsia="zh-CN"/>
                    </w:rPr>
                    <w:t>新建</w:t>
                  </w:r>
                </w:p>
              </w:tc>
            </w:tr>
            <w:tr w14:paraId="5655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62" w:type="pct"/>
                  <w:vMerge w:val="continue"/>
                  <w:vAlign w:val="center"/>
                </w:tcPr>
                <w:p w14:paraId="15FD75AB">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Merge w:val="restart"/>
                  <w:vAlign w:val="center"/>
                </w:tcPr>
                <w:p w14:paraId="2EB6B586">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固废治理</w:t>
                  </w:r>
                </w:p>
              </w:tc>
              <w:tc>
                <w:tcPr>
                  <w:tcW w:w="3465" w:type="pct"/>
                  <w:gridSpan w:val="2"/>
                  <w:vAlign w:val="center"/>
                </w:tcPr>
                <w:p w14:paraId="3E10B25E">
                  <w:pPr>
                    <w:keepNext w:val="0"/>
                    <w:keepLines w:val="0"/>
                    <w:widowControl/>
                    <w:suppressLineNumbers w:val="0"/>
                    <w:topLinePunct/>
                    <w:autoSpaceDE/>
                    <w:autoSpaceDN/>
                    <w:adjustRightInd w:val="0"/>
                    <w:snapToGrid w:val="0"/>
                    <w:spacing w:before="0" w:beforeAutospacing="0" w:after="0" w:afterAutospacing="0" w:line="240" w:lineRule="auto"/>
                    <w:ind w:left="0" w:leftChars="0" w:right="0" w:rightChars="0" w:firstLine="0" w:firstLineChars="0"/>
                    <w:jc w:val="center"/>
                    <w:rPr>
                      <w:b w:val="0"/>
                      <w:bCs/>
                      <w:color w:val="auto"/>
                      <w:sz w:val="21"/>
                      <w:szCs w:val="21"/>
                    </w:rPr>
                  </w:pPr>
                  <w:r>
                    <w:rPr>
                      <w:rFonts w:hint="default" w:ascii="Times New Roman" w:hAnsi="Times New Roman" w:eastAsia="宋体" w:cs="Times New Roman"/>
                      <w:color w:val="auto"/>
                      <w:sz w:val="21"/>
                      <w:szCs w:val="21"/>
                    </w:rPr>
                    <w:t>生活垃圾定期由环卫清理</w:t>
                  </w:r>
                </w:p>
              </w:tc>
              <w:tc>
                <w:tcPr>
                  <w:tcW w:w="582" w:type="pct"/>
                  <w:vMerge w:val="restart"/>
                  <w:vAlign w:val="center"/>
                </w:tcPr>
                <w:p w14:paraId="502A8574">
                  <w:pPr>
                    <w:jc w:val="center"/>
                    <w:rPr>
                      <w:color w:val="auto"/>
                    </w:rPr>
                  </w:pPr>
                  <w:r>
                    <w:rPr>
                      <w:rFonts w:hint="eastAsia"/>
                      <w:b w:val="0"/>
                      <w:bCs/>
                      <w:color w:val="auto"/>
                      <w:sz w:val="21"/>
                      <w:szCs w:val="21"/>
                      <w:lang w:eastAsia="zh-CN"/>
                    </w:rPr>
                    <w:t>新建</w:t>
                  </w:r>
                </w:p>
              </w:tc>
            </w:tr>
            <w:tr w14:paraId="4E85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62" w:type="pct"/>
                  <w:vMerge w:val="continue"/>
                  <w:vAlign w:val="center"/>
                </w:tcPr>
                <w:p w14:paraId="4BDF8F5D">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Merge w:val="continue"/>
                  <w:vAlign w:val="center"/>
                </w:tcPr>
                <w:p w14:paraId="4F698862">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3465" w:type="pct"/>
                  <w:gridSpan w:val="2"/>
                  <w:vAlign w:val="center"/>
                </w:tcPr>
                <w:p w14:paraId="191233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eastAsia="宋体"/>
                      <w:color w:val="auto"/>
                      <w:sz w:val="21"/>
                      <w:szCs w:val="21"/>
                      <w:lang w:eastAsia="zh-CN"/>
                    </w:rPr>
                  </w:pPr>
                  <w:r>
                    <w:rPr>
                      <w:rFonts w:hint="default" w:ascii="Times New Roman" w:hAnsi="Times New Roman" w:eastAsia="宋体" w:cs="Times New Roman"/>
                      <w:color w:val="auto"/>
                      <w:sz w:val="21"/>
                      <w:szCs w:val="21"/>
                      <w:lang w:eastAsia="zh-CN"/>
                    </w:rPr>
                    <w:t>一般固废暂存间，位于</w:t>
                  </w:r>
                  <w:r>
                    <w:rPr>
                      <w:rFonts w:hint="eastAsia" w:ascii="Times New Roman" w:hAnsi="Times New Roman" w:eastAsia="宋体" w:cs="Times New Roman"/>
                      <w:b w:val="0"/>
                      <w:bCs w:val="0"/>
                      <w:color w:val="auto"/>
                      <w:kern w:val="0"/>
                      <w:sz w:val="21"/>
                      <w:szCs w:val="21"/>
                      <w:lang w:val="en-US" w:eastAsia="zh-CN"/>
                    </w:rPr>
                    <w:t>生产</w:t>
                  </w:r>
                  <w:r>
                    <w:rPr>
                      <w:rFonts w:hint="default" w:ascii="Times New Roman" w:hAnsi="Times New Roman" w:eastAsia="宋体" w:cs="Times New Roman"/>
                      <w:b w:val="0"/>
                      <w:bCs w:val="0"/>
                      <w:color w:val="auto"/>
                      <w:kern w:val="0"/>
                      <w:sz w:val="21"/>
                      <w:szCs w:val="21"/>
                      <w:lang w:val="en-US" w:eastAsia="zh-CN"/>
                    </w:rPr>
                    <w:t>车间西</w:t>
                  </w:r>
                  <w:r>
                    <w:rPr>
                      <w:rFonts w:hint="eastAsia" w:ascii="Times New Roman" w:hAnsi="Times New Roman" w:eastAsia="宋体" w:cs="Times New Roman"/>
                      <w:b w:val="0"/>
                      <w:bCs w:val="0"/>
                      <w:color w:val="auto"/>
                      <w:kern w:val="0"/>
                      <w:sz w:val="21"/>
                      <w:szCs w:val="21"/>
                      <w:lang w:val="en-US" w:eastAsia="zh-CN"/>
                    </w:rPr>
                    <w:t>南侧</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color w:val="auto"/>
                      <w:sz w:val="21"/>
                      <w:szCs w:val="21"/>
                      <w:lang w:eastAsia="zh-CN"/>
                    </w:rPr>
                    <w:t>建筑面积</w:t>
                  </w:r>
                  <w:r>
                    <w:rPr>
                      <w:rFonts w:hint="eastAsia" w:cs="Times New Roman"/>
                      <w:b w:val="0"/>
                      <w:bCs/>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582" w:type="pct"/>
                  <w:vMerge w:val="continue"/>
                  <w:vAlign w:val="center"/>
                </w:tcPr>
                <w:p w14:paraId="37FDB562">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rPr>
                  </w:pPr>
                </w:p>
              </w:tc>
            </w:tr>
            <w:tr w14:paraId="5EB4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62" w:type="pct"/>
                  <w:vMerge w:val="continue"/>
                  <w:vAlign w:val="center"/>
                </w:tcPr>
                <w:p w14:paraId="60061753">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Merge w:val="continue"/>
                  <w:vAlign w:val="center"/>
                </w:tcPr>
                <w:p w14:paraId="043B80DC">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3465" w:type="pct"/>
                  <w:gridSpan w:val="2"/>
                  <w:vAlign w:val="center"/>
                </w:tcPr>
                <w:p w14:paraId="61D83E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eastAsia="宋体"/>
                      <w:color w:val="auto"/>
                      <w:sz w:val="21"/>
                      <w:szCs w:val="21"/>
                      <w:vertAlign w:val="baseline"/>
                      <w:lang w:eastAsia="zh-CN"/>
                    </w:rPr>
                  </w:pPr>
                  <w:r>
                    <w:rPr>
                      <w:rFonts w:hint="default" w:ascii="Times New Roman" w:hAnsi="Times New Roman" w:eastAsia="宋体" w:cs="Times New Roman"/>
                      <w:color w:val="auto"/>
                      <w:sz w:val="21"/>
                      <w:szCs w:val="21"/>
                      <w:highlight w:val="none"/>
                      <w:lang w:eastAsia="zh-CN"/>
                    </w:rPr>
                    <w:t>危废暂存间，</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b w:val="0"/>
                      <w:bCs w:val="0"/>
                      <w:color w:val="auto"/>
                      <w:kern w:val="0"/>
                      <w:sz w:val="21"/>
                      <w:szCs w:val="21"/>
                      <w:lang w:val="en-US" w:eastAsia="zh-CN"/>
                    </w:rPr>
                    <w:t>生产</w:t>
                  </w:r>
                  <w:r>
                    <w:rPr>
                      <w:rFonts w:hint="default" w:ascii="Times New Roman" w:hAnsi="Times New Roman" w:eastAsia="宋体" w:cs="Times New Roman"/>
                      <w:b w:val="0"/>
                      <w:bCs w:val="0"/>
                      <w:color w:val="auto"/>
                      <w:kern w:val="0"/>
                      <w:sz w:val="21"/>
                      <w:szCs w:val="21"/>
                      <w:lang w:val="en-US" w:eastAsia="zh-CN"/>
                    </w:rPr>
                    <w:t>车间西</w:t>
                  </w:r>
                  <w:r>
                    <w:rPr>
                      <w:rFonts w:hint="eastAsia" w:ascii="Times New Roman" w:hAnsi="Times New Roman" w:eastAsia="宋体" w:cs="Times New Roman"/>
                      <w:b w:val="0"/>
                      <w:bCs w:val="0"/>
                      <w:color w:val="auto"/>
                      <w:kern w:val="0"/>
                      <w:sz w:val="21"/>
                      <w:szCs w:val="21"/>
                      <w:lang w:val="en-US" w:eastAsia="zh-CN"/>
                    </w:rPr>
                    <w:t>南侧</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color w:val="auto"/>
                      <w:sz w:val="21"/>
                      <w:szCs w:val="21"/>
                      <w:lang w:eastAsia="zh-CN"/>
                    </w:rPr>
                    <w:t>建筑面积</w:t>
                  </w:r>
                  <w:r>
                    <w:rPr>
                      <w:rFonts w:hint="eastAsia"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582" w:type="pct"/>
                  <w:vMerge w:val="continue"/>
                  <w:vAlign w:val="center"/>
                </w:tcPr>
                <w:p w14:paraId="3A9867ED">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rPr>
                  </w:pPr>
                </w:p>
              </w:tc>
            </w:tr>
            <w:tr w14:paraId="6C23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1958602B">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22732C80">
                  <w:pPr>
                    <w:spacing w:line="240" w:lineRule="auto"/>
                    <w:jc w:val="center"/>
                    <w:rPr>
                      <w:b w:val="0"/>
                      <w:bCs/>
                      <w:color w:val="auto"/>
                      <w:sz w:val="21"/>
                      <w:szCs w:val="21"/>
                    </w:rPr>
                  </w:pPr>
                  <w:r>
                    <w:rPr>
                      <w:b w:val="0"/>
                      <w:bCs/>
                      <w:color w:val="auto"/>
                      <w:sz w:val="21"/>
                      <w:szCs w:val="21"/>
                    </w:rPr>
                    <w:t>噪声治理</w:t>
                  </w:r>
                </w:p>
              </w:tc>
              <w:tc>
                <w:tcPr>
                  <w:tcW w:w="3465" w:type="pct"/>
                  <w:gridSpan w:val="2"/>
                  <w:vAlign w:val="center"/>
                </w:tcPr>
                <w:p w14:paraId="5457C713">
                  <w:pPr>
                    <w:spacing w:line="240" w:lineRule="auto"/>
                    <w:jc w:val="center"/>
                    <w:rPr>
                      <w:rFonts w:hint="eastAsia"/>
                      <w:color w:val="auto"/>
                      <w:sz w:val="21"/>
                      <w:szCs w:val="21"/>
                      <w:lang w:eastAsia="zh-CN"/>
                    </w:rPr>
                  </w:pPr>
                  <w:r>
                    <w:rPr>
                      <w:rFonts w:hint="default" w:ascii="Times New Roman" w:hAnsi="Times New Roman" w:eastAsia="宋体" w:cs="Times New Roman"/>
                      <w:color w:val="auto"/>
                      <w:sz w:val="21"/>
                      <w:szCs w:val="21"/>
                      <w:u w:val="none"/>
                    </w:rPr>
                    <w:t>项目选用低噪声设备，设置减震基础，建筑隔声、风机设置消声器等措施。</w:t>
                  </w:r>
                </w:p>
              </w:tc>
              <w:tc>
                <w:tcPr>
                  <w:tcW w:w="582" w:type="pct"/>
                  <w:vAlign w:val="center"/>
                </w:tcPr>
                <w:p w14:paraId="0421C2D7">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rPr>
                  </w:pPr>
                  <w:r>
                    <w:rPr>
                      <w:rFonts w:hint="eastAsia"/>
                      <w:b w:val="0"/>
                      <w:bCs/>
                      <w:color w:val="auto"/>
                      <w:sz w:val="21"/>
                      <w:szCs w:val="21"/>
                      <w:lang w:eastAsia="zh-CN"/>
                    </w:rPr>
                    <w:t>新建</w:t>
                  </w:r>
                </w:p>
              </w:tc>
            </w:tr>
            <w:tr w14:paraId="46B1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0AA8045C">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6222AEA6">
                  <w:pPr>
                    <w:snapToGrid w:val="0"/>
                    <w:jc w:val="center"/>
                    <w:rPr>
                      <w:b w:val="0"/>
                      <w:bCs/>
                      <w:color w:val="auto"/>
                      <w:sz w:val="21"/>
                      <w:szCs w:val="21"/>
                    </w:rPr>
                  </w:pPr>
                  <w:r>
                    <w:rPr>
                      <w:color w:val="auto"/>
                      <w:szCs w:val="21"/>
                    </w:rPr>
                    <w:t>地下水、土壤治理</w:t>
                  </w:r>
                </w:p>
              </w:tc>
              <w:tc>
                <w:tcPr>
                  <w:tcW w:w="3465" w:type="pct"/>
                  <w:gridSpan w:val="2"/>
                  <w:vAlign w:val="center"/>
                </w:tcPr>
                <w:p w14:paraId="3EA4E90D">
                  <w:pPr>
                    <w:pStyle w:val="17"/>
                    <w:tabs>
                      <w:tab w:val="left" w:pos="0"/>
                    </w:tabs>
                    <w:spacing w:line="240" w:lineRule="auto"/>
                    <w:jc w:val="center"/>
                    <w:rPr>
                      <w:b w:val="0"/>
                      <w:bCs/>
                      <w:color w:val="auto"/>
                      <w:sz w:val="21"/>
                      <w:szCs w:val="21"/>
                    </w:rPr>
                  </w:pPr>
                  <w:r>
                    <w:rPr>
                      <w:rFonts w:ascii="Times New Roman" w:hAnsi="Times New Roman"/>
                      <w:color w:val="auto"/>
                    </w:rPr>
                    <w:t>采取分区防渗措施，危废暂存间做重点防渗，</w:t>
                  </w:r>
                  <w:r>
                    <w:rPr>
                      <w:rFonts w:hint="default" w:ascii="Times New Roman" w:hAnsi="Times New Roman" w:eastAsia="宋体" w:cs="Times New Roman"/>
                      <w:color w:val="auto"/>
                      <w:sz w:val="21"/>
                      <w:szCs w:val="21"/>
                      <w:lang w:eastAsia="zh-CN"/>
                    </w:rPr>
                    <w:t>生产车间其他区域、化粪池等</w:t>
                  </w:r>
                  <w:r>
                    <w:rPr>
                      <w:rFonts w:hint="default" w:ascii="Times New Roman" w:hAnsi="Times New Roman" w:eastAsia="宋体" w:cs="Times New Roman"/>
                      <w:color w:val="auto"/>
                      <w:sz w:val="21"/>
                      <w:szCs w:val="21"/>
                    </w:rPr>
                    <w:t>一般防渗</w:t>
                  </w:r>
                  <w:r>
                    <w:rPr>
                      <w:rFonts w:hint="default" w:ascii="Times New Roman" w:hAnsi="Times New Roman" w:eastAsia="宋体" w:cs="Times New Roman"/>
                      <w:color w:val="auto"/>
                      <w:sz w:val="21"/>
                      <w:szCs w:val="21"/>
                      <w:lang w:eastAsia="zh-CN"/>
                    </w:rPr>
                    <w:t>，厂区内道路区域、办公楼等简单防渗</w:t>
                  </w:r>
                  <w:r>
                    <w:rPr>
                      <w:rFonts w:ascii="Times New Roman" w:hAnsi="Times New Roman"/>
                      <w:color w:val="auto"/>
                    </w:rPr>
                    <w:t>。</w:t>
                  </w:r>
                </w:p>
              </w:tc>
              <w:tc>
                <w:tcPr>
                  <w:tcW w:w="582" w:type="pct"/>
                  <w:vAlign w:val="center"/>
                </w:tcPr>
                <w:p w14:paraId="7273F256">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新建</w:t>
                  </w:r>
                </w:p>
              </w:tc>
            </w:tr>
            <w:tr w14:paraId="54AC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vMerge w:val="continue"/>
                  <w:vAlign w:val="center"/>
                </w:tcPr>
                <w:p w14:paraId="347B6AF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89" w:type="pct"/>
                  <w:vAlign w:val="center"/>
                </w:tcPr>
                <w:p w14:paraId="0C47E3A9">
                  <w:pPr>
                    <w:snapToGrid w:val="0"/>
                    <w:jc w:val="center"/>
                    <w:rPr>
                      <w:b w:val="0"/>
                      <w:bCs/>
                      <w:color w:val="auto"/>
                      <w:sz w:val="21"/>
                      <w:szCs w:val="21"/>
                    </w:rPr>
                  </w:pPr>
                  <w:r>
                    <w:rPr>
                      <w:color w:val="auto"/>
                      <w:szCs w:val="21"/>
                    </w:rPr>
                    <w:t>风险防范</w:t>
                  </w:r>
                </w:p>
              </w:tc>
              <w:tc>
                <w:tcPr>
                  <w:tcW w:w="3465" w:type="pct"/>
                  <w:gridSpan w:val="2"/>
                  <w:vAlign w:val="center"/>
                </w:tcPr>
                <w:p w14:paraId="59492F5D">
                  <w:pPr>
                    <w:pStyle w:val="17"/>
                    <w:tabs>
                      <w:tab w:val="left" w:pos="0"/>
                    </w:tabs>
                    <w:spacing w:line="240" w:lineRule="auto"/>
                    <w:jc w:val="center"/>
                    <w:rPr>
                      <w:rFonts w:hint="eastAsia" w:eastAsia="宋体"/>
                      <w:b w:val="0"/>
                      <w:bCs/>
                      <w:color w:val="auto"/>
                      <w:sz w:val="21"/>
                      <w:szCs w:val="21"/>
                      <w:lang w:eastAsia="zh-CN"/>
                    </w:rPr>
                  </w:pPr>
                  <w:r>
                    <w:rPr>
                      <w:rFonts w:hint="eastAsia" w:ascii="Times New Roman" w:hAnsi="Times New Roman"/>
                      <w:color w:val="auto"/>
                      <w:lang w:eastAsia="zh-CN"/>
                    </w:rPr>
                    <w:t>编制</w:t>
                  </w:r>
                  <w:r>
                    <w:rPr>
                      <w:rFonts w:ascii="Times New Roman" w:hAnsi="Times New Roman"/>
                      <w:color w:val="auto"/>
                    </w:rPr>
                    <w:t>应急预案</w:t>
                  </w:r>
                  <w:r>
                    <w:rPr>
                      <w:rFonts w:hint="eastAsia" w:ascii="Times New Roman" w:hAnsi="Times New Roman"/>
                      <w:color w:val="auto"/>
                      <w:lang w:eastAsia="zh-CN"/>
                    </w:rPr>
                    <w:t>；</w:t>
                  </w:r>
                  <w:r>
                    <w:rPr>
                      <w:rFonts w:ascii="Times New Roman" w:hAnsi="Times New Roman"/>
                      <w:color w:val="auto"/>
                    </w:rPr>
                    <w:t>危废暂存间做重点防渗处理</w:t>
                  </w:r>
                  <w:r>
                    <w:rPr>
                      <w:rFonts w:hint="eastAsia" w:ascii="Times New Roman" w:hAnsi="Times New Roman"/>
                      <w:color w:val="auto"/>
                      <w:lang w:eastAsia="zh-CN"/>
                    </w:rPr>
                    <w:t>；</w:t>
                  </w:r>
                  <w:r>
                    <w:rPr>
                      <w:rFonts w:ascii="Times New Roman" w:hAnsi="Times New Roman"/>
                      <w:color w:val="auto"/>
                    </w:rPr>
                    <w:t>加强员工操作管理</w:t>
                  </w:r>
                  <w:r>
                    <w:rPr>
                      <w:rFonts w:hint="eastAsia" w:ascii="Times New Roman" w:hAnsi="Times New Roman"/>
                      <w:color w:val="auto"/>
                      <w:lang w:eastAsia="zh-CN"/>
                    </w:rPr>
                    <w:t>。</w:t>
                  </w:r>
                </w:p>
              </w:tc>
              <w:tc>
                <w:tcPr>
                  <w:tcW w:w="582" w:type="pct"/>
                  <w:vAlign w:val="center"/>
                </w:tcPr>
                <w:p w14:paraId="61991714">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rFonts w:hint="eastAsia"/>
                      <w:b w:val="0"/>
                      <w:bCs/>
                      <w:color w:val="auto"/>
                      <w:sz w:val="21"/>
                      <w:szCs w:val="21"/>
                      <w:lang w:eastAsia="zh-CN"/>
                    </w:rPr>
                    <w:t>新建</w:t>
                  </w:r>
                </w:p>
              </w:tc>
            </w:tr>
          </w:tbl>
          <w:p w14:paraId="7D53CB96">
            <w:pPr>
              <w:spacing w:line="360" w:lineRule="auto"/>
              <w:rPr>
                <w:b/>
                <w:color w:val="auto"/>
                <w:sz w:val="24"/>
                <w:szCs w:val="24"/>
              </w:rPr>
            </w:pPr>
            <w:r>
              <w:rPr>
                <w:b/>
                <w:color w:val="auto"/>
                <w:sz w:val="24"/>
                <w:szCs w:val="24"/>
              </w:rPr>
              <w:t>2、项目产品方案及规模</w:t>
            </w:r>
          </w:p>
          <w:p w14:paraId="561F6A4D">
            <w:pPr>
              <w:spacing w:line="240" w:lineRule="auto"/>
              <w:ind w:firstLine="480" w:firstLineChars="200"/>
              <w:contextualSpacing/>
              <w:rPr>
                <w:color w:val="auto"/>
                <w:sz w:val="24"/>
                <w:szCs w:val="24"/>
              </w:rPr>
            </w:pPr>
            <w:r>
              <w:rPr>
                <w:rFonts w:hint="eastAsia"/>
                <w:color w:val="auto"/>
                <w:sz w:val="24"/>
                <w:szCs w:val="24"/>
              </w:rPr>
              <w:t>项目</w:t>
            </w:r>
            <w:r>
              <w:rPr>
                <w:color w:val="auto"/>
                <w:sz w:val="24"/>
              </w:rPr>
              <w:t>产品产能、规格见下表。</w:t>
            </w:r>
          </w:p>
          <w:p w14:paraId="7302B307">
            <w:pPr>
              <w:adjustRightInd w:val="0"/>
              <w:snapToGrid w:val="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2</w:t>
            </w:r>
            <w:r>
              <w:rPr>
                <w:b/>
                <w:color w:val="auto"/>
                <w:sz w:val="21"/>
                <w:szCs w:val="21"/>
              </w:rPr>
              <w:t>产品产能及规格一览表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770"/>
              <w:gridCol w:w="1680"/>
              <w:gridCol w:w="1320"/>
              <w:gridCol w:w="3171"/>
            </w:tblGrid>
            <w:tr w14:paraId="13F4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3" w:type="pct"/>
                  <w:vAlign w:val="center"/>
                </w:tcPr>
                <w:p w14:paraId="3D9204B2">
                  <w:pPr>
                    <w:adjustRightInd w:val="0"/>
                    <w:snapToGrid w:val="0"/>
                    <w:jc w:val="center"/>
                    <w:rPr>
                      <w:b w:val="0"/>
                      <w:bCs w:val="0"/>
                      <w:color w:val="auto"/>
                      <w:szCs w:val="21"/>
                    </w:rPr>
                  </w:pPr>
                  <w:r>
                    <w:rPr>
                      <w:b w:val="0"/>
                      <w:bCs w:val="0"/>
                      <w:color w:val="auto"/>
                      <w:szCs w:val="21"/>
                    </w:rPr>
                    <w:t>序号</w:t>
                  </w:r>
                </w:p>
              </w:tc>
              <w:tc>
                <w:tcPr>
                  <w:tcW w:w="995" w:type="pct"/>
                  <w:vAlign w:val="center"/>
                </w:tcPr>
                <w:p w14:paraId="27E3DF92">
                  <w:pPr>
                    <w:adjustRightInd w:val="0"/>
                    <w:snapToGrid w:val="0"/>
                    <w:ind w:left="57" w:hanging="56" w:hangingChars="27"/>
                    <w:jc w:val="center"/>
                    <w:rPr>
                      <w:b w:val="0"/>
                      <w:bCs w:val="0"/>
                      <w:color w:val="auto"/>
                      <w:szCs w:val="21"/>
                    </w:rPr>
                  </w:pPr>
                  <w:r>
                    <w:rPr>
                      <w:b w:val="0"/>
                      <w:bCs w:val="0"/>
                      <w:color w:val="auto"/>
                      <w:szCs w:val="21"/>
                    </w:rPr>
                    <w:t>产品</w:t>
                  </w:r>
                </w:p>
              </w:tc>
              <w:tc>
                <w:tcPr>
                  <w:tcW w:w="944" w:type="pct"/>
                  <w:vAlign w:val="center"/>
                </w:tcPr>
                <w:p w14:paraId="18518C8B">
                  <w:pPr>
                    <w:adjustRightInd w:val="0"/>
                    <w:snapToGrid w:val="0"/>
                    <w:ind w:left="57" w:hanging="56" w:hangingChars="27"/>
                    <w:jc w:val="center"/>
                    <w:rPr>
                      <w:b w:val="0"/>
                      <w:bCs w:val="0"/>
                      <w:color w:val="auto"/>
                      <w:szCs w:val="21"/>
                    </w:rPr>
                  </w:pPr>
                  <w:r>
                    <w:rPr>
                      <w:b w:val="0"/>
                      <w:bCs w:val="0"/>
                      <w:color w:val="auto"/>
                      <w:szCs w:val="21"/>
                    </w:rPr>
                    <w:t>产能</w:t>
                  </w:r>
                </w:p>
              </w:tc>
              <w:tc>
                <w:tcPr>
                  <w:tcW w:w="742" w:type="pct"/>
                  <w:vAlign w:val="center"/>
                </w:tcPr>
                <w:p w14:paraId="0102C218">
                  <w:pPr>
                    <w:adjustRightInd w:val="0"/>
                    <w:snapToGrid w:val="0"/>
                    <w:jc w:val="center"/>
                    <w:rPr>
                      <w:rFonts w:hint="eastAsia" w:eastAsia="宋体"/>
                      <w:b w:val="0"/>
                      <w:bCs w:val="0"/>
                      <w:color w:val="auto"/>
                      <w:szCs w:val="21"/>
                      <w:lang w:eastAsia="zh-CN"/>
                    </w:rPr>
                  </w:pPr>
                  <w:r>
                    <w:rPr>
                      <w:rFonts w:hint="eastAsia"/>
                      <w:b w:val="0"/>
                      <w:bCs w:val="0"/>
                      <w:color w:val="auto"/>
                      <w:szCs w:val="21"/>
                      <w:lang w:eastAsia="zh-CN"/>
                    </w:rPr>
                    <w:t>单位</w:t>
                  </w:r>
                </w:p>
              </w:tc>
              <w:tc>
                <w:tcPr>
                  <w:tcW w:w="1783" w:type="pct"/>
                  <w:vAlign w:val="center"/>
                </w:tcPr>
                <w:p w14:paraId="38D39FBD">
                  <w:pPr>
                    <w:adjustRightInd w:val="0"/>
                    <w:snapToGrid w:val="0"/>
                    <w:jc w:val="center"/>
                    <w:rPr>
                      <w:rFonts w:hint="eastAsia"/>
                      <w:b w:val="0"/>
                      <w:bCs w:val="0"/>
                      <w:color w:val="auto"/>
                      <w:szCs w:val="21"/>
                      <w:lang w:eastAsia="zh-CN"/>
                    </w:rPr>
                  </w:pPr>
                  <w:r>
                    <w:rPr>
                      <w:rFonts w:hint="eastAsia"/>
                      <w:b w:val="0"/>
                      <w:bCs w:val="0"/>
                      <w:color w:val="auto"/>
                      <w:szCs w:val="21"/>
                      <w:lang w:eastAsia="zh-CN"/>
                    </w:rPr>
                    <w:t>备注</w:t>
                  </w:r>
                </w:p>
              </w:tc>
            </w:tr>
            <w:tr w14:paraId="344E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3" w:type="pct"/>
                  <w:vAlign w:val="center"/>
                </w:tcPr>
                <w:p w14:paraId="3089A311">
                  <w:pPr>
                    <w:adjustRightInd w:val="0"/>
                    <w:snapToGrid w:val="0"/>
                    <w:ind w:left="57" w:hanging="56" w:hangingChars="27"/>
                    <w:jc w:val="center"/>
                    <w:rPr>
                      <w:b w:val="0"/>
                      <w:bCs w:val="0"/>
                      <w:color w:val="auto"/>
                      <w:szCs w:val="21"/>
                    </w:rPr>
                  </w:pPr>
                  <w:r>
                    <w:rPr>
                      <w:b w:val="0"/>
                      <w:bCs w:val="0"/>
                      <w:color w:val="auto"/>
                      <w:szCs w:val="21"/>
                    </w:rPr>
                    <w:t>1</w:t>
                  </w:r>
                </w:p>
              </w:tc>
              <w:tc>
                <w:tcPr>
                  <w:tcW w:w="995" w:type="pct"/>
                  <w:vAlign w:val="center"/>
                </w:tcPr>
                <w:p w14:paraId="51A51F24">
                  <w:pPr>
                    <w:jc w:val="center"/>
                    <w:rPr>
                      <w:rFonts w:hint="eastAsia" w:eastAsia="宋体"/>
                      <w:b w:val="0"/>
                      <w:bCs w:val="0"/>
                      <w:color w:val="auto"/>
                      <w:szCs w:val="21"/>
                      <w:lang w:eastAsia="zh-CN"/>
                    </w:rPr>
                  </w:pPr>
                  <w:r>
                    <w:rPr>
                      <w:rFonts w:hint="eastAsia"/>
                      <w:b w:val="0"/>
                      <w:bCs w:val="0"/>
                      <w:color w:val="auto"/>
                      <w:szCs w:val="21"/>
                      <w:lang w:eastAsia="zh-CN"/>
                    </w:rPr>
                    <w:t>环保材料及环保设备</w:t>
                  </w:r>
                </w:p>
              </w:tc>
              <w:tc>
                <w:tcPr>
                  <w:tcW w:w="944" w:type="pct"/>
                  <w:vAlign w:val="center"/>
                </w:tcPr>
                <w:p w14:paraId="1C917D5B">
                  <w:pPr>
                    <w:adjustRightInd w:val="0"/>
                    <w:snapToGrid w:val="0"/>
                    <w:ind w:left="57" w:hanging="56" w:hangingChars="27"/>
                    <w:jc w:val="center"/>
                    <w:rPr>
                      <w:rFonts w:hint="default"/>
                      <w:b w:val="0"/>
                      <w:bCs w:val="0"/>
                      <w:color w:val="auto"/>
                      <w:szCs w:val="21"/>
                      <w:lang w:val="en-US"/>
                    </w:rPr>
                  </w:pPr>
                  <w:r>
                    <w:rPr>
                      <w:rFonts w:hint="eastAsia"/>
                      <w:b w:val="0"/>
                      <w:bCs w:val="0"/>
                      <w:color w:val="auto"/>
                      <w:szCs w:val="21"/>
                      <w:lang w:val="en-US" w:eastAsia="zh-CN"/>
                    </w:rPr>
                    <w:t>20</w:t>
                  </w:r>
                </w:p>
              </w:tc>
              <w:tc>
                <w:tcPr>
                  <w:tcW w:w="742" w:type="pct"/>
                  <w:vAlign w:val="center"/>
                </w:tcPr>
                <w:p w14:paraId="06957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b w:val="0"/>
                      <w:bCs w:val="0"/>
                      <w:color w:val="auto"/>
                      <w:szCs w:val="21"/>
                      <w:lang w:val="en-US" w:eastAsia="zh-CN"/>
                    </w:rPr>
                    <w:t>万套</w:t>
                  </w:r>
                  <w:r>
                    <w:rPr>
                      <w:b w:val="0"/>
                      <w:bCs w:val="0"/>
                      <w:color w:val="auto"/>
                      <w:szCs w:val="21"/>
                    </w:rPr>
                    <w:t>/a</w:t>
                  </w:r>
                </w:p>
              </w:tc>
              <w:tc>
                <w:tcPr>
                  <w:tcW w:w="1783" w:type="pct"/>
                  <w:vMerge w:val="restart"/>
                  <w:vAlign w:val="center"/>
                </w:tcPr>
                <w:p w14:paraId="531732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Cs w:val="21"/>
                      <w:highlight w:val="none"/>
                      <w:lang w:val="en-US" w:eastAsia="zh-CN"/>
                    </w:rPr>
                  </w:pPr>
                  <w:r>
                    <w:rPr>
                      <w:rFonts w:hint="eastAsia"/>
                      <w:b w:val="0"/>
                      <w:bCs w:val="0"/>
                      <w:color w:val="auto"/>
                      <w:szCs w:val="21"/>
                      <w:highlight w:val="none"/>
                      <w:lang w:val="en-US" w:eastAsia="zh-CN"/>
                    </w:rPr>
                    <w:t>PP板材年产共20万套，其中17万套PP板材直接外售，另外板材作为原料二次加工为定制环保设备3万套外售</w:t>
                  </w:r>
                </w:p>
              </w:tc>
            </w:tr>
            <w:tr w14:paraId="7BCB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3" w:type="pct"/>
                  <w:vAlign w:val="center"/>
                </w:tcPr>
                <w:p w14:paraId="225368CB">
                  <w:pPr>
                    <w:adjustRightInd w:val="0"/>
                    <w:snapToGrid w:val="0"/>
                    <w:ind w:left="57" w:hanging="56" w:hangingChars="27"/>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①</w:t>
                  </w:r>
                </w:p>
              </w:tc>
              <w:tc>
                <w:tcPr>
                  <w:tcW w:w="995" w:type="pct"/>
                  <w:vAlign w:val="center"/>
                </w:tcPr>
                <w:p w14:paraId="49F528D8">
                  <w:pPr>
                    <w:jc w:val="center"/>
                    <w:rPr>
                      <w:rFonts w:hint="default"/>
                      <w:b w:val="0"/>
                      <w:bCs w:val="0"/>
                      <w:color w:val="auto"/>
                      <w:szCs w:val="21"/>
                      <w:lang w:val="en-US" w:eastAsia="zh-CN"/>
                    </w:rPr>
                  </w:pPr>
                  <w:r>
                    <w:rPr>
                      <w:rFonts w:hint="eastAsia"/>
                      <w:b w:val="0"/>
                      <w:bCs w:val="0"/>
                      <w:color w:val="auto"/>
                      <w:szCs w:val="21"/>
                      <w:lang w:val="en-US" w:eastAsia="zh-CN"/>
                    </w:rPr>
                    <w:t>PP板材</w:t>
                  </w:r>
                </w:p>
              </w:tc>
              <w:tc>
                <w:tcPr>
                  <w:tcW w:w="944" w:type="pct"/>
                  <w:vAlign w:val="center"/>
                </w:tcPr>
                <w:p w14:paraId="1AD83994">
                  <w:pPr>
                    <w:adjustRightInd w:val="0"/>
                    <w:snapToGrid w:val="0"/>
                    <w:ind w:left="57" w:hanging="56" w:hangingChars="27"/>
                    <w:jc w:val="center"/>
                    <w:rPr>
                      <w:rFonts w:hint="default"/>
                      <w:b w:val="0"/>
                      <w:bCs w:val="0"/>
                      <w:color w:val="auto"/>
                      <w:szCs w:val="21"/>
                      <w:lang w:val="en-US" w:eastAsia="zh-CN"/>
                    </w:rPr>
                  </w:pPr>
                  <w:r>
                    <w:rPr>
                      <w:rFonts w:hint="eastAsia"/>
                      <w:b w:val="0"/>
                      <w:bCs w:val="0"/>
                      <w:color w:val="auto"/>
                      <w:szCs w:val="21"/>
                      <w:lang w:val="en-US" w:eastAsia="zh-CN"/>
                    </w:rPr>
                    <w:t>17</w:t>
                  </w:r>
                </w:p>
              </w:tc>
              <w:tc>
                <w:tcPr>
                  <w:tcW w:w="742" w:type="pct"/>
                  <w:vAlign w:val="center"/>
                </w:tcPr>
                <w:p w14:paraId="59700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Cs w:val="21"/>
                      <w:lang w:val="en-US" w:eastAsia="zh-CN"/>
                    </w:rPr>
                  </w:pPr>
                  <w:r>
                    <w:rPr>
                      <w:rFonts w:hint="eastAsia"/>
                      <w:b w:val="0"/>
                      <w:bCs w:val="0"/>
                      <w:color w:val="auto"/>
                      <w:szCs w:val="21"/>
                      <w:lang w:val="en-US" w:eastAsia="zh-CN"/>
                    </w:rPr>
                    <w:t>万套</w:t>
                  </w:r>
                  <w:r>
                    <w:rPr>
                      <w:b w:val="0"/>
                      <w:bCs w:val="0"/>
                      <w:color w:val="auto"/>
                      <w:szCs w:val="21"/>
                    </w:rPr>
                    <w:t>/a</w:t>
                  </w:r>
                </w:p>
              </w:tc>
              <w:tc>
                <w:tcPr>
                  <w:tcW w:w="1783" w:type="pct"/>
                  <w:vMerge w:val="continue"/>
                  <w:vAlign w:val="center"/>
                </w:tcPr>
                <w:p w14:paraId="65C20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Cs w:val="21"/>
                      <w:highlight w:val="yellow"/>
                      <w:lang w:val="en-US" w:eastAsia="zh-CN"/>
                    </w:rPr>
                  </w:pPr>
                </w:p>
              </w:tc>
            </w:tr>
            <w:tr w14:paraId="6F26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3" w:type="pct"/>
                  <w:vAlign w:val="center"/>
                </w:tcPr>
                <w:p w14:paraId="3DBAA898">
                  <w:pPr>
                    <w:adjustRightInd w:val="0"/>
                    <w:snapToGrid w:val="0"/>
                    <w:ind w:left="57" w:hanging="56" w:hangingChars="27"/>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②</w:t>
                  </w:r>
                </w:p>
              </w:tc>
              <w:tc>
                <w:tcPr>
                  <w:tcW w:w="995" w:type="pct"/>
                  <w:vAlign w:val="center"/>
                </w:tcPr>
                <w:p w14:paraId="6EA1E36E">
                  <w:pPr>
                    <w:jc w:val="center"/>
                    <w:rPr>
                      <w:rFonts w:hint="eastAsia"/>
                      <w:b w:val="0"/>
                      <w:bCs w:val="0"/>
                      <w:color w:val="auto"/>
                      <w:szCs w:val="21"/>
                      <w:lang w:eastAsia="zh-CN"/>
                    </w:rPr>
                  </w:pPr>
                  <w:r>
                    <w:rPr>
                      <w:rFonts w:hint="eastAsia"/>
                      <w:b w:val="0"/>
                      <w:bCs w:val="0"/>
                      <w:color w:val="auto"/>
                      <w:szCs w:val="21"/>
                      <w:lang w:eastAsia="zh-CN"/>
                    </w:rPr>
                    <w:t>环保设备</w:t>
                  </w:r>
                </w:p>
              </w:tc>
              <w:tc>
                <w:tcPr>
                  <w:tcW w:w="944" w:type="pct"/>
                  <w:vAlign w:val="center"/>
                </w:tcPr>
                <w:p w14:paraId="47DE4429">
                  <w:pPr>
                    <w:adjustRightInd w:val="0"/>
                    <w:snapToGrid w:val="0"/>
                    <w:ind w:left="57" w:hanging="56" w:hangingChars="27"/>
                    <w:jc w:val="center"/>
                    <w:rPr>
                      <w:rFonts w:hint="default"/>
                      <w:b w:val="0"/>
                      <w:bCs w:val="0"/>
                      <w:color w:val="auto"/>
                      <w:szCs w:val="21"/>
                      <w:lang w:val="en-US" w:eastAsia="zh-CN"/>
                    </w:rPr>
                  </w:pPr>
                  <w:r>
                    <w:rPr>
                      <w:rFonts w:hint="eastAsia"/>
                      <w:b w:val="0"/>
                      <w:bCs w:val="0"/>
                      <w:color w:val="auto"/>
                      <w:szCs w:val="21"/>
                      <w:lang w:val="en-US" w:eastAsia="zh-CN"/>
                    </w:rPr>
                    <w:t>3</w:t>
                  </w:r>
                </w:p>
              </w:tc>
              <w:tc>
                <w:tcPr>
                  <w:tcW w:w="742" w:type="pct"/>
                  <w:vAlign w:val="center"/>
                </w:tcPr>
                <w:p w14:paraId="375D0A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Cs w:val="21"/>
                      <w:lang w:val="en-US" w:eastAsia="zh-CN"/>
                    </w:rPr>
                  </w:pPr>
                  <w:r>
                    <w:rPr>
                      <w:rFonts w:hint="eastAsia"/>
                      <w:b w:val="0"/>
                      <w:bCs w:val="0"/>
                      <w:color w:val="auto"/>
                      <w:szCs w:val="21"/>
                      <w:lang w:val="en-US" w:eastAsia="zh-CN"/>
                    </w:rPr>
                    <w:t>万套</w:t>
                  </w:r>
                  <w:r>
                    <w:rPr>
                      <w:b w:val="0"/>
                      <w:bCs w:val="0"/>
                      <w:color w:val="auto"/>
                      <w:szCs w:val="21"/>
                    </w:rPr>
                    <w:t>/a</w:t>
                  </w:r>
                </w:p>
              </w:tc>
              <w:tc>
                <w:tcPr>
                  <w:tcW w:w="1783" w:type="pct"/>
                  <w:vMerge w:val="continue"/>
                  <w:vAlign w:val="center"/>
                </w:tcPr>
                <w:p w14:paraId="18F4E3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Cs w:val="21"/>
                      <w:highlight w:val="yellow"/>
                      <w:lang w:val="en-US" w:eastAsia="zh-CN"/>
                    </w:rPr>
                  </w:pPr>
                </w:p>
              </w:tc>
            </w:tr>
          </w:tbl>
          <w:p w14:paraId="6A438F98">
            <w:pPr>
              <w:spacing w:line="360" w:lineRule="auto"/>
              <w:rPr>
                <w:b/>
                <w:color w:val="auto"/>
                <w:sz w:val="24"/>
                <w:szCs w:val="24"/>
              </w:rPr>
            </w:pPr>
            <w:r>
              <w:rPr>
                <w:rFonts w:hint="eastAsia"/>
                <w:b/>
                <w:color w:val="auto"/>
                <w:sz w:val="24"/>
                <w:szCs w:val="24"/>
                <w:lang w:val="en-US" w:eastAsia="zh-CN"/>
              </w:rPr>
              <w:t>3</w:t>
            </w:r>
            <w:r>
              <w:rPr>
                <w:b/>
                <w:color w:val="auto"/>
                <w:sz w:val="24"/>
                <w:szCs w:val="24"/>
              </w:rPr>
              <w:t>、生产设施及设施参数</w:t>
            </w:r>
          </w:p>
          <w:p w14:paraId="56EDA6D7">
            <w:pPr>
              <w:spacing w:line="240" w:lineRule="auto"/>
              <w:jc w:val="center"/>
              <w:rPr>
                <w:b/>
                <w:iCs/>
                <w:color w:val="auto"/>
                <w:sz w:val="21"/>
                <w:szCs w:val="21"/>
              </w:rPr>
            </w:pPr>
            <w:r>
              <w:rPr>
                <w:b/>
                <w:iCs/>
                <w:color w:val="auto"/>
                <w:sz w:val="21"/>
                <w:szCs w:val="21"/>
              </w:rPr>
              <w:t>表</w:t>
            </w:r>
            <w:r>
              <w:rPr>
                <w:rFonts w:hint="eastAsia"/>
                <w:b/>
                <w:iCs/>
                <w:color w:val="auto"/>
                <w:sz w:val="21"/>
                <w:szCs w:val="21"/>
              </w:rPr>
              <w:t>2</w:t>
            </w:r>
            <w:r>
              <w:rPr>
                <w:b/>
                <w:iCs/>
                <w:color w:val="auto"/>
                <w:sz w:val="21"/>
                <w:szCs w:val="21"/>
              </w:rPr>
              <w:t>-</w:t>
            </w:r>
            <w:r>
              <w:rPr>
                <w:rFonts w:hint="eastAsia"/>
                <w:b/>
                <w:iCs/>
                <w:color w:val="auto"/>
                <w:sz w:val="21"/>
                <w:szCs w:val="21"/>
                <w:lang w:val="en-US" w:eastAsia="zh-CN"/>
              </w:rPr>
              <w:t>3</w:t>
            </w:r>
            <w:r>
              <w:rPr>
                <w:rFonts w:hint="eastAsia"/>
                <w:b/>
                <w:iCs/>
                <w:color w:val="auto"/>
                <w:sz w:val="21"/>
                <w:szCs w:val="21"/>
                <w:lang w:eastAsia="zh-CN"/>
              </w:rPr>
              <w:t>项目</w:t>
            </w:r>
            <w:r>
              <w:rPr>
                <w:b/>
                <w:color w:val="auto"/>
                <w:sz w:val="21"/>
                <w:szCs w:val="21"/>
              </w:rPr>
              <w:t>生产设施</w:t>
            </w:r>
            <w:r>
              <w:rPr>
                <w:b/>
                <w:iCs/>
                <w:color w:val="auto"/>
                <w:sz w:val="21"/>
                <w:szCs w:val="21"/>
              </w:rPr>
              <w:t>一览表</w:t>
            </w:r>
          </w:p>
          <w:tbl>
            <w:tblPr>
              <w:tblStyle w:val="29"/>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370"/>
              <w:gridCol w:w="3675"/>
              <w:gridCol w:w="1875"/>
            </w:tblGrid>
            <w:tr w14:paraId="6FAF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3F405018">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1334" w:type="pct"/>
                  <w:shd w:val="clear" w:color="auto" w:fill="auto"/>
                  <w:vAlign w:val="center"/>
                </w:tcPr>
                <w:p w14:paraId="2C0D6DE8">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设备名称</w:t>
                  </w:r>
                </w:p>
              </w:tc>
              <w:tc>
                <w:tcPr>
                  <w:tcW w:w="2069" w:type="pct"/>
                  <w:shd w:val="clear" w:color="auto" w:fill="auto"/>
                  <w:vAlign w:val="center"/>
                </w:tcPr>
                <w:p w14:paraId="58E47ED5">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规格/型号</w:t>
                  </w:r>
                </w:p>
              </w:tc>
              <w:tc>
                <w:tcPr>
                  <w:tcW w:w="1055" w:type="pct"/>
                  <w:shd w:val="clear" w:color="auto" w:fill="auto"/>
                  <w:vAlign w:val="center"/>
                </w:tcPr>
                <w:p w14:paraId="330BD76F">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数量</w:t>
                  </w:r>
                  <w:r>
                    <w:rPr>
                      <w:b w:val="0"/>
                      <w:bCs/>
                      <w:color w:val="auto"/>
                    </w:rPr>
                    <w:t>（台/套）</w:t>
                  </w:r>
                </w:p>
              </w:tc>
            </w:tr>
            <w:tr w14:paraId="31BA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64738CA0">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1334" w:type="pct"/>
                  <w:shd w:val="clear" w:color="auto" w:fill="auto"/>
                  <w:vAlign w:val="center"/>
                </w:tcPr>
                <w:p w14:paraId="47D33233">
                  <w:pPr>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b w:val="0"/>
                      <w:bCs w:val="0"/>
                      <w:color w:val="auto"/>
                      <w:lang w:val="en-US" w:eastAsia="zh-CN"/>
                    </w:rPr>
                    <w:t>板材线（挤出机）</w:t>
                  </w:r>
                </w:p>
              </w:tc>
              <w:tc>
                <w:tcPr>
                  <w:tcW w:w="2069" w:type="pct"/>
                  <w:shd w:val="clear" w:color="auto" w:fill="auto"/>
                  <w:vAlign w:val="center"/>
                </w:tcPr>
                <w:p w14:paraId="35F16C05">
                  <w:pPr>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0245B823">
                  <w:pPr>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b w:val="0"/>
                      <w:bCs w:val="0"/>
                      <w:color w:val="auto"/>
                      <w:lang w:val="en-US" w:eastAsia="zh-CN"/>
                    </w:rPr>
                    <w:t>2</w:t>
                  </w:r>
                </w:p>
              </w:tc>
            </w:tr>
            <w:tr w14:paraId="1A98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2F9ACF21">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w:t>
                  </w:r>
                </w:p>
              </w:tc>
              <w:tc>
                <w:tcPr>
                  <w:tcW w:w="1334" w:type="pct"/>
                  <w:shd w:val="clear" w:color="auto" w:fill="auto"/>
                  <w:vAlign w:val="center"/>
                </w:tcPr>
                <w:p w14:paraId="163CB29C">
                  <w:pPr>
                    <w:spacing w:line="240" w:lineRule="auto"/>
                    <w:jc w:val="center"/>
                    <w:rPr>
                      <w:rFonts w:hint="eastAsia"/>
                      <w:b w:val="0"/>
                      <w:bCs w:val="0"/>
                      <w:color w:val="auto"/>
                      <w:lang w:val="en-US" w:eastAsia="zh-CN"/>
                    </w:rPr>
                  </w:pPr>
                  <w:r>
                    <w:rPr>
                      <w:rFonts w:hint="eastAsia"/>
                      <w:b w:val="0"/>
                      <w:bCs w:val="0"/>
                      <w:color w:val="auto"/>
                      <w:lang w:val="en-US" w:eastAsia="zh-CN"/>
                    </w:rPr>
                    <w:t>管材线</w:t>
                  </w:r>
                </w:p>
              </w:tc>
              <w:tc>
                <w:tcPr>
                  <w:tcW w:w="2069" w:type="pct"/>
                  <w:shd w:val="clear" w:color="auto" w:fill="auto"/>
                  <w:vAlign w:val="center"/>
                </w:tcPr>
                <w:p w14:paraId="0D057564">
                  <w:pPr>
                    <w:spacing w:line="240" w:lineRule="auto"/>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160-400、20-110</w:t>
                  </w:r>
                </w:p>
              </w:tc>
              <w:tc>
                <w:tcPr>
                  <w:tcW w:w="1055" w:type="pct"/>
                  <w:shd w:val="clear" w:color="auto" w:fill="auto"/>
                  <w:vAlign w:val="center"/>
                </w:tcPr>
                <w:p w14:paraId="15CB1C67">
                  <w:pPr>
                    <w:spacing w:line="240" w:lineRule="auto"/>
                    <w:jc w:val="center"/>
                    <w:rPr>
                      <w:rFonts w:hint="eastAsia"/>
                      <w:b w:val="0"/>
                      <w:bCs w:val="0"/>
                      <w:color w:val="auto"/>
                      <w:lang w:val="en-US" w:eastAsia="zh-CN"/>
                    </w:rPr>
                  </w:pPr>
                  <w:r>
                    <w:rPr>
                      <w:rFonts w:hint="eastAsia"/>
                      <w:b w:val="0"/>
                      <w:bCs w:val="0"/>
                      <w:color w:val="auto"/>
                      <w:lang w:val="en-US" w:eastAsia="zh-CN"/>
                    </w:rPr>
                    <w:t>2</w:t>
                  </w:r>
                </w:p>
              </w:tc>
            </w:tr>
            <w:tr w14:paraId="5A59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7633FE26">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w:t>
                  </w:r>
                </w:p>
              </w:tc>
              <w:tc>
                <w:tcPr>
                  <w:tcW w:w="1334" w:type="pct"/>
                  <w:shd w:val="clear" w:color="auto" w:fill="auto"/>
                  <w:vAlign w:val="center"/>
                </w:tcPr>
                <w:p w14:paraId="28D11C76">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焊条机</w:t>
                  </w:r>
                </w:p>
              </w:tc>
              <w:tc>
                <w:tcPr>
                  <w:tcW w:w="2069" w:type="pct"/>
                  <w:shd w:val="clear" w:color="auto" w:fill="auto"/>
                  <w:vAlign w:val="center"/>
                </w:tcPr>
                <w:p w14:paraId="2E3213F4">
                  <w:pPr>
                    <w:spacing w:line="240" w:lineRule="auto"/>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2F8451B6">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2</w:t>
                  </w:r>
                </w:p>
              </w:tc>
            </w:tr>
            <w:tr w14:paraId="3FB7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241039B9">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w:t>
                  </w:r>
                </w:p>
              </w:tc>
              <w:tc>
                <w:tcPr>
                  <w:tcW w:w="1334" w:type="pct"/>
                  <w:shd w:val="clear" w:color="auto" w:fill="auto"/>
                  <w:vAlign w:val="center"/>
                </w:tcPr>
                <w:p w14:paraId="41BF0D02">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注塑机</w:t>
                  </w:r>
                </w:p>
              </w:tc>
              <w:tc>
                <w:tcPr>
                  <w:tcW w:w="2069" w:type="pct"/>
                  <w:shd w:val="clear" w:color="auto" w:fill="auto"/>
                  <w:vAlign w:val="center"/>
                </w:tcPr>
                <w:p w14:paraId="086B5810">
                  <w:pPr>
                    <w:spacing w:line="240" w:lineRule="auto"/>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200T、400T、600、1000、1500、通用</w:t>
                  </w:r>
                </w:p>
              </w:tc>
              <w:tc>
                <w:tcPr>
                  <w:tcW w:w="1055" w:type="pct"/>
                  <w:shd w:val="clear" w:color="auto" w:fill="auto"/>
                  <w:vAlign w:val="center"/>
                </w:tcPr>
                <w:p w14:paraId="417E6BDD">
                  <w:pPr>
                    <w:spacing w:line="240" w:lineRule="auto"/>
                    <w:jc w:val="center"/>
                    <w:rPr>
                      <w:rFonts w:hint="default" w:cs="Times New Roman"/>
                      <w:b w:val="0"/>
                      <w:bCs/>
                      <w:color w:val="auto"/>
                      <w:kern w:val="2"/>
                      <w:sz w:val="21"/>
                      <w:szCs w:val="21"/>
                      <w:lang w:val="en-US" w:eastAsia="zh-CN" w:bidi="ar-SA"/>
                    </w:rPr>
                  </w:pPr>
                  <w:r>
                    <w:rPr>
                      <w:rFonts w:hint="eastAsia"/>
                      <w:b w:val="0"/>
                      <w:bCs w:val="0"/>
                      <w:color w:val="auto"/>
                      <w:lang w:val="en-US" w:eastAsia="zh-CN"/>
                    </w:rPr>
                    <w:t>10</w:t>
                  </w:r>
                </w:p>
              </w:tc>
            </w:tr>
            <w:tr w14:paraId="1467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529B11CF">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w:t>
                  </w:r>
                </w:p>
              </w:tc>
              <w:tc>
                <w:tcPr>
                  <w:tcW w:w="1334" w:type="pct"/>
                  <w:shd w:val="clear" w:color="auto" w:fill="auto"/>
                  <w:vAlign w:val="center"/>
                </w:tcPr>
                <w:p w14:paraId="2BE12BC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kern w:val="2"/>
                      <w:sz w:val="21"/>
                      <w:szCs w:val="21"/>
                      <w:lang w:val="en-US" w:eastAsia="zh-CN" w:bidi="ar-SA"/>
                    </w:rPr>
                  </w:pPr>
                  <w:r>
                    <w:rPr>
                      <w:rFonts w:hint="eastAsia"/>
                      <w:b w:val="0"/>
                      <w:bCs/>
                      <w:color w:val="auto"/>
                    </w:rPr>
                    <w:t>粉碎机</w:t>
                  </w:r>
                </w:p>
              </w:tc>
              <w:tc>
                <w:tcPr>
                  <w:tcW w:w="2069" w:type="pct"/>
                  <w:shd w:val="clear" w:color="auto" w:fill="auto"/>
                  <w:vAlign w:val="center"/>
                </w:tcPr>
                <w:p w14:paraId="3632B5EF">
                  <w:pPr>
                    <w:spacing w:line="240" w:lineRule="auto"/>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559A5A9B">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1</w:t>
                  </w:r>
                </w:p>
              </w:tc>
            </w:tr>
            <w:tr w14:paraId="5E66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7DE6D16B">
                  <w:pPr>
                    <w:spacing w:line="240" w:lineRule="auto"/>
                    <w:jc w:val="center"/>
                    <w:rPr>
                      <w:rFonts w:hint="eastAsia" w:ascii="Times New Roman" w:hAnsi="Times New Roman" w:eastAsia="宋体" w:cs="Times New Roman"/>
                      <w:b w:val="0"/>
                      <w:bCs/>
                      <w:color w:val="auto"/>
                      <w:sz w:val="21"/>
                      <w:szCs w:val="21"/>
                      <w:lang w:val="en-US" w:eastAsia="zh-CN"/>
                    </w:rPr>
                  </w:pPr>
                  <w:r>
                    <w:rPr>
                      <w:rFonts w:hint="eastAsia"/>
                      <w:color w:val="auto"/>
                      <w:lang w:val="en-US" w:eastAsia="zh-CN"/>
                    </w:rPr>
                    <w:t>6</w:t>
                  </w:r>
                </w:p>
              </w:tc>
              <w:tc>
                <w:tcPr>
                  <w:tcW w:w="1334" w:type="pct"/>
                  <w:shd w:val="clear" w:color="auto" w:fill="auto"/>
                  <w:vAlign w:val="center"/>
                </w:tcPr>
                <w:p w14:paraId="2AA9BBDC">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color w:val="auto"/>
                      <w:lang w:val="en-US" w:eastAsia="zh-CN"/>
                    </w:rPr>
                  </w:pPr>
                  <w:r>
                    <w:rPr>
                      <w:rFonts w:hint="eastAsia"/>
                      <w:b w:val="0"/>
                      <w:bCs/>
                      <w:color w:val="auto"/>
                    </w:rPr>
                    <w:t>接板机</w:t>
                  </w:r>
                </w:p>
              </w:tc>
              <w:tc>
                <w:tcPr>
                  <w:tcW w:w="2069" w:type="pct"/>
                  <w:shd w:val="clear" w:color="auto" w:fill="auto"/>
                  <w:vAlign w:val="center"/>
                </w:tcPr>
                <w:p w14:paraId="40DEBB46">
                  <w:pPr>
                    <w:spacing w:line="240" w:lineRule="auto"/>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0968DCB8">
                  <w:pPr>
                    <w:spacing w:line="240" w:lineRule="auto"/>
                    <w:jc w:val="center"/>
                    <w:rPr>
                      <w:rFonts w:hint="default"/>
                      <w:b w:val="0"/>
                      <w:bCs w:val="0"/>
                      <w:color w:val="auto"/>
                      <w:lang w:val="en-US" w:eastAsia="zh-CN"/>
                    </w:rPr>
                  </w:pPr>
                  <w:r>
                    <w:rPr>
                      <w:rFonts w:hint="eastAsia"/>
                      <w:b w:val="0"/>
                      <w:bCs w:val="0"/>
                      <w:color w:val="auto"/>
                      <w:lang w:val="en-US" w:eastAsia="zh-CN"/>
                    </w:rPr>
                    <w:t>2</w:t>
                  </w:r>
                </w:p>
              </w:tc>
            </w:tr>
            <w:tr w14:paraId="2893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229A71D3">
                  <w:pPr>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7</w:t>
                  </w:r>
                </w:p>
              </w:tc>
              <w:tc>
                <w:tcPr>
                  <w:tcW w:w="1334" w:type="pct"/>
                  <w:shd w:val="clear" w:color="auto" w:fill="auto"/>
                  <w:vAlign w:val="center"/>
                </w:tcPr>
                <w:p w14:paraId="0A012BA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kern w:val="2"/>
                      <w:sz w:val="21"/>
                      <w:szCs w:val="21"/>
                      <w:lang w:val="en-US" w:eastAsia="zh-CN" w:bidi="ar-SA"/>
                    </w:rPr>
                  </w:pPr>
                  <w:r>
                    <w:rPr>
                      <w:rFonts w:hint="eastAsia"/>
                      <w:b w:val="0"/>
                      <w:bCs/>
                      <w:color w:val="auto"/>
                    </w:rPr>
                    <w:t>折板机</w:t>
                  </w:r>
                </w:p>
              </w:tc>
              <w:tc>
                <w:tcPr>
                  <w:tcW w:w="2069" w:type="pct"/>
                  <w:shd w:val="clear" w:color="auto" w:fill="auto"/>
                  <w:vAlign w:val="center"/>
                </w:tcPr>
                <w:p w14:paraId="6F3EFAB9">
                  <w:pPr>
                    <w:spacing w:line="240" w:lineRule="auto"/>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49927B27">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1</w:t>
                  </w:r>
                </w:p>
              </w:tc>
            </w:tr>
            <w:tr w14:paraId="6BCF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6B5D66D8">
                  <w:pPr>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8</w:t>
                  </w:r>
                </w:p>
              </w:tc>
              <w:tc>
                <w:tcPr>
                  <w:tcW w:w="1334" w:type="pct"/>
                  <w:shd w:val="clear" w:color="auto" w:fill="auto"/>
                  <w:vAlign w:val="center"/>
                </w:tcPr>
                <w:p w14:paraId="367DB48D">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kern w:val="2"/>
                      <w:sz w:val="21"/>
                      <w:szCs w:val="21"/>
                      <w:lang w:val="en-US" w:eastAsia="zh-CN" w:bidi="ar-SA"/>
                    </w:rPr>
                  </w:pPr>
                  <w:r>
                    <w:rPr>
                      <w:rFonts w:hint="eastAsia"/>
                      <w:b w:val="0"/>
                      <w:bCs/>
                      <w:color w:val="auto"/>
                    </w:rPr>
                    <w:t>雕刻机</w:t>
                  </w:r>
                </w:p>
              </w:tc>
              <w:tc>
                <w:tcPr>
                  <w:tcW w:w="2069" w:type="pct"/>
                  <w:shd w:val="clear" w:color="auto" w:fill="auto"/>
                  <w:vAlign w:val="center"/>
                </w:tcPr>
                <w:p w14:paraId="4DBF1A15">
                  <w:pPr>
                    <w:spacing w:line="240" w:lineRule="auto"/>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51F12E5F">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2</w:t>
                  </w:r>
                </w:p>
              </w:tc>
            </w:tr>
            <w:tr w14:paraId="5E4A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0B77D8F6">
                  <w:pPr>
                    <w:spacing w:line="240" w:lineRule="auto"/>
                    <w:jc w:val="center"/>
                    <w:rPr>
                      <w:rFonts w:hint="default" w:ascii="Times New Roman" w:hAnsi="Times New Roman" w:cs="Times New Roman"/>
                      <w:b w:val="0"/>
                      <w:bCs/>
                      <w:color w:val="auto"/>
                      <w:sz w:val="21"/>
                      <w:szCs w:val="21"/>
                    </w:rPr>
                  </w:pPr>
                  <w:r>
                    <w:rPr>
                      <w:rFonts w:hint="eastAsia" w:cs="Times New Roman"/>
                      <w:b w:val="0"/>
                      <w:bCs/>
                      <w:color w:val="auto"/>
                      <w:sz w:val="21"/>
                      <w:szCs w:val="21"/>
                      <w:lang w:val="en-US" w:eastAsia="zh-CN"/>
                    </w:rPr>
                    <w:t>9</w:t>
                  </w:r>
                </w:p>
              </w:tc>
              <w:tc>
                <w:tcPr>
                  <w:tcW w:w="1334" w:type="pct"/>
                  <w:shd w:val="clear" w:color="auto" w:fill="auto"/>
                  <w:vAlign w:val="center"/>
                </w:tcPr>
                <w:p w14:paraId="1FCA24D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kern w:val="2"/>
                      <w:sz w:val="21"/>
                      <w:szCs w:val="21"/>
                      <w:lang w:val="en-US" w:eastAsia="zh-CN" w:bidi="ar-SA"/>
                    </w:rPr>
                  </w:pPr>
                  <w:r>
                    <w:rPr>
                      <w:rFonts w:hint="eastAsia"/>
                      <w:b w:val="0"/>
                      <w:bCs/>
                      <w:color w:val="auto"/>
                    </w:rPr>
                    <w:t>裁板机</w:t>
                  </w:r>
                </w:p>
              </w:tc>
              <w:tc>
                <w:tcPr>
                  <w:tcW w:w="2069" w:type="pct"/>
                  <w:shd w:val="clear" w:color="auto" w:fill="auto"/>
                  <w:vAlign w:val="center"/>
                </w:tcPr>
                <w:p w14:paraId="252F5A56">
                  <w:pPr>
                    <w:spacing w:line="240" w:lineRule="auto"/>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44F7DFD2">
                  <w:pPr>
                    <w:spacing w:line="240" w:lineRule="auto"/>
                    <w:jc w:val="center"/>
                    <w:rPr>
                      <w:rFonts w:hint="eastAsia" w:cs="Times New Roman"/>
                      <w:b w:val="0"/>
                      <w:bCs/>
                      <w:color w:val="auto"/>
                      <w:kern w:val="2"/>
                      <w:sz w:val="21"/>
                      <w:szCs w:val="21"/>
                      <w:lang w:val="en-US" w:eastAsia="zh-CN" w:bidi="ar-SA"/>
                    </w:rPr>
                  </w:pPr>
                  <w:r>
                    <w:rPr>
                      <w:rFonts w:hint="eastAsia"/>
                      <w:b w:val="0"/>
                      <w:bCs w:val="0"/>
                      <w:color w:val="auto"/>
                      <w:lang w:val="en-US" w:eastAsia="zh-CN"/>
                    </w:rPr>
                    <w:t>2</w:t>
                  </w:r>
                </w:p>
              </w:tc>
            </w:tr>
            <w:tr w14:paraId="02EB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5C8F952A">
                  <w:pPr>
                    <w:spacing w:line="240" w:lineRule="auto"/>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10</w:t>
                  </w:r>
                </w:p>
              </w:tc>
              <w:tc>
                <w:tcPr>
                  <w:tcW w:w="1334" w:type="pct"/>
                  <w:shd w:val="clear" w:color="auto" w:fill="auto"/>
                  <w:vAlign w:val="center"/>
                </w:tcPr>
                <w:p w14:paraId="37FD6D5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color w:val="auto"/>
                      <w:lang w:eastAsia="zh-CN"/>
                    </w:rPr>
                  </w:pPr>
                  <w:r>
                    <w:rPr>
                      <w:rFonts w:hint="eastAsia"/>
                      <w:b w:val="0"/>
                      <w:bCs/>
                      <w:color w:val="auto"/>
                      <w:lang w:eastAsia="zh-CN"/>
                    </w:rPr>
                    <w:t>冷却塔</w:t>
                  </w:r>
                </w:p>
              </w:tc>
              <w:tc>
                <w:tcPr>
                  <w:tcW w:w="2069" w:type="pct"/>
                  <w:shd w:val="clear" w:color="auto" w:fill="auto"/>
                  <w:vAlign w:val="center"/>
                </w:tcPr>
                <w:p w14:paraId="02B85D7E">
                  <w:pPr>
                    <w:spacing w:line="240" w:lineRule="auto"/>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45A71620">
                  <w:pPr>
                    <w:spacing w:line="240" w:lineRule="auto"/>
                    <w:jc w:val="center"/>
                    <w:rPr>
                      <w:rFonts w:hint="default"/>
                      <w:b w:val="0"/>
                      <w:bCs w:val="0"/>
                      <w:color w:val="auto"/>
                      <w:lang w:val="en-US" w:eastAsia="zh-CN"/>
                    </w:rPr>
                  </w:pPr>
                  <w:r>
                    <w:rPr>
                      <w:rFonts w:hint="eastAsia"/>
                      <w:b w:val="0"/>
                      <w:bCs w:val="0"/>
                      <w:color w:val="auto"/>
                      <w:lang w:val="en-US" w:eastAsia="zh-CN"/>
                    </w:rPr>
                    <w:t>1</w:t>
                  </w:r>
                </w:p>
              </w:tc>
            </w:tr>
            <w:tr w14:paraId="7409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pct"/>
                  <w:shd w:val="clear" w:color="auto" w:fill="auto"/>
                  <w:vAlign w:val="center"/>
                </w:tcPr>
                <w:p w14:paraId="19FE17E7">
                  <w:pPr>
                    <w:spacing w:line="240" w:lineRule="auto"/>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11</w:t>
                  </w:r>
                </w:p>
              </w:tc>
              <w:tc>
                <w:tcPr>
                  <w:tcW w:w="1334" w:type="pct"/>
                  <w:shd w:val="clear" w:color="auto" w:fill="auto"/>
                  <w:vAlign w:val="center"/>
                </w:tcPr>
                <w:p w14:paraId="2105DD36">
                  <w:pPr>
                    <w:spacing w:line="240" w:lineRule="auto"/>
                    <w:jc w:val="center"/>
                    <w:rPr>
                      <w:rFonts w:hint="eastAsia"/>
                      <w:b w:val="0"/>
                      <w:bCs w:val="0"/>
                      <w:color w:val="auto"/>
                      <w:lang w:val="en-US" w:eastAsia="zh-CN"/>
                    </w:rPr>
                  </w:pPr>
                  <w:r>
                    <w:rPr>
                      <w:rFonts w:hint="eastAsia"/>
                      <w:b w:val="0"/>
                      <w:bCs w:val="0"/>
                      <w:color w:val="auto"/>
                      <w:lang w:val="en-US" w:eastAsia="zh-CN"/>
                    </w:rPr>
                    <w:t>风机</w:t>
                  </w:r>
                </w:p>
              </w:tc>
              <w:tc>
                <w:tcPr>
                  <w:tcW w:w="2069" w:type="pct"/>
                  <w:shd w:val="clear" w:color="auto" w:fill="auto"/>
                  <w:vAlign w:val="center"/>
                </w:tcPr>
                <w:p w14:paraId="20754CE2">
                  <w:pPr>
                    <w:spacing w:line="240" w:lineRule="auto"/>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38449E3D">
                  <w:pPr>
                    <w:spacing w:line="240" w:lineRule="auto"/>
                    <w:jc w:val="center"/>
                    <w:rPr>
                      <w:rFonts w:hint="eastAsia"/>
                      <w:b w:val="0"/>
                      <w:bCs w:val="0"/>
                      <w:color w:val="auto"/>
                      <w:lang w:val="en-US" w:eastAsia="zh-CN"/>
                    </w:rPr>
                  </w:pPr>
                  <w:r>
                    <w:rPr>
                      <w:rFonts w:hint="eastAsia"/>
                      <w:b w:val="0"/>
                      <w:bCs w:val="0"/>
                      <w:color w:val="auto"/>
                      <w:lang w:val="en-US" w:eastAsia="zh-CN"/>
                    </w:rPr>
                    <w:t>1</w:t>
                  </w:r>
                </w:p>
              </w:tc>
            </w:tr>
            <w:tr w14:paraId="3374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39" w:type="pct"/>
                  <w:shd w:val="clear" w:color="auto" w:fill="auto"/>
                  <w:vAlign w:val="center"/>
                </w:tcPr>
                <w:p w14:paraId="2B2F3A4F">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1334" w:type="pct"/>
                  <w:shd w:val="clear" w:color="auto" w:fill="auto"/>
                  <w:vAlign w:val="center"/>
                </w:tcPr>
                <w:p w14:paraId="463CD6F5">
                  <w:pPr>
                    <w:spacing w:line="240" w:lineRule="auto"/>
                    <w:jc w:val="center"/>
                    <w:rPr>
                      <w:rFonts w:hint="eastAsia"/>
                      <w:b w:val="0"/>
                      <w:bCs w:val="0"/>
                      <w:color w:val="auto"/>
                      <w:lang w:val="en-US" w:eastAsia="zh-CN"/>
                    </w:rPr>
                  </w:pPr>
                  <w:r>
                    <w:rPr>
                      <w:rFonts w:hint="eastAsia"/>
                      <w:b w:val="0"/>
                      <w:bCs w:val="0"/>
                      <w:color w:val="auto"/>
                      <w:lang w:val="en-US" w:eastAsia="zh-CN"/>
                    </w:rPr>
                    <w:t>二级活性炭吸附装置</w:t>
                  </w:r>
                </w:p>
              </w:tc>
              <w:tc>
                <w:tcPr>
                  <w:tcW w:w="2069" w:type="pct"/>
                  <w:shd w:val="clear" w:color="auto" w:fill="auto"/>
                  <w:vAlign w:val="center"/>
                </w:tcPr>
                <w:p w14:paraId="5FABA0A9">
                  <w:pPr>
                    <w:spacing w:line="240" w:lineRule="auto"/>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055" w:type="pct"/>
                  <w:shd w:val="clear" w:color="auto" w:fill="auto"/>
                  <w:vAlign w:val="center"/>
                </w:tcPr>
                <w:p w14:paraId="1D0ACA21">
                  <w:pPr>
                    <w:spacing w:line="240" w:lineRule="auto"/>
                    <w:jc w:val="center"/>
                    <w:rPr>
                      <w:rFonts w:hint="eastAsia"/>
                      <w:b w:val="0"/>
                      <w:bCs w:val="0"/>
                      <w:color w:val="auto"/>
                      <w:lang w:val="en-US" w:eastAsia="zh-CN"/>
                    </w:rPr>
                  </w:pPr>
                  <w:r>
                    <w:rPr>
                      <w:rFonts w:hint="eastAsia"/>
                      <w:b w:val="0"/>
                      <w:bCs w:val="0"/>
                      <w:color w:val="auto"/>
                      <w:lang w:val="en-US" w:eastAsia="zh-CN"/>
                    </w:rPr>
                    <w:t>1</w:t>
                  </w:r>
                </w:p>
              </w:tc>
            </w:tr>
          </w:tbl>
          <w:p w14:paraId="61269C0E">
            <w:pPr>
              <w:spacing w:line="360" w:lineRule="auto"/>
              <w:rPr>
                <w:b/>
                <w:color w:val="auto"/>
                <w:sz w:val="24"/>
                <w:szCs w:val="24"/>
              </w:rPr>
            </w:pPr>
            <w:r>
              <w:rPr>
                <w:rFonts w:hint="eastAsia"/>
                <w:b/>
                <w:color w:val="auto"/>
                <w:sz w:val="24"/>
                <w:szCs w:val="24"/>
                <w:lang w:val="en-US" w:eastAsia="zh-CN"/>
              </w:rPr>
              <w:t>4</w:t>
            </w:r>
            <w:r>
              <w:rPr>
                <w:b/>
                <w:color w:val="auto"/>
                <w:sz w:val="24"/>
                <w:szCs w:val="24"/>
              </w:rPr>
              <w:t>、原</w:t>
            </w:r>
            <w:r>
              <w:rPr>
                <w:rFonts w:hint="eastAsia"/>
                <w:b/>
                <w:color w:val="auto"/>
                <w:sz w:val="24"/>
                <w:szCs w:val="24"/>
              </w:rPr>
              <w:t>辅材料及燃料</w:t>
            </w:r>
          </w:p>
          <w:p w14:paraId="3DFD7391">
            <w:pPr>
              <w:adjustRightInd w:val="0"/>
              <w:snapToGrid w:val="0"/>
              <w:jc w:val="center"/>
              <w:rPr>
                <w:b/>
                <w:bCs/>
                <w:iCs/>
                <w:color w:val="auto"/>
                <w:sz w:val="21"/>
                <w:szCs w:val="21"/>
              </w:rPr>
            </w:pPr>
            <w:r>
              <w:rPr>
                <w:b/>
                <w:iCs/>
                <w:color w:val="auto"/>
                <w:sz w:val="21"/>
                <w:szCs w:val="21"/>
              </w:rPr>
              <w:t>表</w:t>
            </w:r>
            <w:r>
              <w:rPr>
                <w:rFonts w:hint="eastAsia"/>
                <w:b/>
                <w:iCs/>
                <w:color w:val="auto"/>
                <w:sz w:val="21"/>
                <w:szCs w:val="21"/>
              </w:rPr>
              <w:t>2</w:t>
            </w:r>
            <w:r>
              <w:rPr>
                <w:b/>
                <w:iCs/>
                <w:color w:val="auto"/>
                <w:sz w:val="21"/>
                <w:szCs w:val="21"/>
              </w:rPr>
              <w:t>-</w:t>
            </w:r>
            <w:r>
              <w:rPr>
                <w:rFonts w:hint="eastAsia"/>
                <w:b/>
                <w:iCs/>
                <w:color w:val="auto"/>
                <w:sz w:val="21"/>
                <w:szCs w:val="21"/>
                <w:lang w:val="en-US" w:eastAsia="zh-CN"/>
              </w:rPr>
              <w:t>4</w:t>
            </w:r>
            <w:r>
              <w:rPr>
                <w:b/>
                <w:iCs/>
                <w:color w:val="auto"/>
                <w:sz w:val="21"/>
                <w:szCs w:val="21"/>
              </w:rPr>
              <w:t xml:space="preserve"> </w:t>
            </w:r>
            <w:r>
              <w:rPr>
                <w:b/>
                <w:bCs/>
                <w:iCs/>
                <w:color w:val="auto"/>
                <w:sz w:val="21"/>
                <w:szCs w:val="21"/>
              </w:rPr>
              <w:t>主要原辅材料及能源消耗一览表</w:t>
            </w:r>
          </w:p>
          <w:tbl>
            <w:tblPr>
              <w:tblStyle w:val="29"/>
              <w:tblW w:w="8935"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1384"/>
              <w:gridCol w:w="1059"/>
              <w:gridCol w:w="888"/>
              <w:gridCol w:w="1110"/>
              <w:gridCol w:w="1182"/>
              <w:gridCol w:w="1230"/>
              <w:gridCol w:w="1447"/>
            </w:tblGrid>
            <w:tr w14:paraId="688C7A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590" w:hRule="atLeast"/>
                <w:jc w:val="center"/>
              </w:trPr>
              <w:tc>
                <w:tcPr>
                  <w:tcW w:w="635" w:type="dxa"/>
                  <w:vAlign w:val="center"/>
                </w:tcPr>
                <w:p w14:paraId="6B44308F">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序号</w:t>
                  </w:r>
                </w:p>
              </w:tc>
              <w:tc>
                <w:tcPr>
                  <w:tcW w:w="1384" w:type="dxa"/>
                  <w:tcBorders>
                    <w:left w:val="single" w:color="auto" w:sz="4" w:space="0"/>
                  </w:tcBorders>
                  <w:vAlign w:val="center"/>
                </w:tcPr>
                <w:p w14:paraId="3ACC7CC3">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名称</w:t>
                  </w:r>
                </w:p>
              </w:tc>
              <w:tc>
                <w:tcPr>
                  <w:tcW w:w="1059" w:type="dxa"/>
                  <w:tcBorders>
                    <w:right w:val="single" w:color="auto" w:sz="4" w:space="0"/>
                  </w:tcBorders>
                  <w:vAlign w:val="center"/>
                </w:tcPr>
                <w:p w14:paraId="4C1F95E3">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年用量</w:t>
                  </w:r>
                </w:p>
              </w:tc>
              <w:tc>
                <w:tcPr>
                  <w:tcW w:w="888" w:type="dxa"/>
                  <w:tcBorders>
                    <w:right w:val="single" w:color="auto" w:sz="4" w:space="0"/>
                  </w:tcBorders>
                  <w:vAlign w:val="center"/>
                </w:tcPr>
                <w:p w14:paraId="411EB057">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单位</w:t>
                  </w:r>
                </w:p>
              </w:tc>
              <w:tc>
                <w:tcPr>
                  <w:tcW w:w="1110" w:type="dxa"/>
                  <w:tcBorders>
                    <w:left w:val="single" w:color="auto" w:sz="4" w:space="0"/>
                    <w:right w:val="single" w:color="auto" w:sz="4" w:space="0"/>
                  </w:tcBorders>
                  <w:vAlign w:val="center"/>
                </w:tcPr>
                <w:p w14:paraId="39E48992">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性状</w:t>
                  </w:r>
                </w:p>
              </w:tc>
              <w:tc>
                <w:tcPr>
                  <w:tcW w:w="1182" w:type="dxa"/>
                  <w:tcBorders>
                    <w:left w:val="single" w:color="auto" w:sz="4" w:space="0"/>
                    <w:right w:val="single" w:color="auto" w:sz="4" w:space="0"/>
                  </w:tcBorders>
                  <w:vAlign w:val="center"/>
                </w:tcPr>
                <w:p w14:paraId="0A9D18CD">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包装规格</w:t>
                  </w:r>
                </w:p>
              </w:tc>
              <w:tc>
                <w:tcPr>
                  <w:tcW w:w="1230" w:type="dxa"/>
                  <w:tcBorders>
                    <w:left w:val="single" w:color="auto" w:sz="4" w:space="0"/>
                    <w:right w:val="single" w:color="auto" w:sz="4" w:space="0"/>
                  </w:tcBorders>
                  <w:vAlign w:val="center"/>
                </w:tcPr>
                <w:p w14:paraId="6EF74E71">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iCs/>
                      <w:color w:val="auto"/>
                      <w:sz w:val="21"/>
                      <w:szCs w:val="21"/>
                      <w:lang w:eastAsia="zh-CN"/>
                    </w:rPr>
                  </w:pPr>
                  <w:r>
                    <w:rPr>
                      <w:rFonts w:hint="default" w:ascii="Times New Roman" w:hAnsi="Times New Roman" w:eastAsia="宋体" w:cs="Times New Roman"/>
                      <w:b w:val="0"/>
                      <w:bCs w:val="0"/>
                      <w:iCs/>
                      <w:color w:val="auto"/>
                      <w:sz w:val="21"/>
                      <w:szCs w:val="21"/>
                      <w:lang w:eastAsia="zh-CN"/>
                    </w:rPr>
                    <w:t>一次最大储存量</w:t>
                  </w:r>
                </w:p>
              </w:tc>
              <w:tc>
                <w:tcPr>
                  <w:tcW w:w="1447" w:type="dxa"/>
                  <w:vAlign w:val="center"/>
                </w:tcPr>
                <w:p w14:paraId="260347F7">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储存位置</w:t>
                  </w:r>
                </w:p>
              </w:tc>
            </w:tr>
            <w:tr w14:paraId="73F43F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635" w:type="dxa"/>
                  <w:vAlign w:val="center"/>
                </w:tcPr>
                <w:p w14:paraId="036BDB30">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1384" w:type="dxa"/>
                  <w:tcBorders>
                    <w:left w:val="single" w:color="auto" w:sz="4" w:space="0"/>
                  </w:tcBorders>
                  <w:vAlign w:val="center"/>
                </w:tcPr>
                <w:p w14:paraId="12F44BA7">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PP原粒</w:t>
                  </w:r>
                </w:p>
              </w:tc>
              <w:tc>
                <w:tcPr>
                  <w:tcW w:w="1059" w:type="dxa"/>
                  <w:tcBorders>
                    <w:right w:val="single" w:color="auto" w:sz="4" w:space="0"/>
                  </w:tcBorders>
                  <w:vAlign w:val="center"/>
                </w:tcPr>
                <w:p w14:paraId="545DC8D5">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15</w:t>
                  </w:r>
                  <w:r>
                    <w:rPr>
                      <w:rFonts w:hint="default" w:ascii="Times New Roman" w:hAnsi="Times New Roman" w:eastAsia="宋体" w:cs="Times New Roman"/>
                      <w:bCs/>
                      <w:color w:val="auto"/>
                      <w:sz w:val="21"/>
                      <w:szCs w:val="21"/>
                      <w:lang w:val="en-US" w:eastAsia="zh-CN"/>
                    </w:rPr>
                    <w:t>00</w:t>
                  </w:r>
                </w:p>
              </w:tc>
              <w:tc>
                <w:tcPr>
                  <w:tcW w:w="888" w:type="dxa"/>
                  <w:tcBorders>
                    <w:right w:val="single" w:color="auto" w:sz="4" w:space="0"/>
                  </w:tcBorders>
                  <w:vAlign w:val="center"/>
                </w:tcPr>
                <w:p w14:paraId="5C3225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110" w:type="dxa"/>
                  <w:tcBorders>
                    <w:left w:val="single" w:color="auto" w:sz="4" w:space="0"/>
                    <w:right w:val="single" w:color="auto" w:sz="4" w:space="0"/>
                  </w:tcBorders>
                  <w:vAlign w:val="center"/>
                </w:tcPr>
                <w:p w14:paraId="1442D5E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颗粒状</w:t>
                  </w:r>
                </w:p>
              </w:tc>
              <w:tc>
                <w:tcPr>
                  <w:tcW w:w="1182" w:type="dxa"/>
                  <w:tcBorders>
                    <w:left w:val="single" w:color="auto" w:sz="4" w:space="0"/>
                    <w:right w:val="single" w:color="auto" w:sz="4" w:space="0"/>
                  </w:tcBorders>
                  <w:vAlign w:val="center"/>
                </w:tcPr>
                <w:p w14:paraId="3706067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25kg/</w:t>
                  </w:r>
                  <w:r>
                    <w:rPr>
                      <w:rFonts w:hint="eastAsia" w:cs="Times New Roman"/>
                      <w:b w:val="0"/>
                      <w:bCs/>
                      <w:color w:val="auto"/>
                      <w:sz w:val="21"/>
                      <w:szCs w:val="21"/>
                      <w:lang w:val="en-US" w:eastAsia="zh-CN"/>
                    </w:rPr>
                    <w:t>PE</w:t>
                  </w:r>
                  <w:r>
                    <w:rPr>
                      <w:rFonts w:hint="default" w:ascii="Times New Roman" w:hAnsi="Times New Roman" w:eastAsia="宋体" w:cs="Times New Roman"/>
                      <w:b w:val="0"/>
                      <w:bCs/>
                      <w:color w:val="auto"/>
                      <w:sz w:val="21"/>
                      <w:szCs w:val="21"/>
                      <w:lang w:val="en-US" w:eastAsia="zh-CN"/>
                    </w:rPr>
                    <w:t>袋</w:t>
                  </w:r>
                </w:p>
              </w:tc>
              <w:tc>
                <w:tcPr>
                  <w:tcW w:w="1230" w:type="dxa"/>
                  <w:tcBorders>
                    <w:left w:val="single" w:color="auto" w:sz="4" w:space="0"/>
                    <w:right w:val="single" w:color="auto" w:sz="4" w:space="0"/>
                  </w:tcBorders>
                  <w:vAlign w:val="center"/>
                </w:tcPr>
                <w:p w14:paraId="7819DA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3</w:t>
                  </w:r>
                  <w:r>
                    <w:rPr>
                      <w:rFonts w:hint="default" w:ascii="Times New Roman" w:hAnsi="Times New Roman" w:eastAsia="宋体" w:cs="Times New Roman"/>
                      <w:iCs/>
                      <w:color w:val="auto"/>
                      <w:sz w:val="21"/>
                      <w:szCs w:val="21"/>
                      <w:lang w:val="en-US" w:eastAsia="zh-CN"/>
                    </w:rPr>
                    <w:t>00t</w:t>
                  </w:r>
                </w:p>
              </w:tc>
              <w:tc>
                <w:tcPr>
                  <w:tcW w:w="1447" w:type="dxa"/>
                  <w:vAlign w:val="center"/>
                </w:tcPr>
                <w:p w14:paraId="659CEE05">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w:t>
                  </w:r>
                  <w:r>
                    <w:rPr>
                      <w:rFonts w:hint="eastAsia" w:ascii="Times New Roman" w:hAnsi="Times New Roman" w:cs="Times New Roman"/>
                      <w:color w:val="auto"/>
                      <w:sz w:val="21"/>
                      <w:szCs w:val="21"/>
                      <w:lang w:val="en-US" w:eastAsia="zh-CN"/>
                    </w:rPr>
                    <w:t>区</w:t>
                  </w:r>
                </w:p>
              </w:tc>
            </w:tr>
            <w:tr w14:paraId="0ACED0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635" w:type="dxa"/>
                  <w:vAlign w:val="center"/>
                </w:tcPr>
                <w:p w14:paraId="3E239ECC">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84" w:type="dxa"/>
                  <w:tcBorders>
                    <w:left w:val="single" w:color="auto" w:sz="4" w:space="0"/>
                  </w:tcBorders>
                  <w:vAlign w:val="center"/>
                </w:tcPr>
                <w:p w14:paraId="1D1D80C2">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PP改性料</w:t>
                  </w:r>
                </w:p>
              </w:tc>
              <w:tc>
                <w:tcPr>
                  <w:tcW w:w="1059" w:type="dxa"/>
                  <w:tcBorders>
                    <w:right w:val="single" w:color="auto" w:sz="4" w:space="0"/>
                  </w:tcBorders>
                  <w:vAlign w:val="center"/>
                </w:tcPr>
                <w:p w14:paraId="0C26F5D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lang w:val="en-US" w:eastAsia="zh-CN"/>
                    </w:rPr>
                    <w:t>8</w:t>
                  </w:r>
                  <w:r>
                    <w:rPr>
                      <w:rFonts w:hint="default" w:ascii="Times New Roman" w:hAnsi="Times New Roman" w:eastAsia="宋体" w:cs="Times New Roman"/>
                      <w:bCs/>
                      <w:color w:val="auto"/>
                      <w:sz w:val="21"/>
                      <w:szCs w:val="21"/>
                      <w:lang w:val="en-US" w:eastAsia="zh-CN"/>
                    </w:rPr>
                    <w:t>00</w:t>
                  </w:r>
                </w:p>
              </w:tc>
              <w:tc>
                <w:tcPr>
                  <w:tcW w:w="888" w:type="dxa"/>
                  <w:tcBorders>
                    <w:right w:val="single" w:color="auto" w:sz="4" w:space="0"/>
                  </w:tcBorders>
                  <w:vAlign w:val="center"/>
                </w:tcPr>
                <w:p w14:paraId="2D785BB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110" w:type="dxa"/>
                  <w:tcBorders>
                    <w:left w:val="single" w:color="auto" w:sz="4" w:space="0"/>
                    <w:right w:val="single" w:color="auto" w:sz="4" w:space="0"/>
                  </w:tcBorders>
                  <w:vAlign w:val="center"/>
                </w:tcPr>
                <w:p w14:paraId="14B7D85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颗粒状</w:t>
                  </w:r>
                </w:p>
              </w:tc>
              <w:tc>
                <w:tcPr>
                  <w:tcW w:w="1182" w:type="dxa"/>
                  <w:tcBorders>
                    <w:left w:val="single" w:color="auto" w:sz="4" w:space="0"/>
                    <w:right w:val="single" w:color="auto" w:sz="4" w:space="0"/>
                  </w:tcBorders>
                  <w:vAlign w:val="center"/>
                </w:tcPr>
                <w:p w14:paraId="6491215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25kg/</w:t>
                  </w:r>
                  <w:r>
                    <w:rPr>
                      <w:rFonts w:hint="eastAsia" w:cs="Times New Roman"/>
                      <w:b w:val="0"/>
                      <w:bCs/>
                      <w:color w:val="auto"/>
                      <w:sz w:val="21"/>
                      <w:szCs w:val="21"/>
                      <w:lang w:val="en-US" w:eastAsia="zh-CN"/>
                    </w:rPr>
                    <w:t>PE</w:t>
                  </w:r>
                  <w:r>
                    <w:rPr>
                      <w:rFonts w:hint="default" w:ascii="Times New Roman" w:hAnsi="Times New Roman" w:eastAsia="宋体" w:cs="Times New Roman"/>
                      <w:b w:val="0"/>
                      <w:bCs/>
                      <w:color w:val="auto"/>
                      <w:sz w:val="21"/>
                      <w:szCs w:val="21"/>
                      <w:lang w:val="en-US" w:eastAsia="zh-CN"/>
                    </w:rPr>
                    <w:t>袋</w:t>
                  </w:r>
                </w:p>
              </w:tc>
              <w:tc>
                <w:tcPr>
                  <w:tcW w:w="1230" w:type="dxa"/>
                  <w:tcBorders>
                    <w:left w:val="single" w:color="auto" w:sz="4" w:space="0"/>
                    <w:right w:val="single" w:color="auto" w:sz="4" w:space="0"/>
                  </w:tcBorders>
                  <w:vAlign w:val="center"/>
                </w:tcPr>
                <w:p w14:paraId="3EE1BFC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8</w:t>
                  </w:r>
                  <w:r>
                    <w:rPr>
                      <w:rFonts w:hint="default" w:ascii="Times New Roman" w:hAnsi="Times New Roman" w:eastAsia="宋体" w:cs="Times New Roman"/>
                      <w:iCs/>
                      <w:color w:val="auto"/>
                      <w:sz w:val="21"/>
                      <w:szCs w:val="21"/>
                      <w:lang w:val="en-US" w:eastAsia="zh-CN"/>
                    </w:rPr>
                    <w:t>0t</w:t>
                  </w:r>
                </w:p>
              </w:tc>
              <w:tc>
                <w:tcPr>
                  <w:tcW w:w="1447" w:type="dxa"/>
                  <w:vAlign w:val="center"/>
                </w:tcPr>
                <w:p w14:paraId="7C258D1F">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w:t>
                  </w:r>
                  <w:r>
                    <w:rPr>
                      <w:rFonts w:hint="eastAsia" w:ascii="Times New Roman" w:hAnsi="Times New Roman" w:cs="Times New Roman"/>
                      <w:color w:val="auto"/>
                      <w:sz w:val="21"/>
                      <w:szCs w:val="21"/>
                      <w:lang w:val="en-US" w:eastAsia="zh-CN"/>
                    </w:rPr>
                    <w:t>区</w:t>
                  </w:r>
                </w:p>
              </w:tc>
            </w:tr>
            <w:tr w14:paraId="0468CB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635" w:type="dxa"/>
                  <w:vAlign w:val="center"/>
                </w:tcPr>
                <w:p w14:paraId="57655162">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84" w:type="dxa"/>
                  <w:tcBorders>
                    <w:left w:val="single" w:color="auto" w:sz="4" w:space="0"/>
                  </w:tcBorders>
                  <w:vAlign w:val="center"/>
                </w:tcPr>
                <w:p w14:paraId="53E5944C">
                  <w:pP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 w:val="0"/>
                      <w:bCs/>
                      <w:color w:val="auto"/>
                      <w:sz w:val="21"/>
                      <w:szCs w:val="21"/>
                      <w:lang w:val="en-US" w:eastAsia="zh-CN"/>
                    </w:rPr>
                    <w:t>色母粒</w:t>
                  </w:r>
                </w:p>
              </w:tc>
              <w:tc>
                <w:tcPr>
                  <w:tcW w:w="1059" w:type="dxa"/>
                  <w:tcBorders>
                    <w:right w:val="single" w:color="auto" w:sz="4" w:space="0"/>
                  </w:tcBorders>
                  <w:vAlign w:val="center"/>
                </w:tcPr>
                <w:p w14:paraId="3AAFC2F3">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00</w:t>
                  </w:r>
                </w:p>
              </w:tc>
              <w:tc>
                <w:tcPr>
                  <w:tcW w:w="888" w:type="dxa"/>
                  <w:tcBorders>
                    <w:right w:val="single" w:color="auto" w:sz="4" w:space="0"/>
                  </w:tcBorders>
                  <w:vAlign w:val="center"/>
                </w:tcPr>
                <w:p w14:paraId="4F0B3B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110" w:type="dxa"/>
                  <w:tcBorders>
                    <w:left w:val="single" w:color="auto" w:sz="4" w:space="0"/>
                    <w:right w:val="single" w:color="auto" w:sz="4" w:space="0"/>
                  </w:tcBorders>
                  <w:vAlign w:val="center"/>
                </w:tcPr>
                <w:p w14:paraId="70B1B7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颗粒状</w:t>
                  </w:r>
                </w:p>
              </w:tc>
              <w:tc>
                <w:tcPr>
                  <w:tcW w:w="1182" w:type="dxa"/>
                  <w:tcBorders>
                    <w:left w:val="single" w:color="auto" w:sz="4" w:space="0"/>
                    <w:right w:val="single" w:color="auto" w:sz="4" w:space="0"/>
                  </w:tcBorders>
                  <w:vAlign w:val="center"/>
                </w:tcPr>
                <w:p w14:paraId="54C9037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25kg/</w:t>
                  </w:r>
                  <w:r>
                    <w:rPr>
                      <w:rFonts w:hint="eastAsia" w:cs="Times New Roman"/>
                      <w:b w:val="0"/>
                      <w:bCs/>
                      <w:color w:val="auto"/>
                      <w:sz w:val="21"/>
                      <w:szCs w:val="21"/>
                      <w:lang w:val="en-US" w:eastAsia="zh-CN"/>
                    </w:rPr>
                    <w:t>PE</w:t>
                  </w:r>
                  <w:r>
                    <w:rPr>
                      <w:rFonts w:hint="default" w:ascii="Times New Roman" w:hAnsi="Times New Roman" w:eastAsia="宋体" w:cs="Times New Roman"/>
                      <w:b w:val="0"/>
                      <w:bCs/>
                      <w:color w:val="auto"/>
                      <w:sz w:val="21"/>
                      <w:szCs w:val="21"/>
                      <w:lang w:val="en-US" w:eastAsia="zh-CN"/>
                    </w:rPr>
                    <w:t>袋</w:t>
                  </w:r>
                </w:p>
              </w:tc>
              <w:tc>
                <w:tcPr>
                  <w:tcW w:w="1230" w:type="dxa"/>
                  <w:tcBorders>
                    <w:left w:val="single" w:color="auto" w:sz="4" w:space="0"/>
                    <w:right w:val="single" w:color="auto" w:sz="4" w:space="0"/>
                  </w:tcBorders>
                  <w:vAlign w:val="center"/>
                </w:tcPr>
                <w:p w14:paraId="48C34B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1</w:t>
                  </w:r>
                  <w:r>
                    <w:rPr>
                      <w:rFonts w:hint="default" w:ascii="Times New Roman" w:hAnsi="Times New Roman" w:eastAsia="宋体" w:cs="Times New Roman"/>
                      <w:iCs/>
                      <w:color w:val="auto"/>
                      <w:sz w:val="21"/>
                      <w:szCs w:val="21"/>
                      <w:lang w:val="en-US" w:eastAsia="zh-CN"/>
                    </w:rPr>
                    <w:t>0t</w:t>
                  </w:r>
                </w:p>
              </w:tc>
              <w:tc>
                <w:tcPr>
                  <w:tcW w:w="1447" w:type="dxa"/>
                  <w:vAlign w:val="center"/>
                </w:tcPr>
                <w:p w14:paraId="2D0DAE04">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原料</w:t>
                  </w:r>
                  <w:r>
                    <w:rPr>
                      <w:rFonts w:hint="eastAsia" w:ascii="Times New Roman" w:hAnsi="Times New Roman" w:cs="Times New Roman"/>
                      <w:color w:val="auto"/>
                      <w:sz w:val="21"/>
                      <w:szCs w:val="21"/>
                      <w:lang w:val="en-US" w:eastAsia="zh-CN"/>
                    </w:rPr>
                    <w:t>区</w:t>
                  </w:r>
                </w:p>
              </w:tc>
            </w:tr>
            <w:tr w14:paraId="2700985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635" w:type="dxa"/>
                  <w:vAlign w:val="center"/>
                </w:tcPr>
                <w:p w14:paraId="7E383126">
                  <w:pPr>
                    <w:pStyle w:val="49"/>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384" w:type="dxa"/>
                  <w:tcBorders>
                    <w:left w:val="single" w:color="auto" w:sz="4" w:space="0"/>
                  </w:tcBorders>
                  <w:vAlign w:val="center"/>
                </w:tcPr>
                <w:p w14:paraId="3FB860D0">
                  <w:pPr>
                    <w:jc w:val="center"/>
                    <w:rPr>
                      <w:rFonts w:hint="default" w:ascii="Times New Roman" w:hAnsi="Times New Roman" w:eastAsia="宋体" w:cs="Times New Roman"/>
                      <w:b w:val="0"/>
                      <w:bCs/>
                      <w:color w:val="auto"/>
                      <w:sz w:val="21"/>
                      <w:szCs w:val="21"/>
                      <w:lang w:val="en-US" w:eastAsia="zh-CN"/>
                    </w:rPr>
                  </w:pPr>
                  <w:r>
                    <w:rPr>
                      <w:rFonts w:hint="eastAsia"/>
                      <w:b w:val="0"/>
                      <w:bCs/>
                      <w:color w:val="auto"/>
                      <w:sz w:val="21"/>
                      <w:szCs w:val="21"/>
                      <w:highlight w:val="none"/>
                      <w:lang w:eastAsia="zh-CN"/>
                    </w:rPr>
                    <w:t>机油</w:t>
                  </w:r>
                </w:p>
              </w:tc>
              <w:tc>
                <w:tcPr>
                  <w:tcW w:w="1059" w:type="dxa"/>
                  <w:tcBorders>
                    <w:right w:val="single" w:color="auto" w:sz="4" w:space="0"/>
                  </w:tcBorders>
                  <w:vAlign w:val="center"/>
                </w:tcPr>
                <w:p w14:paraId="04B095E0">
                  <w:pPr>
                    <w:jc w:val="center"/>
                    <w:rPr>
                      <w:rFonts w:hint="default"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100</w:t>
                  </w:r>
                </w:p>
              </w:tc>
              <w:tc>
                <w:tcPr>
                  <w:tcW w:w="888" w:type="dxa"/>
                  <w:tcBorders>
                    <w:right w:val="single" w:color="auto" w:sz="4" w:space="0"/>
                  </w:tcBorders>
                  <w:vAlign w:val="center"/>
                </w:tcPr>
                <w:p w14:paraId="6727F5A0">
                  <w:pPr>
                    <w:jc w:val="center"/>
                    <w:rPr>
                      <w:rFonts w:hint="default"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L/a</w:t>
                  </w:r>
                </w:p>
              </w:tc>
              <w:tc>
                <w:tcPr>
                  <w:tcW w:w="1110" w:type="dxa"/>
                  <w:tcBorders>
                    <w:left w:val="single" w:color="auto" w:sz="4" w:space="0"/>
                    <w:right w:val="single" w:color="auto" w:sz="4" w:space="0"/>
                  </w:tcBorders>
                  <w:vAlign w:val="center"/>
                </w:tcPr>
                <w:p w14:paraId="35723BFF">
                  <w:pPr>
                    <w:jc w:val="center"/>
                    <w:rPr>
                      <w:rFonts w:hint="eastAsia" w:ascii="Times New Roman" w:hAnsi="Times New Roman" w:eastAsia="宋体" w:cs="Times New Roman"/>
                      <w:color w:val="auto"/>
                      <w:sz w:val="21"/>
                      <w:szCs w:val="21"/>
                      <w:lang w:val="en-US" w:eastAsia="zh-CN"/>
                    </w:rPr>
                  </w:pPr>
                  <w:r>
                    <w:rPr>
                      <w:rFonts w:hint="eastAsia"/>
                      <w:b w:val="0"/>
                      <w:bCs/>
                      <w:color w:val="auto"/>
                      <w:sz w:val="21"/>
                      <w:szCs w:val="21"/>
                      <w:highlight w:val="none"/>
                      <w:lang w:eastAsia="zh-CN"/>
                    </w:rPr>
                    <w:t>液态</w:t>
                  </w:r>
                </w:p>
              </w:tc>
              <w:tc>
                <w:tcPr>
                  <w:tcW w:w="1182" w:type="dxa"/>
                  <w:tcBorders>
                    <w:left w:val="single" w:color="auto" w:sz="4" w:space="0"/>
                    <w:right w:val="single" w:color="auto" w:sz="4" w:space="0"/>
                  </w:tcBorders>
                  <w:vAlign w:val="center"/>
                </w:tcPr>
                <w:p w14:paraId="0929E50A">
                  <w:pPr>
                    <w:jc w:val="center"/>
                    <w:rPr>
                      <w:rFonts w:hint="default" w:ascii="Times New Roman" w:hAnsi="Times New Roman" w:eastAsia="宋体" w:cs="Times New Roman"/>
                      <w:b w:val="0"/>
                      <w:bCs/>
                      <w:color w:val="auto"/>
                      <w:sz w:val="21"/>
                      <w:szCs w:val="21"/>
                      <w:lang w:val="en-US" w:eastAsia="zh-CN"/>
                    </w:rPr>
                  </w:pPr>
                  <w:r>
                    <w:rPr>
                      <w:rFonts w:hint="eastAsia"/>
                      <w:b w:val="0"/>
                      <w:bCs/>
                      <w:color w:val="auto"/>
                      <w:sz w:val="21"/>
                      <w:szCs w:val="21"/>
                      <w:highlight w:val="none"/>
                      <w:lang w:val="en-US" w:eastAsia="zh-CN"/>
                    </w:rPr>
                    <w:t>10L/桶</w:t>
                  </w:r>
                </w:p>
              </w:tc>
              <w:tc>
                <w:tcPr>
                  <w:tcW w:w="1230" w:type="dxa"/>
                  <w:tcBorders>
                    <w:left w:val="single" w:color="auto" w:sz="4" w:space="0"/>
                    <w:right w:val="single" w:color="auto" w:sz="4" w:space="0"/>
                  </w:tcBorders>
                  <w:vAlign w:val="center"/>
                </w:tcPr>
                <w:p w14:paraId="5A1CF7A7">
                  <w:pPr>
                    <w:jc w:val="center"/>
                    <w:rPr>
                      <w:rFonts w:hint="eastAsia" w:cs="Times New Roman"/>
                      <w:iCs/>
                      <w:color w:val="auto"/>
                      <w:sz w:val="21"/>
                      <w:szCs w:val="21"/>
                      <w:lang w:val="en-US" w:eastAsia="zh-CN"/>
                    </w:rPr>
                  </w:pPr>
                  <w:r>
                    <w:rPr>
                      <w:rFonts w:hint="eastAsia" w:cs="Times New Roman"/>
                      <w:b w:val="0"/>
                      <w:bCs w:val="0"/>
                      <w:iCs/>
                      <w:color w:val="auto"/>
                      <w:sz w:val="21"/>
                      <w:szCs w:val="21"/>
                      <w:highlight w:val="none"/>
                      <w:lang w:val="en-US" w:eastAsia="zh-CN"/>
                    </w:rPr>
                    <w:t>/</w:t>
                  </w:r>
                </w:p>
              </w:tc>
              <w:tc>
                <w:tcPr>
                  <w:tcW w:w="1447" w:type="dxa"/>
                  <w:vAlign w:val="center"/>
                </w:tcPr>
                <w:p w14:paraId="47F2B3DD">
                  <w:pPr>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lang w:eastAsia="zh-CN"/>
                    </w:rPr>
                    <w:t>不储存，使用时购买</w:t>
                  </w:r>
                </w:p>
              </w:tc>
            </w:tr>
          </w:tbl>
          <w:p w14:paraId="6C16CF44">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原辅材料理化性质：</w:t>
            </w:r>
          </w:p>
          <w:p w14:paraId="1F2B726A">
            <w:pPr>
              <w:pStyle w:val="13"/>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color w:val="auto"/>
                <w:sz w:val="24"/>
                <w:szCs w:val="24"/>
              </w:rPr>
              <w:t>聚丙烯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简称PP，是丙烯通过加聚反应而成的聚合物。系白色蜡状材料，外观透明而轻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化学式为(C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6</w:t>
            </w:r>
            <w:r>
              <w:rPr>
                <w:rFonts w:hint="default" w:ascii="Times New Roman" w:hAnsi="Times New Roman" w:eastAsia="宋体" w:cs="Times New Roman"/>
                <w:color w:val="auto"/>
                <w:sz w:val="24"/>
                <w:szCs w:val="24"/>
              </w:rPr>
              <w:t>)n，密度为0.89～0.91g/cm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，易燃，熔点为164~170℃，在155℃左右软化，使用温度范围为-30～140℃。在80℃以下能耐酸、碱、盐液及多种有机溶剂的腐蚀，能在高温和氧化作用下分解</w:t>
            </w:r>
            <w:r>
              <w:rPr>
                <w:rFonts w:hint="eastAsia" w:ascii="Times New Roman" w:hAnsi="Times New Roman" w:eastAsia="宋体" w:cs="Times New Roman"/>
                <w:color w:val="auto"/>
                <w:sz w:val="24"/>
                <w:szCs w:val="24"/>
                <w:lang w:eastAsia="zh-CN"/>
              </w:rPr>
              <w:t>，分解温度</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rPr>
              <w:t>0℃。聚丙烯是一种性能优良的热塑性合成树脂，为无色半透明的热塑性轻质通用塑料，具有耐化学性、耐热性、电绝缘性、高强度机械性能和良好的高耐磨加工性能等，广泛应用于服装、毛毯等纤维制品、医疗器械、汽车、自行车、零件、输送管道、化工容器等生产，也用于食品、药品包装。</w:t>
            </w:r>
          </w:p>
          <w:p w14:paraId="79BD0D88">
            <w:pPr>
              <w:pStyle w:val="13"/>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sz w:val="24"/>
                <w:szCs w:val="24"/>
                <w:lang w:eastAsia="zh-CN"/>
              </w:rPr>
              <w:t>色母粒：</w:t>
            </w:r>
            <w:r>
              <w:rPr>
                <w:rFonts w:ascii="宋体" w:hAnsi="宋体" w:eastAsia="宋体" w:cs="宋体"/>
                <w:color w:val="auto"/>
                <w:sz w:val="24"/>
                <w:szCs w:val="24"/>
              </w:rPr>
              <w:t>色母，也叫</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"https://baike.baidu.com/item/%E8%89%B2%E7%A7%8D/917214?fromModule=lemma_inlink"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色种</w:t>
            </w:r>
            <w:r>
              <w:rPr>
                <w:rFonts w:ascii="宋体" w:hAnsi="宋体" w:eastAsia="宋体" w:cs="宋体"/>
                <w:color w:val="auto"/>
                <w:sz w:val="24"/>
                <w:szCs w:val="24"/>
              </w:rPr>
              <w:fldChar w:fldCharType="end"/>
            </w:r>
            <w:r>
              <w:rPr>
                <w:rFonts w:ascii="宋体" w:hAnsi="宋体" w:eastAsia="宋体" w:cs="宋体"/>
                <w:color w:val="auto"/>
                <w:sz w:val="24"/>
                <w:szCs w:val="24"/>
              </w:rPr>
              <w:t>，是一种新型高分子</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"https://baike.baidu.com/item/%E6%9D%90%E6%96%99?fromModule=lemma_inlink"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材料</w:t>
            </w:r>
            <w:r>
              <w:rPr>
                <w:rFonts w:ascii="宋体" w:hAnsi="宋体" w:eastAsia="宋体" w:cs="宋体"/>
                <w:color w:val="auto"/>
                <w:sz w:val="24"/>
                <w:szCs w:val="24"/>
              </w:rPr>
              <w:fldChar w:fldCharType="end"/>
            </w:r>
            <w:r>
              <w:rPr>
                <w:rFonts w:ascii="宋体" w:hAnsi="宋体" w:eastAsia="宋体" w:cs="宋体"/>
                <w:color w:val="auto"/>
                <w:sz w:val="24"/>
                <w:szCs w:val="24"/>
              </w:rPr>
              <w:t>专用</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"https://baike.baidu.com/item/%E7%9D%80%E8%89%B2%E5%89%82/2531263?fromModule=lemma_inlink"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着色剂</w:t>
            </w:r>
            <w:r>
              <w:rPr>
                <w:rFonts w:ascii="宋体" w:hAnsi="宋体" w:eastAsia="宋体" w:cs="宋体"/>
                <w:color w:val="auto"/>
                <w:sz w:val="24"/>
                <w:szCs w:val="24"/>
              </w:rPr>
              <w:fldChar w:fldCharType="end"/>
            </w:r>
            <w:r>
              <w:rPr>
                <w:rFonts w:ascii="宋体" w:hAnsi="宋体" w:eastAsia="宋体" w:cs="宋体"/>
                <w:color w:val="auto"/>
                <w:sz w:val="24"/>
                <w:szCs w:val="24"/>
              </w:rPr>
              <w:t>，亦称颜料制备物。色母主要用在塑料上。色母由</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"https://baike.baidu.com/item/%E9%A2%9C%E6%96%99/465850?fromModule=lemma_inlink"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颜料</w:t>
            </w:r>
            <w:r>
              <w:rPr>
                <w:rFonts w:ascii="宋体" w:hAnsi="宋体" w:eastAsia="宋体" w:cs="宋体"/>
                <w:color w:val="auto"/>
                <w:sz w:val="24"/>
                <w:szCs w:val="24"/>
              </w:rPr>
              <w:fldChar w:fldCharType="end"/>
            </w:r>
            <w:r>
              <w:rPr>
                <w:rFonts w:ascii="宋体" w:hAnsi="宋体" w:eastAsia="宋体" w:cs="宋体"/>
                <w:color w:val="auto"/>
                <w:sz w:val="24"/>
                <w:szCs w:val="24"/>
              </w:rPr>
              <w:t>或</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"https://baike.baidu.com/item/%E6%9F%93%E6%96%99/1145782?fromModule=lemma_inlink"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染料</w:t>
            </w:r>
            <w:r>
              <w:rPr>
                <w:rFonts w:ascii="宋体" w:hAnsi="宋体" w:eastAsia="宋体" w:cs="宋体"/>
                <w:color w:val="auto"/>
                <w:sz w:val="24"/>
                <w:szCs w:val="24"/>
              </w:rPr>
              <w:fldChar w:fldCharType="end"/>
            </w:r>
            <w:r>
              <w:rPr>
                <w:rFonts w:ascii="宋体" w:hAnsi="宋体" w:eastAsia="宋体" w:cs="宋体"/>
                <w:color w:val="auto"/>
                <w:sz w:val="24"/>
                <w:szCs w:val="24"/>
              </w:rPr>
              <w:t>、载体和</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"https://baike.baidu.com/item/%E6%B7%BB%E5%8A%A0%E5%89%82/5134870?fromModule=lemma_inlink"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添加剂</w:t>
            </w:r>
            <w:r>
              <w:rPr>
                <w:rFonts w:ascii="宋体" w:hAnsi="宋体" w:eastAsia="宋体" w:cs="宋体"/>
                <w:color w:val="auto"/>
                <w:sz w:val="24"/>
                <w:szCs w:val="24"/>
              </w:rPr>
              <w:fldChar w:fldCharType="end"/>
            </w:r>
            <w:r>
              <w:rPr>
                <w:rFonts w:ascii="宋体" w:hAnsi="宋体" w:eastAsia="宋体" w:cs="宋体"/>
                <w:color w:val="auto"/>
                <w:sz w:val="24"/>
                <w:szCs w:val="24"/>
              </w:rPr>
              <w:t>三种基本要素所组成，是把超常量的</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"https://baike.baidu.com/item/%E9%A2%9C%E6%96%99/465850?fromModule=lemma_inlink"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颜料</w:t>
            </w:r>
            <w:r>
              <w:rPr>
                <w:rFonts w:ascii="宋体" w:hAnsi="宋体" w:eastAsia="宋体" w:cs="宋体"/>
                <w:color w:val="auto"/>
                <w:sz w:val="24"/>
                <w:szCs w:val="24"/>
              </w:rPr>
              <w:fldChar w:fldCharType="end"/>
            </w:r>
            <w:r>
              <w:rPr>
                <w:rFonts w:ascii="宋体" w:hAnsi="宋体" w:eastAsia="宋体" w:cs="宋体"/>
                <w:color w:val="auto"/>
                <w:sz w:val="24"/>
                <w:szCs w:val="24"/>
              </w:rPr>
              <w:t>均匀载附于</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"https://baike.baidu.com/item/%E6%A0%91%E8%84%82/281282?fromModule=lemma_inlink"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树脂</w:t>
            </w:r>
            <w:r>
              <w:rPr>
                <w:rFonts w:ascii="宋体" w:hAnsi="宋体" w:eastAsia="宋体" w:cs="宋体"/>
                <w:color w:val="auto"/>
                <w:sz w:val="24"/>
                <w:szCs w:val="24"/>
              </w:rPr>
              <w:fldChar w:fldCharType="end"/>
            </w:r>
            <w:r>
              <w:rPr>
                <w:rFonts w:ascii="宋体" w:hAnsi="宋体" w:eastAsia="宋体" w:cs="宋体"/>
                <w:color w:val="auto"/>
                <w:sz w:val="24"/>
                <w:szCs w:val="24"/>
              </w:rPr>
              <w:t>之中而制得的聚集体，可称颜料浓缩物，所以它的着色力高于</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"https://baike.baidu.com/item/%E9%A2%9C%E6%96%99/465850?fromModule=lemma_inlink" \t "https://baike.baidu.com/item/%E8%89%B2%E6%AF%8D/_blank" </w:instrText>
            </w:r>
            <w:r>
              <w:rPr>
                <w:rFonts w:ascii="宋体" w:hAnsi="宋体" w:eastAsia="宋体" w:cs="宋体"/>
                <w:color w:val="auto"/>
                <w:sz w:val="24"/>
                <w:szCs w:val="24"/>
              </w:rPr>
              <w:fldChar w:fldCharType="separate"/>
            </w:r>
            <w:r>
              <w:rPr>
                <w:rStyle w:val="33"/>
                <w:rFonts w:ascii="宋体" w:hAnsi="宋体" w:eastAsia="宋体" w:cs="宋体"/>
                <w:color w:val="auto"/>
                <w:sz w:val="24"/>
                <w:szCs w:val="24"/>
              </w:rPr>
              <w:t>颜料</w:t>
            </w:r>
            <w:r>
              <w:rPr>
                <w:rFonts w:ascii="宋体" w:hAnsi="宋体" w:eastAsia="宋体" w:cs="宋体"/>
                <w:color w:val="auto"/>
                <w:sz w:val="24"/>
                <w:szCs w:val="24"/>
              </w:rPr>
              <w:fldChar w:fldCharType="end"/>
            </w:r>
            <w:r>
              <w:rPr>
                <w:rFonts w:ascii="宋体" w:hAnsi="宋体" w:eastAsia="宋体" w:cs="宋体"/>
                <w:color w:val="auto"/>
                <w:sz w:val="24"/>
                <w:szCs w:val="24"/>
              </w:rPr>
              <w:t>本身。加工时用少量色母料和未着色树脂掺混，就可达到设计颜料浓度的着色树脂或制品。</w:t>
            </w:r>
          </w:p>
          <w:p w14:paraId="336C2FF0">
            <w:pPr>
              <w:pStyle w:val="5"/>
              <w:spacing w:before="0" w:after="0" w:line="460" w:lineRule="exact"/>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、公用系统能耗</w:t>
            </w:r>
          </w:p>
          <w:p w14:paraId="28580D39">
            <w:pPr>
              <w:pStyle w:val="51"/>
              <w:snapToGrid w:val="0"/>
              <w:spacing w:line="240" w:lineRule="auto"/>
              <w:ind w:firstLine="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表2-</w:t>
            </w:r>
            <w:r>
              <w:rPr>
                <w:rFonts w:hint="eastAsia" w:ascii="Times New Roman"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rPr>
              <w:t xml:space="preserve"> 项目公用系统能耗明细表</w:t>
            </w:r>
          </w:p>
          <w:tbl>
            <w:tblPr>
              <w:tblStyle w:val="29"/>
              <w:tblW w:w="8899"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791"/>
              <w:gridCol w:w="2220"/>
              <w:gridCol w:w="1995"/>
              <w:gridCol w:w="2893"/>
            </w:tblGrid>
            <w:tr w14:paraId="745C72C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65BDC35C">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220" w:type="dxa"/>
                  <w:noWrap w:val="0"/>
                  <w:vAlign w:val="center"/>
                </w:tcPr>
                <w:p w14:paraId="4790DBFF">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1995" w:type="dxa"/>
                  <w:noWrap w:val="0"/>
                  <w:vAlign w:val="center"/>
                </w:tcPr>
                <w:p w14:paraId="69D5B5FD">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单位</w:t>
                  </w:r>
                </w:p>
              </w:tc>
              <w:tc>
                <w:tcPr>
                  <w:tcW w:w="2893" w:type="dxa"/>
                  <w:noWrap w:val="0"/>
                  <w:vAlign w:val="center"/>
                </w:tcPr>
                <w:p w14:paraId="40CB12A2">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消耗量</w:t>
                  </w:r>
                </w:p>
              </w:tc>
            </w:tr>
            <w:tr w14:paraId="1012DF1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29E3648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220" w:type="dxa"/>
                  <w:noWrap w:val="0"/>
                  <w:vAlign w:val="center"/>
                </w:tcPr>
                <w:p w14:paraId="7BCAA313">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w:t>
                  </w:r>
                </w:p>
              </w:tc>
              <w:tc>
                <w:tcPr>
                  <w:tcW w:w="1995" w:type="dxa"/>
                  <w:noWrap w:val="0"/>
                  <w:vAlign w:val="center"/>
                </w:tcPr>
                <w:p w14:paraId="2EB271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/a</w:t>
                  </w:r>
                </w:p>
              </w:tc>
              <w:tc>
                <w:tcPr>
                  <w:tcW w:w="2893" w:type="dxa"/>
                  <w:noWrap w:val="0"/>
                  <w:vAlign w:val="center"/>
                </w:tcPr>
                <w:p w14:paraId="337B7DE5">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1240</w:t>
                  </w:r>
                </w:p>
              </w:tc>
            </w:tr>
            <w:tr w14:paraId="43B9D37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5E578281">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220" w:type="dxa"/>
                  <w:noWrap w:val="0"/>
                  <w:vAlign w:val="center"/>
                </w:tcPr>
                <w:p w14:paraId="07215EEA">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995" w:type="dxa"/>
                  <w:noWrap w:val="0"/>
                  <w:vAlign w:val="center"/>
                </w:tcPr>
                <w:p w14:paraId="277629A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Cs/>
                      <w:color w:val="auto"/>
                      <w:sz w:val="21"/>
                      <w:szCs w:val="21"/>
                    </w:rPr>
                    <w:t>kwh/a</w:t>
                  </w:r>
                </w:p>
              </w:tc>
              <w:tc>
                <w:tcPr>
                  <w:tcW w:w="2893" w:type="dxa"/>
                  <w:noWrap w:val="0"/>
                  <w:vAlign w:val="center"/>
                </w:tcPr>
                <w:p w14:paraId="30C2A56A">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160</w:t>
                  </w:r>
                  <w:r>
                    <w:rPr>
                      <w:rFonts w:hint="eastAsia" w:eastAsia="宋体" w:cs="Times New Roman"/>
                      <w:color w:val="auto"/>
                      <w:szCs w:val="21"/>
                      <w:lang w:val="en-US" w:eastAsia="zh-CN"/>
                    </w:rPr>
                    <w:t>万</w:t>
                  </w:r>
                </w:p>
              </w:tc>
            </w:tr>
          </w:tbl>
          <w:p w14:paraId="460857F2">
            <w:pPr>
              <w:spacing w:line="240" w:lineRule="auto"/>
              <w:rPr>
                <w:b/>
                <w:color w:val="auto"/>
                <w:sz w:val="24"/>
                <w:szCs w:val="24"/>
              </w:rPr>
            </w:pPr>
            <w:r>
              <w:rPr>
                <w:rFonts w:hint="eastAsia"/>
                <w:b/>
                <w:color w:val="auto"/>
                <w:sz w:val="24"/>
                <w:szCs w:val="24"/>
                <w:lang w:val="en-US" w:eastAsia="zh-CN"/>
              </w:rPr>
              <w:t>6</w:t>
            </w:r>
            <w:r>
              <w:rPr>
                <w:b/>
                <w:color w:val="auto"/>
                <w:sz w:val="24"/>
                <w:szCs w:val="24"/>
              </w:rPr>
              <w:t>、</w:t>
            </w:r>
            <w:r>
              <w:rPr>
                <w:rFonts w:hint="eastAsia"/>
                <w:b/>
                <w:color w:val="auto"/>
                <w:sz w:val="24"/>
                <w:szCs w:val="24"/>
              </w:rPr>
              <w:t>项目公用工程</w:t>
            </w:r>
          </w:p>
          <w:p w14:paraId="0EEE39F3">
            <w:pPr>
              <w:adjustRightInd w:val="0"/>
              <w:spacing w:line="360" w:lineRule="auto"/>
              <w:ind w:firstLine="480" w:firstLineChars="200"/>
              <w:rPr>
                <w:color w:val="auto"/>
                <w:sz w:val="24"/>
                <w:szCs w:val="24"/>
                <w:highlight w:val="yellow"/>
              </w:rPr>
            </w:pPr>
            <w:r>
              <w:rPr>
                <w:rFonts w:hint="eastAsia"/>
                <w:color w:val="auto"/>
                <w:sz w:val="24"/>
                <w:szCs w:val="24"/>
              </w:rPr>
              <w:t>（1）</w:t>
            </w:r>
            <w:r>
              <w:rPr>
                <w:color w:val="auto"/>
                <w:sz w:val="24"/>
                <w:szCs w:val="24"/>
              </w:rPr>
              <w:t>给水：</w:t>
            </w:r>
            <w:r>
              <w:rPr>
                <w:color w:val="auto"/>
                <w:sz w:val="24"/>
              </w:rPr>
              <w:t>项目给水引自市政供水管网</w:t>
            </w:r>
            <w:r>
              <w:rPr>
                <w:rFonts w:hint="eastAsia"/>
                <w:bCs/>
                <w:color w:val="auto"/>
                <w:sz w:val="24"/>
                <w:szCs w:val="24"/>
              </w:rPr>
              <w:t>，</w:t>
            </w:r>
            <w:r>
              <w:rPr>
                <w:rFonts w:hint="eastAsia"/>
                <w:color w:val="auto"/>
                <w:sz w:val="24"/>
                <w:szCs w:val="24"/>
                <w:lang w:eastAsia="zh-CN"/>
              </w:rPr>
              <w:t>用水量约</w:t>
            </w:r>
            <w:r>
              <w:rPr>
                <w:rFonts w:hint="eastAsia"/>
                <w:color w:val="auto"/>
                <w:sz w:val="24"/>
                <w:szCs w:val="24"/>
                <w:lang w:val="en-US" w:eastAsia="zh-CN"/>
              </w:rPr>
              <w:t>1240m</w:t>
            </w:r>
            <w:r>
              <w:rPr>
                <w:rFonts w:hint="eastAsia"/>
                <w:color w:val="auto"/>
                <w:sz w:val="24"/>
                <w:szCs w:val="24"/>
                <w:vertAlign w:val="superscript"/>
                <w:lang w:val="en-US" w:eastAsia="zh-CN"/>
              </w:rPr>
              <w:t>3</w:t>
            </w:r>
            <w:r>
              <w:rPr>
                <w:color w:val="auto"/>
                <w:sz w:val="24"/>
                <w:szCs w:val="24"/>
              </w:rPr>
              <w:t>/a。</w:t>
            </w:r>
          </w:p>
          <w:p w14:paraId="4CD25660">
            <w:pPr>
              <w:adjustRightInd w:val="0"/>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rPr>
              <w:t>（2）</w:t>
            </w:r>
            <w:r>
              <w:rPr>
                <w:color w:val="auto"/>
                <w:sz w:val="24"/>
                <w:szCs w:val="24"/>
              </w:rPr>
              <w:t>排水：</w:t>
            </w:r>
            <w:r>
              <w:rPr>
                <w:rFonts w:hint="eastAsia"/>
                <w:color w:val="auto"/>
                <w:sz w:val="24"/>
                <w:szCs w:val="24"/>
                <w:lang w:eastAsia="zh-CN"/>
              </w:rPr>
              <w:t>项目废水仅生活污水</w:t>
            </w:r>
            <w:r>
              <w:rPr>
                <w:rFonts w:hint="eastAsia"/>
                <w:color w:val="auto"/>
                <w:sz w:val="24"/>
                <w:szCs w:val="24"/>
                <w:lang w:val="en-US" w:eastAsia="zh-CN"/>
              </w:rPr>
              <w:t>720</w:t>
            </w:r>
            <w:r>
              <w:rPr>
                <w:color w:val="auto"/>
                <w:sz w:val="24"/>
                <w:szCs w:val="24"/>
              </w:rPr>
              <w:t>t/a。</w:t>
            </w:r>
            <w:r>
              <w:rPr>
                <w:rFonts w:hint="eastAsia"/>
                <w:b w:val="0"/>
                <w:bCs/>
                <w:color w:val="auto"/>
                <w:sz w:val="24"/>
                <w:szCs w:val="24"/>
              </w:rPr>
              <w:t>项目生活污水经化粪池</w:t>
            </w:r>
            <w:r>
              <w:rPr>
                <w:rFonts w:hint="eastAsia"/>
                <w:color w:val="auto"/>
                <w:sz w:val="24"/>
                <w:szCs w:val="24"/>
                <w:lang w:eastAsia="zh-CN"/>
              </w:rPr>
              <w:t>预处理后排入园区污水管网，进入固镇经济开发区污水处理厂处理，处理达标后排入北淝河下段。</w:t>
            </w:r>
          </w:p>
          <w:p w14:paraId="7B946D38">
            <w:pPr>
              <w:adjustRightInd w:val="0"/>
              <w:spacing w:line="360" w:lineRule="auto"/>
              <w:ind w:firstLine="480" w:firstLineChars="200"/>
              <w:rPr>
                <w:color w:val="auto"/>
                <w:sz w:val="24"/>
                <w:szCs w:val="24"/>
              </w:rPr>
            </w:pPr>
            <w:r>
              <w:rPr>
                <w:rFonts w:hint="eastAsia"/>
                <w:color w:val="auto"/>
                <w:sz w:val="24"/>
                <w:szCs w:val="24"/>
              </w:rPr>
              <w:t>（3）</w:t>
            </w:r>
            <w:r>
              <w:rPr>
                <w:color w:val="auto"/>
                <w:sz w:val="24"/>
                <w:szCs w:val="24"/>
              </w:rPr>
              <w:t>供电：项目用电</w:t>
            </w:r>
            <w:r>
              <w:rPr>
                <w:rFonts w:hint="eastAsia"/>
                <w:color w:val="auto"/>
                <w:sz w:val="24"/>
                <w:szCs w:val="24"/>
              </w:rPr>
              <w:t>由市政输电系统供给</w:t>
            </w:r>
            <w:r>
              <w:rPr>
                <w:color w:val="auto"/>
                <w:sz w:val="24"/>
                <w:szCs w:val="24"/>
              </w:rPr>
              <w:t>，用电量约</w:t>
            </w:r>
            <w:r>
              <w:rPr>
                <w:rFonts w:hint="eastAsia"/>
                <w:color w:val="auto"/>
                <w:sz w:val="24"/>
                <w:szCs w:val="24"/>
                <w:lang w:val="en-US" w:eastAsia="zh-CN"/>
              </w:rPr>
              <w:t>160</w:t>
            </w:r>
            <w:r>
              <w:rPr>
                <w:color w:val="auto"/>
                <w:sz w:val="24"/>
                <w:szCs w:val="24"/>
              </w:rPr>
              <w:t>万</w:t>
            </w:r>
            <w:r>
              <w:rPr>
                <w:rFonts w:hint="eastAsia"/>
                <w:color w:val="auto"/>
                <w:sz w:val="24"/>
                <w:szCs w:val="24"/>
              </w:rPr>
              <w:t>k</w:t>
            </w:r>
            <w:r>
              <w:rPr>
                <w:color w:val="auto"/>
                <w:sz w:val="24"/>
                <w:szCs w:val="24"/>
              </w:rPr>
              <w:t>Wh/a。</w:t>
            </w:r>
          </w:p>
          <w:p w14:paraId="5B4525EE">
            <w:pPr>
              <w:spacing w:line="360" w:lineRule="auto"/>
              <w:rPr>
                <w:b/>
                <w:color w:val="auto"/>
                <w:sz w:val="24"/>
              </w:rPr>
            </w:pPr>
            <w:r>
              <w:rPr>
                <w:rFonts w:hint="eastAsia"/>
                <w:b/>
                <w:color w:val="auto"/>
                <w:sz w:val="24"/>
                <w:lang w:val="en-US" w:eastAsia="zh-CN"/>
              </w:rPr>
              <w:t>7</w:t>
            </w:r>
            <w:r>
              <w:rPr>
                <w:rFonts w:hint="eastAsia"/>
                <w:b/>
                <w:color w:val="auto"/>
                <w:sz w:val="24"/>
              </w:rPr>
              <w:t>、项目水平衡</w:t>
            </w:r>
          </w:p>
          <w:p w14:paraId="763ADE28">
            <w:pPr>
              <w:spacing w:line="360" w:lineRule="auto"/>
              <w:ind w:firstLine="480" w:firstLineChars="200"/>
              <w:rPr>
                <w:rFonts w:hint="eastAsia" w:eastAsia="宋体"/>
                <w:color w:val="auto"/>
                <w:sz w:val="24"/>
                <w:lang w:eastAsia="zh-CN"/>
              </w:rPr>
            </w:pPr>
            <w:r>
              <w:rPr>
                <w:color w:val="auto"/>
                <w:sz w:val="24"/>
              </w:rPr>
              <w:t>项目用水来自</w:t>
            </w:r>
            <w:r>
              <w:rPr>
                <w:rFonts w:hint="eastAsia"/>
                <w:bCs/>
                <w:color w:val="auto"/>
                <w:sz w:val="24"/>
                <w:szCs w:val="24"/>
                <w:lang w:eastAsia="zh-CN"/>
              </w:rPr>
              <w:t>市政供水</w:t>
            </w:r>
            <w:r>
              <w:rPr>
                <w:rFonts w:hint="eastAsia"/>
                <w:bCs/>
                <w:color w:val="auto"/>
                <w:sz w:val="24"/>
                <w:szCs w:val="24"/>
              </w:rPr>
              <w:t>管网</w:t>
            </w:r>
            <w:r>
              <w:rPr>
                <w:color w:val="auto"/>
                <w:sz w:val="24"/>
              </w:rPr>
              <w:t>，本项目用水主要为</w:t>
            </w:r>
            <w:r>
              <w:rPr>
                <w:rFonts w:hint="eastAsia"/>
                <w:color w:val="auto"/>
                <w:sz w:val="24"/>
                <w:lang w:eastAsia="zh-CN"/>
              </w:rPr>
              <w:t>职工</w:t>
            </w:r>
            <w:r>
              <w:rPr>
                <w:color w:val="auto"/>
                <w:sz w:val="24"/>
              </w:rPr>
              <w:t>生活用水</w:t>
            </w:r>
            <w:r>
              <w:rPr>
                <w:rFonts w:hint="eastAsia"/>
                <w:color w:val="auto"/>
                <w:sz w:val="24"/>
                <w:lang w:eastAsia="zh-CN"/>
              </w:rPr>
              <w:t>和循环冷却用水。</w:t>
            </w:r>
            <w:r>
              <w:rPr>
                <w:color w:val="auto"/>
                <w:sz w:val="24"/>
              </w:rPr>
              <w:t>排水为职工生活污水</w:t>
            </w:r>
            <w:r>
              <w:rPr>
                <w:rFonts w:hint="eastAsia"/>
                <w:color w:val="auto"/>
                <w:sz w:val="24"/>
                <w:lang w:eastAsia="zh-CN"/>
              </w:rPr>
              <w:t>。</w:t>
            </w:r>
          </w:p>
          <w:p w14:paraId="0974244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lang w:eastAsia="zh-CN"/>
              </w:rPr>
              <w:t>职工</w:t>
            </w:r>
            <w:r>
              <w:rPr>
                <w:rFonts w:hint="default" w:ascii="Times New Roman" w:hAnsi="Times New Roman" w:eastAsia="宋体" w:cs="Times New Roman"/>
                <w:color w:val="auto"/>
                <w:sz w:val="24"/>
                <w:szCs w:val="24"/>
              </w:rPr>
              <w:t>生活</w:t>
            </w:r>
            <w:r>
              <w:rPr>
                <w:rFonts w:hint="default" w:ascii="Times New Roman" w:hAnsi="Times New Roman" w:eastAsia="宋体" w:cs="Times New Roman"/>
                <w:color w:val="auto"/>
                <w:sz w:val="24"/>
                <w:szCs w:val="24"/>
                <w:lang w:eastAsia="zh-CN"/>
              </w:rPr>
              <w:t>用水</w:t>
            </w:r>
            <w:r>
              <w:rPr>
                <w:rFonts w:hint="default" w:ascii="Times New Roman" w:hAnsi="Times New Roman" w:eastAsia="宋体" w:cs="Times New Roman"/>
                <w:color w:val="auto"/>
                <w:sz w:val="24"/>
                <w:szCs w:val="24"/>
              </w:rPr>
              <w:t>：本项目职工</w:t>
            </w:r>
            <w:r>
              <w:rPr>
                <w:color w:val="auto"/>
                <w:sz w:val="24"/>
              </w:rPr>
              <w:t>人数为</w:t>
            </w:r>
            <w:r>
              <w:rPr>
                <w:rFonts w:hint="eastAsia"/>
                <w:color w:val="auto"/>
                <w:sz w:val="24"/>
                <w:lang w:val="en-US" w:eastAsia="zh-CN"/>
              </w:rPr>
              <w:t>50</w:t>
            </w:r>
            <w:r>
              <w:rPr>
                <w:color w:val="auto"/>
                <w:sz w:val="24"/>
                <w:szCs w:val="24"/>
              </w:rPr>
              <w:t>人，</w:t>
            </w:r>
            <w:r>
              <w:rPr>
                <w:rFonts w:hint="eastAsia"/>
                <w:color w:val="auto"/>
                <w:sz w:val="24"/>
                <w:szCs w:val="24"/>
                <w:lang w:eastAsia="zh-CN"/>
              </w:rPr>
              <w:t>不设食宿。</w:t>
            </w:r>
            <w:r>
              <w:rPr>
                <w:color w:val="auto"/>
                <w:sz w:val="24"/>
                <w:szCs w:val="24"/>
              </w:rPr>
              <w:t>根据</w:t>
            </w:r>
            <w:r>
              <w:rPr>
                <w:rFonts w:hint="eastAsia" w:cs="Times New Roman"/>
                <w:color w:val="auto"/>
                <w:kern w:val="0"/>
                <w:sz w:val="24"/>
                <w:lang w:eastAsia="zh-CN"/>
              </w:rPr>
              <w:t>蚌埠市</w:t>
            </w:r>
            <w:r>
              <w:rPr>
                <w:rFonts w:hint="default" w:ascii="Times New Roman" w:hAnsi="Times New Roman" w:eastAsia="宋体" w:cs="Times New Roman"/>
                <w:color w:val="auto"/>
                <w:kern w:val="0"/>
                <w:sz w:val="24"/>
              </w:rPr>
              <w:t>《</w:t>
            </w:r>
            <w:r>
              <w:rPr>
                <w:rFonts w:hint="eastAsia" w:cs="Times New Roman"/>
                <w:color w:val="auto"/>
                <w:kern w:val="0"/>
                <w:sz w:val="24"/>
                <w:lang w:eastAsia="zh-CN"/>
              </w:rPr>
              <w:t>城市行业</w:t>
            </w:r>
            <w:r>
              <w:rPr>
                <w:rFonts w:hint="default" w:ascii="Times New Roman" w:hAnsi="Times New Roman" w:eastAsia="宋体" w:cs="Times New Roman"/>
                <w:color w:val="auto"/>
                <w:kern w:val="0"/>
                <w:sz w:val="24"/>
              </w:rPr>
              <w:t>用水定额</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（DB34</w:t>
            </w:r>
            <w:r>
              <w:rPr>
                <w:rFonts w:hint="eastAsia" w:cs="Times New Roman"/>
                <w:color w:val="auto"/>
                <w:kern w:val="0"/>
                <w:sz w:val="24"/>
                <w:lang w:val="en-US" w:eastAsia="zh-CN"/>
              </w:rPr>
              <w:t>03</w:t>
            </w:r>
            <w:r>
              <w:rPr>
                <w:rFonts w:hint="default" w:ascii="Times New Roman" w:hAnsi="Times New Roman" w:eastAsia="宋体" w:cs="Times New Roman"/>
                <w:color w:val="auto"/>
                <w:kern w:val="0"/>
                <w:sz w:val="24"/>
              </w:rPr>
              <w:t>/T</w:t>
            </w:r>
            <w:r>
              <w:rPr>
                <w:rFonts w:hint="eastAsia" w:cs="Times New Roman"/>
                <w:color w:val="auto"/>
                <w:kern w:val="0"/>
                <w:sz w:val="24"/>
                <w:lang w:val="en-US" w:eastAsia="zh-CN"/>
              </w:rPr>
              <w:t>10</w:t>
            </w:r>
            <w:r>
              <w:rPr>
                <w:rFonts w:hint="default" w:ascii="Times New Roman" w:hAnsi="Times New Roman" w:eastAsia="宋体" w:cs="Times New Roman"/>
                <w:color w:val="auto"/>
                <w:kern w:val="0"/>
                <w:sz w:val="24"/>
              </w:rPr>
              <w:t>─20</w:t>
            </w:r>
            <w:r>
              <w:rPr>
                <w:rFonts w:hint="eastAsia" w:cs="Times New Roman"/>
                <w:color w:val="auto"/>
                <w:kern w:val="0"/>
                <w:sz w:val="24"/>
                <w:lang w:val="en-US" w:eastAsia="zh-CN"/>
              </w:rPr>
              <w:t>21</w:t>
            </w:r>
            <w:r>
              <w:rPr>
                <w:rFonts w:hint="default" w:ascii="Times New Roman" w:hAnsi="Times New Roman" w:eastAsia="宋体" w:cs="Times New Roman"/>
                <w:color w:val="auto"/>
                <w:kern w:val="0"/>
                <w:sz w:val="24"/>
              </w:rPr>
              <w:t>）</w:t>
            </w:r>
            <w:r>
              <w:rPr>
                <w:color w:val="auto"/>
                <w:sz w:val="24"/>
                <w:szCs w:val="24"/>
              </w:rPr>
              <w:t>，</w:t>
            </w:r>
            <w:r>
              <w:rPr>
                <w:rFonts w:hint="eastAsia"/>
                <w:color w:val="auto"/>
                <w:sz w:val="24"/>
                <w:lang w:eastAsia="zh-CN"/>
              </w:rPr>
              <w:t>职工</w:t>
            </w:r>
            <w:r>
              <w:rPr>
                <w:rFonts w:hint="default" w:ascii="Times New Roman" w:hAnsi="Times New Roman" w:eastAsia="宋体" w:cs="Times New Roman"/>
                <w:color w:val="auto"/>
                <w:sz w:val="24"/>
              </w:rPr>
              <w:t>生活用水量按</w:t>
            </w:r>
            <w:r>
              <w:rPr>
                <w:rFonts w:hint="eastAsia" w:cs="Times New Roman"/>
                <w:color w:val="auto"/>
                <w:sz w:val="24"/>
                <w:lang w:val="en-US" w:eastAsia="zh-CN"/>
              </w:rPr>
              <w:t>60</w:t>
            </w:r>
            <w:r>
              <w:rPr>
                <w:rFonts w:hint="default" w:ascii="Times New Roman" w:hAnsi="Times New Roman" w:eastAsia="宋体" w:cs="Times New Roman"/>
                <w:color w:val="auto"/>
                <w:sz w:val="24"/>
              </w:rPr>
              <w:t>L/人·d计</w:t>
            </w:r>
            <w:r>
              <w:rPr>
                <w:rFonts w:hint="eastAsia" w:ascii="Times New Roman" w:hAnsi="Times New Roman" w:eastAsia="宋体" w:cs="Times New Roman"/>
                <w:color w:val="auto"/>
                <w:sz w:val="24"/>
                <w:lang w:eastAsia="zh-CN"/>
              </w:rPr>
              <w:t>，</w:t>
            </w:r>
            <w:r>
              <w:rPr>
                <w:color w:val="auto"/>
                <w:sz w:val="24"/>
              </w:rPr>
              <w:t>则生活用水量约为</w:t>
            </w:r>
            <w:r>
              <w:rPr>
                <w:rFonts w:hint="eastAsia"/>
                <w:color w:val="auto"/>
                <w:sz w:val="24"/>
                <w:lang w:val="en-US" w:eastAsia="zh-CN"/>
              </w:rPr>
              <w:t>3</w:t>
            </w:r>
            <w:r>
              <w:rPr>
                <w:color w:val="auto"/>
                <w:sz w:val="24"/>
              </w:rPr>
              <w:t>t/d，年用水量约为</w:t>
            </w:r>
            <w:r>
              <w:rPr>
                <w:rFonts w:hint="eastAsia"/>
                <w:color w:val="auto"/>
                <w:sz w:val="24"/>
                <w:lang w:val="en-US" w:eastAsia="zh-CN"/>
              </w:rPr>
              <w:t>900</w:t>
            </w:r>
            <w:r>
              <w:rPr>
                <w:color w:val="auto"/>
                <w:sz w:val="24"/>
              </w:rPr>
              <w:t>t/a（全年按</w:t>
            </w:r>
            <w:r>
              <w:rPr>
                <w:rFonts w:hint="eastAsia"/>
                <w:color w:val="auto"/>
                <w:sz w:val="24"/>
                <w:lang w:val="en-US" w:eastAsia="zh-CN"/>
              </w:rPr>
              <w:t>300</w:t>
            </w:r>
            <w:r>
              <w:rPr>
                <w:color w:val="auto"/>
                <w:sz w:val="24"/>
              </w:rPr>
              <w:t>天计算）</w:t>
            </w:r>
            <w:r>
              <w:rPr>
                <w:rFonts w:hint="eastAsia"/>
                <w:color w:val="auto"/>
                <w:sz w:val="24"/>
                <w:lang w:eastAsia="zh-CN"/>
              </w:rPr>
              <w:t>。</w:t>
            </w:r>
            <w:r>
              <w:rPr>
                <w:rFonts w:ascii="Times New Roman" w:hAnsi="Times New Roman"/>
                <w:color w:val="auto"/>
                <w:sz w:val="24"/>
              </w:rPr>
              <w:t>排水系数以0.8计，则生活废水量约为</w:t>
            </w:r>
            <w:r>
              <w:rPr>
                <w:rFonts w:hint="eastAsia"/>
                <w:color w:val="auto"/>
                <w:sz w:val="24"/>
                <w:lang w:val="en-US" w:eastAsia="zh-CN"/>
              </w:rPr>
              <w:t>2.4</w:t>
            </w:r>
            <w:r>
              <w:rPr>
                <w:color w:val="auto"/>
                <w:sz w:val="24"/>
              </w:rPr>
              <w:t>t/d</w:t>
            </w:r>
            <w:r>
              <w:rPr>
                <w:rFonts w:hint="eastAsia"/>
                <w:color w:val="auto"/>
                <w:sz w:val="24"/>
              </w:rPr>
              <w:t>（</w:t>
            </w:r>
            <w:r>
              <w:rPr>
                <w:rFonts w:hint="eastAsia"/>
                <w:color w:val="auto"/>
                <w:sz w:val="24"/>
                <w:lang w:val="en-US" w:eastAsia="zh-CN"/>
              </w:rPr>
              <w:t>720</w:t>
            </w:r>
            <w:r>
              <w:rPr>
                <w:color w:val="auto"/>
                <w:sz w:val="24"/>
              </w:rPr>
              <w:t>t/a</w:t>
            </w:r>
            <w:r>
              <w:rPr>
                <w:rFonts w:hint="eastAsia"/>
                <w:color w:val="auto"/>
                <w:sz w:val="24"/>
              </w:rPr>
              <w:t>）</w:t>
            </w:r>
            <w:r>
              <w:rPr>
                <w:rFonts w:hint="eastAsia"/>
                <w:color w:val="auto"/>
                <w:sz w:val="24"/>
                <w:lang w:eastAsia="zh-CN"/>
              </w:rPr>
              <w:t>。</w:t>
            </w:r>
            <w:r>
              <w:rPr>
                <w:rFonts w:hint="eastAsia"/>
                <w:color w:val="auto"/>
                <w:sz w:val="24"/>
              </w:rPr>
              <w:t>生活污水</w:t>
            </w:r>
            <w:r>
              <w:rPr>
                <w:rFonts w:hint="eastAsia"/>
                <w:b w:val="0"/>
                <w:bCs/>
                <w:color w:val="auto"/>
                <w:sz w:val="24"/>
                <w:szCs w:val="24"/>
              </w:rPr>
              <w:t>经化粪池</w:t>
            </w:r>
            <w:r>
              <w:rPr>
                <w:rFonts w:hint="eastAsia"/>
                <w:color w:val="auto"/>
                <w:sz w:val="24"/>
                <w:szCs w:val="24"/>
                <w:lang w:eastAsia="zh-CN"/>
              </w:rPr>
              <w:t>预处理后排入园区污水管网，进入固镇经济开发区污水处理厂处理，处理达标后排入北淝河下段</w:t>
            </w:r>
            <w:r>
              <w:rPr>
                <w:rFonts w:hint="default" w:ascii="Times New Roman" w:hAnsi="Times New Roman" w:eastAsia="宋体" w:cs="Times New Roman"/>
                <w:color w:val="auto"/>
                <w:kern w:val="0"/>
                <w:sz w:val="24"/>
                <w:szCs w:val="24"/>
                <w:lang w:val="en-US" w:eastAsia="zh-CN" w:bidi="ar"/>
              </w:rPr>
              <w:t>。</w:t>
            </w:r>
          </w:p>
          <w:p w14:paraId="7D5CB7F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0"/>
                <w:sz w:val="24"/>
                <w:szCs w:val="24"/>
                <w:lang w:val="en-US" w:eastAsia="zh-CN" w:bidi="ar"/>
              </w:rPr>
            </w:pPr>
            <w:r>
              <w:rPr>
                <w:rFonts w:hint="eastAsia"/>
                <w:color w:val="auto"/>
                <w:sz w:val="24"/>
                <w:lang w:eastAsia="zh-CN"/>
              </w:rPr>
              <w:t>循环冷却补充用水：本项目生产车间注塑机设备有循环冷却系统，</w:t>
            </w:r>
            <w:r>
              <w:rPr>
                <w:rFonts w:hint="eastAsia" w:ascii="Times New Roman" w:hAnsi="Times New Roman" w:cs="Times New Roman"/>
                <w:color w:val="auto"/>
                <w:spacing w:val="0"/>
                <w:position w:val="0"/>
                <w:sz w:val="24"/>
                <w:highlight w:val="none"/>
                <w:lang w:val="en-US" w:eastAsia="zh-CN"/>
              </w:rPr>
              <w:t>项目设备</w:t>
            </w:r>
            <w:r>
              <w:rPr>
                <w:rFonts w:hint="eastAsia" w:cs="Times New Roman"/>
                <w:color w:val="auto"/>
                <w:spacing w:val="0"/>
                <w:position w:val="0"/>
                <w:sz w:val="24"/>
                <w:highlight w:val="none"/>
                <w:lang w:val="en-US" w:eastAsia="zh-CN"/>
              </w:rPr>
              <w:t>冷却</w:t>
            </w:r>
            <w:r>
              <w:rPr>
                <w:rFonts w:hint="eastAsia" w:ascii="Times New Roman" w:hAnsi="Times New Roman" w:cs="Times New Roman"/>
                <w:color w:val="auto"/>
                <w:spacing w:val="0"/>
                <w:position w:val="0"/>
                <w:sz w:val="24"/>
                <w:highlight w:val="none"/>
                <w:lang w:val="en-US" w:eastAsia="zh-CN"/>
              </w:rPr>
              <w:t>系统</w:t>
            </w:r>
            <w:r>
              <w:rPr>
                <w:rFonts w:hint="eastAsia" w:cs="Times New Roman"/>
                <w:color w:val="auto"/>
                <w:spacing w:val="0"/>
                <w:position w:val="0"/>
                <w:sz w:val="24"/>
                <w:highlight w:val="none"/>
                <w:lang w:val="en-US" w:eastAsia="zh-CN"/>
              </w:rPr>
              <w:t>补充</w:t>
            </w:r>
            <w:r>
              <w:rPr>
                <w:rFonts w:hint="eastAsia" w:ascii="Times New Roman" w:hAnsi="Times New Roman" w:cs="Times New Roman"/>
                <w:color w:val="auto"/>
                <w:spacing w:val="0"/>
                <w:position w:val="0"/>
                <w:sz w:val="24"/>
                <w:highlight w:val="none"/>
                <w:lang w:val="en-US" w:eastAsia="zh-CN"/>
              </w:rPr>
              <w:t>用水量为</w:t>
            </w:r>
            <w:r>
              <w:rPr>
                <w:rFonts w:hint="eastAsia"/>
                <w:color w:val="auto"/>
                <w:sz w:val="24"/>
                <w:lang w:val="en-US" w:eastAsia="zh-CN"/>
              </w:rPr>
              <w:t>1</w:t>
            </w:r>
            <w:r>
              <w:rPr>
                <w:color w:val="auto"/>
                <w:sz w:val="24"/>
              </w:rPr>
              <w:t>t/d</w:t>
            </w:r>
            <w:r>
              <w:rPr>
                <w:rFonts w:hint="eastAsia"/>
                <w:color w:val="auto"/>
                <w:sz w:val="24"/>
              </w:rPr>
              <w:t>（</w:t>
            </w:r>
            <w:r>
              <w:rPr>
                <w:rFonts w:hint="eastAsia"/>
                <w:color w:val="auto"/>
                <w:sz w:val="24"/>
                <w:lang w:val="en-US" w:eastAsia="zh-CN"/>
              </w:rPr>
              <w:t>300</w:t>
            </w:r>
            <w:r>
              <w:rPr>
                <w:color w:val="auto"/>
                <w:sz w:val="24"/>
              </w:rPr>
              <w:t>t/a</w:t>
            </w:r>
            <w:r>
              <w:rPr>
                <w:rFonts w:hint="eastAsia"/>
                <w:color w:val="auto"/>
                <w:sz w:val="24"/>
              </w:rPr>
              <w:t>）</w:t>
            </w:r>
            <w:r>
              <w:rPr>
                <w:rFonts w:hint="eastAsia"/>
                <w:color w:val="auto"/>
                <w:sz w:val="24"/>
                <w:lang w:eastAsia="zh-CN"/>
              </w:rPr>
              <w:t>，</w:t>
            </w:r>
            <w:r>
              <w:rPr>
                <w:rFonts w:hint="eastAsia" w:cs="Times New Roman"/>
                <w:color w:val="auto"/>
                <w:spacing w:val="0"/>
                <w:position w:val="0"/>
                <w:sz w:val="24"/>
                <w:highlight w:val="none"/>
                <w:lang w:val="en-US" w:eastAsia="zh-CN"/>
              </w:rPr>
              <w:t>冷却水循环使用，</w:t>
            </w:r>
            <w:r>
              <w:rPr>
                <w:rFonts w:hint="eastAsia"/>
                <w:color w:val="auto"/>
                <w:sz w:val="24"/>
                <w:lang w:eastAsia="zh-CN"/>
              </w:rPr>
              <w:t>同时循环冷却水循环使用一定时间后由于水质无法满足冷却水水质要求，需定期外排循环水，项目冷却水池容积</w:t>
            </w:r>
            <w:r>
              <w:rPr>
                <w:rFonts w:hint="eastAsia"/>
                <w:color w:val="auto"/>
                <w:sz w:val="24"/>
                <w:lang w:val="en-US" w:eastAsia="zh-CN"/>
              </w:rPr>
              <w:t>20</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vertAlign w:val="baseline"/>
                <w:lang w:val="en-US" w:eastAsia="zh-CN"/>
              </w:rPr>
              <w:t>，</w:t>
            </w:r>
            <w:r>
              <w:rPr>
                <w:rFonts w:hint="eastAsia"/>
                <w:color w:val="auto"/>
                <w:sz w:val="24"/>
                <w:lang w:eastAsia="zh-CN"/>
              </w:rPr>
              <w:t>半年排一次，外排量</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pacing w:val="0"/>
                <w:position w:val="0"/>
                <w:sz w:val="24"/>
                <w:highlight w:val="none"/>
                <w:lang w:val="en-US" w:eastAsia="zh-CN"/>
              </w:rPr>
              <w:t>用于道路洒水</w:t>
            </w:r>
            <w:r>
              <w:rPr>
                <w:rFonts w:hint="eastAsia"/>
                <w:color w:val="auto"/>
                <w:sz w:val="24"/>
                <w:lang w:eastAsia="zh-CN"/>
              </w:rPr>
              <w:t>。</w:t>
            </w:r>
            <w:r>
              <w:rPr>
                <w:rFonts w:hint="eastAsia" w:cs="Times New Roman"/>
                <w:color w:val="auto"/>
                <w:kern w:val="0"/>
                <w:sz w:val="24"/>
                <w:szCs w:val="24"/>
                <w:lang w:val="en-US" w:eastAsia="zh-CN" w:bidi="ar"/>
              </w:rPr>
              <w:t xml:space="preserve"> </w:t>
            </w:r>
          </w:p>
          <w:p w14:paraId="6A061C7E">
            <w:pPr>
              <w:spacing w:line="240" w:lineRule="auto"/>
              <w:ind w:firstLine="78" w:firstLineChars="37"/>
              <w:jc w:val="center"/>
              <w:rPr>
                <w:b/>
                <w:bCs/>
                <w:color w:val="auto"/>
                <w:sz w:val="21"/>
                <w:szCs w:val="21"/>
              </w:rPr>
            </w:pPr>
            <w:r>
              <w:rPr>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6 </w:t>
            </w:r>
            <w:r>
              <w:rPr>
                <w:b/>
                <w:bCs/>
                <w:color w:val="auto"/>
                <w:sz w:val="21"/>
                <w:szCs w:val="21"/>
              </w:rPr>
              <w:t>项目用</w:t>
            </w:r>
            <w:r>
              <w:rPr>
                <w:rFonts w:hint="eastAsia"/>
                <w:b/>
                <w:bCs/>
                <w:color w:val="auto"/>
                <w:sz w:val="21"/>
                <w:szCs w:val="21"/>
                <w:lang w:eastAsia="zh-CN"/>
              </w:rPr>
              <w:t>水</w:t>
            </w:r>
            <w:r>
              <w:rPr>
                <w:b/>
                <w:bCs/>
                <w:color w:val="auto"/>
                <w:sz w:val="21"/>
                <w:szCs w:val="21"/>
              </w:rPr>
              <w:t>及排水量</w:t>
            </w:r>
            <w:r>
              <w:rPr>
                <w:rFonts w:hint="eastAsia"/>
                <w:b/>
                <w:bCs/>
                <w:color w:val="auto"/>
                <w:sz w:val="21"/>
                <w:szCs w:val="21"/>
                <w:lang w:eastAsia="zh-CN"/>
              </w:rPr>
              <w:t>一览</w:t>
            </w:r>
            <w:r>
              <w:rPr>
                <w:b/>
                <w:bCs/>
                <w:color w:val="auto"/>
                <w:sz w:val="21"/>
                <w:szCs w:val="21"/>
              </w:rPr>
              <w:t>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446"/>
              <w:gridCol w:w="1463"/>
              <w:gridCol w:w="1463"/>
              <w:gridCol w:w="1463"/>
              <w:gridCol w:w="1463"/>
            </w:tblGrid>
            <w:tr w14:paraId="49CD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30" w:type="pct"/>
                  <w:vMerge w:val="restart"/>
                  <w:noWrap w:val="0"/>
                  <w:vAlign w:val="center"/>
                </w:tcPr>
                <w:p w14:paraId="653F28A3">
                  <w:pPr>
                    <w:spacing w:line="240" w:lineRule="auto"/>
                    <w:jc w:val="center"/>
                    <w:rPr>
                      <w:color w:val="auto"/>
                      <w:sz w:val="21"/>
                      <w:szCs w:val="21"/>
                    </w:rPr>
                  </w:pPr>
                  <w:r>
                    <w:rPr>
                      <w:color w:val="auto"/>
                      <w:sz w:val="21"/>
                      <w:szCs w:val="21"/>
                    </w:rPr>
                    <w:t>序号</w:t>
                  </w:r>
                </w:p>
              </w:tc>
              <w:tc>
                <w:tcPr>
                  <w:tcW w:w="1376" w:type="pct"/>
                  <w:vMerge w:val="restart"/>
                  <w:noWrap w:val="0"/>
                  <w:vAlign w:val="center"/>
                </w:tcPr>
                <w:p w14:paraId="0527C0CC">
                  <w:pPr>
                    <w:spacing w:line="240" w:lineRule="auto"/>
                    <w:jc w:val="center"/>
                    <w:rPr>
                      <w:color w:val="auto"/>
                      <w:sz w:val="21"/>
                      <w:szCs w:val="21"/>
                    </w:rPr>
                  </w:pPr>
                  <w:r>
                    <w:rPr>
                      <w:color w:val="auto"/>
                      <w:sz w:val="21"/>
                      <w:szCs w:val="21"/>
                    </w:rPr>
                    <w:t>名称</w:t>
                  </w:r>
                </w:p>
              </w:tc>
              <w:tc>
                <w:tcPr>
                  <w:tcW w:w="1646" w:type="pct"/>
                  <w:gridSpan w:val="2"/>
                  <w:noWrap w:val="0"/>
                  <w:vAlign w:val="center"/>
                </w:tcPr>
                <w:p w14:paraId="5C62130C">
                  <w:pPr>
                    <w:spacing w:line="240" w:lineRule="auto"/>
                    <w:jc w:val="center"/>
                    <w:rPr>
                      <w:color w:val="auto"/>
                      <w:sz w:val="21"/>
                      <w:szCs w:val="21"/>
                    </w:rPr>
                  </w:pPr>
                  <w:r>
                    <w:rPr>
                      <w:color w:val="auto"/>
                      <w:sz w:val="21"/>
                      <w:szCs w:val="21"/>
                    </w:rPr>
                    <w:t>用水量（t）</w:t>
                  </w:r>
                </w:p>
              </w:tc>
              <w:tc>
                <w:tcPr>
                  <w:tcW w:w="1646" w:type="pct"/>
                  <w:gridSpan w:val="2"/>
                  <w:noWrap w:val="0"/>
                  <w:vAlign w:val="center"/>
                </w:tcPr>
                <w:p w14:paraId="3F7AF371">
                  <w:pPr>
                    <w:spacing w:line="240" w:lineRule="auto"/>
                    <w:jc w:val="center"/>
                    <w:rPr>
                      <w:color w:val="auto"/>
                      <w:sz w:val="21"/>
                      <w:szCs w:val="21"/>
                    </w:rPr>
                  </w:pPr>
                  <w:r>
                    <w:rPr>
                      <w:color w:val="auto"/>
                      <w:sz w:val="21"/>
                      <w:szCs w:val="21"/>
                    </w:rPr>
                    <w:t>排水量（t）</w:t>
                  </w:r>
                </w:p>
              </w:tc>
            </w:tr>
            <w:tr w14:paraId="2539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30" w:type="pct"/>
                  <w:vMerge w:val="continue"/>
                  <w:noWrap w:val="0"/>
                  <w:vAlign w:val="center"/>
                </w:tcPr>
                <w:p w14:paraId="4FC17F60">
                  <w:pPr>
                    <w:spacing w:line="240" w:lineRule="auto"/>
                    <w:jc w:val="center"/>
                    <w:rPr>
                      <w:color w:val="auto"/>
                      <w:sz w:val="21"/>
                      <w:szCs w:val="21"/>
                    </w:rPr>
                  </w:pPr>
                </w:p>
              </w:tc>
              <w:tc>
                <w:tcPr>
                  <w:tcW w:w="1376" w:type="pct"/>
                  <w:vMerge w:val="continue"/>
                  <w:noWrap w:val="0"/>
                  <w:vAlign w:val="center"/>
                </w:tcPr>
                <w:p w14:paraId="0092E546">
                  <w:pPr>
                    <w:spacing w:line="240" w:lineRule="auto"/>
                    <w:jc w:val="center"/>
                    <w:rPr>
                      <w:color w:val="auto"/>
                      <w:sz w:val="21"/>
                      <w:szCs w:val="21"/>
                    </w:rPr>
                  </w:pPr>
                </w:p>
              </w:tc>
              <w:tc>
                <w:tcPr>
                  <w:tcW w:w="823" w:type="pct"/>
                  <w:noWrap w:val="0"/>
                  <w:vAlign w:val="center"/>
                </w:tcPr>
                <w:p w14:paraId="17881278">
                  <w:pPr>
                    <w:spacing w:line="240" w:lineRule="auto"/>
                    <w:jc w:val="center"/>
                    <w:rPr>
                      <w:color w:val="auto"/>
                      <w:sz w:val="21"/>
                      <w:szCs w:val="21"/>
                    </w:rPr>
                  </w:pPr>
                  <w:r>
                    <w:rPr>
                      <w:color w:val="auto"/>
                      <w:sz w:val="21"/>
                      <w:szCs w:val="21"/>
                    </w:rPr>
                    <w:t>日用水</w:t>
                  </w:r>
                </w:p>
              </w:tc>
              <w:tc>
                <w:tcPr>
                  <w:tcW w:w="823" w:type="pct"/>
                  <w:noWrap w:val="0"/>
                  <w:vAlign w:val="center"/>
                </w:tcPr>
                <w:p w14:paraId="5471A2E9">
                  <w:pPr>
                    <w:spacing w:line="240" w:lineRule="auto"/>
                    <w:jc w:val="center"/>
                    <w:rPr>
                      <w:color w:val="auto"/>
                      <w:sz w:val="21"/>
                      <w:szCs w:val="21"/>
                    </w:rPr>
                  </w:pPr>
                  <w:r>
                    <w:rPr>
                      <w:color w:val="auto"/>
                      <w:sz w:val="21"/>
                      <w:szCs w:val="21"/>
                    </w:rPr>
                    <w:t>年用水</w:t>
                  </w:r>
                </w:p>
              </w:tc>
              <w:tc>
                <w:tcPr>
                  <w:tcW w:w="823" w:type="pct"/>
                  <w:noWrap w:val="0"/>
                  <w:vAlign w:val="center"/>
                </w:tcPr>
                <w:p w14:paraId="160302F5">
                  <w:pPr>
                    <w:spacing w:line="240" w:lineRule="auto"/>
                    <w:jc w:val="center"/>
                    <w:rPr>
                      <w:color w:val="auto"/>
                      <w:sz w:val="21"/>
                      <w:szCs w:val="21"/>
                    </w:rPr>
                  </w:pPr>
                  <w:r>
                    <w:rPr>
                      <w:color w:val="auto"/>
                      <w:sz w:val="21"/>
                      <w:szCs w:val="21"/>
                    </w:rPr>
                    <w:t>日排水</w:t>
                  </w:r>
                </w:p>
              </w:tc>
              <w:tc>
                <w:tcPr>
                  <w:tcW w:w="823" w:type="pct"/>
                  <w:noWrap w:val="0"/>
                  <w:vAlign w:val="center"/>
                </w:tcPr>
                <w:p w14:paraId="7FA83408">
                  <w:pPr>
                    <w:spacing w:line="240" w:lineRule="auto"/>
                    <w:jc w:val="center"/>
                    <w:rPr>
                      <w:color w:val="auto"/>
                      <w:sz w:val="21"/>
                      <w:szCs w:val="21"/>
                    </w:rPr>
                  </w:pPr>
                  <w:r>
                    <w:rPr>
                      <w:color w:val="auto"/>
                      <w:sz w:val="21"/>
                      <w:szCs w:val="21"/>
                    </w:rPr>
                    <w:t>年排水</w:t>
                  </w:r>
                </w:p>
              </w:tc>
            </w:tr>
            <w:tr w14:paraId="4344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30" w:type="pct"/>
                  <w:noWrap w:val="0"/>
                  <w:vAlign w:val="center"/>
                </w:tcPr>
                <w:p w14:paraId="7F7E238F">
                  <w:pPr>
                    <w:spacing w:line="240" w:lineRule="auto"/>
                    <w:jc w:val="center"/>
                    <w:rPr>
                      <w:color w:val="auto"/>
                      <w:sz w:val="21"/>
                      <w:szCs w:val="21"/>
                    </w:rPr>
                  </w:pPr>
                  <w:r>
                    <w:rPr>
                      <w:color w:val="auto"/>
                      <w:sz w:val="21"/>
                      <w:szCs w:val="21"/>
                    </w:rPr>
                    <w:t>1</w:t>
                  </w:r>
                </w:p>
              </w:tc>
              <w:tc>
                <w:tcPr>
                  <w:tcW w:w="1376" w:type="pct"/>
                  <w:noWrap w:val="0"/>
                  <w:vAlign w:val="center"/>
                </w:tcPr>
                <w:p w14:paraId="6222C4FA">
                  <w:pPr>
                    <w:spacing w:line="240" w:lineRule="auto"/>
                    <w:jc w:val="center"/>
                    <w:rPr>
                      <w:rFonts w:hint="eastAsia" w:eastAsia="宋体"/>
                      <w:color w:val="auto"/>
                      <w:sz w:val="21"/>
                      <w:szCs w:val="21"/>
                      <w:lang w:eastAsia="zh-CN"/>
                    </w:rPr>
                  </w:pPr>
                  <w:r>
                    <w:rPr>
                      <w:color w:val="auto"/>
                      <w:sz w:val="21"/>
                      <w:szCs w:val="21"/>
                    </w:rPr>
                    <w:t>生活</w:t>
                  </w:r>
                  <w:r>
                    <w:rPr>
                      <w:rFonts w:hint="eastAsia"/>
                      <w:color w:val="auto"/>
                      <w:sz w:val="21"/>
                      <w:szCs w:val="21"/>
                      <w:lang w:eastAsia="zh-CN"/>
                    </w:rPr>
                    <w:t>用水</w:t>
                  </w:r>
                </w:p>
              </w:tc>
              <w:tc>
                <w:tcPr>
                  <w:tcW w:w="823" w:type="pct"/>
                  <w:noWrap w:val="0"/>
                  <w:vAlign w:val="center"/>
                </w:tcPr>
                <w:p w14:paraId="54BF0513">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3</w:t>
                  </w:r>
                </w:p>
              </w:tc>
              <w:tc>
                <w:tcPr>
                  <w:tcW w:w="823" w:type="pct"/>
                  <w:noWrap w:val="0"/>
                  <w:vAlign w:val="center"/>
                </w:tcPr>
                <w:p w14:paraId="0B397979">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900</w:t>
                  </w:r>
                </w:p>
              </w:tc>
              <w:tc>
                <w:tcPr>
                  <w:tcW w:w="823" w:type="pct"/>
                  <w:noWrap w:val="0"/>
                  <w:vAlign w:val="center"/>
                </w:tcPr>
                <w:p w14:paraId="0346A36F">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2.4</w:t>
                  </w:r>
                </w:p>
              </w:tc>
              <w:tc>
                <w:tcPr>
                  <w:tcW w:w="823" w:type="pct"/>
                  <w:noWrap w:val="0"/>
                  <w:vAlign w:val="center"/>
                </w:tcPr>
                <w:p w14:paraId="06CB93D3">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720</w:t>
                  </w:r>
                </w:p>
              </w:tc>
            </w:tr>
            <w:tr w14:paraId="76A1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30" w:type="pct"/>
                  <w:noWrap w:val="0"/>
                  <w:vAlign w:val="center"/>
                </w:tcPr>
                <w:p w14:paraId="793FE9FC">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2</w:t>
                  </w:r>
                </w:p>
              </w:tc>
              <w:tc>
                <w:tcPr>
                  <w:tcW w:w="1376" w:type="pct"/>
                  <w:noWrap w:val="0"/>
                  <w:vAlign w:val="center"/>
                </w:tcPr>
                <w:p w14:paraId="205FBEE1">
                  <w:pPr>
                    <w:spacing w:line="240" w:lineRule="auto"/>
                    <w:jc w:val="center"/>
                    <w:rPr>
                      <w:rFonts w:hint="eastAsia" w:eastAsia="宋体"/>
                      <w:color w:val="auto"/>
                      <w:sz w:val="21"/>
                      <w:szCs w:val="21"/>
                      <w:lang w:eastAsia="zh-CN"/>
                    </w:rPr>
                  </w:pPr>
                  <w:r>
                    <w:rPr>
                      <w:rFonts w:hint="eastAsia"/>
                      <w:color w:val="auto"/>
                      <w:sz w:val="21"/>
                      <w:szCs w:val="21"/>
                      <w:lang w:eastAsia="zh-CN"/>
                    </w:rPr>
                    <w:t>循环冷却补充用水</w:t>
                  </w:r>
                </w:p>
              </w:tc>
              <w:tc>
                <w:tcPr>
                  <w:tcW w:w="823" w:type="pct"/>
                  <w:noWrap w:val="0"/>
                  <w:vAlign w:val="center"/>
                </w:tcPr>
                <w:p w14:paraId="2A89D383">
                  <w:pPr>
                    <w:spacing w:line="240" w:lineRule="auto"/>
                    <w:jc w:val="center"/>
                    <w:rPr>
                      <w:rFonts w:hint="default"/>
                      <w:color w:val="auto"/>
                      <w:sz w:val="21"/>
                      <w:szCs w:val="21"/>
                      <w:lang w:val="en-US" w:eastAsia="zh-CN"/>
                    </w:rPr>
                  </w:pPr>
                  <w:r>
                    <w:rPr>
                      <w:rFonts w:hint="eastAsia"/>
                      <w:color w:val="auto"/>
                      <w:sz w:val="21"/>
                      <w:szCs w:val="21"/>
                      <w:lang w:val="en-US" w:eastAsia="zh-CN"/>
                    </w:rPr>
                    <w:t>1.133</w:t>
                  </w:r>
                </w:p>
              </w:tc>
              <w:tc>
                <w:tcPr>
                  <w:tcW w:w="823" w:type="pct"/>
                  <w:noWrap w:val="0"/>
                  <w:vAlign w:val="center"/>
                </w:tcPr>
                <w:p w14:paraId="7D5333A4">
                  <w:pPr>
                    <w:spacing w:line="240" w:lineRule="auto"/>
                    <w:jc w:val="center"/>
                    <w:rPr>
                      <w:rFonts w:hint="default"/>
                      <w:color w:val="auto"/>
                      <w:sz w:val="21"/>
                      <w:szCs w:val="21"/>
                      <w:lang w:val="en-US" w:eastAsia="zh-CN"/>
                    </w:rPr>
                  </w:pPr>
                  <w:r>
                    <w:rPr>
                      <w:rFonts w:hint="eastAsia"/>
                      <w:color w:val="auto"/>
                      <w:sz w:val="21"/>
                      <w:szCs w:val="21"/>
                      <w:lang w:val="en-US" w:eastAsia="zh-CN"/>
                    </w:rPr>
                    <w:t>340</w:t>
                  </w:r>
                </w:p>
              </w:tc>
              <w:tc>
                <w:tcPr>
                  <w:tcW w:w="823" w:type="pct"/>
                  <w:noWrap w:val="0"/>
                  <w:vAlign w:val="center"/>
                </w:tcPr>
                <w:p w14:paraId="06045F6C">
                  <w:pPr>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823" w:type="pct"/>
                  <w:noWrap w:val="0"/>
                  <w:vAlign w:val="center"/>
                </w:tcPr>
                <w:p w14:paraId="106A7A2A">
                  <w:pPr>
                    <w:spacing w:line="240" w:lineRule="auto"/>
                    <w:jc w:val="center"/>
                    <w:rPr>
                      <w:rFonts w:hint="default"/>
                      <w:color w:val="auto"/>
                      <w:sz w:val="21"/>
                      <w:szCs w:val="21"/>
                      <w:lang w:val="en-US" w:eastAsia="zh-CN"/>
                    </w:rPr>
                  </w:pPr>
                  <w:r>
                    <w:rPr>
                      <w:rFonts w:hint="eastAsia"/>
                      <w:color w:val="auto"/>
                      <w:sz w:val="21"/>
                      <w:szCs w:val="21"/>
                      <w:lang w:val="en-US" w:eastAsia="zh-CN"/>
                    </w:rPr>
                    <w:t>/</w:t>
                  </w:r>
                </w:p>
              </w:tc>
            </w:tr>
            <w:tr w14:paraId="510A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06" w:type="pct"/>
                  <w:gridSpan w:val="2"/>
                  <w:noWrap w:val="0"/>
                  <w:vAlign w:val="center"/>
                </w:tcPr>
                <w:p w14:paraId="32A0EAC6">
                  <w:pPr>
                    <w:spacing w:line="240" w:lineRule="auto"/>
                    <w:jc w:val="center"/>
                    <w:rPr>
                      <w:color w:val="auto"/>
                      <w:sz w:val="21"/>
                      <w:szCs w:val="21"/>
                    </w:rPr>
                  </w:pPr>
                  <w:r>
                    <w:rPr>
                      <w:color w:val="auto"/>
                      <w:sz w:val="21"/>
                      <w:szCs w:val="21"/>
                    </w:rPr>
                    <w:t>合计</w:t>
                  </w:r>
                </w:p>
              </w:tc>
              <w:tc>
                <w:tcPr>
                  <w:tcW w:w="1463" w:type="dxa"/>
                  <w:noWrap w:val="0"/>
                  <w:vAlign w:val="center"/>
                </w:tcPr>
                <w:p w14:paraId="04F3F8F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4.133</w:t>
                  </w:r>
                </w:p>
              </w:tc>
              <w:tc>
                <w:tcPr>
                  <w:tcW w:w="1463" w:type="dxa"/>
                  <w:noWrap w:val="0"/>
                  <w:vAlign w:val="center"/>
                </w:tcPr>
                <w:p w14:paraId="12B8C7C7">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1240</w:t>
                  </w:r>
                </w:p>
              </w:tc>
              <w:tc>
                <w:tcPr>
                  <w:tcW w:w="1463" w:type="dxa"/>
                  <w:noWrap w:val="0"/>
                  <w:vAlign w:val="center"/>
                </w:tcPr>
                <w:p w14:paraId="5319AFB5">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2.4</w:t>
                  </w:r>
                </w:p>
              </w:tc>
              <w:tc>
                <w:tcPr>
                  <w:tcW w:w="1463" w:type="dxa"/>
                  <w:noWrap w:val="0"/>
                  <w:vAlign w:val="center"/>
                </w:tcPr>
                <w:p w14:paraId="23AA71F5">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720</w:t>
                  </w:r>
                </w:p>
              </w:tc>
            </w:tr>
          </w:tbl>
          <w:p w14:paraId="36B3486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color w:val="auto"/>
                <w:sz w:val="24"/>
              </w:rPr>
              <w:t>本项目水平衡如下图所示：</w:t>
            </w:r>
            <w:r>
              <w:rPr>
                <w:rFonts w:hint="eastAsia"/>
                <w:color w:val="auto"/>
                <w:sz w:val="24"/>
                <w:lang w:val="en-US" w:eastAsia="zh-CN"/>
              </w:rPr>
              <w:t xml:space="preserve"> </w:t>
            </w:r>
          </w:p>
          <w:p w14:paraId="1B2317BF">
            <w:pPr>
              <w:spacing w:line="240" w:lineRule="auto"/>
              <w:ind w:firstLine="480"/>
              <w:jc w:val="center"/>
              <w:rPr>
                <w:rFonts w:hint="eastAsia" w:eastAsia="宋体"/>
                <w:color w:val="auto"/>
                <w:sz w:val="24"/>
                <w:lang w:eastAsia="zh-CN"/>
              </w:rPr>
            </w:pPr>
            <w:r>
              <w:rPr>
                <w:rFonts w:hint="eastAsia" w:eastAsia="宋体"/>
                <w:color w:val="auto"/>
                <w:sz w:val="24"/>
                <w:lang w:eastAsia="zh-CN"/>
              </w:rPr>
              <w:object>
                <v:shape id="_x0000_i1025" o:spt="75" type="#_x0000_t75" style="height:110.25pt;width:381.6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14:paraId="558A47D7">
            <w:pPr>
              <w:spacing w:line="240" w:lineRule="auto"/>
              <w:jc w:val="center"/>
              <w:rPr>
                <w:b/>
                <w:bCs/>
                <w:color w:val="auto"/>
                <w:kern w:val="0"/>
                <w:sz w:val="24"/>
                <w:szCs w:val="24"/>
              </w:rPr>
            </w:pPr>
            <w:r>
              <w:rPr>
                <w:b/>
                <w:bCs/>
                <w:color w:val="auto"/>
                <w:kern w:val="0"/>
                <w:sz w:val="21"/>
                <w:szCs w:val="21"/>
              </w:rPr>
              <w:t>图2</w:t>
            </w:r>
            <w:r>
              <w:rPr>
                <w:rFonts w:hint="eastAsia"/>
                <w:b/>
                <w:bCs/>
                <w:color w:val="auto"/>
                <w:kern w:val="0"/>
                <w:sz w:val="21"/>
                <w:szCs w:val="21"/>
              </w:rPr>
              <w:t>-1</w:t>
            </w:r>
            <w:r>
              <w:rPr>
                <w:b/>
                <w:bCs/>
                <w:color w:val="auto"/>
                <w:kern w:val="0"/>
                <w:sz w:val="21"/>
                <w:szCs w:val="21"/>
              </w:rPr>
              <w:t xml:space="preserve"> 本项目水平衡图（单位：</w:t>
            </w:r>
            <w:r>
              <w:rPr>
                <w:b/>
                <w:color w:val="auto"/>
                <w:sz w:val="21"/>
                <w:szCs w:val="21"/>
              </w:rPr>
              <w:t>m</w:t>
            </w:r>
            <w:r>
              <w:rPr>
                <w:b/>
                <w:color w:val="auto"/>
                <w:sz w:val="21"/>
                <w:szCs w:val="21"/>
                <w:vertAlign w:val="superscript"/>
              </w:rPr>
              <w:t>3</w:t>
            </w:r>
            <w:r>
              <w:rPr>
                <w:b/>
                <w:bCs/>
                <w:color w:val="auto"/>
                <w:kern w:val="0"/>
                <w:sz w:val="21"/>
                <w:szCs w:val="21"/>
              </w:rPr>
              <w:t>/</w:t>
            </w:r>
            <w:r>
              <w:rPr>
                <w:rFonts w:hint="eastAsia"/>
                <w:b/>
                <w:bCs/>
                <w:color w:val="auto"/>
                <w:kern w:val="0"/>
                <w:sz w:val="21"/>
                <w:szCs w:val="21"/>
                <w:lang w:val="en-US" w:eastAsia="zh-CN"/>
              </w:rPr>
              <w:t>d</w:t>
            </w:r>
            <w:r>
              <w:rPr>
                <w:b/>
                <w:bCs/>
                <w:color w:val="auto"/>
                <w:kern w:val="0"/>
                <w:sz w:val="21"/>
                <w:szCs w:val="21"/>
              </w:rPr>
              <w:t>）</w:t>
            </w:r>
          </w:p>
          <w:p w14:paraId="4B834DCC">
            <w:pPr>
              <w:spacing w:line="360" w:lineRule="auto"/>
              <w:rPr>
                <w:b/>
                <w:color w:val="auto"/>
                <w:sz w:val="24"/>
              </w:rPr>
            </w:pPr>
            <w:r>
              <w:rPr>
                <w:rFonts w:hint="eastAsia"/>
                <w:b/>
                <w:color w:val="auto"/>
                <w:sz w:val="24"/>
                <w:lang w:val="en-US" w:eastAsia="zh-CN"/>
              </w:rPr>
              <w:t>8</w:t>
            </w:r>
            <w:r>
              <w:rPr>
                <w:b/>
                <w:color w:val="auto"/>
                <w:sz w:val="24"/>
              </w:rPr>
              <w:t>、</w:t>
            </w:r>
            <w:r>
              <w:rPr>
                <w:b/>
                <w:iCs/>
                <w:color w:val="auto"/>
                <w:sz w:val="24"/>
                <w:szCs w:val="24"/>
              </w:rPr>
              <w:t>工作制度</w:t>
            </w:r>
            <w:r>
              <w:rPr>
                <w:b/>
                <w:color w:val="auto"/>
                <w:sz w:val="24"/>
              </w:rPr>
              <w:t>及劳动定员</w:t>
            </w:r>
          </w:p>
          <w:p w14:paraId="378CE589">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color w:val="auto"/>
                <w:sz w:val="24"/>
                <w:szCs w:val="24"/>
                <w:lang w:eastAsia="zh-CN"/>
              </w:rPr>
              <w:t>工</w:t>
            </w:r>
            <w:r>
              <w:rPr>
                <w:rFonts w:hint="default" w:ascii="Times New Roman" w:hAnsi="Times New Roman" w:eastAsia="宋体" w:cs="Times New Roman"/>
                <w:color w:val="auto"/>
                <w:sz w:val="24"/>
                <w:szCs w:val="24"/>
                <w:lang w:eastAsia="zh-CN"/>
              </w:rPr>
              <w:t>作制度：</w:t>
            </w:r>
            <w:r>
              <w:rPr>
                <w:rFonts w:hint="default" w:ascii="Times New Roman" w:hAnsi="Times New Roman" w:eastAsia="宋体" w:cs="Times New Roman"/>
                <w:bCs/>
                <w:color w:val="auto"/>
                <w:sz w:val="24"/>
                <w:szCs w:val="24"/>
                <w:highlight w:val="none"/>
              </w:rPr>
              <w:t>年工作日为</w:t>
            </w:r>
            <w:r>
              <w:rPr>
                <w:rFonts w:hint="eastAsia" w:cs="Times New Roman"/>
                <w:bCs/>
                <w:color w:val="auto"/>
                <w:sz w:val="24"/>
                <w:szCs w:val="24"/>
                <w:highlight w:val="none"/>
                <w:lang w:val="en-US" w:eastAsia="zh-CN"/>
              </w:rPr>
              <w:t>300</w:t>
            </w:r>
            <w:r>
              <w:rPr>
                <w:rFonts w:hint="default" w:ascii="Times New Roman" w:hAnsi="Times New Roman" w:eastAsia="宋体" w:cs="Times New Roman"/>
                <w:bCs/>
                <w:color w:val="auto"/>
                <w:sz w:val="24"/>
                <w:szCs w:val="24"/>
                <w:highlight w:val="none"/>
              </w:rPr>
              <w:t>天，</w:t>
            </w:r>
            <w:r>
              <w:rPr>
                <w:rFonts w:hint="eastAsia" w:cs="Times New Roman"/>
                <w:bCs/>
                <w:color w:val="auto"/>
                <w:sz w:val="24"/>
                <w:szCs w:val="24"/>
                <w:highlight w:val="none"/>
                <w:lang w:eastAsia="zh-CN"/>
              </w:rPr>
              <w:t>两</w:t>
            </w:r>
            <w:r>
              <w:rPr>
                <w:rFonts w:hint="default" w:ascii="Times New Roman" w:hAnsi="Times New Roman" w:eastAsia="宋体" w:cs="Times New Roman"/>
                <w:bCs/>
                <w:color w:val="auto"/>
                <w:sz w:val="24"/>
                <w:szCs w:val="24"/>
                <w:highlight w:val="none"/>
              </w:rPr>
              <w:t>班制生产，每班</w:t>
            </w:r>
            <w:r>
              <w:rPr>
                <w:rFonts w:hint="eastAsia" w:cs="Times New Roman"/>
                <w:bCs/>
                <w:color w:val="auto"/>
                <w:sz w:val="24"/>
                <w:szCs w:val="24"/>
                <w:highlight w:val="none"/>
                <w:lang w:val="en-US" w:eastAsia="zh-CN"/>
              </w:rPr>
              <w:t>12</w:t>
            </w:r>
            <w:r>
              <w:rPr>
                <w:rFonts w:hint="default" w:ascii="Times New Roman" w:hAnsi="Times New Roman" w:eastAsia="宋体" w:cs="Times New Roman"/>
                <w:bCs/>
                <w:color w:val="auto"/>
                <w:sz w:val="24"/>
                <w:szCs w:val="24"/>
                <w:highlight w:val="none"/>
              </w:rPr>
              <w:t>小时。</w:t>
            </w:r>
          </w:p>
          <w:p w14:paraId="6A6D07B6">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eastAsia="zh-CN"/>
              </w:rPr>
              <w:t>劳动定员：劳动定员</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人，</w:t>
            </w:r>
            <w:r>
              <w:rPr>
                <w:rFonts w:hint="eastAsia" w:cs="Times New Roman"/>
                <w:color w:val="auto"/>
                <w:sz w:val="24"/>
                <w:szCs w:val="24"/>
                <w:lang w:val="en-US" w:eastAsia="zh-CN"/>
              </w:rPr>
              <w:t>不</w:t>
            </w:r>
            <w:r>
              <w:rPr>
                <w:rFonts w:hint="default" w:ascii="Times New Roman" w:hAnsi="Times New Roman" w:eastAsia="宋体" w:cs="Times New Roman"/>
                <w:color w:val="auto"/>
                <w:sz w:val="24"/>
                <w:szCs w:val="24"/>
                <w:lang w:val="en-US" w:eastAsia="zh-CN"/>
              </w:rPr>
              <w:t>设食宿。</w:t>
            </w:r>
          </w:p>
          <w:p w14:paraId="3A641D43">
            <w:pPr>
              <w:spacing w:line="360" w:lineRule="auto"/>
              <w:rPr>
                <w:b/>
                <w:color w:val="auto"/>
                <w:sz w:val="24"/>
                <w:szCs w:val="24"/>
              </w:rPr>
            </w:pPr>
            <w:r>
              <w:rPr>
                <w:rFonts w:hint="eastAsia"/>
                <w:b/>
                <w:color w:val="auto"/>
                <w:sz w:val="24"/>
                <w:szCs w:val="24"/>
                <w:lang w:val="en-US" w:eastAsia="zh-CN"/>
              </w:rPr>
              <w:t>9</w:t>
            </w:r>
            <w:r>
              <w:rPr>
                <w:b/>
                <w:color w:val="auto"/>
                <w:sz w:val="24"/>
                <w:szCs w:val="24"/>
              </w:rPr>
              <w:t>、厂区平面布置</w:t>
            </w:r>
          </w:p>
          <w:p w14:paraId="3EEC0C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本项目位于</w:t>
            </w:r>
            <w:r>
              <w:rPr>
                <w:rFonts w:hint="default" w:ascii="Times New Roman" w:hAnsi="Times New Roman" w:eastAsia="宋体" w:cs="Times New Roman"/>
                <w:color w:val="auto"/>
                <w:sz w:val="24"/>
                <w:szCs w:val="24"/>
                <w:lang w:val="en-US" w:eastAsia="zh-CN"/>
              </w:rPr>
              <w:t>安徽省蚌埠市</w:t>
            </w:r>
            <w:r>
              <w:rPr>
                <w:rFonts w:hint="eastAsia"/>
                <w:color w:val="auto"/>
                <w:sz w:val="24"/>
                <w:szCs w:val="24"/>
                <w:lang w:val="en-US" w:eastAsia="zh-CN"/>
              </w:rPr>
              <w:t>固镇经济开发区三星大道005号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项目总</w:t>
            </w:r>
            <w:r>
              <w:rPr>
                <w:rFonts w:hint="default" w:ascii="Times New Roman" w:hAnsi="Times New Roman" w:eastAsia="宋体" w:cs="Times New Roman"/>
                <w:color w:val="auto"/>
                <w:sz w:val="24"/>
                <w:szCs w:val="24"/>
              </w:rPr>
              <w:t>占地</w:t>
            </w:r>
            <w:r>
              <w:rPr>
                <w:rFonts w:hint="eastAsia" w:cs="Times New Roman"/>
                <w:color w:val="auto"/>
                <w:sz w:val="24"/>
                <w:szCs w:val="24"/>
                <w:lang w:val="en-US" w:eastAsia="zh-CN"/>
              </w:rPr>
              <w:t>41亩</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主要为</w:t>
            </w:r>
            <w:r>
              <w:rPr>
                <w:rFonts w:hint="eastAsia"/>
                <w:b w:val="0"/>
                <w:bCs/>
                <w:color w:val="auto"/>
                <w:sz w:val="24"/>
                <w:szCs w:val="24"/>
                <w:lang w:eastAsia="zh-CN"/>
              </w:rPr>
              <w:t>生产车间及办公楼，</w:t>
            </w:r>
            <w:r>
              <w:rPr>
                <w:rFonts w:hint="eastAsia"/>
                <w:color w:val="auto"/>
                <w:sz w:val="24"/>
                <w:szCs w:val="24"/>
                <w:lang w:eastAsia="zh-CN"/>
              </w:rPr>
              <w:t>生产车间内</w:t>
            </w:r>
            <w:r>
              <w:rPr>
                <w:rFonts w:hint="eastAsia" w:cs="Times New Roman"/>
                <w:color w:val="auto"/>
                <w:kern w:val="0"/>
                <w:sz w:val="24"/>
                <w:szCs w:val="24"/>
                <w:vertAlign w:val="baseline"/>
                <w:lang w:eastAsia="zh-CN"/>
              </w:rPr>
              <w:t>布置有</w:t>
            </w:r>
            <w:r>
              <w:rPr>
                <w:rFonts w:hint="eastAsia"/>
                <w:b w:val="0"/>
                <w:bCs/>
                <w:color w:val="auto"/>
                <w:sz w:val="24"/>
                <w:szCs w:val="24"/>
                <w:lang w:eastAsia="zh-CN"/>
              </w:rPr>
              <w:t>原料区、成品区、生产区、</w:t>
            </w:r>
            <w:r>
              <w:rPr>
                <w:rFonts w:hint="default" w:ascii="Times New Roman" w:hAnsi="Times New Roman" w:eastAsia="宋体" w:cs="Times New Roman"/>
                <w:color w:val="auto"/>
                <w:sz w:val="24"/>
                <w:szCs w:val="24"/>
                <w:lang w:eastAsia="zh-CN"/>
              </w:rPr>
              <w:t>一般固废暂存间、危废暂存间、环保设备等</w:t>
            </w:r>
            <w:r>
              <w:rPr>
                <w:rFonts w:hint="eastAsia" w:ascii="Times New Roman" w:hAnsi="Times New Roman" w:eastAsia="宋体" w:cs="Times New Roman"/>
                <w:color w:val="auto"/>
                <w:sz w:val="24"/>
                <w:szCs w:val="24"/>
                <w:lang w:eastAsia="zh-CN"/>
              </w:rPr>
              <w:t>，</w:t>
            </w:r>
            <w:r>
              <w:rPr>
                <w:rFonts w:hint="eastAsia"/>
                <w:b w:val="0"/>
                <w:bCs/>
                <w:color w:val="auto"/>
                <w:sz w:val="24"/>
                <w:szCs w:val="24"/>
                <w:lang w:eastAsia="zh-CN"/>
              </w:rPr>
              <w:t>生产区包括挤出机台、注塑机台、粉碎机、</w:t>
            </w:r>
            <w:r>
              <w:rPr>
                <w:rFonts w:hint="eastAsia"/>
                <w:b w:val="0"/>
                <w:bCs/>
                <w:color w:val="auto"/>
                <w:sz w:val="24"/>
                <w:szCs w:val="24"/>
                <w:lang w:val="en-US" w:eastAsia="zh-CN"/>
              </w:rPr>
              <w:t>PP板材加工区</w:t>
            </w:r>
            <w:r>
              <w:rPr>
                <w:rFonts w:hint="eastAsia"/>
                <w:b w:val="0"/>
                <w:bCs/>
                <w:color w:val="auto"/>
                <w:sz w:val="24"/>
                <w:szCs w:val="24"/>
                <w:lang w:eastAsia="zh-CN"/>
              </w:rPr>
              <w:t>等</w:t>
            </w:r>
            <w:r>
              <w:rPr>
                <w:rFonts w:hint="eastAsia" w:ascii="Times New Roman" w:hAnsi="Times New Roman" w:eastAsia="宋体" w:cs="Times New Roman"/>
                <w:color w:val="auto"/>
                <w:kern w:val="0"/>
                <w:sz w:val="24"/>
                <w:szCs w:val="24"/>
                <w:vertAlign w:val="baseline"/>
                <w:lang w:val="en-US" w:eastAsia="zh-CN"/>
              </w:rPr>
              <w:t>。</w:t>
            </w:r>
            <w:r>
              <w:rPr>
                <w:rFonts w:hint="eastAsia" w:cs="Times New Roman"/>
                <w:color w:val="auto"/>
                <w:kern w:val="0"/>
                <w:sz w:val="24"/>
                <w:szCs w:val="24"/>
                <w:vertAlign w:val="baseline"/>
                <w:lang w:val="en-US" w:eastAsia="zh-CN"/>
              </w:rPr>
              <w:t>本</w:t>
            </w:r>
            <w:r>
              <w:rPr>
                <w:rFonts w:hint="default" w:ascii="Times New Roman" w:hAnsi="Times New Roman" w:cs="Times New Roman"/>
                <w:color w:val="auto"/>
                <w:sz w:val="24"/>
                <w:szCs w:val="24"/>
                <w:lang w:val="en-US" w:eastAsia="zh-CN"/>
              </w:rPr>
              <w:t>项目在各个产污节点均设有废气收集系统收集产生的废气进行治理。</w:t>
            </w:r>
          </w:p>
          <w:p w14:paraId="3117B61B">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szCs w:val="24"/>
                <w:lang w:val="en-US" w:eastAsia="zh-CN"/>
              </w:rPr>
              <w:t>生产车间内</w:t>
            </w:r>
            <w:r>
              <w:rPr>
                <w:rFonts w:hint="default" w:ascii="Times New Roman" w:hAnsi="Times New Roman" w:eastAsia="宋体" w:cs="Times New Roman"/>
                <w:bCs/>
                <w:color w:val="auto"/>
                <w:sz w:val="24"/>
                <w:szCs w:val="24"/>
              </w:rPr>
              <w:t>已进行明确的</w:t>
            </w:r>
            <w:r>
              <w:rPr>
                <w:rFonts w:hint="default" w:ascii="Times New Roman" w:hAnsi="Times New Roman" w:eastAsia="宋体" w:cs="Times New Roman"/>
                <w:bCs/>
                <w:color w:val="auto"/>
                <w:sz w:val="24"/>
              </w:rPr>
              <w:t>功能区划分，项目厂区分块合理；生产车间</w:t>
            </w:r>
            <w:r>
              <w:rPr>
                <w:rFonts w:hint="default" w:ascii="Times New Roman" w:hAnsi="Times New Roman" w:cs="Times New Roman"/>
                <w:bCs/>
                <w:color w:val="auto"/>
                <w:sz w:val="24"/>
              </w:rPr>
              <w:t>内的生产设备按照生产流程合理布置，各种设备之间保持有一定的安全距离，预留足够的废气治理场地空间。项目在满足生产工艺流程的前提下，考虑运输、安全、卫生等要求，结合项目用地的自然地形条件，按各种设施不同功能进行分区和组合，力求平面布置紧凑合理，节省用地，有利生产，方便管理。</w:t>
            </w:r>
          </w:p>
          <w:p w14:paraId="2A1F84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厂区按照 “合理分区、工艺流程、物流短接”的原则，并结合生成工艺，综合考虑环保、安全等要求对厂区进行了合理布置。企业在功能单元方面，做到了功能完整、分区合理明确，有利于提高企业生产效率和环境管理可操作性。在生产、办公、仓储区分明显，避免相互干扰影响。从环境影响角度而言，项目总平面布置可行。</w:t>
            </w:r>
          </w:p>
          <w:p w14:paraId="20E6D48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hAnsi="Times New Roman" w:eastAsia="宋体"/>
                <w:color w:val="auto"/>
                <w:spacing w:val="4"/>
                <w:szCs w:val="24"/>
                <w:lang w:val="en-US" w:eastAsia="zh-CN"/>
              </w:rPr>
            </w:pPr>
          </w:p>
        </w:tc>
      </w:tr>
      <w:tr w14:paraId="6A28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2BDDA762">
            <w:pPr>
              <w:autoSpaceDE w:val="0"/>
              <w:autoSpaceDN w:val="0"/>
              <w:adjustRightInd w:val="0"/>
              <w:snapToGrid w:val="0"/>
              <w:jc w:val="center"/>
              <w:rPr>
                <w:color w:val="auto"/>
                <w:sz w:val="24"/>
                <w:szCs w:val="24"/>
              </w:rPr>
            </w:pPr>
            <w:r>
              <w:rPr>
                <w:rFonts w:hint="eastAsia" w:cs="宋体"/>
                <w:color w:val="auto"/>
                <w:szCs w:val="21"/>
              </w:rPr>
              <w:t>工艺流程和产排污环节</w:t>
            </w:r>
          </w:p>
        </w:tc>
        <w:tc>
          <w:tcPr>
            <w:tcW w:w="9115" w:type="dxa"/>
            <w:vAlign w:val="center"/>
          </w:tcPr>
          <w:p w14:paraId="39949305">
            <w:pPr>
              <w:spacing w:line="240" w:lineRule="auto"/>
              <w:rPr>
                <w:rStyle w:val="34"/>
                <w:rFonts w:hint="default" w:ascii="Times New Roman" w:hAnsi="Times New Roman" w:cs="Times New Roman"/>
                <w:b/>
                <w:color w:val="auto"/>
                <w:sz w:val="24"/>
              </w:rPr>
            </w:pPr>
            <w:r>
              <w:rPr>
                <w:rStyle w:val="34"/>
                <w:rFonts w:hint="eastAsia" w:ascii="Times New Roman" w:hAnsi="Times New Roman" w:cs="Times New Roman"/>
                <w:b/>
                <w:color w:val="auto"/>
                <w:sz w:val="24"/>
                <w:lang w:val="en-US" w:eastAsia="zh-CN"/>
              </w:rPr>
              <w:t>1</w:t>
            </w:r>
            <w:r>
              <w:rPr>
                <w:rStyle w:val="34"/>
                <w:rFonts w:hint="default" w:ascii="Times New Roman" w:hAnsi="Times New Roman" w:cs="Times New Roman"/>
                <w:b/>
                <w:color w:val="auto"/>
                <w:sz w:val="24"/>
              </w:rPr>
              <w:t>、施工期</w:t>
            </w:r>
          </w:p>
          <w:p w14:paraId="532E4068">
            <w:pPr>
              <w:spacing w:line="360" w:lineRule="auto"/>
              <w:ind w:firstLine="480" w:firstLineChars="200"/>
              <w:rPr>
                <w:rFonts w:hint="default" w:ascii="Times New Roman" w:hAnsi="Times New Roman" w:cs="Times New Roman"/>
                <w:b/>
                <w:color w:val="auto"/>
                <w:sz w:val="24"/>
              </w:rPr>
            </w:pPr>
            <w:r>
              <w:rPr>
                <w:rStyle w:val="34"/>
                <w:rFonts w:hint="eastAsia" w:cs="Times New Roman"/>
                <w:color w:val="auto"/>
                <w:sz w:val="24"/>
                <w:lang w:eastAsia="zh-CN"/>
              </w:rPr>
              <w:t>拟建项目地块为空地，</w:t>
            </w:r>
            <w:r>
              <w:rPr>
                <w:rStyle w:val="34"/>
                <w:rFonts w:hint="default" w:ascii="Times New Roman" w:hAnsi="Times New Roman" w:cs="Times New Roman"/>
                <w:color w:val="auto"/>
                <w:sz w:val="24"/>
              </w:rPr>
              <w:t>项目施工期对环境的影响主要表现为：施工扬尘、施工废水、施工机械噪声以及施工队伍的生活排污。</w:t>
            </w:r>
          </w:p>
          <w:p w14:paraId="7833F738">
            <w:pPr>
              <w:spacing w:line="24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施工期工艺流程：</w:t>
            </w:r>
          </w:p>
          <w:p w14:paraId="37AD44A4">
            <w:pPr>
              <w:pStyle w:val="38"/>
              <w:tabs>
                <w:tab w:val="right" w:leader="dot" w:pos="8435"/>
                <w:tab w:val="right" w:leader="dot" w:pos="8466"/>
                <w:tab w:val="right" w:leader="dot" w:pos="8949"/>
              </w:tabs>
              <w:jc w:val="center"/>
              <w:rPr>
                <w:rFonts w:hint="default" w:ascii="Times New Roman" w:hAnsi="Times New Roman" w:cs="Times New Roman"/>
                <w:b/>
                <w:color w:val="auto"/>
                <w:sz w:val="24"/>
              </w:rPr>
            </w:pPr>
            <w:r>
              <w:rPr>
                <w:rFonts w:hint="default" w:ascii="Times New Roman" w:hAnsi="Times New Roman" w:cs="Times New Roman"/>
                <w:b/>
                <w:color w:val="auto"/>
                <w:sz w:val="24"/>
              </w:rPr>
              <w:object>
                <v:shape id="_x0000_i1026" o:spt="75" type="#_x0000_t75" style="height:123.7pt;width:413.1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7E5B3C3A">
            <w:pPr>
              <w:pStyle w:val="76"/>
              <w:keepNext w:val="0"/>
              <w:keepLines w:val="0"/>
              <w:pageBreakBefore w:val="0"/>
              <w:widowControl w:val="0"/>
              <w:kinsoku/>
              <w:wordWrap/>
              <w:overflowPunct/>
              <w:topLinePunct w:val="0"/>
              <w:autoSpaceDE/>
              <w:autoSpaceDN/>
              <w:bidi w:val="0"/>
              <w:adjustRightInd w:val="0"/>
              <w:snapToGrid/>
              <w:spacing w:line="240" w:lineRule="auto"/>
              <w:ind w:right="0" w:firstLine="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图2-</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 xml:space="preserve"> 施工期流程及产污节点图</w:t>
            </w:r>
          </w:p>
          <w:p w14:paraId="484DC201">
            <w:pPr>
              <w:pStyle w:val="2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工艺流程简述：</w:t>
            </w:r>
          </w:p>
          <w:p w14:paraId="33133EA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（1）基础工程</w:t>
            </w:r>
          </w:p>
          <w:p w14:paraId="7AE08EB9">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基础工程主要为静压预应力混凝土管桩。该工段主要污染物为施工机械产生的噪声、扬尘和排放的尾气。由于作业时间较短，对周围环境影响较小。</w:t>
            </w:r>
          </w:p>
          <w:p w14:paraId="1D2D9FA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（2）主体工程</w:t>
            </w:r>
          </w:p>
          <w:p w14:paraId="42779CF4">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主体工程主要为</w:t>
            </w:r>
            <w:r>
              <w:rPr>
                <w:rFonts w:hint="default" w:ascii="Times New Roman" w:hAnsi="Times New Roman" w:cs="Times New Roman"/>
                <w:color w:val="auto"/>
                <w:sz w:val="24"/>
                <w:lang w:val="en-US" w:eastAsia="zh-CN"/>
              </w:rPr>
              <w:t>钢结构</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根据施工图纸，进行</w:t>
            </w:r>
            <w:r>
              <w:rPr>
                <w:rFonts w:hint="default" w:ascii="Times New Roman" w:hAnsi="Times New Roman" w:cs="Times New Roman"/>
                <w:color w:val="auto"/>
                <w:sz w:val="24"/>
                <w:lang w:val="en-US" w:eastAsia="zh-CN"/>
              </w:rPr>
              <w:t>钢结构安装</w:t>
            </w:r>
            <w:r>
              <w:rPr>
                <w:rFonts w:hint="default" w:ascii="Times New Roman" w:hAnsi="Times New Roman" w:cs="Times New Roman"/>
                <w:color w:val="auto"/>
                <w:sz w:val="24"/>
              </w:rPr>
              <w:t>、钢筋、钢板的切割安装。</w:t>
            </w:r>
          </w:p>
          <w:p w14:paraId="20D81D50">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（3）装饰工程</w:t>
            </w:r>
          </w:p>
          <w:p w14:paraId="590DC0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本项目主体结构为</w:t>
            </w:r>
            <w:r>
              <w:rPr>
                <w:rFonts w:hint="default" w:ascii="Times New Roman" w:hAnsi="Times New Roman" w:cs="Times New Roman"/>
                <w:color w:val="auto"/>
                <w:sz w:val="24"/>
                <w:lang w:val="en-US" w:eastAsia="zh-CN"/>
              </w:rPr>
              <w:t>钢结构</w:t>
            </w:r>
            <w:r>
              <w:rPr>
                <w:rFonts w:hint="default" w:ascii="Times New Roman" w:hAnsi="Times New Roman" w:eastAsia="宋体" w:cs="Times New Roman"/>
                <w:color w:val="auto"/>
                <w:kern w:val="2"/>
                <w:sz w:val="24"/>
                <w:szCs w:val="24"/>
                <w:lang w:val="en-US" w:eastAsia="zh-CN" w:bidi="ar-SA"/>
              </w:rPr>
              <w:t>，基本不需要装饰，但是另行边角部位可能需要修补装修，不进行大规模装修。</w:t>
            </w:r>
          </w:p>
          <w:p w14:paraId="275DA6E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（4）设备安装</w:t>
            </w:r>
          </w:p>
          <w:p w14:paraId="0E725A5D">
            <w:pPr>
              <w:pStyle w:val="50"/>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包括道路、雨水管网铺设等施工，主要污染物是机械设备安装机械产生的噪声、尾气等。</w:t>
            </w:r>
          </w:p>
          <w:p w14:paraId="21D193F5">
            <w:pPr>
              <w:pStyle w:val="50"/>
              <w:numPr>
                <w:ilvl w:val="0"/>
                <w:numId w:val="0"/>
              </w:numPr>
              <w:spacing w:line="240" w:lineRule="auto"/>
              <w:ind w:leftChars="0"/>
              <w:rPr>
                <w:rFonts w:hint="eastAsia" w:eastAsia="宋体"/>
                <w:b/>
                <w:color w:val="auto"/>
                <w:kern w:val="1"/>
                <w:lang w:eastAsia="zh-CN"/>
              </w:rPr>
            </w:pPr>
            <w:r>
              <w:rPr>
                <w:rFonts w:hint="eastAsia"/>
                <w:b/>
                <w:color w:val="auto"/>
                <w:kern w:val="1"/>
                <w:lang w:val="en-US" w:eastAsia="zh-CN"/>
              </w:rPr>
              <w:t>2、</w:t>
            </w:r>
            <w:r>
              <w:rPr>
                <w:rFonts w:hint="eastAsia"/>
                <w:b/>
                <w:color w:val="auto"/>
                <w:kern w:val="1"/>
                <w:lang w:eastAsia="zh-CN"/>
              </w:rPr>
              <w:t>营运期</w:t>
            </w:r>
          </w:p>
          <w:p w14:paraId="7F7BDD10">
            <w:pPr>
              <w:numPr>
                <w:ilvl w:val="0"/>
                <w:numId w:val="0"/>
              </w:numPr>
              <w:jc w:val="center"/>
              <w:rPr>
                <w:rFonts w:hint="eastAsia" w:eastAsia="宋体"/>
                <w:b w:val="0"/>
                <w:bCs w:val="0"/>
                <w:color w:val="auto"/>
                <w:sz w:val="24"/>
                <w:szCs w:val="24"/>
                <w:lang w:val="en-US" w:eastAsia="zh-CN"/>
              </w:rPr>
            </w:pPr>
            <w:r>
              <w:rPr>
                <w:rFonts w:hint="eastAsia" w:eastAsia="宋体"/>
                <w:b w:val="0"/>
                <w:bCs w:val="0"/>
                <w:color w:val="auto"/>
                <w:sz w:val="24"/>
                <w:szCs w:val="24"/>
                <w:lang w:val="en-US" w:eastAsia="zh-CN"/>
              </w:rPr>
              <w:object>
                <v:shape id="_x0000_i1027" o:spt="75" type="#_x0000_t75" style="height:230.65pt;width:228.7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14:paraId="4D0A6872">
            <w:pPr>
              <w:numPr>
                <w:ilvl w:val="0"/>
                <w:numId w:val="0"/>
              </w:numPr>
              <w:jc w:val="center"/>
              <w:rPr>
                <w:b/>
                <w:color w:val="auto"/>
                <w:sz w:val="21"/>
                <w:szCs w:val="21"/>
              </w:rPr>
            </w:pPr>
            <w:r>
              <w:rPr>
                <w:b/>
                <w:color w:val="auto"/>
                <w:sz w:val="21"/>
                <w:szCs w:val="21"/>
              </w:rPr>
              <w:object>
                <v:shape id="_x0000_i1028" o:spt="75" type="#_x0000_t75" style="height:267.05pt;width:253.5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8" r:id="rId14">
                  <o:LockedField>false</o:LockedField>
                </o:OLEObject>
              </w:object>
            </w:r>
          </w:p>
          <w:p w14:paraId="4CC7F95D">
            <w:pPr>
              <w:numPr>
                <w:ilvl w:val="0"/>
                <w:numId w:val="0"/>
              </w:numPr>
              <w:spacing w:line="360" w:lineRule="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工艺流程简述：</w:t>
            </w:r>
          </w:p>
          <w:p w14:paraId="68F97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投料搅拌：将原料</w:t>
            </w:r>
            <w:r>
              <w:rPr>
                <w:rFonts w:hint="eastAsia"/>
                <w:b w:val="0"/>
                <w:bCs/>
                <w:color w:val="auto"/>
                <w:sz w:val="24"/>
                <w:szCs w:val="24"/>
                <w:lang w:val="en-US" w:eastAsia="zh-CN"/>
              </w:rPr>
              <w:t>PP原粒、PP改性料和色母粒按照一定比例进行搅拌均匀后自动上料，搅拌过程全程密封，原料均为颗粒状固体，生产过程中无粉尘产生</w:t>
            </w:r>
            <w:r>
              <w:rPr>
                <w:rFonts w:hint="eastAsia"/>
                <w:b w:val="0"/>
                <w:bCs/>
                <w:color w:val="auto"/>
                <w:sz w:val="24"/>
                <w:szCs w:val="24"/>
                <w:lang w:eastAsia="zh-CN"/>
              </w:rPr>
              <w:t>。</w:t>
            </w:r>
          </w:p>
          <w:p w14:paraId="33E864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sz w:val="24"/>
                <w:szCs w:val="24"/>
                <w:lang w:eastAsia="zh-CN"/>
              </w:rPr>
            </w:pPr>
            <w:r>
              <w:rPr>
                <w:rFonts w:hint="eastAsia"/>
                <w:b w:val="0"/>
                <w:bCs/>
                <w:color w:val="auto"/>
                <w:sz w:val="24"/>
                <w:szCs w:val="24"/>
                <w:lang w:eastAsia="zh-CN"/>
              </w:rPr>
              <w:t>挤出成型、注塑成型：物料经上料系统进入挤出机或注塑机进行电加热熔融（</w:t>
            </w:r>
            <w:r>
              <w:rPr>
                <w:rFonts w:ascii="Times New Roman" w:hAnsi="Times New Roman" w:eastAsia="宋体" w:cs="Times New Roman"/>
                <w:color w:val="auto"/>
                <w:sz w:val="24"/>
              </w:rPr>
              <w:t>电加热，温度约200℃</w:t>
            </w:r>
            <w:r>
              <w:rPr>
                <w:rFonts w:hint="eastAsia" w:ascii="Times New Roman" w:hAnsi="Times New Roman" w:eastAsia="宋体" w:cs="Times New Roman"/>
                <w:color w:val="auto"/>
                <w:sz w:val="24"/>
                <w:lang w:eastAsia="zh-CN"/>
              </w:rPr>
              <w:t>），</w:t>
            </w:r>
            <w:r>
              <w:rPr>
                <w:rFonts w:ascii="宋体" w:hAnsi="宋体" w:eastAsia="宋体" w:cs="宋体"/>
                <w:color w:val="auto"/>
                <w:sz w:val="24"/>
                <w:szCs w:val="24"/>
              </w:rPr>
              <w:t>注塑通过高压将熔融塑料注入闭合模具,固化后顶出成品</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经循环冷却系统间接冷却，</w:t>
            </w:r>
            <w:r>
              <w:rPr>
                <w:rFonts w:hint="eastAsia" w:cs="Times New Roman"/>
                <w:color w:val="auto"/>
                <w:sz w:val="24"/>
                <w:lang w:eastAsia="zh-CN"/>
              </w:rPr>
              <w:t>挤出机</w:t>
            </w:r>
            <w:r>
              <w:rPr>
                <w:rFonts w:ascii="宋体" w:hAnsi="宋体" w:eastAsia="宋体" w:cs="宋体"/>
                <w:color w:val="auto"/>
                <w:sz w:val="24"/>
                <w:szCs w:val="24"/>
              </w:rPr>
              <w:t>借助螺杆或柱塞的挤压作用，使受热熔化的</w:t>
            </w:r>
            <w:r>
              <w:rPr>
                <w:rFonts w:hint="eastAsia" w:ascii="宋体" w:hAnsi="宋体" w:eastAsia="宋体" w:cs="宋体"/>
                <w:color w:val="auto"/>
                <w:sz w:val="24"/>
                <w:szCs w:val="24"/>
                <w:lang w:eastAsia="zh-CN"/>
              </w:rPr>
              <w:t>原料</w:t>
            </w:r>
            <w:r>
              <w:rPr>
                <w:rFonts w:ascii="宋体" w:hAnsi="宋体" w:eastAsia="宋体" w:cs="宋体"/>
                <w:color w:val="auto"/>
                <w:sz w:val="24"/>
                <w:szCs w:val="24"/>
              </w:rPr>
              <w:t>在压力的推动下通过机头模具</w:t>
            </w:r>
            <w:r>
              <w:rPr>
                <w:rFonts w:hint="eastAsia" w:ascii="宋体" w:hAnsi="宋体" w:eastAsia="宋体" w:cs="宋体"/>
                <w:color w:val="auto"/>
                <w:sz w:val="24"/>
                <w:szCs w:val="24"/>
                <w:lang w:eastAsia="zh-CN"/>
              </w:rPr>
              <w:t>，然后自然冷却</w:t>
            </w:r>
            <w:r>
              <w:rPr>
                <w:rFonts w:ascii="宋体" w:hAnsi="宋体" w:eastAsia="宋体" w:cs="宋体"/>
                <w:color w:val="auto"/>
                <w:sz w:val="24"/>
                <w:szCs w:val="24"/>
              </w:rPr>
              <w:t>成型</w:t>
            </w:r>
            <w:r>
              <w:rPr>
                <w:rFonts w:hint="eastAsia" w:ascii="Times New Roman" w:hAnsi="Times New Roman" w:eastAsia="宋体" w:cs="Times New Roman"/>
                <w:color w:val="auto"/>
                <w:sz w:val="24"/>
                <w:lang w:eastAsia="zh-CN"/>
              </w:rPr>
              <w:t>。</w:t>
            </w:r>
            <w:r>
              <w:rPr>
                <w:rFonts w:hint="eastAsia"/>
                <w:color w:val="auto"/>
                <w:sz w:val="24"/>
                <w:szCs w:val="24"/>
                <w:lang w:val="en-US" w:eastAsia="zh-CN"/>
              </w:rPr>
              <w:t>该过程产生少量有机废气（挤出废气G1、注塑废气G2）。</w:t>
            </w:r>
          </w:p>
          <w:p w14:paraId="6B0F5F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检验修边：</w:t>
            </w:r>
            <w:r>
              <w:rPr>
                <w:rFonts w:hint="default" w:ascii="Times New Roman" w:hAnsi="Times New Roman" w:eastAsia="宋体" w:cs="Times New Roman"/>
                <w:b w:val="0"/>
                <w:bCs/>
                <w:color w:val="auto"/>
                <w:sz w:val="24"/>
                <w:szCs w:val="24"/>
                <w:lang w:val="en-US" w:eastAsia="zh-CN"/>
              </w:rPr>
              <w:t>将</w:t>
            </w:r>
            <w:r>
              <w:rPr>
                <w:rFonts w:hint="eastAsia" w:ascii="Times New Roman" w:hAnsi="Times New Roman" w:cs="Times New Roman"/>
                <w:b w:val="0"/>
                <w:bCs/>
                <w:color w:val="auto"/>
                <w:sz w:val="24"/>
                <w:szCs w:val="24"/>
                <w:lang w:val="en-US" w:eastAsia="zh-CN"/>
              </w:rPr>
              <w:t>成型后的板材进</w:t>
            </w:r>
            <w:r>
              <w:rPr>
                <w:rFonts w:hint="default" w:ascii="Times New Roman" w:hAnsi="Times New Roman" w:eastAsia="宋体" w:cs="Times New Roman"/>
                <w:b w:val="0"/>
                <w:bCs/>
                <w:color w:val="auto"/>
                <w:sz w:val="24"/>
                <w:szCs w:val="24"/>
                <w:lang w:val="en-US" w:eastAsia="zh-CN"/>
              </w:rPr>
              <w:t>行</w:t>
            </w:r>
            <w:r>
              <w:rPr>
                <w:rFonts w:hint="eastAsia" w:cs="Times New Roman"/>
                <w:b w:val="0"/>
                <w:bCs/>
                <w:color w:val="auto"/>
                <w:sz w:val="24"/>
                <w:szCs w:val="24"/>
                <w:lang w:val="en-US" w:eastAsia="zh-CN"/>
              </w:rPr>
              <w:t>检验以及</w:t>
            </w:r>
            <w:r>
              <w:rPr>
                <w:rFonts w:hint="default" w:ascii="Times New Roman" w:hAnsi="Times New Roman" w:eastAsia="宋体" w:cs="Times New Roman"/>
                <w:b w:val="0"/>
                <w:bCs/>
                <w:color w:val="auto"/>
                <w:sz w:val="24"/>
                <w:szCs w:val="24"/>
                <w:lang w:val="en-US" w:eastAsia="zh-CN"/>
              </w:rPr>
              <w:t>手工修边，手工修边后即为成品</w:t>
            </w:r>
            <w:r>
              <w:rPr>
                <w:rFonts w:hint="eastAsia"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此</w:t>
            </w:r>
            <w:r>
              <w:rPr>
                <w:rFonts w:hint="default" w:ascii="Times New Roman" w:hAnsi="Times New Roman" w:eastAsia="宋体" w:cs="Times New Roman"/>
                <w:b w:val="0"/>
                <w:bCs/>
                <w:color w:val="auto"/>
                <w:sz w:val="24"/>
                <w:szCs w:val="24"/>
                <w:lang w:val="en-US" w:eastAsia="zh-CN"/>
              </w:rPr>
              <w:t>过程中产生边角料</w:t>
            </w:r>
            <w:r>
              <w:rPr>
                <w:rFonts w:hint="eastAsia" w:cs="Times New Roman"/>
                <w:b w:val="0"/>
                <w:bCs/>
                <w:color w:val="auto"/>
                <w:sz w:val="24"/>
                <w:szCs w:val="24"/>
                <w:lang w:val="en-US" w:eastAsia="zh-CN"/>
              </w:rPr>
              <w:t>和不良品</w:t>
            </w:r>
            <w:r>
              <w:rPr>
                <w:rFonts w:hint="eastAsia" w:ascii="Times New Roman" w:hAnsi="Times New Roman" w:cs="Times New Roman"/>
                <w:b w:val="0"/>
                <w:bCs/>
                <w:color w:val="auto"/>
                <w:sz w:val="24"/>
                <w:szCs w:val="24"/>
                <w:lang w:val="en-US" w:eastAsia="zh-CN"/>
              </w:rPr>
              <w:t>，破碎后回用</w:t>
            </w:r>
            <w:r>
              <w:rPr>
                <w:rFonts w:hint="eastAsia" w:eastAsia="宋体" w:cs="Times New Roman"/>
                <w:b w:val="0"/>
                <w:bCs/>
                <w:color w:val="auto"/>
                <w:sz w:val="24"/>
                <w:szCs w:val="24"/>
                <w:lang w:val="en-US" w:eastAsia="zh-CN"/>
              </w:rPr>
              <w:t>。</w:t>
            </w:r>
          </w:p>
          <w:p w14:paraId="2AAB711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破碎：边角料及不良品使用破碎机将其破碎后回用于生产，由于破碎物料均为块状，此过程仅产生少量粉尘。</w:t>
            </w:r>
          </w:p>
          <w:p w14:paraId="4117FE4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板材入库：经检验合格的板材入库后，一部分直接外售，一部分进行二次加工再外售。</w:t>
            </w:r>
          </w:p>
          <w:p w14:paraId="7BCD3B0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裁板、折弯、雕刻：根据产品需求，对需要二次加工的板材用裁板机、折弯机、雕刻机进行裁板折弯及雕刻处理，此过程产生</w:t>
            </w:r>
            <w:r>
              <w:rPr>
                <w:rFonts w:hint="default" w:ascii="Times New Roman" w:hAnsi="Times New Roman" w:eastAsia="宋体" w:cs="Times New Roman"/>
                <w:b w:val="0"/>
                <w:bCs/>
                <w:color w:val="auto"/>
                <w:sz w:val="24"/>
                <w:szCs w:val="24"/>
                <w:lang w:val="en-US" w:eastAsia="zh-CN"/>
              </w:rPr>
              <w:t>边角料</w:t>
            </w:r>
            <w:r>
              <w:rPr>
                <w:rFonts w:hint="eastAsia" w:ascii="Times New Roman" w:hAnsi="Times New Roman" w:cs="Times New Roman"/>
                <w:b w:val="0"/>
                <w:bCs/>
                <w:color w:val="auto"/>
                <w:sz w:val="24"/>
                <w:szCs w:val="24"/>
                <w:lang w:val="en-US" w:eastAsia="zh-CN"/>
              </w:rPr>
              <w:t>，破碎后回用</w:t>
            </w:r>
            <w:r>
              <w:rPr>
                <w:rFonts w:hint="eastAsia"/>
                <w:b w:val="0"/>
                <w:bCs/>
                <w:color w:val="auto"/>
                <w:sz w:val="24"/>
                <w:szCs w:val="24"/>
                <w:lang w:val="en-US" w:eastAsia="zh-CN"/>
              </w:rPr>
              <w:t>。</w:t>
            </w:r>
          </w:p>
          <w:p w14:paraId="66DE450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焊接：采用接板机对两块板材连接处进行焊接，用电加热的方式（加热温度160</w:t>
            </w:r>
            <w:r>
              <w:rPr>
                <w:rFonts w:hint="eastAsia"/>
                <w:color w:val="auto"/>
                <w:sz w:val="24"/>
                <w:szCs w:val="24"/>
                <w:lang w:val="en-US" w:eastAsia="zh-CN"/>
              </w:rPr>
              <w:t>℃</w:t>
            </w:r>
            <w:r>
              <w:rPr>
                <w:rFonts w:hint="eastAsia"/>
                <w:b w:val="0"/>
                <w:bCs/>
                <w:color w:val="auto"/>
                <w:sz w:val="24"/>
                <w:szCs w:val="24"/>
                <w:lang w:val="en-US" w:eastAsia="zh-CN"/>
              </w:rPr>
              <w:t>），通过热熔焊接，自然冷却后形成一个整体。该过程产生少量焊接有机废气G3。</w:t>
            </w:r>
          </w:p>
          <w:p w14:paraId="432E209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定制品入库：最后将定制成品包装入库。</w:t>
            </w:r>
          </w:p>
          <w:p w14:paraId="25480CD6">
            <w:pPr>
              <w:spacing w:line="360" w:lineRule="auto"/>
              <w:rPr>
                <w:b/>
                <w:color w:val="auto"/>
                <w:sz w:val="24"/>
                <w:szCs w:val="24"/>
              </w:rPr>
            </w:pPr>
            <w:r>
              <w:rPr>
                <w:b/>
                <w:color w:val="auto"/>
                <w:sz w:val="24"/>
                <w:szCs w:val="24"/>
              </w:rPr>
              <w:t>产污环节：</w:t>
            </w:r>
          </w:p>
          <w:p w14:paraId="483B8FAD">
            <w:pPr>
              <w:spacing w:line="360" w:lineRule="auto"/>
              <w:ind w:firstLine="480" w:firstLineChars="200"/>
              <w:rPr>
                <w:color w:val="auto"/>
                <w:sz w:val="24"/>
                <w:szCs w:val="24"/>
              </w:rPr>
            </w:pPr>
            <w:r>
              <w:rPr>
                <w:color w:val="auto"/>
                <w:sz w:val="24"/>
                <w:szCs w:val="24"/>
              </w:rPr>
              <w:t>项目主要产污环节及污染物见下表：</w:t>
            </w:r>
          </w:p>
          <w:p w14:paraId="735E2F91">
            <w:pPr>
              <w:spacing w:line="240" w:lineRule="auto"/>
              <w:ind w:firstLine="422" w:firstLineChars="20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 xml:space="preserve">7 </w:t>
            </w:r>
            <w:r>
              <w:rPr>
                <w:b/>
                <w:color w:val="auto"/>
                <w:sz w:val="21"/>
                <w:szCs w:val="21"/>
              </w:rPr>
              <w:t>主要产污环节及污染物一览表</w:t>
            </w:r>
          </w:p>
          <w:tbl>
            <w:tblPr>
              <w:tblStyle w:val="2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53"/>
              <w:gridCol w:w="1854"/>
              <w:gridCol w:w="1749"/>
              <w:gridCol w:w="2728"/>
            </w:tblGrid>
            <w:tr w14:paraId="4373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366" w:type="pct"/>
                  <w:tcBorders>
                    <w:tl2br w:val="nil"/>
                    <w:tr2bl w:val="nil"/>
                  </w:tcBorders>
                  <w:shd w:val="clear" w:color="auto" w:fill="auto"/>
                  <w:noWrap w:val="0"/>
                  <w:vAlign w:val="center"/>
                </w:tcPr>
                <w:p w14:paraId="585CE1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类别</w:t>
                  </w:r>
                </w:p>
              </w:tc>
              <w:tc>
                <w:tcPr>
                  <w:tcW w:w="1049" w:type="pct"/>
                  <w:tcBorders>
                    <w:tl2br w:val="nil"/>
                    <w:tr2bl w:val="nil"/>
                  </w:tcBorders>
                  <w:shd w:val="clear" w:color="auto" w:fill="auto"/>
                  <w:noWrap w:val="0"/>
                  <w:vAlign w:val="center"/>
                </w:tcPr>
                <w:p w14:paraId="6A314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污染源名称</w:t>
                  </w:r>
                </w:p>
              </w:tc>
              <w:tc>
                <w:tcPr>
                  <w:tcW w:w="1049" w:type="pct"/>
                  <w:tcBorders>
                    <w:tl2br w:val="nil"/>
                    <w:tr2bl w:val="nil"/>
                  </w:tcBorders>
                  <w:shd w:val="clear" w:color="auto" w:fill="auto"/>
                  <w:noWrap w:val="0"/>
                  <w:vAlign w:val="center"/>
                </w:tcPr>
                <w:p w14:paraId="423EB6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产生工序</w:t>
                  </w:r>
                </w:p>
              </w:tc>
              <w:tc>
                <w:tcPr>
                  <w:tcW w:w="990" w:type="pct"/>
                  <w:tcBorders>
                    <w:tl2br w:val="nil"/>
                    <w:tr2bl w:val="nil"/>
                  </w:tcBorders>
                  <w:shd w:val="clear" w:color="auto" w:fill="auto"/>
                  <w:noWrap w:val="0"/>
                  <w:vAlign w:val="center"/>
                </w:tcPr>
                <w:p w14:paraId="229B94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主要污染因子</w:t>
                  </w:r>
                </w:p>
              </w:tc>
              <w:tc>
                <w:tcPr>
                  <w:tcW w:w="1544" w:type="pct"/>
                  <w:tcBorders>
                    <w:tl2br w:val="nil"/>
                    <w:tr2bl w:val="nil"/>
                  </w:tcBorders>
                  <w:shd w:val="clear" w:color="auto" w:fill="auto"/>
                  <w:noWrap w:val="0"/>
                  <w:vAlign w:val="center"/>
                </w:tcPr>
                <w:p w14:paraId="0495C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处理措施</w:t>
                  </w:r>
                </w:p>
              </w:tc>
            </w:tr>
            <w:tr w14:paraId="796B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366" w:type="pct"/>
                  <w:vMerge w:val="restart"/>
                  <w:tcBorders>
                    <w:tl2br w:val="nil"/>
                    <w:tr2bl w:val="nil"/>
                  </w:tcBorders>
                  <w:shd w:val="clear" w:color="auto" w:fill="auto"/>
                  <w:noWrap w:val="0"/>
                  <w:vAlign w:val="center"/>
                </w:tcPr>
                <w:p w14:paraId="0226F4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r>
                    <w:rPr>
                      <w:rFonts w:hint="eastAsia" w:ascii="Times New Roman" w:hAnsi="Times New Roman" w:eastAsia="宋体" w:cs="Times New Roman"/>
                      <w:color w:val="auto"/>
                      <w:kern w:val="2"/>
                      <w:sz w:val="21"/>
                      <w:szCs w:val="21"/>
                      <w:u w:val="none"/>
                      <w:lang w:eastAsia="zh-CN"/>
                    </w:rPr>
                    <w:t>废气</w:t>
                  </w:r>
                </w:p>
              </w:tc>
              <w:tc>
                <w:tcPr>
                  <w:tcW w:w="1049" w:type="pct"/>
                  <w:tcBorders>
                    <w:tl2br w:val="nil"/>
                    <w:tr2bl w:val="nil"/>
                  </w:tcBorders>
                  <w:shd w:val="clear" w:color="auto" w:fill="auto"/>
                  <w:noWrap w:val="0"/>
                  <w:vAlign w:val="center"/>
                </w:tcPr>
                <w:p w14:paraId="59260311">
                  <w:pPr>
                    <w:keepNext w:val="0"/>
                    <w:keepLines w:val="0"/>
                    <w:widowControl/>
                    <w:suppressLineNumbers w:val="0"/>
                    <w:tabs>
                      <w:tab w:val="left" w:pos="3255"/>
                    </w:tabs>
                    <w:topLinePunct/>
                    <w:autoSpaceDE/>
                    <w:autoSpaceDN/>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u w:val="none"/>
                      <w:lang w:val="en-US" w:eastAsia="zh-CN"/>
                    </w:rPr>
                    <w:t>挤出、注塑废气</w:t>
                  </w:r>
                </w:p>
              </w:tc>
              <w:tc>
                <w:tcPr>
                  <w:tcW w:w="1049" w:type="pct"/>
                  <w:tcBorders>
                    <w:tl2br w:val="nil"/>
                    <w:tr2bl w:val="nil"/>
                  </w:tcBorders>
                  <w:shd w:val="clear" w:color="auto" w:fill="auto"/>
                  <w:noWrap w:val="0"/>
                  <w:vAlign w:val="center"/>
                </w:tcPr>
                <w:p w14:paraId="6DB76D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u w:val="none"/>
                      <w:lang w:val="en-US" w:eastAsia="zh-CN"/>
                    </w:rPr>
                    <w:t>挤出、注塑</w:t>
                  </w:r>
                </w:p>
              </w:tc>
              <w:tc>
                <w:tcPr>
                  <w:tcW w:w="990" w:type="pct"/>
                  <w:tcBorders>
                    <w:tl2br w:val="nil"/>
                    <w:tr2bl w:val="nil"/>
                  </w:tcBorders>
                  <w:shd w:val="clear" w:color="auto" w:fill="auto"/>
                  <w:noWrap w:val="0"/>
                  <w:vAlign w:val="center"/>
                </w:tcPr>
                <w:p w14:paraId="23D1CF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eastAsia="zh-CN"/>
                    </w:rPr>
                    <w:t>非甲烷总烃</w:t>
                  </w:r>
                </w:p>
              </w:tc>
              <w:tc>
                <w:tcPr>
                  <w:tcW w:w="1544" w:type="pct"/>
                  <w:tcBorders>
                    <w:tl2br w:val="nil"/>
                    <w:tr2bl w:val="nil"/>
                  </w:tcBorders>
                  <w:shd w:val="clear" w:color="auto" w:fill="auto"/>
                  <w:noWrap w:val="0"/>
                  <w:vAlign w:val="center"/>
                </w:tcPr>
                <w:p w14:paraId="77B1328B">
                  <w:pPr>
                    <w:keepNext w:val="0"/>
                    <w:keepLines w:val="0"/>
                    <w:widowControl/>
                    <w:suppressLineNumbers w:val="0"/>
                    <w:tabs>
                      <w:tab w:val="left" w:pos="3255"/>
                    </w:tabs>
                    <w:topLinePunct/>
                    <w:autoSpaceDE/>
                    <w:autoSpaceDN/>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u w:val="none"/>
                      <w:lang w:eastAsia="zh-CN"/>
                    </w:rPr>
                    <w:t>集气罩收集</w:t>
                  </w:r>
                  <w:r>
                    <w:rPr>
                      <w:rFonts w:hint="eastAsia" w:ascii="Times New Roman" w:hAnsi="Times New Roman" w:cs="Times New Roman"/>
                      <w:color w:val="auto"/>
                      <w:sz w:val="21"/>
                      <w:szCs w:val="21"/>
                      <w:u w:val="none"/>
                      <w:lang w:val="en-US" w:eastAsia="zh-CN"/>
                    </w:rPr>
                    <w:t>+二级活性炭吸附装置+20m排气筒</w:t>
                  </w:r>
                  <w:r>
                    <w:rPr>
                      <w:rFonts w:hint="default" w:ascii="Times New Roman" w:hAnsi="Times New Roman" w:eastAsia="宋体" w:cs="Times New Roman"/>
                      <w:color w:val="auto"/>
                      <w:sz w:val="21"/>
                      <w:szCs w:val="21"/>
                    </w:rPr>
                    <w:t>（DA00</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）排放</w:t>
                  </w:r>
                </w:p>
              </w:tc>
            </w:tr>
            <w:tr w14:paraId="668B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366" w:type="pct"/>
                  <w:vMerge w:val="continue"/>
                  <w:tcBorders>
                    <w:tl2br w:val="nil"/>
                    <w:tr2bl w:val="nil"/>
                  </w:tcBorders>
                  <w:shd w:val="clear" w:color="auto" w:fill="auto"/>
                  <w:noWrap w:val="0"/>
                  <w:vAlign w:val="center"/>
                </w:tcPr>
                <w:p w14:paraId="41A13A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p>
              </w:tc>
              <w:tc>
                <w:tcPr>
                  <w:tcW w:w="1049" w:type="pct"/>
                  <w:tcBorders>
                    <w:tl2br w:val="nil"/>
                    <w:tr2bl w:val="nil"/>
                  </w:tcBorders>
                  <w:shd w:val="clear" w:color="auto" w:fill="auto"/>
                  <w:noWrap w:val="0"/>
                  <w:vAlign w:val="center"/>
                </w:tcPr>
                <w:p w14:paraId="1623B804">
                  <w:pPr>
                    <w:keepNext w:val="0"/>
                    <w:keepLines w:val="0"/>
                    <w:widowControl/>
                    <w:suppressLineNumbers w:val="0"/>
                    <w:tabs>
                      <w:tab w:val="left" w:pos="3255"/>
                    </w:tabs>
                    <w:topLinePunct/>
                    <w:autoSpaceDE/>
                    <w:autoSpaceDN/>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破碎粉尘</w:t>
                  </w:r>
                </w:p>
              </w:tc>
              <w:tc>
                <w:tcPr>
                  <w:tcW w:w="1049" w:type="pct"/>
                  <w:tcBorders>
                    <w:tl2br w:val="nil"/>
                    <w:tr2bl w:val="nil"/>
                  </w:tcBorders>
                  <w:shd w:val="clear" w:color="auto" w:fill="auto"/>
                  <w:noWrap w:val="0"/>
                  <w:vAlign w:val="center"/>
                </w:tcPr>
                <w:p w14:paraId="46C7336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破碎</w:t>
                  </w:r>
                </w:p>
              </w:tc>
              <w:tc>
                <w:tcPr>
                  <w:tcW w:w="990" w:type="pct"/>
                  <w:tcBorders>
                    <w:tl2br w:val="nil"/>
                    <w:tr2bl w:val="nil"/>
                  </w:tcBorders>
                  <w:shd w:val="clear" w:color="auto" w:fill="auto"/>
                  <w:noWrap w:val="0"/>
                  <w:vAlign w:val="center"/>
                </w:tcPr>
                <w:p w14:paraId="489095C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color w:val="auto"/>
                      <w:sz w:val="21"/>
                      <w:szCs w:val="21"/>
                      <w:highlight w:val="none"/>
                      <w:u w:val="none"/>
                      <w:lang w:eastAsia="zh-CN"/>
                    </w:rPr>
                  </w:pPr>
                  <w:r>
                    <w:rPr>
                      <w:rFonts w:hint="eastAsia" w:cs="Times New Roman"/>
                      <w:color w:val="auto"/>
                      <w:sz w:val="21"/>
                      <w:szCs w:val="21"/>
                      <w:highlight w:val="none"/>
                      <w:u w:val="none"/>
                      <w:lang w:eastAsia="zh-CN"/>
                    </w:rPr>
                    <w:t>颗粒物</w:t>
                  </w:r>
                </w:p>
              </w:tc>
              <w:tc>
                <w:tcPr>
                  <w:tcW w:w="1544" w:type="pct"/>
                  <w:tcBorders>
                    <w:tl2br w:val="nil"/>
                    <w:tr2bl w:val="nil"/>
                  </w:tcBorders>
                  <w:shd w:val="clear" w:color="auto" w:fill="auto"/>
                  <w:noWrap w:val="0"/>
                  <w:vAlign w:val="center"/>
                </w:tcPr>
                <w:p w14:paraId="7B7D7C3A">
                  <w:pPr>
                    <w:keepNext w:val="0"/>
                    <w:keepLines w:val="0"/>
                    <w:widowControl/>
                    <w:suppressLineNumbers w:val="0"/>
                    <w:tabs>
                      <w:tab w:val="left" w:pos="3255"/>
                    </w:tabs>
                    <w:topLinePunct/>
                    <w:autoSpaceDE/>
                    <w:autoSpaceDN/>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u w:val="none"/>
                      <w:lang w:eastAsia="zh-CN"/>
                    </w:rPr>
                  </w:pPr>
                  <w:r>
                    <w:rPr>
                      <w:rFonts w:hint="eastAsia" w:cs="Times New Roman"/>
                      <w:color w:val="auto"/>
                      <w:sz w:val="21"/>
                      <w:szCs w:val="21"/>
                      <w:u w:val="none"/>
                      <w:lang w:eastAsia="zh-CN"/>
                    </w:rPr>
                    <w:t>设置防尘帘，无组织排放</w:t>
                  </w:r>
                </w:p>
              </w:tc>
            </w:tr>
            <w:tr w14:paraId="223B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366" w:type="pct"/>
                  <w:tcBorders>
                    <w:tl2br w:val="nil"/>
                    <w:tr2bl w:val="nil"/>
                  </w:tcBorders>
                  <w:shd w:val="clear" w:color="auto" w:fill="auto"/>
                  <w:noWrap w:val="0"/>
                  <w:vAlign w:val="center"/>
                </w:tcPr>
                <w:p w14:paraId="24B1C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r>
                    <w:rPr>
                      <w:rFonts w:hint="eastAsia"/>
                      <w:color w:val="auto"/>
                      <w:lang w:eastAsia="zh-CN"/>
                    </w:rPr>
                    <w:t>废水</w:t>
                  </w:r>
                </w:p>
              </w:tc>
              <w:tc>
                <w:tcPr>
                  <w:tcW w:w="1049" w:type="pct"/>
                  <w:tcBorders>
                    <w:tl2br w:val="nil"/>
                    <w:tr2bl w:val="nil"/>
                  </w:tcBorders>
                  <w:shd w:val="clear" w:color="auto" w:fill="auto"/>
                  <w:noWrap w:val="0"/>
                  <w:vAlign w:val="center"/>
                </w:tcPr>
                <w:p w14:paraId="455BDC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生活污水</w:t>
                  </w:r>
                </w:p>
              </w:tc>
              <w:tc>
                <w:tcPr>
                  <w:tcW w:w="1049" w:type="pct"/>
                  <w:tcBorders>
                    <w:tl2br w:val="nil"/>
                    <w:tr2bl w:val="nil"/>
                  </w:tcBorders>
                  <w:shd w:val="clear" w:color="auto" w:fill="auto"/>
                  <w:noWrap w:val="0"/>
                  <w:vAlign w:val="center"/>
                </w:tcPr>
                <w:p w14:paraId="4C4697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办公、生活</w:t>
                  </w:r>
                </w:p>
              </w:tc>
              <w:tc>
                <w:tcPr>
                  <w:tcW w:w="990" w:type="pct"/>
                  <w:tcBorders>
                    <w:tl2br w:val="nil"/>
                    <w:tr2bl w:val="nil"/>
                  </w:tcBorders>
                  <w:shd w:val="clear" w:color="auto" w:fill="auto"/>
                  <w:noWrap w:val="0"/>
                  <w:vAlign w:val="center"/>
                </w:tcPr>
                <w:p w14:paraId="148B7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rPr>
                    <w:t>COD</w:t>
                  </w:r>
                  <w:r>
                    <w:rPr>
                      <w:rFonts w:hint="default" w:ascii="Times New Roman" w:hAnsi="Times New Roman" w:eastAsia="宋体" w:cs="Times New Roman"/>
                      <w:color w:val="auto"/>
                      <w:kern w:val="2"/>
                      <w:sz w:val="21"/>
                      <w:szCs w:val="21"/>
                      <w:u w:val="none"/>
                      <w:vertAlign w:val="subscript"/>
                    </w:rPr>
                    <w:t>Cr</w:t>
                  </w:r>
                  <w:r>
                    <w:rPr>
                      <w:rFonts w:hint="default" w:ascii="Times New Roman" w:hAnsi="Times New Roman" w:eastAsia="宋体" w:cs="Times New Roman"/>
                      <w:color w:val="auto"/>
                      <w:kern w:val="2"/>
                      <w:sz w:val="21"/>
                      <w:szCs w:val="21"/>
                      <w:u w:val="none"/>
                    </w:rPr>
                    <w:t>、BOD</w:t>
                  </w:r>
                  <w:r>
                    <w:rPr>
                      <w:rFonts w:hint="default" w:ascii="Times New Roman" w:hAnsi="Times New Roman" w:eastAsia="宋体" w:cs="Times New Roman"/>
                      <w:color w:val="auto"/>
                      <w:kern w:val="2"/>
                      <w:sz w:val="21"/>
                      <w:szCs w:val="21"/>
                      <w:u w:val="none"/>
                      <w:vertAlign w:val="subscript"/>
                    </w:rPr>
                    <w:t>5</w:t>
                  </w:r>
                  <w:r>
                    <w:rPr>
                      <w:rFonts w:hint="default" w:ascii="Times New Roman" w:hAnsi="Times New Roman" w:eastAsia="宋体" w:cs="Times New Roman"/>
                      <w:color w:val="auto"/>
                      <w:kern w:val="2"/>
                      <w:sz w:val="21"/>
                      <w:szCs w:val="21"/>
                      <w:u w:val="none"/>
                    </w:rPr>
                    <w:t>、氨氮、SS</w:t>
                  </w:r>
                </w:p>
              </w:tc>
              <w:tc>
                <w:tcPr>
                  <w:tcW w:w="1544" w:type="pct"/>
                  <w:tcBorders>
                    <w:tl2br w:val="nil"/>
                    <w:tr2bl w:val="nil"/>
                  </w:tcBorders>
                  <w:shd w:val="clear" w:color="auto" w:fill="auto"/>
                  <w:noWrap w:val="0"/>
                  <w:vAlign w:val="center"/>
                </w:tcPr>
                <w:p w14:paraId="28874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化粪池处理后</w:t>
                  </w:r>
                  <w:r>
                    <w:rPr>
                      <w:rFonts w:hint="default" w:ascii="Times New Roman" w:hAnsi="Times New Roman" w:eastAsia="宋体" w:cs="Times New Roman"/>
                      <w:color w:val="auto"/>
                      <w:sz w:val="21"/>
                      <w:szCs w:val="21"/>
                      <w:highlight w:val="none"/>
                      <w:u w:val="none"/>
                      <w:lang w:eastAsia="zh-CN" w:bidi="ar"/>
                    </w:rPr>
                    <w:t>经厂区总排口排入固镇经济开发区污水处理厂</w:t>
                  </w:r>
                </w:p>
              </w:tc>
            </w:tr>
            <w:tr w14:paraId="473B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66" w:type="pct"/>
                  <w:tcBorders>
                    <w:tl2br w:val="nil"/>
                    <w:tr2bl w:val="nil"/>
                  </w:tcBorders>
                  <w:shd w:val="clear" w:color="auto" w:fill="auto"/>
                  <w:noWrap w:val="0"/>
                  <w:vAlign w:val="center"/>
                </w:tcPr>
                <w:p w14:paraId="0FAF89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噪声</w:t>
                  </w:r>
                </w:p>
              </w:tc>
              <w:tc>
                <w:tcPr>
                  <w:tcW w:w="1049" w:type="pct"/>
                  <w:tcBorders>
                    <w:tl2br w:val="nil"/>
                    <w:tr2bl w:val="nil"/>
                  </w:tcBorders>
                  <w:shd w:val="clear" w:color="auto" w:fill="auto"/>
                  <w:noWrap w:val="0"/>
                  <w:vAlign w:val="center"/>
                </w:tcPr>
                <w:p w14:paraId="5E704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设备噪声</w:t>
                  </w:r>
                </w:p>
              </w:tc>
              <w:tc>
                <w:tcPr>
                  <w:tcW w:w="1049" w:type="pct"/>
                  <w:tcBorders>
                    <w:tl2br w:val="nil"/>
                    <w:tr2bl w:val="nil"/>
                  </w:tcBorders>
                  <w:shd w:val="clear" w:color="auto" w:fill="auto"/>
                  <w:noWrap w:val="0"/>
                  <w:vAlign w:val="center"/>
                </w:tcPr>
                <w:p w14:paraId="3145D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sz w:val="21"/>
                      <w:szCs w:val="21"/>
                      <w:highlight w:val="none"/>
                      <w:u w:val="none"/>
                      <w:lang w:bidi="ar"/>
                    </w:rPr>
                    <w:t>设备运行</w:t>
                  </w:r>
                </w:p>
              </w:tc>
              <w:tc>
                <w:tcPr>
                  <w:tcW w:w="990" w:type="pct"/>
                  <w:tcBorders>
                    <w:tl2br w:val="nil"/>
                    <w:tr2bl w:val="nil"/>
                  </w:tcBorders>
                  <w:shd w:val="clear" w:color="auto" w:fill="auto"/>
                  <w:noWrap w:val="0"/>
                  <w:vAlign w:val="center"/>
                </w:tcPr>
                <w:p w14:paraId="6B1935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噪声</w:t>
                  </w:r>
                </w:p>
              </w:tc>
              <w:tc>
                <w:tcPr>
                  <w:tcW w:w="1544" w:type="pct"/>
                  <w:tcBorders>
                    <w:tl2br w:val="nil"/>
                    <w:tr2bl w:val="nil"/>
                  </w:tcBorders>
                  <w:shd w:val="clear" w:color="auto" w:fill="auto"/>
                  <w:noWrap w:val="0"/>
                  <w:vAlign w:val="center"/>
                </w:tcPr>
                <w:p w14:paraId="472B9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安装减震、厂房隔声</w:t>
                  </w:r>
                </w:p>
              </w:tc>
            </w:tr>
            <w:tr w14:paraId="63C0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66" w:type="pct"/>
                  <w:vMerge w:val="restart"/>
                  <w:tcBorders>
                    <w:tl2br w:val="nil"/>
                    <w:tr2bl w:val="nil"/>
                  </w:tcBorders>
                  <w:shd w:val="clear" w:color="auto" w:fill="auto"/>
                  <w:noWrap w:val="0"/>
                  <w:vAlign w:val="center"/>
                </w:tcPr>
                <w:p w14:paraId="36C952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r>
                    <w:rPr>
                      <w:rFonts w:hint="eastAsia" w:ascii="Times New Roman" w:hAnsi="Times New Roman" w:eastAsia="宋体" w:cs="Times New Roman"/>
                      <w:color w:val="auto"/>
                      <w:kern w:val="2"/>
                      <w:sz w:val="21"/>
                      <w:szCs w:val="21"/>
                      <w:u w:val="none"/>
                      <w:lang w:eastAsia="zh-CN"/>
                    </w:rPr>
                    <w:t>固体废物</w:t>
                  </w:r>
                </w:p>
              </w:tc>
              <w:tc>
                <w:tcPr>
                  <w:tcW w:w="1049" w:type="pct"/>
                  <w:tcBorders>
                    <w:tl2br w:val="nil"/>
                    <w:tr2bl w:val="nil"/>
                  </w:tcBorders>
                  <w:shd w:val="clear" w:color="auto" w:fill="auto"/>
                  <w:noWrap w:val="0"/>
                  <w:vAlign w:val="center"/>
                </w:tcPr>
                <w:p w14:paraId="7C93D6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r>
                    <w:rPr>
                      <w:rFonts w:hint="eastAsia" w:ascii="Times New Roman" w:hAnsi="Times New Roman" w:eastAsia="宋体" w:cs="Times New Roman"/>
                      <w:color w:val="auto"/>
                      <w:kern w:val="2"/>
                      <w:sz w:val="21"/>
                      <w:szCs w:val="21"/>
                      <w:u w:val="none"/>
                      <w:lang w:eastAsia="zh-CN"/>
                    </w:rPr>
                    <w:t>一般固废</w:t>
                  </w:r>
                </w:p>
              </w:tc>
              <w:tc>
                <w:tcPr>
                  <w:tcW w:w="1049" w:type="pct"/>
                  <w:tcBorders>
                    <w:tl2br w:val="nil"/>
                    <w:tr2bl w:val="nil"/>
                  </w:tcBorders>
                  <w:shd w:val="clear" w:color="auto" w:fill="auto"/>
                  <w:noWrap w:val="0"/>
                  <w:vAlign w:val="center"/>
                </w:tcPr>
                <w:p w14:paraId="2998F2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lang w:eastAsia="zh-CN" w:bidi="ar"/>
                    </w:rPr>
                  </w:pPr>
                  <w:r>
                    <w:rPr>
                      <w:rFonts w:hint="eastAsia" w:ascii="Times New Roman" w:hAnsi="Times New Roman" w:eastAsia="宋体" w:cs="Times New Roman"/>
                      <w:color w:val="auto"/>
                      <w:sz w:val="21"/>
                      <w:szCs w:val="21"/>
                      <w:highlight w:val="none"/>
                      <w:u w:val="none"/>
                      <w:lang w:eastAsia="zh-CN" w:bidi="ar"/>
                    </w:rPr>
                    <w:t>包装</w:t>
                  </w:r>
                </w:p>
              </w:tc>
              <w:tc>
                <w:tcPr>
                  <w:tcW w:w="990" w:type="pct"/>
                  <w:tcBorders>
                    <w:tl2br w:val="nil"/>
                    <w:tr2bl w:val="nil"/>
                  </w:tcBorders>
                  <w:shd w:val="clear" w:color="auto" w:fill="auto"/>
                  <w:noWrap w:val="0"/>
                  <w:vAlign w:val="center"/>
                </w:tcPr>
                <w:p w14:paraId="6C35C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r>
                    <w:rPr>
                      <w:rFonts w:hint="eastAsia" w:ascii="Times New Roman" w:hAnsi="Times New Roman" w:eastAsia="宋体" w:cs="Times New Roman"/>
                      <w:color w:val="auto"/>
                      <w:kern w:val="2"/>
                      <w:sz w:val="21"/>
                      <w:szCs w:val="21"/>
                      <w:u w:val="none"/>
                      <w:lang w:eastAsia="zh-CN"/>
                    </w:rPr>
                    <w:t>废包装袋</w:t>
                  </w:r>
                </w:p>
              </w:tc>
              <w:tc>
                <w:tcPr>
                  <w:tcW w:w="1544" w:type="pct"/>
                  <w:tcBorders>
                    <w:tl2br w:val="nil"/>
                    <w:tr2bl w:val="nil"/>
                  </w:tcBorders>
                  <w:shd w:val="clear" w:color="auto" w:fill="auto"/>
                  <w:noWrap w:val="0"/>
                  <w:vAlign w:val="center"/>
                </w:tcPr>
                <w:p w14:paraId="14EF78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收集后外售</w:t>
                  </w:r>
                </w:p>
              </w:tc>
            </w:tr>
            <w:tr w14:paraId="6E9B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366" w:type="pct"/>
                  <w:vMerge w:val="continue"/>
                  <w:tcBorders>
                    <w:tl2br w:val="nil"/>
                    <w:tr2bl w:val="nil"/>
                  </w:tcBorders>
                  <w:shd w:val="clear" w:color="auto" w:fill="auto"/>
                  <w:noWrap w:val="0"/>
                  <w:vAlign w:val="center"/>
                </w:tcPr>
                <w:p w14:paraId="22D20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eastAsia="zh-CN"/>
                    </w:rPr>
                  </w:pPr>
                </w:p>
              </w:tc>
              <w:tc>
                <w:tcPr>
                  <w:tcW w:w="1049" w:type="pct"/>
                  <w:tcBorders>
                    <w:tl2br w:val="nil"/>
                    <w:tr2bl w:val="nil"/>
                  </w:tcBorders>
                  <w:shd w:val="clear" w:color="auto" w:fill="auto"/>
                  <w:noWrap w:val="0"/>
                  <w:vAlign w:val="center"/>
                </w:tcPr>
                <w:p w14:paraId="5EC02B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生活垃圾</w:t>
                  </w:r>
                </w:p>
              </w:tc>
              <w:tc>
                <w:tcPr>
                  <w:tcW w:w="1049" w:type="pct"/>
                  <w:tcBorders>
                    <w:tl2br w:val="nil"/>
                    <w:tr2bl w:val="nil"/>
                  </w:tcBorders>
                  <w:shd w:val="clear" w:color="auto" w:fill="auto"/>
                  <w:noWrap w:val="0"/>
                  <w:vAlign w:val="center"/>
                </w:tcPr>
                <w:p w14:paraId="270FC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职工生活</w:t>
                  </w:r>
                </w:p>
              </w:tc>
              <w:tc>
                <w:tcPr>
                  <w:tcW w:w="990" w:type="pct"/>
                  <w:tcBorders>
                    <w:tl2br w:val="nil"/>
                    <w:tr2bl w:val="nil"/>
                  </w:tcBorders>
                  <w:shd w:val="clear" w:color="auto" w:fill="auto"/>
                  <w:noWrap w:val="0"/>
                  <w:vAlign w:val="center"/>
                </w:tcPr>
                <w:p w14:paraId="7A3503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生活垃圾</w:t>
                  </w:r>
                </w:p>
              </w:tc>
              <w:tc>
                <w:tcPr>
                  <w:tcW w:w="1544" w:type="pct"/>
                  <w:tcBorders>
                    <w:tl2br w:val="nil"/>
                    <w:tr2bl w:val="nil"/>
                  </w:tcBorders>
                  <w:shd w:val="clear" w:color="auto" w:fill="auto"/>
                  <w:noWrap w:val="0"/>
                  <w:vAlign w:val="center"/>
                </w:tcPr>
                <w:p w14:paraId="47D564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环卫部门统一收集处置</w:t>
                  </w:r>
                </w:p>
              </w:tc>
            </w:tr>
            <w:tr w14:paraId="4725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366" w:type="pct"/>
                  <w:vMerge w:val="continue"/>
                  <w:tcBorders>
                    <w:tl2br w:val="nil"/>
                    <w:tr2bl w:val="nil"/>
                  </w:tcBorders>
                  <w:shd w:val="clear" w:color="auto" w:fill="auto"/>
                  <w:noWrap w:val="0"/>
                  <w:vAlign w:val="center"/>
                </w:tcPr>
                <w:p w14:paraId="17D7DC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p>
              </w:tc>
              <w:tc>
                <w:tcPr>
                  <w:tcW w:w="1049" w:type="pct"/>
                  <w:vMerge w:val="restart"/>
                  <w:tcBorders>
                    <w:tl2br w:val="nil"/>
                    <w:tr2bl w:val="nil"/>
                  </w:tcBorders>
                  <w:shd w:val="clear" w:color="auto" w:fill="auto"/>
                  <w:noWrap w:val="0"/>
                  <w:vAlign w:val="center"/>
                </w:tcPr>
                <w:p w14:paraId="11E081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危废废物</w:t>
                  </w:r>
                </w:p>
              </w:tc>
              <w:tc>
                <w:tcPr>
                  <w:tcW w:w="1049" w:type="pct"/>
                  <w:tcBorders>
                    <w:tl2br w:val="nil"/>
                    <w:tr2bl w:val="nil"/>
                  </w:tcBorders>
                  <w:shd w:val="clear" w:color="auto" w:fill="auto"/>
                  <w:noWrap w:val="0"/>
                  <w:vAlign w:val="center"/>
                </w:tcPr>
                <w:p w14:paraId="7B5A79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sz w:val="21"/>
                      <w:szCs w:val="21"/>
                      <w:highlight w:val="none"/>
                      <w:u w:val="none"/>
                      <w:lang w:eastAsia="zh-CN"/>
                    </w:rPr>
                    <w:t>废气治理</w:t>
                  </w:r>
                </w:p>
              </w:tc>
              <w:tc>
                <w:tcPr>
                  <w:tcW w:w="990" w:type="pct"/>
                  <w:tcBorders>
                    <w:tl2br w:val="nil"/>
                    <w:tr2bl w:val="nil"/>
                  </w:tcBorders>
                  <w:shd w:val="clear" w:color="auto" w:fill="auto"/>
                  <w:noWrap w:val="0"/>
                  <w:vAlign w:val="center"/>
                </w:tcPr>
                <w:p w14:paraId="6D3384AE">
                  <w:pPr>
                    <w:pStyle w:val="4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spacing w:val="0"/>
                      <w:kern w:val="2"/>
                      <w:position w:val="0"/>
                      <w:sz w:val="21"/>
                      <w:szCs w:val="21"/>
                      <w:lang w:val="en-US" w:eastAsia="zh-CN" w:bidi="ar-SA"/>
                    </w:rPr>
                    <w:t>废</w:t>
                  </w:r>
                  <w:r>
                    <w:rPr>
                      <w:rFonts w:hint="eastAsia" w:ascii="Times New Roman" w:hAnsi="Times New Roman" w:eastAsia="宋体" w:cs="Times New Roman"/>
                      <w:color w:val="auto"/>
                      <w:spacing w:val="0"/>
                      <w:kern w:val="2"/>
                      <w:position w:val="0"/>
                      <w:sz w:val="21"/>
                      <w:szCs w:val="21"/>
                      <w:lang w:val="en-US" w:eastAsia="zh-CN" w:bidi="ar-SA"/>
                    </w:rPr>
                    <w:t>活性炭</w:t>
                  </w:r>
                </w:p>
              </w:tc>
              <w:tc>
                <w:tcPr>
                  <w:tcW w:w="1544" w:type="pct"/>
                  <w:vMerge w:val="restart"/>
                  <w:tcBorders>
                    <w:tl2br w:val="nil"/>
                    <w:tr2bl w:val="nil"/>
                  </w:tcBorders>
                  <w:shd w:val="clear" w:color="auto" w:fill="auto"/>
                  <w:noWrap w:val="0"/>
                  <w:vAlign w:val="center"/>
                </w:tcPr>
                <w:p w14:paraId="08BA5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bCs/>
                      <w:color w:val="auto"/>
                      <w:sz w:val="21"/>
                      <w:szCs w:val="21"/>
                      <w:u w:val="none"/>
                      <w:lang w:val="en-US" w:eastAsia="zh-CN"/>
                    </w:rPr>
                    <w:t>暂存于危废暂存间内，定期委托有资质单位处理</w:t>
                  </w:r>
                </w:p>
              </w:tc>
            </w:tr>
            <w:tr w14:paraId="624F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366" w:type="pct"/>
                  <w:vMerge w:val="continue"/>
                  <w:tcBorders>
                    <w:tl2br w:val="nil"/>
                    <w:tr2bl w:val="nil"/>
                  </w:tcBorders>
                  <w:shd w:val="clear" w:color="auto" w:fill="auto"/>
                  <w:noWrap w:val="0"/>
                  <w:vAlign w:val="center"/>
                </w:tcPr>
                <w:p w14:paraId="76EF4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p>
              </w:tc>
              <w:tc>
                <w:tcPr>
                  <w:tcW w:w="1049" w:type="pct"/>
                  <w:vMerge w:val="continue"/>
                  <w:tcBorders>
                    <w:tl2br w:val="nil"/>
                    <w:tr2bl w:val="nil"/>
                  </w:tcBorders>
                  <w:shd w:val="clear" w:color="auto" w:fill="auto"/>
                  <w:noWrap w:val="0"/>
                  <w:vAlign w:val="center"/>
                </w:tcPr>
                <w:p w14:paraId="291F0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p>
              </w:tc>
              <w:tc>
                <w:tcPr>
                  <w:tcW w:w="1854" w:type="dxa"/>
                  <w:tcBorders>
                    <w:tl2br w:val="nil"/>
                    <w:tr2bl w:val="nil"/>
                  </w:tcBorders>
                  <w:shd w:val="clear" w:color="auto" w:fill="auto"/>
                  <w:noWrap w:val="0"/>
                  <w:vAlign w:val="center"/>
                </w:tcPr>
                <w:p w14:paraId="67FF8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设备检修</w:t>
                  </w:r>
                </w:p>
              </w:tc>
              <w:tc>
                <w:tcPr>
                  <w:tcW w:w="1749" w:type="dxa"/>
                  <w:tcBorders>
                    <w:tl2br w:val="nil"/>
                    <w:tr2bl w:val="nil"/>
                  </w:tcBorders>
                  <w:shd w:val="clear" w:color="auto" w:fill="auto"/>
                  <w:noWrap w:val="0"/>
                  <w:vAlign w:val="center"/>
                </w:tcPr>
                <w:p w14:paraId="4171C2A3">
                  <w:pPr>
                    <w:pStyle w:val="4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kern w:val="2"/>
                      <w:position w:val="0"/>
                      <w:sz w:val="21"/>
                      <w:szCs w:val="21"/>
                      <w:lang w:val="en-US" w:eastAsia="zh-CN" w:bidi="ar-SA"/>
                    </w:rPr>
                    <w:t>废机油</w:t>
                  </w:r>
                </w:p>
              </w:tc>
              <w:tc>
                <w:tcPr>
                  <w:tcW w:w="1544" w:type="pct"/>
                  <w:vMerge w:val="continue"/>
                  <w:tcBorders>
                    <w:tl2br w:val="nil"/>
                    <w:tr2bl w:val="nil"/>
                  </w:tcBorders>
                  <w:shd w:val="clear" w:color="auto" w:fill="auto"/>
                  <w:noWrap w:val="0"/>
                  <w:vAlign w:val="center"/>
                </w:tcPr>
                <w:p w14:paraId="42F513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u w:val="none"/>
                      <w:lang w:val="en-US" w:eastAsia="zh-CN"/>
                    </w:rPr>
                  </w:pPr>
                </w:p>
              </w:tc>
            </w:tr>
            <w:tr w14:paraId="6802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366" w:type="pct"/>
                  <w:vMerge w:val="continue"/>
                  <w:tcBorders>
                    <w:tl2br w:val="nil"/>
                    <w:tr2bl w:val="nil"/>
                  </w:tcBorders>
                  <w:shd w:val="clear" w:color="auto" w:fill="auto"/>
                  <w:noWrap w:val="0"/>
                  <w:vAlign w:val="center"/>
                </w:tcPr>
                <w:p w14:paraId="3AF1A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p>
              </w:tc>
              <w:tc>
                <w:tcPr>
                  <w:tcW w:w="1049" w:type="pct"/>
                  <w:vMerge w:val="continue"/>
                  <w:tcBorders>
                    <w:tl2br w:val="nil"/>
                    <w:tr2bl w:val="nil"/>
                  </w:tcBorders>
                  <w:shd w:val="clear" w:color="auto" w:fill="auto"/>
                  <w:noWrap w:val="0"/>
                  <w:vAlign w:val="center"/>
                </w:tcPr>
                <w:p w14:paraId="40254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p>
              </w:tc>
              <w:tc>
                <w:tcPr>
                  <w:tcW w:w="1854" w:type="dxa"/>
                  <w:tcBorders>
                    <w:tl2br w:val="nil"/>
                    <w:tr2bl w:val="nil"/>
                  </w:tcBorders>
                  <w:shd w:val="clear" w:color="auto" w:fill="auto"/>
                  <w:noWrap w:val="0"/>
                  <w:vAlign w:val="center"/>
                </w:tcPr>
                <w:p w14:paraId="125026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设备检修</w:t>
                  </w:r>
                </w:p>
              </w:tc>
              <w:tc>
                <w:tcPr>
                  <w:tcW w:w="1749" w:type="dxa"/>
                  <w:tcBorders>
                    <w:tl2br w:val="nil"/>
                    <w:tr2bl w:val="nil"/>
                  </w:tcBorders>
                  <w:shd w:val="clear" w:color="auto" w:fill="auto"/>
                  <w:noWrap w:val="0"/>
                  <w:vAlign w:val="center"/>
                </w:tcPr>
                <w:p w14:paraId="02323A92">
                  <w:pPr>
                    <w:pStyle w:val="4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kern w:val="2"/>
                      <w:position w:val="0"/>
                      <w:sz w:val="21"/>
                      <w:szCs w:val="21"/>
                      <w:lang w:val="en-US" w:eastAsia="zh-CN" w:bidi="ar-SA"/>
                    </w:rPr>
                    <w:t>废机油桶</w:t>
                  </w:r>
                </w:p>
              </w:tc>
              <w:tc>
                <w:tcPr>
                  <w:tcW w:w="1544" w:type="pct"/>
                  <w:vMerge w:val="continue"/>
                  <w:tcBorders>
                    <w:tl2br w:val="nil"/>
                    <w:tr2bl w:val="nil"/>
                  </w:tcBorders>
                  <w:shd w:val="clear" w:color="auto" w:fill="auto"/>
                  <w:noWrap w:val="0"/>
                  <w:vAlign w:val="center"/>
                </w:tcPr>
                <w:p w14:paraId="0B1D6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u w:val="none"/>
                      <w:lang w:val="en-US" w:eastAsia="zh-CN"/>
                    </w:rPr>
                  </w:pPr>
                </w:p>
              </w:tc>
            </w:tr>
            <w:tr w14:paraId="1693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366" w:type="pct"/>
                  <w:vMerge w:val="continue"/>
                  <w:tcBorders>
                    <w:tl2br w:val="nil"/>
                    <w:tr2bl w:val="nil"/>
                  </w:tcBorders>
                  <w:shd w:val="clear" w:color="auto" w:fill="auto"/>
                  <w:noWrap w:val="0"/>
                  <w:vAlign w:val="center"/>
                </w:tcPr>
                <w:p w14:paraId="6283F7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rPr>
                  </w:pPr>
                </w:p>
              </w:tc>
              <w:tc>
                <w:tcPr>
                  <w:tcW w:w="1049" w:type="pct"/>
                  <w:vMerge w:val="continue"/>
                  <w:tcBorders>
                    <w:tl2br w:val="nil"/>
                    <w:tr2bl w:val="nil"/>
                  </w:tcBorders>
                  <w:shd w:val="clear" w:color="auto" w:fill="auto"/>
                  <w:noWrap w:val="0"/>
                  <w:vAlign w:val="center"/>
                </w:tcPr>
                <w:p w14:paraId="5A9F3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lang w:eastAsia="zh-CN"/>
                    </w:rPr>
                  </w:pPr>
                </w:p>
              </w:tc>
              <w:tc>
                <w:tcPr>
                  <w:tcW w:w="1854" w:type="dxa"/>
                  <w:tcBorders>
                    <w:tl2br w:val="nil"/>
                    <w:tr2bl w:val="nil"/>
                  </w:tcBorders>
                  <w:shd w:val="clear" w:color="auto" w:fill="auto"/>
                  <w:noWrap w:val="0"/>
                  <w:vAlign w:val="center"/>
                </w:tcPr>
                <w:p w14:paraId="6B00D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设备检修</w:t>
                  </w:r>
                </w:p>
              </w:tc>
              <w:tc>
                <w:tcPr>
                  <w:tcW w:w="1749" w:type="dxa"/>
                  <w:tcBorders>
                    <w:tl2br w:val="nil"/>
                    <w:tr2bl w:val="nil"/>
                  </w:tcBorders>
                  <w:shd w:val="clear" w:color="auto" w:fill="auto"/>
                  <w:noWrap w:val="0"/>
                  <w:vAlign w:val="center"/>
                </w:tcPr>
                <w:p w14:paraId="3D6EFD84">
                  <w:pPr>
                    <w:pStyle w:val="4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pacing w:val="0"/>
                      <w:kern w:val="2"/>
                      <w:position w:val="0"/>
                      <w:sz w:val="21"/>
                      <w:szCs w:val="21"/>
                      <w:lang w:val="en-US" w:eastAsia="zh-CN" w:bidi="ar-SA"/>
                    </w:rPr>
                    <w:t>含油抹布和手套</w:t>
                  </w:r>
                </w:p>
              </w:tc>
              <w:tc>
                <w:tcPr>
                  <w:tcW w:w="1544" w:type="pct"/>
                  <w:vMerge w:val="continue"/>
                  <w:tcBorders>
                    <w:tl2br w:val="nil"/>
                    <w:tr2bl w:val="nil"/>
                  </w:tcBorders>
                  <w:shd w:val="clear" w:color="auto" w:fill="auto"/>
                  <w:noWrap w:val="0"/>
                  <w:vAlign w:val="center"/>
                </w:tcPr>
                <w:p w14:paraId="7E9A3C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u w:val="none"/>
                      <w:lang w:val="en-US" w:eastAsia="zh-CN"/>
                    </w:rPr>
                  </w:pPr>
                </w:p>
              </w:tc>
            </w:tr>
          </w:tbl>
          <w:p w14:paraId="03397744">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b w:val="0"/>
                <w:bCs/>
                <w:color w:val="auto"/>
                <w:sz w:val="24"/>
                <w:szCs w:val="24"/>
                <w:lang w:val="en-US" w:eastAsia="zh-CN"/>
              </w:rPr>
            </w:pPr>
          </w:p>
          <w:p w14:paraId="3D431EB5">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b w:val="0"/>
                <w:bCs/>
                <w:color w:val="auto"/>
                <w:sz w:val="24"/>
                <w:szCs w:val="24"/>
                <w:lang w:val="en-US" w:eastAsia="zh-CN"/>
              </w:rPr>
            </w:pPr>
          </w:p>
          <w:p w14:paraId="57B031C2">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b w:val="0"/>
                <w:bCs/>
                <w:color w:val="auto"/>
                <w:sz w:val="24"/>
                <w:szCs w:val="24"/>
                <w:lang w:val="en-US" w:eastAsia="zh-CN"/>
              </w:rPr>
            </w:pPr>
          </w:p>
          <w:p w14:paraId="1173B2C1">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b/>
                <w:color w:val="auto"/>
                <w:sz w:val="24"/>
                <w:szCs w:val="24"/>
                <w:lang w:val="en-US"/>
              </w:rPr>
            </w:pPr>
            <w:r>
              <w:rPr>
                <w:rFonts w:hint="eastAsia"/>
                <w:b w:val="0"/>
                <w:bCs/>
                <w:color w:val="auto"/>
                <w:sz w:val="24"/>
                <w:szCs w:val="24"/>
                <w:lang w:val="en-US" w:eastAsia="zh-CN"/>
              </w:rPr>
              <w:t xml:space="preserve">  </w:t>
            </w:r>
          </w:p>
        </w:tc>
      </w:tr>
      <w:tr w14:paraId="65BA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8" w:hRule="atLeast"/>
          <w:jc w:val="center"/>
        </w:trPr>
        <w:tc>
          <w:tcPr>
            <w:tcW w:w="456" w:type="dxa"/>
            <w:vAlign w:val="center"/>
          </w:tcPr>
          <w:p w14:paraId="7F537413">
            <w:pPr>
              <w:spacing w:line="240" w:lineRule="auto"/>
              <w:rPr>
                <w:rFonts w:hint="eastAsia" w:ascii="Times New Roman" w:hAnsi="Times New Roman" w:eastAsia="宋体" w:cs="Times New Roman"/>
                <w:b/>
                <w:color w:val="auto"/>
                <w:kern w:val="2"/>
                <w:sz w:val="24"/>
                <w:szCs w:val="24"/>
                <w:lang w:val="en-US" w:eastAsia="zh-CN" w:bidi="ar-SA"/>
              </w:rPr>
            </w:pPr>
            <w:r>
              <w:rPr>
                <w:rFonts w:hint="eastAsia" w:cs="宋体"/>
                <w:bCs/>
                <w:color w:val="auto"/>
                <w:szCs w:val="21"/>
              </w:rPr>
              <w:t>与项目有关的原有环境污染问题</w:t>
            </w:r>
          </w:p>
        </w:tc>
        <w:tc>
          <w:tcPr>
            <w:tcW w:w="9115" w:type="dxa"/>
            <w:vAlign w:val="center"/>
          </w:tcPr>
          <w:p w14:paraId="445000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本项目</w:t>
            </w:r>
            <w:r>
              <w:rPr>
                <w:rFonts w:hint="default" w:ascii="Times New Roman" w:hAnsi="Times New Roman" w:cs="Times New Roman"/>
                <w:color w:val="auto"/>
                <w:sz w:val="24"/>
                <w:szCs w:val="24"/>
                <w:lang w:eastAsia="zh-CN"/>
              </w:rPr>
              <w:t>为新建项目</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位于</w:t>
            </w:r>
            <w:r>
              <w:rPr>
                <w:rFonts w:hint="default" w:ascii="Times New Roman" w:hAnsi="Times New Roman" w:eastAsia="宋体" w:cs="Times New Roman"/>
                <w:color w:val="auto"/>
                <w:sz w:val="24"/>
                <w:szCs w:val="24"/>
                <w:lang w:val="en-US" w:eastAsia="zh-CN"/>
              </w:rPr>
              <w:t>安徽省</w:t>
            </w:r>
            <w:r>
              <w:rPr>
                <w:rFonts w:hint="eastAsia"/>
                <w:color w:val="auto"/>
                <w:sz w:val="24"/>
                <w:szCs w:val="24"/>
                <w:lang w:eastAsia="zh-CN"/>
              </w:rPr>
              <w:t>蚌埠市</w:t>
            </w:r>
            <w:r>
              <w:rPr>
                <w:rFonts w:hint="eastAsia" w:cs="Times New Roman"/>
                <w:color w:val="auto"/>
                <w:spacing w:val="-2"/>
                <w:sz w:val="24"/>
                <w:szCs w:val="24"/>
                <w:lang w:val="en-US" w:eastAsia="zh-CN"/>
              </w:rPr>
              <w:t>固镇经济开发区三星大道005号</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根据</w:t>
            </w:r>
            <w:r>
              <w:rPr>
                <w:rFonts w:hint="default" w:ascii="Times New Roman" w:hAnsi="Times New Roman" w:eastAsia="宋体" w:cs="Times New Roman"/>
                <w:color w:val="auto"/>
                <w:kern w:val="0"/>
                <w:sz w:val="24"/>
                <w:szCs w:val="24"/>
                <w:lang w:val="en-US" w:eastAsia="zh-CN" w:bidi="ar"/>
              </w:rPr>
              <w:t>现场勘察</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SA"/>
              </w:rPr>
              <w:t>本项目所在区域为空地</w:t>
            </w:r>
            <w:r>
              <w:rPr>
                <w:rFonts w:hint="default" w:ascii="Times New Roman" w:hAnsi="Times New Roman" w:eastAsia="宋体" w:cs="Times New Roman"/>
                <w:color w:val="auto"/>
                <w:kern w:val="0"/>
                <w:sz w:val="24"/>
                <w:szCs w:val="24"/>
                <w:lang w:val="en-US" w:eastAsia="zh-CN" w:bidi="ar-SA"/>
              </w:rPr>
              <w:t>，无与本项目有关的原有环境污染问题。</w:t>
            </w:r>
          </w:p>
        </w:tc>
      </w:tr>
    </w:tbl>
    <w:p w14:paraId="2D59B2C9">
      <w:pPr>
        <w:pStyle w:val="28"/>
        <w:ind w:firstLine="964" w:firstLineChars="300"/>
        <w:jc w:val="both"/>
        <w:rPr>
          <w:snapToGrid w:val="0"/>
          <w:color w:val="auto"/>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7" w:name="_Toc27508"/>
    </w:p>
    <w:p w14:paraId="0FF9792F">
      <w:pPr>
        <w:pStyle w:val="28"/>
        <w:ind w:firstLine="964" w:firstLineChars="300"/>
        <w:jc w:val="both"/>
        <w:rPr>
          <w:rFonts w:ascii="黑体" w:hAnsi="黑体" w:eastAsia="黑体"/>
          <w:snapToGrid w:val="0"/>
          <w:color w:val="auto"/>
        </w:rPr>
      </w:pPr>
      <w:bookmarkStart w:id="8" w:name="_Toc21007"/>
      <w:r>
        <w:rPr>
          <w:snapToGrid w:val="0"/>
          <w:color w:val="auto"/>
        </w:rPr>
        <w:t>三、区域环境质量现状、环境保护目标及评价标准</w:t>
      </w:r>
      <w:bookmarkEnd w:id="7"/>
      <w:bookmarkEnd w:id="8"/>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037"/>
      </w:tblGrid>
      <w:tr w14:paraId="16EF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34" w:type="dxa"/>
            <w:vAlign w:val="center"/>
          </w:tcPr>
          <w:p w14:paraId="38F1D663">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区域环境质量现状</w:t>
            </w:r>
          </w:p>
        </w:tc>
        <w:tc>
          <w:tcPr>
            <w:tcW w:w="9037" w:type="dxa"/>
          </w:tcPr>
          <w:p w14:paraId="11FB8214">
            <w:pPr>
              <w:spacing w:line="360" w:lineRule="auto"/>
              <w:rPr>
                <w:b/>
                <w:color w:val="auto"/>
                <w:sz w:val="24"/>
                <w:szCs w:val="28"/>
              </w:rPr>
            </w:pPr>
            <w:r>
              <w:rPr>
                <w:rFonts w:hint="eastAsia"/>
                <w:b/>
                <w:color w:val="auto"/>
                <w:sz w:val="24"/>
                <w:szCs w:val="28"/>
              </w:rPr>
              <w:t>1</w:t>
            </w:r>
            <w:r>
              <w:rPr>
                <w:b/>
                <w:color w:val="auto"/>
                <w:sz w:val="24"/>
                <w:szCs w:val="28"/>
              </w:rPr>
              <w:t>、</w:t>
            </w:r>
            <w:r>
              <w:rPr>
                <w:rFonts w:hint="eastAsia"/>
                <w:b/>
                <w:color w:val="auto"/>
                <w:sz w:val="24"/>
                <w:szCs w:val="28"/>
                <w:lang w:eastAsia="zh-CN"/>
              </w:rPr>
              <w:t>空气</w:t>
            </w:r>
            <w:r>
              <w:rPr>
                <w:rFonts w:hint="eastAsia"/>
                <w:b/>
                <w:color w:val="auto"/>
                <w:sz w:val="24"/>
                <w:szCs w:val="28"/>
              </w:rPr>
              <w:t>环境</w:t>
            </w:r>
          </w:p>
          <w:p w14:paraId="212ED9D2">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（1）项目所在区域达标判断</w:t>
            </w:r>
          </w:p>
          <w:p w14:paraId="70D3882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依据《环境影响评价技术导则--大气环境》（HJ2.2-2018），项目所在区域达标情况判定，优先采用国家或地方生态环境主管部门公开发布的评价基准年环境质量公告或环境质量报告中的数据或结论。</w:t>
            </w:r>
          </w:p>
          <w:p w14:paraId="21D6A3ED">
            <w:pPr>
              <w:pStyle w:val="11"/>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本次环境空气质量</w:t>
            </w:r>
            <w:r>
              <w:rPr>
                <w:rFonts w:hint="default" w:ascii="Times New Roman" w:hAnsi="Times New Roman" w:eastAsia="宋体" w:cs="Times New Roman"/>
                <w:color w:val="auto"/>
                <w:sz w:val="24"/>
                <w:szCs w:val="24"/>
                <w:lang w:eastAsia="zh-CN"/>
              </w:rPr>
              <w:t>基本污染物</w:t>
            </w:r>
            <w:r>
              <w:rPr>
                <w:rFonts w:hint="default" w:ascii="Times New Roman" w:hAnsi="Times New Roman" w:eastAsia="宋体" w:cs="Times New Roman"/>
                <w:color w:val="auto"/>
                <w:sz w:val="24"/>
                <w:szCs w:val="24"/>
              </w:rPr>
              <w:t>现状评价引用</w:t>
            </w:r>
            <w:r>
              <w:rPr>
                <w:rFonts w:hint="default" w:ascii="Times New Roman" w:hAnsi="Times New Roman" w:eastAsia="宋体" w:cs="Times New Roman"/>
                <w:color w:val="auto"/>
                <w:sz w:val="24"/>
                <w:szCs w:val="24"/>
                <w:lang w:eastAsia="zh-CN"/>
              </w:rPr>
              <w:t>环境空气质量模型技术支持服务系统公布的蚌埠市202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eastAsia="zh-CN"/>
              </w:rPr>
              <w:t>年环境空气质量状况</w:t>
            </w:r>
            <w:r>
              <w:rPr>
                <w:rFonts w:hint="default" w:ascii="Times New Roman" w:hAnsi="Times New Roman" w:eastAsia="宋体" w:cs="Times New Roman"/>
                <w:color w:val="auto"/>
                <w:sz w:val="24"/>
                <w:szCs w:val="24"/>
              </w:rPr>
              <w:t>中的数据，统计分析结果见下表</w:t>
            </w:r>
            <w:r>
              <w:rPr>
                <w:rFonts w:hint="eastAsia" w:eastAsia="宋体" w:cs="Times New Roman"/>
                <w:color w:val="auto"/>
                <w:sz w:val="24"/>
                <w:szCs w:val="24"/>
                <w:lang w:eastAsia="zh-CN"/>
              </w:rPr>
              <w:t>。</w:t>
            </w:r>
          </w:p>
          <w:p w14:paraId="31B4BD70">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w:t>
            </w:r>
            <w:r>
              <w:rPr>
                <w:rFonts w:hint="default" w:ascii="Times New Roman" w:hAnsi="Times New Roman" w:cs="Times New Roman"/>
                <w:b/>
                <w:color w:val="auto"/>
                <w:sz w:val="21"/>
                <w:szCs w:val="21"/>
                <w:lang w:val="en-US" w:eastAsia="zh-CN"/>
              </w:rPr>
              <w:t xml:space="preserve">1 </w:t>
            </w: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20</w:t>
            </w:r>
            <w:r>
              <w:rPr>
                <w:rFonts w:hint="default" w:ascii="Times New Roman" w:hAnsi="Times New Roman" w:cs="Times New Roman"/>
                <w:b/>
                <w:color w:val="auto"/>
                <w:sz w:val="21"/>
                <w:szCs w:val="21"/>
                <w:lang w:val="en-US" w:eastAsia="zh-CN"/>
              </w:rPr>
              <w:t>2</w:t>
            </w:r>
            <w:r>
              <w:rPr>
                <w:rFonts w:hint="eastAsia" w:cs="Times New Roman"/>
                <w:b/>
                <w:color w:val="auto"/>
                <w:sz w:val="21"/>
                <w:szCs w:val="21"/>
                <w:lang w:val="en-US" w:eastAsia="zh-CN"/>
              </w:rPr>
              <w:t>4</w:t>
            </w:r>
            <w:r>
              <w:rPr>
                <w:rFonts w:hint="default" w:ascii="Times New Roman" w:hAnsi="Times New Roman" w:cs="Times New Roman"/>
                <w:b/>
                <w:color w:val="auto"/>
                <w:sz w:val="21"/>
                <w:szCs w:val="21"/>
              </w:rPr>
              <w:t>年</w:t>
            </w:r>
            <w:r>
              <w:rPr>
                <w:rFonts w:hint="default" w:ascii="Times New Roman" w:hAnsi="Times New Roman" w:cs="Times New Roman"/>
                <w:b/>
                <w:color w:val="auto"/>
                <w:sz w:val="21"/>
                <w:szCs w:val="21"/>
                <w:lang w:eastAsia="zh-CN"/>
              </w:rPr>
              <w:t>蚌埠市</w:t>
            </w:r>
            <w:r>
              <w:rPr>
                <w:rFonts w:hint="default" w:ascii="Times New Roman" w:hAnsi="Times New Roman" w:cs="Times New Roman"/>
                <w:b/>
                <w:color w:val="auto"/>
                <w:sz w:val="21"/>
                <w:szCs w:val="21"/>
              </w:rPr>
              <w:t>年均浓度</w:t>
            </w:r>
          </w:p>
          <w:tbl>
            <w:tblPr>
              <w:tblStyle w:val="29"/>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
            <w:tblGrid>
              <w:gridCol w:w="900"/>
              <w:gridCol w:w="2864"/>
              <w:gridCol w:w="1276"/>
              <w:gridCol w:w="1438"/>
              <w:gridCol w:w="1174"/>
              <w:gridCol w:w="1156"/>
            </w:tblGrid>
            <w:tr w14:paraId="343217A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89" w:hRule="atLeast"/>
                <w:jc w:val="center"/>
              </w:trPr>
              <w:tc>
                <w:tcPr>
                  <w:tcW w:w="510" w:type="pct"/>
                  <w:noWrap w:val="0"/>
                  <w:vAlign w:val="center"/>
                </w:tcPr>
                <w:p w14:paraId="72ECE90F">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7"/>
                      <w:szCs w:val="21"/>
                    </w:rPr>
                    <w:t>污染物</w:t>
                  </w:r>
                </w:p>
              </w:tc>
              <w:tc>
                <w:tcPr>
                  <w:tcW w:w="1625" w:type="pct"/>
                  <w:noWrap w:val="0"/>
                  <w:vAlign w:val="center"/>
                </w:tcPr>
                <w:p w14:paraId="52CDC7E8">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9"/>
                      <w:szCs w:val="21"/>
                    </w:rPr>
                    <w:t>评价指</w:t>
                  </w:r>
                  <w:r>
                    <w:rPr>
                      <w:rFonts w:hint="default" w:ascii="Times New Roman" w:hAnsi="Times New Roman" w:cs="Times New Roman"/>
                      <w:b/>
                      <w:bCs/>
                      <w:color w:val="auto"/>
                      <w:spacing w:val="8"/>
                      <w:szCs w:val="21"/>
                    </w:rPr>
                    <w:t>标</w:t>
                  </w:r>
                </w:p>
              </w:tc>
              <w:tc>
                <w:tcPr>
                  <w:tcW w:w="724" w:type="pct"/>
                  <w:noWrap w:val="0"/>
                  <w:vAlign w:val="center"/>
                </w:tcPr>
                <w:p w14:paraId="2219CB7C">
                  <w:pPr>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pacing w:val="6"/>
                      <w:position w:val="3"/>
                      <w:szCs w:val="21"/>
                    </w:rPr>
                    <w:t xml:space="preserve">现状浓度 </w:t>
                  </w:r>
                  <w:r>
                    <w:rPr>
                      <w:rFonts w:hint="default" w:ascii="Times New Roman" w:hAnsi="Times New Roman" w:cs="Times New Roman"/>
                      <w:b/>
                      <w:bCs/>
                      <w:color w:val="auto"/>
                      <w:spacing w:val="6"/>
                      <w:position w:val="3"/>
                      <w:szCs w:val="21"/>
                      <w:lang w:eastAsia="zh-CN"/>
                    </w:rPr>
                    <w:t>（</w:t>
                  </w:r>
                  <w:r>
                    <w:rPr>
                      <w:rFonts w:hint="default" w:ascii="Times New Roman" w:hAnsi="Times New Roman" w:cs="Times New Roman"/>
                      <w:b/>
                      <w:bCs/>
                      <w:color w:val="auto"/>
                      <w:spacing w:val="6"/>
                      <w:position w:val="3"/>
                      <w:szCs w:val="21"/>
                    </w:rPr>
                    <w:t>μ</w:t>
                  </w:r>
                  <w:r>
                    <w:rPr>
                      <w:rFonts w:hint="default" w:ascii="Times New Roman" w:hAnsi="Times New Roman" w:cs="Times New Roman"/>
                      <w:b/>
                      <w:bCs/>
                      <w:color w:val="auto"/>
                      <w:position w:val="3"/>
                      <w:szCs w:val="21"/>
                    </w:rPr>
                    <w:t>g</w:t>
                  </w:r>
                  <w:r>
                    <w:rPr>
                      <w:rFonts w:hint="default" w:ascii="Times New Roman" w:hAnsi="Times New Roman" w:cs="Times New Roman"/>
                      <w:b/>
                      <w:bCs/>
                      <w:color w:val="auto"/>
                      <w:spacing w:val="6"/>
                      <w:position w:val="3"/>
                      <w:szCs w:val="21"/>
                    </w:rPr>
                    <w:t>/</w:t>
                  </w:r>
                  <w:r>
                    <w:rPr>
                      <w:rFonts w:hint="default" w:ascii="Times New Roman" w:hAnsi="Times New Roman" w:cs="Times New Roman"/>
                      <w:b/>
                      <w:bCs/>
                      <w:color w:val="auto"/>
                      <w:position w:val="3"/>
                      <w:szCs w:val="21"/>
                      <w:lang w:eastAsia="zh-CN"/>
                    </w:rPr>
                    <w:t>m</w:t>
                  </w:r>
                  <w:r>
                    <w:rPr>
                      <w:rFonts w:hint="default" w:ascii="Times New Roman" w:hAnsi="Times New Roman" w:cs="Times New Roman"/>
                      <w:b/>
                      <w:bCs/>
                      <w:color w:val="auto"/>
                      <w:position w:val="3"/>
                      <w:szCs w:val="21"/>
                      <w:vertAlign w:val="superscript"/>
                      <w:lang w:eastAsia="zh-CN"/>
                    </w:rPr>
                    <w:t>3</w:t>
                  </w:r>
                  <w:r>
                    <w:rPr>
                      <w:rFonts w:hint="default" w:ascii="Times New Roman" w:hAnsi="Times New Roman" w:cs="Times New Roman"/>
                      <w:b/>
                      <w:bCs/>
                      <w:color w:val="auto"/>
                      <w:spacing w:val="6"/>
                      <w:position w:val="9"/>
                      <w:szCs w:val="21"/>
                      <w:vertAlign w:val="superscript"/>
                    </w:rPr>
                    <w:t xml:space="preserve"> </w:t>
                  </w:r>
                  <w:r>
                    <w:rPr>
                      <w:rFonts w:hint="default" w:ascii="Times New Roman" w:hAnsi="Times New Roman" w:cs="Times New Roman"/>
                      <w:b/>
                      <w:bCs/>
                      <w:color w:val="auto"/>
                      <w:spacing w:val="6"/>
                      <w:position w:val="3"/>
                      <w:szCs w:val="21"/>
                      <w:lang w:eastAsia="zh-CN"/>
                    </w:rPr>
                    <w:t>）</w:t>
                  </w:r>
                </w:p>
              </w:tc>
              <w:tc>
                <w:tcPr>
                  <w:tcW w:w="816" w:type="pct"/>
                  <w:noWrap w:val="0"/>
                  <w:vAlign w:val="center"/>
                </w:tcPr>
                <w:p w14:paraId="4DF0D9C6">
                  <w:pPr>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pacing w:val="10"/>
                      <w:position w:val="3"/>
                      <w:szCs w:val="21"/>
                    </w:rPr>
                    <w:t>标</w:t>
                  </w:r>
                  <w:r>
                    <w:rPr>
                      <w:rFonts w:hint="default" w:ascii="Times New Roman" w:hAnsi="Times New Roman" w:cs="Times New Roman"/>
                      <w:b/>
                      <w:bCs/>
                      <w:color w:val="auto"/>
                      <w:spacing w:val="6"/>
                      <w:position w:val="3"/>
                      <w:szCs w:val="21"/>
                    </w:rPr>
                    <w:t>准</w:t>
                  </w:r>
                  <w:r>
                    <w:rPr>
                      <w:rFonts w:hint="default" w:ascii="Times New Roman" w:hAnsi="Times New Roman" w:cs="Times New Roman"/>
                      <w:b/>
                      <w:bCs/>
                      <w:color w:val="auto"/>
                      <w:spacing w:val="5"/>
                      <w:position w:val="3"/>
                      <w:szCs w:val="21"/>
                    </w:rPr>
                    <w:t xml:space="preserve">值 </w:t>
                  </w:r>
                  <w:r>
                    <w:rPr>
                      <w:rFonts w:hint="default" w:ascii="Times New Roman" w:hAnsi="Times New Roman" w:cs="Times New Roman"/>
                      <w:b/>
                      <w:bCs/>
                      <w:color w:val="auto"/>
                      <w:spacing w:val="5"/>
                      <w:position w:val="3"/>
                      <w:szCs w:val="21"/>
                      <w:lang w:eastAsia="zh-CN"/>
                    </w:rPr>
                    <w:t>（</w:t>
                  </w:r>
                  <w:r>
                    <w:rPr>
                      <w:rFonts w:hint="default" w:ascii="Times New Roman" w:hAnsi="Times New Roman" w:cs="Times New Roman"/>
                      <w:b/>
                      <w:bCs/>
                      <w:color w:val="auto"/>
                      <w:spacing w:val="5"/>
                      <w:position w:val="3"/>
                      <w:szCs w:val="21"/>
                    </w:rPr>
                    <w:t>μ</w:t>
                  </w:r>
                  <w:r>
                    <w:rPr>
                      <w:rFonts w:hint="default" w:ascii="Times New Roman" w:hAnsi="Times New Roman" w:cs="Times New Roman"/>
                      <w:b/>
                      <w:bCs/>
                      <w:color w:val="auto"/>
                      <w:position w:val="3"/>
                      <w:szCs w:val="21"/>
                    </w:rPr>
                    <w:t>g</w:t>
                  </w:r>
                  <w:r>
                    <w:rPr>
                      <w:rFonts w:hint="default" w:ascii="Times New Roman" w:hAnsi="Times New Roman" w:cs="Times New Roman"/>
                      <w:b/>
                      <w:bCs/>
                      <w:color w:val="auto"/>
                      <w:spacing w:val="5"/>
                      <w:position w:val="3"/>
                      <w:szCs w:val="21"/>
                    </w:rPr>
                    <w:t>/</w:t>
                  </w:r>
                  <w:r>
                    <w:rPr>
                      <w:rFonts w:hint="default" w:ascii="Times New Roman" w:hAnsi="Times New Roman" w:cs="Times New Roman"/>
                      <w:b/>
                      <w:bCs/>
                      <w:color w:val="auto"/>
                      <w:position w:val="3"/>
                      <w:szCs w:val="21"/>
                      <w:lang w:eastAsia="zh-CN"/>
                    </w:rPr>
                    <w:t>m</w:t>
                  </w:r>
                  <w:r>
                    <w:rPr>
                      <w:rFonts w:hint="default" w:ascii="Times New Roman" w:hAnsi="Times New Roman" w:cs="Times New Roman"/>
                      <w:b/>
                      <w:bCs/>
                      <w:color w:val="auto"/>
                      <w:position w:val="3"/>
                      <w:szCs w:val="21"/>
                      <w:vertAlign w:val="superscript"/>
                      <w:lang w:eastAsia="zh-CN"/>
                    </w:rPr>
                    <w:t>3</w:t>
                  </w:r>
                  <w:r>
                    <w:rPr>
                      <w:rFonts w:hint="default" w:ascii="Times New Roman" w:hAnsi="Times New Roman" w:cs="Times New Roman"/>
                      <w:b/>
                      <w:bCs/>
                      <w:color w:val="auto"/>
                      <w:spacing w:val="5"/>
                      <w:position w:val="9"/>
                      <w:szCs w:val="21"/>
                    </w:rPr>
                    <w:t xml:space="preserve"> </w:t>
                  </w:r>
                  <w:r>
                    <w:rPr>
                      <w:rFonts w:hint="default" w:ascii="Times New Roman" w:hAnsi="Times New Roman" w:cs="Times New Roman"/>
                      <w:b/>
                      <w:bCs/>
                      <w:color w:val="auto"/>
                      <w:spacing w:val="5"/>
                      <w:position w:val="3"/>
                      <w:szCs w:val="21"/>
                      <w:lang w:eastAsia="zh-CN"/>
                    </w:rPr>
                    <w:t>）</w:t>
                  </w:r>
                </w:p>
              </w:tc>
              <w:tc>
                <w:tcPr>
                  <w:tcW w:w="666" w:type="pct"/>
                  <w:noWrap w:val="0"/>
                  <w:vAlign w:val="center"/>
                </w:tcPr>
                <w:p w14:paraId="01ADE885">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1"/>
                      <w:position w:val="1"/>
                      <w:szCs w:val="21"/>
                    </w:rPr>
                    <w:t>占标率</w:t>
                  </w:r>
                  <w:r>
                    <w:rPr>
                      <w:rFonts w:hint="default" w:ascii="Times New Roman" w:hAnsi="Times New Roman" w:cs="Times New Roman"/>
                      <w:b/>
                      <w:bCs/>
                      <w:color w:val="auto"/>
                      <w:position w:val="1"/>
                      <w:szCs w:val="21"/>
                    </w:rPr>
                    <w:t>%</w:t>
                  </w:r>
                </w:p>
              </w:tc>
              <w:tc>
                <w:tcPr>
                  <w:tcW w:w="656" w:type="pct"/>
                  <w:noWrap w:val="0"/>
                  <w:vAlign w:val="center"/>
                </w:tcPr>
                <w:p w14:paraId="33FFDAA4">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9"/>
                      <w:szCs w:val="21"/>
                    </w:rPr>
                    <w:t>达标情</w:t>
                  </w:r>
                  <w:r>
                    <w:rPr>
                      <w:rFonts w:hint="default" w:ascii="Times New Roman" w:hAnsi="Times New Roman" w:cs="Times New Roman"/>
                      <w:b/>
                      <w:bCs/>
                      <w:color w:val="auto"/>
                      <w:spacing w:val="8"/>
                      <w:szCs w:val="21"/>
                    </w:rPr>
                    <w:t>况</w:t>
                  </w:r>
                </w:p>
              </w:tc>
            </w:tr>
            <w:tr w14:paraId="7ADDEC5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510" w:type="pct"/>
                  <w:noWrap w:val="0"/>
                  <w:vAlign w:val="center"/>
                </w:tcPr>
                <w:p w14:paraId="5FD19C49">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SO</w:t>
                  </w:r>
                  <w:r>
                    <w:rPr>
                      <w:rFonts w:hint="eastAsia" w:ascii="Times New Roman" w:hAnsi="Times New Roman" w:eastAsia="宋体" w:cs="Times New Roman"/>
                      <w:color w:val="auto"/>
                      <w:szCs w:val="21"/>
                      <w:vertAlign w:val="subscript"/>
                      <w:lang w:val="en-US" w:eastAsia="zh-CN"/>
                    </w:rPr>
                    <w:t>2</w:t>
                  </w:r>
                </w:p>
              </w:tc>
              <w:tc>
                <w:tcPr>
                  <w:tcW w:w="1625" w:type="pct"/>
                  <w:noWrap w:val="0"/>
                  <w:vAlign w:val="center"/>
                </w:tcPr>
                <w:p w14:paraId="02D46FCC">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年平均质量浓度</w:t>
                  </w:r>
                </w:p>
              </w:tc>
              <w:tc>
                <w:tcPr>
                  <w:tcW w:w="724" w:type="pct"/>
                  <w:noWrap w:val="0"/>
                  <w:vAlign w:val="center"/>
                </w:tcPr>
                <w:p w14:paraId="1529BED2">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7</w:t>
                  </w:r>
                </w:p>
              </w:tc>
              <w:tc>
                <w:tcPr>
                  <w:tcW w:w="816" w:type="pct"/>
                  <w:noWrap w:val="0"/>
                  <w:vAlign w:val="center"/>
                </w:tcPr>
                <w:p w14:paraId="6489D591">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60</w:t>
                  </w:r>
                </w:p>
              </w:tc>
              <w:tc>
                <w:tcPr>
                  <w:tcW w:w="666" w:type="pct"/>
                  <w:noWrap w:val="0"/>
                  <w:vAlign w:val="center"/>
                </w:tcPr>
                <w:p w14:paraId="384A7044">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11.7</w:t>
                  </w:r>
                </w:p>
              </w:tc>
              <w:tc>
                <w:tcPr>
                  <w:tcW w:w="656" w:type="pct"/>
                  <w:noWrap w:val="0"/>
                  <w:vAlign w:val="center"/>
                </w:tcPr>
                <w:p w14:paraId="1A6E8625">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达标</w:t>
                  </w:r>
                </w:p>
              </w:tc>
            </w:tr>
            <w:tr w14:paraId="405748D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52" w:hRule="atLeast"/>
                <w:jc w:val="center"/>
              </w:trPr>
              <w:tc>
                <w:tcPr>
                  <w:tcW w:w="510" w:type="pct"/>
                  <w:noWrap w:val="0"/>
                  <w:vAlign w:val="center"/>
                </w:tcPr>
                <w:p w14:paraId="212FDCAD">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NO</w:t>
                  </w:r>
                  <w:r>
                    <w:rPr>
                      <w:rFonts w:hint="eastAsia" w:ascii="Times New Roman" w:hAnsi="Times New Roman" w:eastAsia="宋体" w:cs="Times New Roman"/>
                      <w:color w:val="auto"/>
                      <w:szCs w:val="21"/>
                      <w:vertAlign w:val="subscript"/>
                      <w:lang w:val="en-US" w:eastAsia="zh-CN"/>
                    </w:rPr>
                    <w:t>2</w:t>
                  </w:r>
                </w:p>
              </w:tc>
              <w:tc>
                <w:tcPr>
                  <w:tcW w:w="1625" w:type="pct"/>
                  <w:noWrap w:val="0"/>
                  <w:vAlign w:val="center"/>
                </w:tcPr>
                <w:p w14:paraId="11302CA8">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年平均质量浓度</w:t>
                  </w:r>
                </w:p>
              </w:tc>
              <w:tc>
                <w:tcPr>
                  <w:tcW w:w="724" w:type="pct"/>
                  <w:noWrap w:val="0"/>
                  <w:vAlign w:val="center"/>
                </w:tcPr>
                <w:p w14:paraId="38D3ACDC">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21</w:t>
                  </w:r>
                </w:p>
              </w:tc>
              <w:tc>
                <w:tcPr>
                  <w:tcW w:w="816" w:type="pct"/>
                  <w:noWrap w:val="0"/>
                  <w:vAlign w:val="center"/>
                </w:tcPr>
                <w:p w14:paraId="5F7CB800">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40</w:t>
                  </w:r>
                </w:p>
              </w:tc>
              <w:tc>
                <w:tcPr>
                  <w:tcW w:w="666" w:type="pct"/>
                  <w:noWrap w:val="0"/>
                  <w:vAlign w:val="center"/>
                </w:tcPr>
                <w:p w14:paraId="713DAA3D">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52.5</w:t>
                  </w:r>
                </w:p>
              </w:tc>
              <w:tc>
                <w:tcPr>
                  <w:tcW w:w="656" w:type="pct"/>
                  <w:noWrap w:val="0"/>
                  <w:vAlign w:val="center"/>
                </w:tcPr>
                <w:p w14:paraId="5019271C">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达标</w:t>
                  </w:r>
                </w:p>
              </w:tc>
            </w:tr>
            <w:tr w14:paraId="13B9250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510" w:type="pct"/>
                  <w:noWrap w:val="0"/>
                  <w:vAlign w:val="center"/>
                </w:tcPr>
                <w:p w14:paraId="0516D1CB">
                  <w:pPr>
                    <w:autoSpaceDE w:val="0"/>
                    <w:autoSpaceDN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CO</w:t>
                  </w:r>
                </w:p>
              </w:tc>
              <w:tc>
                <w:tcPr>
                  <w:tcW w:w="1625" w:type="pct"/>
                  <w:noWrap w:val="0"/>
                  <w:vAlign w:val="center"/>
                </w:tcPr>
                <w:p w14:paraId="06451A4B">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日平均第95百分位质量浓度</w:t>
                  </w:r>
                </w:p>
              </w:tc>
              <w:tc>
                <w:tcPr>
                  <w:tcW w:w="724" w:type="pct"/>
                  <w:noWrap w:val="0"/>
                  <w:vAlign w:val="center"/>
                </w:tcPr>
                <w:p w14:paraId="2FE660D0">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800</w:t>
                  </w:r>
                </w:p>
              </w:tc>
              <w:tc>
                <w:tcPr>
                  <w:tcW w:w="816" w:type="pct"/>
                  <w:noWrap w:val="0"/>
                  <w:vAlign w:val="center"/>
                </w:tcPr>
                <w:p w14:paraId="5E4218A8">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4000</w:t>
                  </w:r>
                </w:p>
              </w:tc>
              <w:tc>
                <w:tcPr>
                  <w:tcW w:w="666" w:type="pct"/>
                  <w:noWrap w:val="0"/>
                  <w:vAlign w:val="center"/>
                </w:tcPr>
                <w:p w14:paraId="51233F1E">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20</w:t>
                  </w:r>
                </w:p>
              </w:tc>
              <w:tc>
                <w:tcPr>
                  <w:tcW w:w="656" w:type="pct"/>
                  <w:noWrap w:val="0"/>
                  <w:vAlign w:val="center"/>
                </w:tcPr>
                <w:p w14:paraId="70E35395">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达标</w:t>
                  </w:r>
                </w:p>
              </w:tc>
            </w:tr>
            <w:tr w14:paraId="5881F8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510" w:type="pct"/>
                  <w:noWrap w:val="0"/>
                  <w:vAlign w:val="center"/>
                </w:tcPr>
                <w:p w14:paraId="3117B9C1">
                  <w:pPr>
                    <w:autoSpaceDE w:val="0"/>
                    <w:autoSpaceDN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O</w:t>
                  </w:r>
                  <w:r>
                    <w:rPr>
                      <w:rFonts w:hint="eastAsia" w:ascii="Times New Roman" w:hAnsi="Times New Roman" w:eastAsia="宋体" w:cs="Times New Roman"/>
                      <w:color w:val="auto"/>
                      <w:szCs w:val="21"/>
                      <w:vertAlign w:val="subscript"/>
                      <w:lang w:val="en-US" w:eastAsia="zh-CN"/>
                    </w:rPr>
                    <w:t>3</w:t>
                  </w:r>
                </w:p>
              </w:tc>
              <w:tc>
                <w:tcPr>
                  <w:tcW w:w="1625" w:type="pct"/>
                  <w:noWrap w:val="0"/>
                  <w:vAlign w:val="center"/>
                </w:tcPr>
                <w:p w14:paraId="7C028EAB">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日最大8小时平均第90百分位质量浓度</w:t>
                  </w:r>
                </w:p>
              </w:tc>
              <w:tc>
                <w:tcPr>
                  <w:tcW w:w="724" w:type="pct"/>
                  <w:noWrap w:val="0"/>
                  <w:vAlign w:val="center"/>
                </w:tcPr>
                <w:p w14:paraId="1B7D55B4">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163</w:t>
                  </w:r>
                </w:p>
              </w:tc>
              <w:tc>
                <w:tcPr>
                  <w:tcW w:w="816" w:type="pct"/>
                  <w:noWrap w:val="0"/>
                  <w:vAlign w:val="center"/>
                </w:tcPr>
                <w:p w14:paraId="4CA3E281">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160</w:t>
                  </w:r>
                </w:p>
              </w:tc>
              <w:tc>
                <w:tcPr>
                  <w:tcW w:w="666" w:type="pct"/>
                  <w:noWrap w:val="0"/>
                  <w:vAlign w:val="center"/>
                </w:tcPr>
                <w:p w14:paraId="0DA2EC63">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101.9</w:t>
                  </w:r>
                </w:p>
              </w:tc>
              <w:tc>
                <w:tcPr>
                  <w:tcW w:w="656" w:type="pct"/>
                  <w:noWrap w:val="0"/>
                  <w:vAlign w:val="center"/>
                </w:tcPr>
                <w:p w14:paraId="3578CEA2">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不达标</w:t>
                  </w:r>
                </w:p>
              </w:tc>
            </w:tr>
            <w:tr w14:paraId="39FD567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510" w:type="pct"/>
                  <w:noWrap w:val="0"/>
                  <w:vAlign w:val="center"/>
                </w:tcPr>
                <w:p w14:paraId="3AF10DE5">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PM</w:t>
                  </w:r>
                  <w:r>
                    <w:rPr>
                      <w:rFonts w:hint="eastAsia" w:ascii="Times New Roman" w:hAnsi="Times New Roman" w:eastAsia="宋体" w:cs="Times New Roman"/>
                      <w:color w:val="auto"/>
                      <w:szCs w:val="21"/>
                      <w:vertAlign w:val="subscript"/>
                      <w:lang w:val="en-US" w:eastAsia="zh-CN"/>
                    </w:rPr>
                    <w:t>10</w:t>
                  </w:r>
                </w:p>
              </w:tc>
              <w:tc>
                <w:tcPr>
                  <w:tcW w:w="1625" w:type="pct"/>
                  <w:noWrap w:val="0"/>
                  <w:vAlign w:val="center"/>
                </w:tcPr>
                <w:p w14:paraId="34647CE2">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年平均质量浓度</w:t>
                  </w:r>
                </w:p>
              </w:tc>
              <w:tc>
                <w:tcPr>
                  <w:tcW w:w="724" w:type="pct"/>
                  <w:noWrap w:val="0"/>
                  <w:vAlign w:val="center"/>
                </w:tcPr>
                <w:p w14:paraId="7A16D2E5">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62</w:t>
                  </w:r>
                </w:p>
              </w:tc>
              <w:tc>
                <w:tcPr>
                  <w:tcW w:w="816" w:type="pct"/>
                  <w:noWrap w:val="0"/>
                  <w:vAlign w:val="center"/>
                </w:tcPr>
                <w:p w14:paraId="2E2A1BD8">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70</w:t>
                  </w:r>
                </w:p>
              </w:tc>
              <w:tc>
                <w:tcPr>
                  <w:tcW w:w="666" w:type="pct"/>
                  <w:noWrap w:val="0"/>
                  <w:vAlign w:val="center"/>
                </w:tcPr>
                <w:p w14:paraId="3F67C7B2">
                  <w:pPr>
                    <w:autoSpaceDE w:val="0"/>
                    <w:autoSpaceDN w:val="0"/>
                    <w:jc w:val="center"/>
                    <w:rPr>
                      <w:rFonts w:hint="default" w:ascii="Times New Roman" w:hAnsi="Times New Roman" w:cs="Times New Roman"/>
                      <w:color w:val="auto"/>
                      <w:szCs w:val="21"/>
                      <w:lang w:val="en-US"/>
                    </w:rPr>
                  </w:pPr>
                  <w:r>
                    <w:rPr>
                      <w:rFonts w:hint="eastAsia" w:ascii="Times New Roman" w:hAnsi="Times New Roman" w:eastAsia="宋体" w:cs="Times New Roman"/>
                      <w:color w:val="auto"/>
                      <w:szCs w:val="21"/>
                      <w:lang w:val="en-US" w:eastAsia="zh-CN"/>
                    </w:rPr>
                    <w:t>85.7</w:t>
                  </w:r>
                </w:p>
              </w:tc>
              <w:tc>
                <w:tcPr>
                  <w:tcW w:w="656" w:type="pct"/>
                  <w:noWrap w:val="0"/>
                  <w:vAlign w:val="center"/>
                </w:tcPr>
                <w:p w14:paraId="3776F332">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达标</w:t>
                  </w:r>
                </w:p>
              </w:tc>
            </w:tr>
            <w:tr w14:paraId="6063209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510" w:type="pct"/>
                  <w:noWrap w:val="0"/>
                  <w:vAlign w:val="center"/>
                </w:tcPr>
                <w:p w14:paraId="606CC5D2">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PM</w:t>
                  </w:r>
                  <w:r>
                    <w:rPr>
                      <w:rFonts w:hint="eastAsia" w:ascii="Times New Roman" w:hAnsi="Times New Roman" w:eastAsia="宋体" w:cs="Times New Roman"/>
                      <w:color w:val="auto"/>
                      <w:szCs w:val="21"/>
                      <w:vertAlign w:val="subscript"/>
                      <w:lang w:val="en-US" w:eastAsia="zh-CN"/>
                    </w:rPr>
                    <w:t>2.5</w:t>
                  </w:r>
                </w:p>
              </w:tc>
              <w:tc>
                <w:tcPr>
                  <w:tcW w:w="1625" w:type="pct"/>
                  <w:noWrap w:val="0"/>
                  <w:vAlign w:val="center"/>
                </w:tcPr>
                <w:p w14:paraId="052C693A">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年平均质量浓度</w:t>
                  </w:r>
                </w:p>
              </w:tc>
              <w:tc>
                <w:tcPr>
                  <w:tcW w:w="724" w:type="pct"/>
                  <w:noWrap w:val="0"/>
                  <w:vAlign w:val="center"/>
                </w:tcPr>
                <w:p w14:paraId="4FEB6E09">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39</w:t>
                  </w:r>
                </w:p>
              </w:tc>
              <w:tc>
                <w:tcPr>
                  <w:tcW w:w="816" w:type="pct"/>
                  <w:noWrap w:val="0"/>
                  <w:vAlign w:val="center"/>
                </w:tcPr>
                <w:p w14:paraId="0E65652E">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35</w:t>
                  </w:r>
                </w:p>
              </w:tc>
              <w:tc>
                <w:tcPr>
                  <w:tcW w:w="666" w:type="pct"/>
                  <w:noWrap w:val="0"/>
                  <w:vAlign w:val="center"/>
                </w:tcPr>
                <w:p w14:paraId="5AC754D7">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111.4</w:t>
                  </w:r>
                </w:p>
              </w:tc>
              <w:tc>
                <w:tcPr>
                  <w:tcW w:w="656" w:type="pct"/>
                  <w:noWrap w:val="0"/>
                  <w:vAlign w:val="center"/>
                </w:tcPr>
                <w:p w14:paraId="64EC1347">
                  <w:pPr>
                    <w:autoSpaceDE w:val="0"/>
                    <w:autoSpaceDN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不达标</w:t>
                  </w:r>
                </w:p>
              </w:tc>
            </w:tr>
          </w:tbl>
          <w:p w14:paraId="6A208653">
            <w:pPr>
              <w:spacing w:line="360" w:lineRule="auto"/>
              <w:ind w:firstLine="482"/>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综上，超过</w:t>
            </w:r>
            <w:bookmarkStart w:id="9" w:name="OLE_LINK52"/>
            <w:r>
              <w:rPr>
                <w:rFonts w:hint="eastAsia" w:ascii="Times New Roman" w:hAnsi="Times New Roman" w:eastAsia="宋体" w:cs="Times New Roman"/>
                <w:color w:val="auto"/>
                <w:sz w:val="24"/>
              </w:rPr>
              <w:t>《环境空气质量标准》（GB3095-2012）中二级标准限值</w:t>
            </w:r>
            <w:bookmarkEnd w:id="9"/>
            <w:r>
              <w:rPr>
                <w:rFonts w:hint="eastAsia" w:ascii="Times New Roman" w:hAnsi="Times New Roman" w:eastAsia="宋体" w:cs="Times New Roman"/>
                <w:color w:val="auto"/>
                <w:sz w:val="24"/>
              </w:rPr>
              <w:t>的污染物为PM</w:t>
            </w:r>
            <w:r>
              <w:rPr>
                <w:rFonts w:hint="eastAsia" w:ascii="Times New Roman" w:hAnsi="Times New Roman" w:eastAsia="宋体" w:cs="Times New Roman"/>
                <w:color w:val="auto"/>
                <w:sz w:val="24"/>
                <w:vertAlign w:val="subscript"/>
              </w:rPr>
              <w:t>2.5</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O</w:t>
            </w:r>
            <w:r>
              <w:rPr>
                <w:rFonts w:hint="eastAsia" w:ascii="Times New Roman" w:hAnsi="Times New Roman" w:eastAsia="宋体" w:cs="Times New Roman"/>
                <w:color w:val="auto"/>
                <w:sz w:val="24"/>
                <w:vertAlign w:val="subscript"/>
                <w:lang w:val="en-US" w:eastAsia="zh-CN"/>
              </w:rPr>
              <w:t>3</w:t>
            </w:r>
            <w:r>
              <w:rPr>
                <w:rFonts w:hint="eastAsia" w:ascii="Times New Roman" w:hAnsi="Times New Roman" w:eastAsia="宋体" w:cs="Times New Roman"/>
                <w:color w:val="auto"/>
                <w:sz w:val="24"/>
              </w:rPr>
              <w:t>，项目所在地为大气环境空气质量不达标区。</w:t>
            </w:r>
          </w:p>
          <w:p w14:paraId="35274A9A">
            <w:pPr>
              <w:spacing w:line="360" w:lineRule="auto"/>
              <w:ind w:firstLine="482"/>
              <w:rPr>
                <w:color w:val="auto"/>
                <w:sz w:val="24"/>
              </w:rPr>
            </w:pPr>
            <w:r>
              <w:rPr>
                <w:rFonts w:ascii="Times New Roman" w:hAnsi="Times New Roman" w:eastAsia="宋体" w:cs="Times New Roman"/>
                <w:color w:val="auto"/>
                <w:sz w:val="24"/>
              </w:rPr>
              <w:t>为切实改善蚌埠市环境空气质量，蚌埠</w:t>
            </w:r>
            <w:r>
              <w:rPr>
                <w:color w:val="auto"/>
                <w:sz w:val="24"/>
              </w:rPr>
              <w:t>市人民政府于2021年1月22日发布《关于印发&lt;蚌埠市环境空气质量达标规划（2019</w:t>
            </w:r>
            <w:r>
              <w:rPr>
                <w:rFonts w:hint="eastAsia"/>
                <w:color w:val="auto"/>
                <w:sz w:val="24"/>
                <w:lang w:eastAsia="zh-CN"/>
              </w:rPr>
              <w:t>—</w:t>
            </w:r>
            <w:r>
              <w:rPr>
                <w:color w:val="auto"/>
                <w:sz w:val="24"/>
              </w:rPr>
              <w:t>2030年）</w:t>
            </w:r>
            <w:r>
              <w:rPr>
                <w:rFonts w:hint="eastAsia"/>
                <w:color w:val="auto"/>
                <w:sz w:val="24"/>
                <w:lang w:eastAsia="zh-CN"/>
              </w:rPr>
              <w:t>〉的通知》</w:t>
            </w:r>
            <w:r>
              <w:rPr>
                <w:color w:val="auto"/>
                <w:sz w:val="24"/>
              </w:rPr>
              <w:t>，规划目标为：近期（2020）PM</w:t>
            </w:r>
            <w:r>
              <w:rPr>
                <w:color w:val="auto"/>
                <w:sz w:val="24"/>
                <w:vertAlign w:val="subscript"/>
              </w:rPr>
              <w:t>10</w:t>
            </w:r>
            <w:r>
              <w:rPr>
                <w:color w:val="auto"/>
                <w:sz w:val="24"/>
              </w:rPr>
              <w:t xml:space="preserve"> 年均浓度</w:t>
            </w:r>
            <w:r>
              <w:rPr>
                <w:rFonts w:hint="eastAsia" w:ascii="宋体" w:hAnsi="宋体" w:cs="宋体"/>
                <w:color w:val="auto"/>
                <w:sz w:val="24"/>
              </w:rPr>
              <w:t>≦</w:t>
            </w:r>
            <w:r>
              <w:rPr>
                <w:color w:val="auto"/>
                <w:sz w:val="24"/>
              </w:rPr>
              <w:t>78μg/m</w:t>
            </w:r>
            <w:r>
              <w:rPr>
                <w:color w:val="auto"/>
                <w:sz w:val="24"/>
                <w:vertAlign w:val="superscript"/>
              </w:rPr>
              <w:t>3</w:t>
            </w:r>
            <w:r>
              <w:rPr>
                <w:color w:val="auto"/>
                <w:sz w:val="24"/>
              </w:rPr>
              <w:t>、PM</w:t>
            </w:r>
            <w:r>
              <w:rPr>
                <w:color w:val="auto"/>
                <w:sz w:val="24"/>
                <w:vertAlign w:val="subscript"/>
              </w:rPr>
              <w:t>2.5</w:t>
            </w:r>
            <w:r>
              <w:rPr>
                <w:color w:val="auto"/>
                <w:sz w:val="24"/>
              </w:rPr>
              <w:t>年均浓度</w:t>
            </w:r>
            <w:r>
              <w:rPr>
                <w:rFonts w:hint="eastAsia" w:ascii="宋体" w:hAnsi="宋体" w:cs="宋体"/>
                <w:color w:val="auto"/>
                <w:sz w:val="24"/>
              </w:rPr>
              <w:t>≦</w:t>
            </w:r>
            <w:r>
              <w:rPr>
                <w:color w:val="auto"/>
                <w:sz w:val="24"/>
              </w:rPr>
              <w:t>42μg/m</w:t>
            </w:r>
            <w:r>
              <w:rPr>
                <w:color w:val="auto"/>
                <w:sz w:val="24"/>
                <w:vertAlign w:val="superscript"/>
              </w:rPr>
              <w:t>3</w:t>
            </w:r>
            <w:r>
              <w:rPr>
                <w:color w:val="auto"/>
                <w:sz w:val="24"/>
              </w:rPr>
              <w:t>；远期（2030年）PM</w:t>
            </w:r>
            <w:r>
              <w:rPr>
                <w:color w:val="auto"/>
                <w:sz w:val="24"/>
                <w:vertAlign w:val="subscript"/>
              </w:rPr>
              <w:t>10</w:t>
            </w:r>
            <w:r>
              <w:rPr>
                <w:color w:val="auto"/>
                <w:sz w:val="24"/>
              </w:rPr>
              <w:t>年均浓度</w:t>
            </w:r>
            <w:r>
              <w:rPr>
                <w:rFonts w:hint="eastAsia" w:ascii="宋体" w:hAnsi="宋体" w:cs="宋体"/>
                <w:color w:val="auto"/>
                <w:sz w:val="24"/>
              </w:rPr>
              <w:t>≦</w:t>
            </w:r>
            <w:r>
              <w:rPr>
                <w:color w:val="auto"/>
                <w:sz w:val="24"/>
              </w:rPr>
              <w:t>64μg/m</w:t>
            </w:r>
            <w:r>
              <w:rPr>
                <w:color w:val="auto"/>
                <w:sz w:val="24"/>
                <w:vertAlign w:val="superscript"/>
              </w:rPr>
              <w:t>3</w:t>
            </w:r>
            <w:r>
              <w:rPr>
                <w:color w:val="auto"/>
                <w:sz w:val="24"/>
              </w:rPr>
              <w:t>、PM</w:t>
            </w:r>
            <w:r>
              <w:rPr>
                <w:color w:val="auto"/>
                <w:sz w:val="24"/>
                <w:vertAlign w:val="subscript"/>
              </w:rPr>
              <w:t>2.5</w:t>
            </w:r>
            <w:r>
              <w:rPr>
                <w:color w:val="auto"/>
                <w:sz w:val="24"/>
              </w:rPr>
              <w:t>年均浓度</w:t>
            </w:r>
            <w:r>
              <w:rPr>
                <w:rFonts w:hint="eastAsia" w:ascii="宋体" w:hAnsi="宋体" w:cs="宋体"/>
                <w:color w:val="auto"/>
                <w:sz w:val="24"/>
              </w:rPr>
              <w:t>≦</w:t>
            </w:r>
            <w:r>
              <w:rPr>
                <w:color w:val="auto"/>
                <w:sz w:val="24"/>
              </w:rPr>
              <w:t>35μg/m</w:t>
            </w:r>
            <w:r>
              <w:rPr>
                <w:color w:val="auto"/>
                <w:sz w:val="24"/>
                <w:vertAlign w:val="superscript"/>
              </w:rPr>
              <w:t>3</w:t>
            </w:r>
            <w:r>
              <w:rPr>
                <w:color w:val="auto"/>
                <w:sz w:val="24"/>
              </w:rPr>
              <w:t xml:space="preserve">。 </w:t>
            </w:r>
          </w:p>
          <w:p w14:paraId="750ABFCF">
            <w:pPr>
              <w:numPr>
                <w:ilvl w:val="0"/>
                <w:numId w:val="0"/>
              </w:numPr>
              <w:spacing w:line="360" w:lineRule="auto"/>
              <w:ind w:firstLine="480" w:firstLineChars="200"/>
              <w:rPr>
                <w:rFonts w:hint="default" w:ascii="Times New Roman" w:hAnsi="Times New Roman" w:eastAsia="宋体" w:cs="Times New Roman"/>
                <w:b/>
                <w:bCs/>
                <w:i w:val="0"/>
                <w:iCs w:val="0"/>
                <w:snapToGrid/>
                <w:color w:val="auto"/>
                <w:kern w:val="2"/>
                <w:sz w:val="24"/>
                <w:szCs w:val="24"/>
                <w:lang w:val="en-US" w:eastAsia="zh-CN" w:bidi="ar-SA"/>
              </w:rPr>
            </w:pPr>
            <w:r>
              <w:rPr>
                <w:color w:val="auto"/>
                <w:sz w:val="24"/>
              </w:rPr>
              <w:t>目前，蚌埠市环境空气质量达标规划近期目标已完成，并初步完成大气污染成因源清单和源解析工作，制定大气整治项目298个。修订《蚌埠市重污染天气应急预案》及应急减排清单，为600多家企业制定差异化减排措施。通过贯彻落实《蚌埠市环境空气质量达标规划（2019</w:t>
            </w:r>
            <w:r>
              <w:rPr>
                <w:rFonts w:hint="eastAsia"/>
                <w:color w:val="auto"/>
                <w:sz w:val="24"/>
                <w:lang w:eastAsia="zh-CN"/>
              </w:rPr>
              <w:t>—</w:t>
            </w:r>
            <w:r>
              <w:rPr>
                <w:color w:val="auto"/>
                <w:sz w:val="24"/>
              </w:rPr>
              <w:t>2030年）》和《蚌埠市重污染天气应急预案》中各具体措施，蚌埠市大气环境质量状况可以得到进一步改善。</w:t>
            </w:r>
          </w:p>
          <w:p w14:paraId="336F87C9">
            <w:pPr>
              <w:numPr>
                <w:ilvl w:val="0"/>
                <w:numId w:val="0"/>
              </w:numPr>
              <w:spacing w:line="360" w:lineRule="auto"/>
              <w:ind w:firstLine="482" w:firstLineChars="200"/>
              <w:rPr>
                <w:rFonts w:hint="default" w:ascii="Times New Roman" w:hAnsi="Times New Roman" w:eastAsia="宋体" w:cs="Times New Roman"/>
                <w:b/>
                <w:bCs/>
                <w:i w:val="0"/>
                <w:iCs w:val="0"/>
                <w:snapToGrid/>
                <w:color w:val="auto"/>
                <w:kern w:val="2"/>
                <w:sz w:val="24"/>
                <w:szCs w:val="24"/>
                <w:lang w:val="en-US" w:eastAsia="zh-CN" w:bidi="ar-SA"/>
              </w:rPr>
            </w:pPr>
            <w:r>
              <w:rPr>
                <w:rFonts w:hint="default" w:ascii="Times New Roman" w:hAnsi="Times New Roman" w:eastAsia="宋体" w:cs="Times New Roman"/>
                <w:b/>
                <w:bCs/>
                <w:i w:val="0"/>
                <w:iCs w:val="0"/>
                <w:snapToGrid/>
                <w:color w:val="auto"/>
                <w:kern w:val="2"/>
                <w:sz w:val="24"/>
                <w:szCs w:val="24"/>
                <w:lang w:val="en-US" w:eastAsia="zh-CN" w:bidi="ar-SA"/>
              </w:rPr>
              <w:t>（2）</w:t>
            </w:r>
            <w:r>
              <w:rPr>
                <w:rFonts w:hint="default" w:ascii="Times New Roman" w:hAnsi="Times New Roman" w:eastAsia="宋体" w:cs="Times New Roman"/>
                <w:b/>
                <w:bCs/>
                <w:color w:val="auto"/>
                <w:sz w:val="24"/>
                <w:szCs w:val="24"/>
                <w:lang w:eastAsia="zh-CN"/>
              </w:rPr>
              <w:t>特征污染物</w:t>
            </w:r>
          </w:p>
          <w:p w14:paraId="50454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snapToGrid/>
                <w:color w:val="auto"/>
                <w:kern w:val="2"/>
                <w:sz w:val="24"/>
                <w:szCs w:val="24"/>
                <w:lang w:val="en-US" w:eastAsia="zh-CN" w:bidi="ar-SA"/>
              </w:rPr>
              <w:t>本项目特征因子TSP</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snapToGrid/>
                <w:color w:val="auto"/>
                <w:kern w:val="2"/>
                <w:sz w:val="24"/>
                <w:szCs w:val="24"/>
                <w:lang w:val="en-US" w:eastAsia="zh-CN" w:bidi="ar-SA"/>
              </w:rPr>
              <w:t>非甲烷总烃</w:t>
            </w:r>
            <w:r>
              <w:rPr>
                <w:rFonts w:hint="default" w:ascii="Times New Roman" w:hAnsi="Times New Roman" w:eastAsia="宋体" w:cs="Times New Roman"/>
                <w:snapToGrid/>
                <w:color w:val="auto"/>
                <w:kern w:val="2"/>
                <w:sz w:val="24"/>
                <w:szCs w:val="24"/>
                <w:highlight w:val="none"/>
                <w:lang w:val="en-US" w:eastAsia="zh-CN" w:bidi="ar-SA"/>
              </w:rPr>
              <w:t>引用</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bCs/>
                <w:color w:val="auto"/>
                <w:kern w:val="0"/>
                <w:sz w:val="24"/>
                <w:szCs w:val="24"/>
                <w:lang w:eastAsia="zh-CN"/>
              </w:rPr>
              <w:t>宇格明叶（安徽）环保科技有限公司年产</w:t>
            </w:r>
            <w:r>
              <w:rPr>
                <w:rFonts w:hint="eastAsia" w:cs="Times New Roman"/>
                <w:bCs/>
                <w:color w:val="auto"/>
                <w:kern w:val="0"/>
                <w:sz w:val="24"/>
                <w:szCs w:val="24"/>
                <w:lang w:val="en-US" w:eastAsia="zh-CN"/>
              </w:rPr>
              <w:t>20万套环保材料及环保设备制造</w:t>
            </w:r>
            <w:r>
              <w:rPr>
                <w:rFonts w:hint="default" w:ascii="Times New Roman" w:hAnsi="Times New Roman" w:eastAsia="宋体" w:cs="Times New Roman"/>
                <w:bCs/>
                <w:color w:val="auto"/>
                <w:kern w:val="0"/>
                <w:sz w:val="24"/>
                <w:szCs w:val="24"/>
                <w:lang w:eastAsia="zh-CN"/>
              </w:rPr>
              <w:t>项目</w:t>
            </w:r>
            <w:r>
              <w:rPr>
                <w:rFonts w:hint="default" w:ascii="Times New Roman" w:hAnsi="Times New Roman" w:eastAsia="宋体" w:cs="Times New Roman"/>
                <w:color w:val="auto"/>
                <w:kern w:val="0"/>
                <w:sz w:val="24"/>
                <w:szCs w:val="24"/>
                <w:highlight w:val="none"/>
                <w:lang w:val="en-US" w:eastAsia="zh-CN" w:bidi="ar"/>
              </w:rPr>
              <w:t>环境影响报告</w:t>
            </w:r>
            <w:r>
              <w:rPr>
                <w:rFonts w:hint="eastAsia" w:cs="Times New Roman"/>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》中监测数据，</w:t>
            </w:r>
            <w:r>
              <w:rPr>
                <w:rFonts w:hint="eastAsia" w:ascii="Times New Roman" w:hAnsi="Times New Roman" w:eastAsia="宋体" w:cs="Times New Roman"/>
                <w:color w:val="auto"/>
                <w:sz w:val="24"/>
                <w:szCs w:val="24"/>
                <w:lang w:val="en-US" w:eastAsia="zh-CN"/>
              </w:rPr>
              <w:t>由</w:t>
            </w:r>
            <w:r>
              <w:rPr>
                <w:rFonts w:hint="eastAsia"/>
                <w:color w:val="auto"/>
                <w:sz w:val="24"/>
                <w:szCs w:val="24"/>
                <w:lang w:val="en-US" w:eastAsia="zh-CN"/>
              </w:rPr>
              <w:t>安徽尚德谱检测技术有限责任公司</w:t>
            </w:r>
            <w:r>
              <w:rPr>
                <w:color w:val="auto"/>
                <w:spacing w:val="-7"/>
                <w:sz w:val="24"/>
                <w:szCs w:val="24"/>
                <w:lang w:val="en-US" w:eastAsia="zh-CN"/>
              </w:rPr>
              <w:t xml:space="preserve">于 </w:t>
            </w:r>
            <w:r>
              <w:rPr>
                <w:color w:val="auto"/>
                <w:sz w:val="24"/>
                <w:szCs w:val="24"/>
                <w:lang w:val="en-US" w:eastAsia="zh-CN"/>
              </w:rPr>
              <w:t>202</w:t>
            </w:r>
            <w:r>
              <w:rPr>
                <w:rFonts w:hint="eastAsia"/>
                <w:color w:val="auto"/>
                <w:sz w:val="24"/>
                <w:szCs w:val="24"/>
                <w:lang w:val="en-US" w:eastAsia="zh-CN"/>
              </w:rPr>
              <w:t>3</w:t>
            </w:r>
            <w:r>
              <w:rPr>
                <w:color w:val="auto"/>
                <w:spacing w:val="-28"/>
                <w:sz w:val="24"/>
                <w:szCs w:val="24"/>
                <w:lang w:val="en-US" w:eastAsia="zh-CN"/>
              </w:rPr>
              <w:t xml:space="preserve">年 </w:t>
            </w:r>
            <w:r>
              <w:rPr>
                <w:rFonts w:hint="eastAsia"/>
                <w:color w:val="auto"/>
                <w:sz w:val="24"/>
                <w:szCs w:val="24"/>
                <w:lang w:val="en-US" w:eastAsia="zh-CN"/>
              </w:rPr>
              <w:t>12</w:t>
            </w:r>
            <w:r>
              <w:rPr>
                <w:color w:val="auto"/>
                <w:spacing w:val="-28"/>
                <w:sz w:val="24"/>
                <w:szCs w:val="24"/>
                <w:lang w:val="en-US" w:eastAsia="zh-CN"/>
              </w:rPr>
              <w:t>月</w:t>
            </w:r>
            <w:r>
              <w:rPr>
                <w:rFonts w:hint="eastAsia"/>
                <w:color w:val="auto"/>
                <w:spacing w:val="-28"/>
                <w:sz w:val="24"/>
                <w:szCs w:val="24"/>
                <w:lang w:val="en-US" w:eastAsia="zh-CN"/>
              </w:rPr>
              <w:t>13</w:t>
            </w:r>
            <w:r>
              <w:rPr>
                <w:color w:val="auto"/>
                <w:sz w:val="24"/>
                <w:szCs w:val="24"/>
                <w:lang w:val="en-US" w:eastAsia="zh-CN"/>
              </w:rPr>
              <w:t>日～20</w:t>
            </w:r>
            <w:r>
              <w:rPr>
                <w:rFonts w:hint="eastAsia"/>
                <w:color w:val="auto"/>
                <w:sz w:val="24"/>
                <w:szCs w:val="24"/>
                <w:lang w:val="en-US" w:eastAsia="zh-CN"/>
              </w:rPr>
              <w:t>23</w:t>
            </w:r>
            <w:r>
              <w:rPr>
                <w:color w:val="auto"/>
                <w:spacing w:val="-28"/>
                <w:sz w:val="24"/>
                <w:szCs w:val="24"/>
                <w:lang w:val="en-US" w:eastAsia="zh-CN"/>
              </w:rPr>
              <w:t>年</w:t>
            </w:r>
            <w:r>
              <w:rPr>
                <w:rFonts w:hint="eastAsia"/>
                <w:color w:val="auto"/>
                <w:spacing w:val="-28"/>
                <w:sz w:val="24"/>
                <w:szCs w:val="24"/>
                <w:lang w:val="en-US" w:eastAsia="zh-CN"/>
              </w:rPr>
              <w:t>12</w:t>
            </w:r>
            <w:r>
              <w:rPr>
                <w:color w:val="auto"/>
                <w:spacing w:val="-28"/>
                <w:sz w:val="24"/>
                <w:szCs w:val="24"/>
                <w:lang w:val="en-US" w:eastAsia="zh-CN"/>
              </w:rPr>
              <w:t>月</w:t>
            </w:r>
            <w:r>
              <w:rPr>
                <w:rFonts w:hint="eastAsia"/>
                <w:color w:val="auto"/>
                <w:spacing w:val="-28"/>
                <w:sz w:val="24"/>
                <w:szCs w:val="24"/>
                <w:lang w:val="en-US" w:eastAsia="zh-CN"/>
              </w:rPr>
              <w:t>15</w:t>
            </w:r>
            <w:r>
              <w:rPr>
                <w:color w:val="auto"/>
                <w:sz w:val="24"/>
                <w:szCs w:val="24"/>
                <w:lang w:val="en-US" w:eastAsia="zh-CN"/>
              </w:rPr>
              <w:t>日</w:t>
            </w:r>
            <w:r>
              <w:rPr>
                <w:rFonts w:hint="eastAsia"/>
                <w:color w:val="auto"/>
                <w:sz w:val="24"/>
                <w:szCs w:val="24"/>
                <w:lang w:val="en-US" w:eastAsia="zh-CN"/>
              </w:rPr>
              <w:t>监测</w:t>
            </w:r>
            <w:r>
              <w:rPr>
                <w:rFonts w:hint="eastAsia"/>
                <w:color w:val="auto"/>
                <w:spacing w:val="2"/>
                <w:sz w:val="24"/>
                <w:szCs w:val="24"/>
                <w:lang w:val="en-US" w:eastAsia="zh-CN"/>
              </w:rPr>
              <w:t>，</w:t>
            </w:r>
            <w:r>
              <w:rPr>
                <w:rFonts w:hint="default" w:ascii="Times New Roman" w:hAnsi="Times New Roman" w:eastAsia="宋体" w:cs="Times New Roman"/>
                <w:color w:val="auto"/>
                <w:kern w:val="0"/>
                <w:sz w:val="24"/>
                <w:szCs w:val="24"/>
                <w:highlight w:val="none"/>
                <w:lang w:val="en-US" w:eastAsia="zh-CN" w:bidi="ar"/>
              </w:rPr>
              <w:t>监测数</w:t>
            </w:r>
            <w:r>
              <w:rPr>
                <w:rFonts w:hint="eastAsia" w:ascii="宋体" w:hAnsi="宋体" w:eastAsia="宋体" w:cs="宋体"/>
                <w:color w:val="auto"/>
                <w:kern w:val="0"/>
                <w:sz w:val="24"/>
                <w:szCs w:val="24"/>
                <w:highlight w:val="none"/>
                <w:lang w:val="en-US" w:eastAsia="zh-CN" w:bidi="ar"/>
              </w:rPr>
              <w:t>据见下表。</w:t>
            </w:r>
          </w:p>
          <w:p w14:paraId="4C13D1D5">
            <w:pPr>
              <w:tabs>
                <w:tab w:val="left" w:pos="1401"/>
                <w:tab w:val="left" w:pos="5853"/>
              </w:tabs>
              <w:spacing w:before="0" w:after="37"/>
              <w:ind w:left="0" w:right="18"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highlight w:val="none"/>
              </w:rPr>
              <w:t>表3-2</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大气现状监测</w:t>
            </w:r>
            <w:r>
              <w:rPr>
                <w:rFonts w:hint="default" w:ascii="Times New Roman" w:hAnsi="Times New Roman" w:eastAsia="宋体" w:cs="Times New Roman"/>
                <w:b/>
                <w:color w:val="auto"/>
                <w:sz w:val="21"/>
                <w:szCs w:val="21"/>
              </w:rPr>
              <w:t>点布设</w:t>
            </w:r>
          </w:p>
          <w:tbl>
            <w:tblPr>
              <w:tblStyle w:val="29"/>
              <w:tblW w:w="88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8"/>
              <w:gridCol w:w="1245"/>
              <w:gridCol w:w="2250"/>
              <w:gridCol w:w="3055"/>
            </w:tblGrid>
            <w:tr w14:paraId="0B61C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9" w:type="pct"/>
                  <w:tcBorders>
                    <w:right w:val="single" w:color="auto" w:sz="4" w:space="0"/>
                  </w:tcBorders>
                  <w:noWrap w:val="0"/>
                  <w:vAlign w:val="center"/>
                </w:tcPr>
                <w:p w14:paraId="318CB903">
                  <w:pPr>
                    <w:pStyle w:val="67"/>
                    <w:adjustRightInd w:val="0"/>
                    <w:snapToGrid w:val="0"/>
                    <w:jc w:val="center"/>
                    <w:rPr>
                      <w:rFonts w:hint="default" w:ascii="Times New Roman" w:hAnsi="Times New Roman" w:eastAsia="宋体" w:cs="Times New Roman"/>
                      <w:b w:val="0"/>
                      <w:bCs w:val="0"/>
                      <w:snapToGrid w:val="0"/>
                      <w:color w:val="auto"/>
                      <w:spacing w:val="-2"/>
                      <w:kern w:val="2"/>
                      <w:sz w:val="21"/>
                      <w:szCs w:val="21"/>
                    </w:rPr>
                  </w:pPr>
                  <w:r>
                    <w:rPr>
                      <w:rFonts w:hint="default" w:ascii="Times New Roman" w:hAnsi="Times New Roman" w:eastAsia="宋体" w:cs="Times New Roman"/>
                      <w:b w:val="0"/>
                      <w:bCs w:val="0"/>
                      <w:snapToGrid w:val="0"/>
                      <w:color w:val="auto"/>
                      <w:spacing w:val="-2"/>
                      <w:kern w:val="2"/>
                      <w:sz w:val="21"/>
                      <w:szCs w:val="21"/>
                    </w:rPr>
                    <w:t>位置</w:t>
                  </w:r>
                </w:p>
              </w:tc>
              <w:tc>
                <w:tcPr>
                  <w:tcW w:w="699" w:type="pct"/>
                  <w:tcBorders>
                    <w:left w:val="single" w:color="auto" w:sz="4" w:space="0"/>
                  </w:tcBorders>
                  <w:noWrap w:val="0"/>
                  <w:vAlign w:val="center"/>
                </w:tcPr>
                <w:p w14:paraId="234A50F8">
                  <w:pPr>
                    <w:pStyle w:val="67"/>
                    <w:adjustRightInd w:val="0"/>
                    <w:snapToGrid w:val="0"/>
                    <w:jc w:val="center"/>
                    <w:rPr>
                      <w:rFonts w:hint="default" w:ascii="Times New Roman" w:hAnsi="Times New Roman" w:eastAsia="宋体" w:cs="Times New Roman"/>
                      <w:b w:val="0"/>
                      <w:bCs w:val="0"/>
                      <w:snapToGrid w:val="0"/>
                      <w:color w:val="auto"/>
                      <w:spacing w:val="-2"/>
                      <w:kern w:val="2"/>
                      <w:sz w:val="21"/>
                      <w:szCs w:val="21"/>
                    </w:rPr>
                  </w:pPr>
                  <w:r>
                    <w:rPr>
                      <w:rFonts w:hint="eastAsia" w:cs="Times New Roman"/>
                      <w:b w:val="0"/>
                      <w:bCs w:val="0"/>
                      <w:snapToGrid w:val="0"/>
                      <w:color w:val="auto"/>
                      <w:spacing w:val="-2"/>
                      <w:kern w:val="2"/>
                      <w:sz w:val="21"/>
                      <w:szCs w:val="21"/>
                      <w:lang w:eastAsia="zh-CN"/>
                    </w:rPr>
                    <w:t>点位编号</w:t>
                  </w:r>
                </w:p>
              </w:tc>
              <w:tc>
                <w:tcPr>
                  <w:tcW w:w="1264" w:type="pct"/>
                  <w:noWrap w:val="0"/>
                  <w:vAlign w:val="center"/>
                </w:tcPr>
                <w:p w14:paraId="5F865D82">
                  <w:pPr>
                    <w:pStyle w:val="67"/>
                    <w:adjustRightInd w:val="0"/>
                    <w:snapToGrid w:val="0"/>
                    <w:jc w:val="center"/>
                    <w:rPr>
                      <w:rFonts w:hint="default" w:ascii="Times New Roman" w:hAnsi="Times New Roman" w:eastAsia="宋体" w:cs="Times New Roman"/>
                      <w:b w:val="0"/>
                      <w:bCs w:val="0"/>
                      <w:snapToGrid w:val="0"/>
                      <w:color w:val="auto"/>
                      <w:spacing w:val="-2"/>
                      <w:kern w:val="2"/>
                      <w:sz w:val="21"/>
                      <w:szCs w:val="21"/>
                    </w:rPr>
                  </w:pPr>
                  <w:r>
                    <w:rPr>
                      <w:rFonts w:hint="default" w:ascii="Times New Roman" w:hAnsi="Times New Roman" w:eastAsia="宋体" w:cs="Times New Roman"/>
                      <w:b w:val="0"/>
                      <w:bCs w:val="0"/>
                      <w:snapToGrid w:val="0"/>
                      <w:color w:val="auto"/>
                      <w:spacing w:val="-2"/>
                      <w:kern w:val="2"/>
                      <w:sz w:val="21"/>
                      <w:szCs w:val="21"/>
                      <w:lang w:val="en-US" w:eastAsia="zh-CN"/>
                    </w:rPr>
                    <w:t>距本项目</w:t>
                  </w:r>
                  <w:r>
                    <w:rPr>
                      <w:rFonts w:hint="default" w:ascii="Times New Roman" w:hAnsi="Times New Roman" w:eastAsia="宋体" w:cs="Times New Roman"/>
                      <w:b w:val="0"/>
                      <w:bCs w:val="0"/>
                      <w:snapToGrid w:val="0"/>
                      <w:color w:val="auto"/>
                      <w:spacing w:val="-2"/>
                      <w:kern w:val="2"/>
                      <w:sz w:val="21"/>
                      <w:szCs w:val="21"/>
                    </w:rPr>
                    <w:t>方位及距离</w:t>
                  </w:r>
                </w:p>
              </w:tc>
              <w:tc>
                <w:tcPr>
                  <w:tcW w:w="1716" w:type="pct"/>
                  <w:noWrap w:val="0"/>
                  <w:vAlign w:val="center"/>
                </w:tcPr>
                <w:p w14:paraId="15FBBFFE">
                  <w:pPr>
                    <w:pStyle w:val="67"/>
                    <w:adjustRightInd w:val="0"/>
                    <w:snapToGrid w:val="0"/>
                    <w:jc w:val="center"/>
                    <w:rPr>
                      <w:rFonts w:hint="default" w:ascii="Times New Roman" w:hAnsi="Times New Roman" w:eastAsia="宋体" w:cs="Times New Roman"/>
                      <w:b w:val="0"/>
                      <w:bCs w:val="0"/>
                      <w:snapToGrid w:val="0"/>
                      <w:color w:val="auto"/>
                      <w:spacing w:val="-2"/>
                      <w:kern w:val="2"/>
                      <w:sz w:val="21"/>
                      <w:szCs w:val="21"/>
                      <w:lang w:val="en-US" w:eastAsia="zh-CN"/>
                    </w:rPr>
                  </w:pPr>
                  <w:r>
                    <w:rPr>
                      <w:rFonts w:hint="default" w:ascii="Times New Roman" w:hAnsi="Times New Roman" w:eastAsia="宋体" w:cs="Times New Roman"/>
                      <w:b w:val="0"/>
                      <w:bCs w:val="0"/>
                      <w:snapToGrid w:val="0"/>
                      <w:color w:val="auto"/>
                      <w:spacing w:val="-2"/>
                      <w:kern w:val="2"/>
                      <w:sz w:val="21"/>
                      <w:szCs w:val="21"/>
                      <w:lang w:val="en-US" w:eastAsia="zh-CN"/>
                    </w:rPr>
                    <w:t>引用</w:t>
                  </w:r>
                  <w:r>
                    <w:rPr>
                      <w:rFonts w:hint="default" w:ascii="Times New Roman" w:hAnsi="Times New Roman" w:eastAsia="宋体" w:cs="Times New Roman"/>
                      <w:b w:val="0"/>
                      <w:bCs w:val="0"/>
                      <w:snapToGrid w:val="0"/>
                      <w:color w:val="auto"/>
                      <w:spacing w:val="-2"/>
                      <w:kern w:val="2"/>
                      <w:sz w:val="21"/>
                      <w:szCs w:val="21"/>
                    </w:rPr>
                    <w:t>监测</w:t>
                  </w:r>
                  <w:r>
                    <w:rPr>
                      <w:rFonts w:hint="default" w:ascii="Times New Roman" w:hAnsi="Times New Roman" w:eastAsia="宋体" w:cs="Times New Roman"/>
                      <w:b w:val="0"/>
                      <w:bCs w:val="0"/>
                      <w:snapToGrid w:val="0"/>
                      <w:color w:val="auto"/>
                      <w:spacing w:val="-2"/>
                      <w:kern w:val="2"/>
                      <w:sz w:val="21"/>
                      <w:szCs w:val="21"/>
                      <w:lang w:val="en-US" w:eastAsia="zh-CN"/>
                    </w:rPr>
                    <w:t>因子</w:t>
                  </w:r>
                </w:p>
              </w:tc>
            </w:tr>
            <w:tr w14:paraId="36BDA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48" w:type="dxa"/>
                  <w:tcBorders>
                    <w:right w:val="single" w:color="auto" w:sz="4" w:space="0"/>
                  </w:tcBorders>
                  <w:noWrap w:val="0"/>
                  <w:vAlign w:val="center"/>
                </w:tcPr>
                <w:p w14:paraId="46E8E34F">
                  <w:pPr>
                    <w:pStyle w:val="67"/>
                    <w:adjustRightInd w:val="0"/>
                    <w:snapToGrid w:val="0"/>
                    <w:jc w:val="center"/>
                    <w:rPr>
                      <w:rFonts w:hint="default" w:ascii="Times New Roman" w:hAnsi="Times New Roman" w:eastAsia="宋体"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连城镇</w:t>
                  </w:r>
                </w:p>
              </w:tc>
              <w:tc>
                <w:tcPr>
                  <w:tcW w:w="1245" w:type="dxa"/>
                  <w:tcBorders>
                    <w:left w:val="single" w:color="auto" w:sz="4" w:space="0"/>
                  </w:tcBorders>
                  <w:noWrap w:val="0"/>
                  <w:vAlign w:val="top"/>
                </w:tcPr>
                <w:p w14:paraId="7D9C413C">
                  <w:pPr>
                    <w:widowControl w:val="0"/>
                    <w:kinsoku/>
                    <w:autoSpaceDE/>
                    <w:autoSpaceDN/>
                    <w:adjustRightInd/>
                    <w:snapToGrid/>
                    <w:spacing w:line="320" w:lineRule="exact"/>
                    <w:jc w:val="center"/>
                    <w:textAlignment w:val="auto"/>
                    <w:rPr>
                      <w:rFonts w:hint="eastAsia" w:cs="Times New Roman"/>
                      <w:snapToGrid w:val="0"/>
                      <w:color w:val="auto"/>
                      <w:spacing w:val="-2"/>
                      <w:kern w:val="2"/>
                      <w:sz w:val="21"/>
                      <w:szCs w:val="21"/>
                      <w:lang w:val="en-US" w:eastAsia="zh-CN"/>
                    </w:rPr>
                  </w:pPr>
                  <w:r>
                    <w:rPr>
                      <w:rFonts w:hint="default" w:ascii="Times New Roman" w:hAnsi="Times New Roman" w:eastAsia="宋体" w:cs="Times New Roman"/>
                      <w:b w:val="0"/>
                      <w:bCs/>
                      <w:snapToGrid/>
                      <w:color w:val="auto"/>
                      <w:kern w:val="2"/>
                      <w:szCs w:val="21"/>
                      <w:lang w:eastAsia="zh-CN"/>
                    </w:rPr>
                    <w:t>G1</w:t>
                  </w:r>
                </w:p>
              </w:tc>
              <w:tc>
                <w:tcPr>
                  <w:tcW w:w="2250" w:type="dxa"/>
                  <w:noWrap w:val="0"/>
                  <w:vAlign w:val="center"/>
                </w:tcPr>
                <w:p w14:paraId="4BB208DA">
                  <w:pPr>
                    <w:pStyle w:val="67"/>
                    <w:adjustRightInd w:val="0"/>
                    <w:snapToGrid w:val="0"/>
                    <w:jc w:val="center"/>
                    <w:rPr>
                      <w:rFonts w:hint="default" w:ascii="Times New Roman" w:hAnsi="Times New Roman" w:eastAsia="宋体" w:cs="Times New Roman"/>
                      <w:snapToGrid w:val="0"/>
                      <w:color w:val="auto"/>
                      <w:spacing w:val="-2"/>
                      <w:kern w:val="2"/>
                      <w:sz w:val="21"/>
                      <w:szCs w:val="21"/>
                      <w:highlight w:val="none"/>
                      <w:lang w:val="en-US" w:eastAsia="zh-CN"/>
                    </w:rPr>
                  </w:pPr>
                  <w:r>
                    <w:rPr>
                      <w:rFonts w:hint="eastAsia" w:cs="Times New Roman"/>
                      <w:snapToGrid w:val="0"/>
                      <w:color w:val="auto"/>
                      <w:spacing w:val="-2"/>
                      <w:kern w:val="2"/>
                      <w:sz w:val="21"/>
                      <w:szCs w:val="21"/>
                      <w:highlight w:val="none"/>
                      <w:lang w:val="en-US" w:eastAsia="zh-CN"/>
                    </w:rPr>
                    <w:t>西南</w:t>
                  </w:r>
                  <w:r>
                    <w:rPr>
                      <w:rFonts w:hint="default" w:ascii="Times New Roman" w:hAnsi="Times New Roman" w:eastAsia="宋体" w:cs="Times New Roman"/>
                      <w:snapToGrid w:val="0"/>
                      <w:color w:val="auto"/>
                      <w:spacing w:val="-2"/>
                      <w:kern w:val="2"/>
                      <w:sz w:val="21"/>
                      <w:szCs w:val="21"/>
                      <w:highlight w:val="none"/>
                      <w:lang w:eastAsia="zh-CN"/>
                    </w:rPr>
                    <w:t>，</w:t>
                  </w:r>
                  <w:r>
                    <w:rPr>
                      <w:rFonts w:hint="eastAsia" w:cs="Times New Roman"/>
                      <w:snapToGrid w:val="0"/>
                      <w:color w:val="auto"/>
                      <w:spacing w:val="-2"/>
                      <w:kern w:val="2"/>
                      <w:sz w:val="21"/>
                      <w:szCs w:val="21"/>
                      <w:highlight w:val="none"/>
                      <w:lang w:val="en-US" w:eastAsia="zh-CN"/>
                    </w:rPr>
                    <w:t>1463</w:t>
                  </w:r>
                  <w:r>
                    <w:rPr>
                      <w:rFonts w:hint="default" w:ascii="Times New Roman" w:hAnsi="Times New Roman" w:eastAsia="宋体" w:cs="Times New Roman"/>
                      <w:snapToGrid w:val="0"/>
                      <w:color w:val="auto"/>
                      <w:spacing w:val="-2"/>
                      <w:kern w:val="2"/>
                      <w:sz w:val="21"/>
                      <w:szCs w:val="21"/>
                      <w:highlight w:val="none"/>
                      <w:lang w:val="en-US" w:eastAsia="zh-CN"/>
                    </w:rPr>
                    <w:t>m</w:t>
                  </w:r>
                </w:p>
              </w:tc>
              <w:tc>
                <w:tcPr>
                  <w:tcW w:w="1716" w:type="pct"/>
                  <w:vMerge w:val="restart"/>
                  <w:noWrap w:val="0"/>
                  <w:vAlign w:val="center"/>
                </w:tcPr>
                <w:p w14:paraId="74212A10">
                  <w:pPr>
                    <w:pStyle w:val="67"/>
                    <w:adjustRightInd w:val="0"/>
                    <w:snapToGrid w:val="0"/>
                    <w:jc w:val="center"/>
                    <w:rPr>
                      <w:rFonts w:hint="default" w:ascii="Times New Roman" w:hAnsi="Times New Roman" w:eastAsia="宋体"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TSP、</w:t>
                  </w:r>
                  <w:r>
                    <w:rPr>
                      <w:rFonts w:hint="default" w:ascii="Times New Roman" w:hAnsi="Times New Roman" w:eastAsia="宋体" w:cs="Times New Roman"/>
                      <w:snapToGrid w:val="0"/>
                      <w:color w:val="auto"/>
                      <w:spacing w:val="-2"/>
                      <w:kern w:val="2"/>
                      <w:sz w:val="21"/>
                      <w:szCs w:val="21"/>
                      <w:lang w:eastAsia="zh-CN"/>
                    </w:rPr>
                    <w:t>非甲烷总烃</w:t>
                  </w:r>
                </w:p>
              </w:tc>
            </w:tr>
            <w:tr w14:paraId="73C7E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48" w:type="dxa"/>
                  <w:tcBorders>
                    <w:right w:val="single" w:color="auto" w:sz="4" w:space="0"/>
                  </w:tcBorders>
                  <w:noWrap w:val="0"/>
                  <w:vAlign w:val="center"/>
                </w:tcPr>
                <w:p w14:paraId="7F50C9AB">
                  <w:pPr>
                    <w:pStyle w:val="67"/>
                    <w:adjustRightInd w:val="0"/>
                    <w:snapToGrid w:val="0"/>
                    <w:jc w:val="center"/>
                    <w:rPr>
                      <w:rFonts w:hint="eastAsia"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北场</w:t>
                  </w:r>
                </w:p>
              </w:tc>
              <w:tc>
                <w:tcPr>
                  <w:tcW w:w="1245" w:type="dxa"/>
                  <w:tcBorders>
                    <w:left w:val="single" w:color="auto" w:sz="4" w:space="0"/>
                  </w:tcBorders>
                  <w:noWrap w:val="0"/>
                  <w:vAlign w:val="top"/>
                </w:tcPr>
                <w:p w14:paraId="4E15839E">
                  <w:pPr>
                    <w:widowControl w:val="0"/>
                    <w:kinsoku/>
                    <w:autoSpaceDE/>
                    <w:autoSpaceDN/>
                    <w:adjustRightInd/>
                    <w:snapToGrid/>
                    <w:spacing w:line="320" w:lineRule="exact"/>
                    <w:jc w:val="center"/>
                    <w:textAlignment w:val="auto"/>
                    <w:rPr>
                      <w:rFonts w:hint="eastAsia" w:cs="Times New Roman"/>
                      <w:snapToGrid w:val="0"/>
                      <w:color w:val="auto"/>
                      <w:spacing w:val="-2"/>
                      <w:kern w:val="2"/>
                      <w:sz w:val="21"/>
                      <w:szCs w:val="21"/>
                      <w:lang w:val="en-US" w:eastAsia="zh-CN"/>
                    </w:rPr>
                  </w:pPr>
                  <w:r>
                    <w:rPr>
                      <w:rFonts w:hint="default" w:ascii="Times New Roman" w:hAnsi="Times New Roman" w:eastAsia="宋体" w:cs="Times New Roman"/>
                      <w:b w:val="0"/>
                      <w:bCs/>
                      <w:snapToGrid/>
                      <w:color w:val="auto"/>
                      <w:kern w:val="2"/>
                      <w:szCs w:val="21"/>
                      <w:lang w:eastAsia="zh-CN"/>
                    </w:rPr>
                    <w:t>G2</w:t>
                  </w:r>
                </w:p>
              </w:tc>
              <w:tc>
                <w:tcPr>
                  <w:tcW w:w="2250" w:type="dxa"/>
                  <w:noWrap w:val="0"/>
                  <w:vAlign w:val="center"/>
                </w:tcPr>
                <w:p w14:paraId="5954A839">
                  <w:pPr>
                    <w:pStyle w:val="67"/>
                    <w:adjustRightInd w:val="0"/>
                    <w:snapToGrid w:val="0"/>
                    <w:jc w:val="center"/>
                    <w:rPr>
                      <w:rFonts w:hint="default" w:cs="Times New Roman"/>
                      <w:snapToGrid w:val="0"/>
                      <w:color w:val="auto"/>
                      <w:spacing w:val="-2"/>
                      <w:kern w:val="2"/>
                      <w:sz w:val="21"/>
                      <w:szCs w:val="21"/>
                      <w:highlight w:val="none"/>
                      <w:lang w:val="en-US" w:eastAsia="zh-CN"/>
                    </w:rPr>
                  </w:pPr>
                  <w:r>
                    <w:rPr>
                      <w:rFonts w:hint="eastAsia" w:cs="Times New Roman"/>
                      <w:snapToGrid w:val="0"/>
                      <w:color w:val="auto"/>
                      <w:spacing w:val="-2"/>
                      <w:kern w:val="2"/>
                      <w:sz w:val="21"/>
                      <w:szCs w:val="21"/>
                      <w:highlight w:val="none"/>
                      <w:lang w:val="en-US" w:eastAsia="zh-CN"/>
                    </w:rPr>
                    <w:t>西南，4420m</w:t>
                  </w:r>
                </w:p>
              </w:tc>
              <w:tc>
                <w:tcPr>
                  <w:tcW w:w="1716" w:type="pct"/>
                  <w:vMerge w:val="continue"/>
                  <w:noWrap w:val="0"/>
                  <w:vAlign w:val="center"/>
                </w:tcPr>
                <w:p w14:paraId="05397542">
                  <w:pPr>
                    <w:pStyle w:val="67"/>
                    <w:adjustRightInd w:val="0"/>
                    <w:snapToGrid w:val="0"/>
                    <w:jc w:val="center"/>
                    <w:rPr>
                      <w:rFonts w:hint="eastAsia" w:cs="Times New Roman"/>
                      <w:snapToGrid w:val="0"/>
                      <w:color w:val="auto"/>
                      <w:spacing w:val="-2"/>
                      <w:kern w:val="2"/>
                      <w:sz w:val="21"/>
                      <w:szCs w:val="21"/>
                      <w:lang w:val="en-US" w:eastAsia="zh-CN"/>
                    </w:rPr>
                  </w:pPr>
                </w:p>
              </w:tc>
            </w:tr>
          </w:tbl>
          <w:p w14:paraId="11F38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none"/>
                <w:lang w:eastAsia="zh-CN"/>
              </w:rPr>
            </w:pPr>
            <w:r>
              <w:rPr>
                <w:rFonts w:hint="default" w:ascii="Times New Roman" w:hAnsi="Times New Roman" w:eastAsia="宋体" w:cs="Times New Roman"/>
                <w:b/>
                <w:bCs/>
                <w:color w:val="auto"/>
                <w:kern w:val="2"/>
                <w:sz w:val="21"/>
                <w:szCs w:val="21"/>
                <w:u w:val="none"/>
                <w:lang w:eastAsia="zh-CN"/>
              </w:rPr>
              <w:object>
                <v:shape id="_x0000_i1029" o:spt="75" type="#_x0000_t75" style="height:526.5pt;width:393pt;" o:ole="t" filled="f" o:preferrelative="t" stroked="f" coordsize="21600,21600">
                  <v:path/>
                  <v:fill on="f" focussize="0,0"/>
                  <v:stroke on="f"/>
                  <v:imagedata r:id="rId17" o:title=""/>
                  <o:lock v:ext="edit" aspectratio="f"/>
                  <w10:wrap type="none"/>
                  <w10:anchorlock/>
                </v:shape>
                <o:OLEObject Type="Embed" ProgID="Visio.Drawing.11" ShapeID="_x0000_i1029" DrawAspect="Content" ObjectID="_1468075729" r:id="rId16">
                  <o:LockedField>false</o:LockedField>
                </o:OLEObject>
              </w:object>
            </w:r>
          </w:p>
          <w:p w14:paraId="3DD8D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Cs w:val="22"/>
                <w:u w:val="none"/>
                <w:lang w:eastAsia="zh-CN"/>
              </w:rPr>
            </w:pPr>
            <w:r>
              <w:rPr>
                <w:rFonts w:hint="default" w:ascii="Times New Roman" w:hAnsi="Times New Roman" w:eastAsia="宋体" w:cs="Times New Roman"/>
                <w:b/>
                <w:bCs/>
                <w:color w:val="auto"/>
                <w:kern w:val="2"/>
                <w:sz w:val="21"/>
                <w:szCs w:val="21"/>
                <w:u w:val="none"/>
                <w:lang w:eastAsia="zh-CN"/>
              </w:rPr>
              <w:t>图</w:t>
            </w:r>
            <w:r>
              <w:rPr>
                <w:rFonts w:hint="eastAsia" w:ascii="Times New Roman" w:hAnsi="Times New Roman" w:eastAsia="宋体" w:cs="Times New Roman"/>
                <w:b/>
                <w:bCs/>
                <w:color w:val="auto"/>
                <w:kern w:val="2"/>
                <w:sz w:val="21"/>
                <w:szCs w:val="21"/>
                <w:u w:val="none"/>
                <w:lang w:val="en-US" w:eastAsia="zh-CN"/>
              </w:rPr>
              <w:t>3</w:t>
            </w:r>
            <w:r>
              <w:rPr>
                <w:rFonts w:hint="default" w:ascii="Times New Roman" w:hAnsi="Times New Roman" w:eastAsia="宋体" w:cs="Times New Roman"/>
                <w:b/>
                <w:bCs/>
                <w:color w:val="auto"/>
                <w:kern w:val="2"/>
                <w:sz w:val="21"/>
                <w:szCs w:val="21"/>
                <w:u w:val="none"/>
                <w:lang w:val="en-US" w:eastAsia="zh-CN"/>
              </w:rPr>
              <w:t>-1 环境空气现状监测点位示意图</w:t>
            </w:r>
          </w:p>
          <w:p w14:paraId="53A51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表</w:t>
            </w:r>
            <w:r>
              <w:rPr>
                <w:rFonts w:hint="eastAsia" w:cs="Times New Roman"/>
                <w:b/>
                <w:bCs/>
                <w:color w:val="auto"/>
                <w:kern w:val="2"/>
                <w:sz w:val="21"/>
                <w:szCs w:val="21"/>
                <w:u w:val="none"/>
                <w:lang w:val="en-US" w:eastAsia="zh-CN" w:bidi="ar-SA"/>
              </w:rPr>
              <w:t>3</w:t>
            </w:r>
            <w:r>
              <w:rPr>
                <w:rFonts w:hint="default" w:ascii="Times New Roman" w:hAnsi="Times New Roman" w:eastAsia="宋体" w:cs="Times New Roman"/>
                <w:b/>
                <w:bCs/>
                <w:color w:val="auto"/>
                <w:kern w:val="2"/>
                <w:sz w:val="21"/>
                <w:szCs w:val="21"/>
                <w:u w:val="none"/>
                <w:lang w:val="en-US" w:eastAsia="zh-CN" w:bidi="ar-SA"/>
              </w:rPr>
              <w:t>-</w:t>
            </w:r>
            <w:r>
              <w:rPr>
                <w:rFonts w:hint="eastAsia" w:ascii="Times New Roman" w:hAnsi="Times New Roman" w:eastAsia="宋体" w:cs="Times New Roman"/>
                <w:b/>
                <w:bCs/>
                <w:color w:val="auto"/>
                <w:kern w:val="2"/>
                <w:sz w:val="21"/>
                <w:szCs w:val="21"/>
                <w:u w:val="none"/>
                <w:lang w:val="en-US" w:eastAsia="zh-CN" w:bidi="ar-SA"/>
              </w:rPr>
              <w:t>3</w:t>
            </w:r>
            <w:r>
              <w:rPr>
                <w:rFonts w:hint="default" w:ascii="Times New Roman" w:hAnsi="Times New Roman" w:eastAsia="宋体" w:cs="Times New Roman"/>
                <w:b/>
                <w:bCs/>
                <w:color w:val="auto"/>
                <w:kern w:val="2"/>
                <w:sz w:val="21"/>
                <w:szCs w:val="21"/>
                <w:u w:val="none"/>
                <w:lang w:val="en-US" w:eastAsia="zh-CN" w:bidi="ar-SA"/>
              </w:rPr>
              <w:t xml:space="preserve">  特征污染物环境质量现状监测结果表</w:t>
            </w:r>
          </w:p>
          <w:tbl>
            <w:tblPr>
              <w:tblStyle w:val="29"/>
              <w:tblW w:w="889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41"/>
              <w:gridCol w:w="1052"/>
              <w:gridCol w:w="1454"/>
              <w:gridCol w:w="1266"/>
              <w:gridCol w:w="1238"/>
              <w:gridCol w:w="1078"/>
              <w:gridCol w:w="841"/>
              <w:gridCol w:w="727"/>
            </w:tblGrid>
            <w:tr w14:paraId="79F441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41" w:type="dxa"/>
                  <w:vMerge w:val="restart"/>
                  <w:tcBorders>
                    <w:top w:val="single" w:color="auto" w:sz="4" w:space="0"/>
                    <w:left w:val="single" w:color="auto" w:sz="4" w:space="0"/>
                    <w:bottom w:val="single" w:color="000000" w:sz="4" w:space="0"/>
                    <w:right w:val="single" w:color="000000" w:sz="4" w:space="0"/>
                  </w:tcBorders>
                  <w:noWrap w:val="0"/>
                  <w:vAlign w:val="center"/>
                </w:tcPr>
                <w:p w14:paraId="0E11CB1E">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eastAsia" w:cs="Times New Roman"/>
                      <w:b w:val="0"/>
                      <w:bCs w:val="0"/>
                      <w:color w:val="auto"/>
                      <w:spacing w:val="-2"/>
                      <w:kern w:val="0"/>
                      <w:sz w:val="21"/>
                      <w:szCs w:val="21"/>
                      <w:lang w:val="en-US" w:eastAsia="zh-CN" w:bidi="ar"/>
                    </w:rPr>
                    <w:t>监测点位</w:t>
                  </w:r>
                </w:p>
              </w:tc>
              <w:tc>
                <w:tcPr>
                  <w:tcW w:w="1052" w:type="dxa"/>
                  <w:vMerge w:val="restart"/>
                  <w:tcBorders>
                    <w:top w:val="single" w:color="auto" w:sz="4" w:space="0"/>
                    <w:left w:val="nil"/>
                    <w:bottom w:val="single" w:color="000000" w:sz="4" w:space="0"/>
                    <w:right w:val="single" w:color="000000" w:sz="4" w:space="0"/>
                  </w:tcBorders>
                  <w:noWrap w:val="0"/>
                  <w:vAlign w:val="center"/>
                </w:tcPr>
                <w:p w14:paraId="6913AEAE">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污染物</w:t>
                  </w:r>
                </w:p>
              </w:tc>
              <w:tc>
                <w:tcPr>
                  <w:tcW w:w="2720" w:type="dxa"/>
                  <w:gridSpan w:val="2"/>
                  <w:tcBorders>
                    <w:top w:val="single" w:color="auto" w:sz="4" w:space="0"/>
                    <w:left w:val="nil"/>
                    <w:bottom w:val="nil"/>
                    <w:right w:val="single" w:color="000000" w:sz="4" w:space="0"/>
                  </w:tcBorders>
                  <w:noWrap w:val="0"/>
                  <w:vAlign w:val="center"/>
                </w:tcPr>
                <w:p w14:paraId="06D03E91">
                  <w:pPr>
                    <w:keepNext w:val="0"/>
                    <w:keepLines w:val="0"/>
                    <w:widowControl/>
                    <w:suppressLineNumbers w:val="0"/>
                    <w:autoSpaceDE w:val="0"/>
                    <w:autoSpaceDN/>
                    <w:spacing w:before="0" w:beforeAutospacing="0" w:after="0" w:afterAutospacing="0"/>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kern w:val="0"/>
                      <w:sz w:val="21"/>
                      <w:szCs w:val="21"/>
                      <w:lang w:val="en-US" w:eastAsia="zh-CN" w:bidi="ar"/>
                    </w:rPr>
                    <w:t>时均(或一次)浓度值</w:t>
                  </w:r>
                </w:p>
              </w:tc>
              <w:tc>
                <w:tcPr>
                  <w:tcW w:w="1238" w:type="dxa"/>
                  <w:vMerge w:val="restart"/>
                  <w:tcBorders>
                    <w:top w:val="single" w:color="auto" w:sz="4" w:space="0"/>
                    <w:left w:val="nil"/>
                    <w:bottom w:val="single" w:color="000000" w:sz="4" w:space="0"/>
                    <w:right w:val="single" w:color="000000" w:sz="4" w:space="0"/>
                  </w:tcBorders>
                  <w:noWrap w:val="0"/>
                  <w:vAlign w:val="center"/>
                </w:tcPr>
                <w:p w14:paraId="6FB0D44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评价标准mg/m</w:t>
                  </w:r>
                  <w:r>
                    <w:rPr>
                      <w:rFonts w:hint="default" w:ascii="Times New Roman" w:hAnsi="Times New Roman" w:eastAsia="宋体" w:cs="Times New Roman"/>
                      <w:b w:val="0"/>
                      <w:bCs w:val="0"/>
                      <w:color w:val="auto"/>
                      <w:spacing w:val="-2"/>
                      <w:kern w:val="0"/>
                      <w:sz w:val="21"/>
                      <w:szCs w:val="21"/>
                      <w:vertAlign w:val="superscript"/>
                      <w:lang w:val="en-US" w:eastAsia="zh-CN" w:bidi="ar"/>
                    </w:rPr>
                    <w:t>3</w:t>
                  </w:r>
                </w:p>
              </w:tc>
              <w:tc>
                <w:tcPr>
                  <w:tcW w:w="1078" w:type="dxa"/>
                  <w:vMerge w:val="restart"/>
                  <w:tcBorders>
                    <w:top w:val="single" w:color="auto" w:sz="4" w:space="0"/>
                    <w:left w:val="nil"/>
                    <w:bottom w:val="single" w:color="000000" w:sz="4" w:space="0"/>
                    <w:right w:val="single" w:color="000000" w:sz="4" w:space="0"/>
                  </w:tcBorders>
                  <w:noWrap w:val="0"/>
                  <w:vAlign w:val="center"/>
                </w:tcPr>
                <w:p w14:paraId="6E23A30A">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最大浓度占标率%</w:t>
                  </w:r>
                </w:p>
              </w:tc>
              <w:tc>
                <w:tcPr>
                  <w:tcW w:w="841" w:type="dxa"/>
                  <w:vMerge w:val="restart"/>
                  <w:tcBorders>
                    <w:top w:val="single" w:color="auto" w:sz="4" w:space="0"/>
                    <w:left w:val="nil"/>
                    <w:bottom w:val="single" w:color="000000" w:sz="4" w:space="0"/>
                    <w:right w:val="single" w:color="000000" w:sz="4" w:space="0"/>
                  </w:tcBorders>
                  <w:noWrap w:val="0"/>
                  <w:vAlign w:val="center"/>
                </w:tcPr>
                <w:p w14:paraId="4100B4D5">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超标率%</w:t>
                  </w:r>
                </w:p>
              </w:tc>
              <w:tc>
                <w:tcPr>
                  <w:tcW w:w="727" w:type="dxa"/>
                  <w:vMerge w:val="restart"/>
                  <w:tcBorders>
                    <w:top w:val="single" w:color="auto" w:sz="4" w:space="0"/>
                    <w:left w:val="nil"/>
                    <w:bottom w:val="single" w:color="000000" w:sz="4" w:space="0"/>
                    <w:right w:val="single" w:color="auto" w:sz="4" w:space="0"/>
                  </w:tcBorders>
                  <w:noWrap w:val="0"/>
                  <w:vAlign w:val="center"/>
                </w:tcPr>
                <w:p w14:paraId="4B518338">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达标情况</w:t>
                  </w:r>
                </w:p>
              </w:tc>
            </w:tr>
            <w:tr w14:paraId="7219BC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41" w:type="dxa"/>
                  <w:vMerge w:val="continue"/>
                  <w:tcBorders>
                    <w:top w:val="single" w:color="auto" w:sz="4" w:space="0"/>
                    <w:left w:val="single" w:color="auto" w:sz="4" w:space="0"/>
                    <w:bottom w:val="single" w:color="000000" w:sz="4" w:space="0"/>
                    <w:right w:val="single" w:color="000000" w:sz="4" w:space="0"/>
                  </w:tcBorders>
                  <w:noWrap w:val="0"/>
                  <w:vAlign w:val="center"/>
                </w:tcPr>
                <w:p w14:paraId="72693ECB">
                  <w:pPr>
                    <w:rPr>
                      <w:rFonts w:hint="default" w:ascii="Times New Roman" w:hAnsi="Times New Roman" w:eastAsia="宋体" w:cs="Times New Roman"/>
                      <w:color w:val="auto"/>
                      <w:sz w:val="21"/>
                      <w:szCs w:val="21"/>
                    </w:rPr>
                  </w:pPr>
                </w:p>
              </w:tc>
              <w:tc>
                <w:tcPr>
                  <w:tcW w:w="1052" w:type="dxa"/>
                  <w:vMerge w:val="continue"/>
                  <w:tcBorders>
                    <w:top w:val="single" w:color="auto" w:sz="4" w:space="0"/>
                    <w:left w:val="nil"/>
                    <w:bottom w:val="single" w:color="000000" w:sz="4" w:space="0"/>
                    <w:right w:val="single" w:color="000000" w:sz="4" w:space="0"/>
                  </w:tcBorders>
                  <w:noWrap w:val="0"/>
                  <w:vAlign w:val="center"/>
                </w:tcPr>
                <w:p w14:paraId="38979EF8">
                  <w:pPr>
                    <w:rPr>
                      <w:rFonts w:hint="default" w:ascii="Times New Roman" w:hAnsi="Times New Roman" w:eastAsia="宋体" w:cs="Times New Roman"/>
                      <w:color w:val="auto"/>
                      <w:sz w:val="21"/>
                      <w:szCs w:val="21"/>
                    </w:rPr>
                  </w:pPr>
                </w:p>
              </w:tc>
              <w:tc>
                <w:tcPr>
                  <w:tcW w:w="2720" w:type="dxa"/>
                  <w:gridSpan w:val="2"/>
                  <w:tcBorders>
                    <w:top w:val="single" w:color="000000" w:sz="4" w:space="0"/>
                    <w:left w:val="nil"/>
                    <w:bottom w:val="single" w:color="000000" w:sz="4" w:space="0"/>
                    <w:right w:val="single" w:color="000000" w:sz="4" w:space="0"/>
                  </w:tcBorders>
                  <w:noWrap w:val="0"/>
                  <w:vAlign w:val="center"/>
                </w:tcPr>
                <w:p w14:paraId="36F5AAFB">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浓度范围mg/m</w:t>
                  </w:r>
                  <w:r>
                    <w:rPr>
                      <w:rFonts w:hint="default" w:ascii="Times New Roman" w:hAnsi="Times New Roman" w:eastAsia="宋体" w:cs="Times New Roman"/>
                      <w:b w:val="0"/>
                      <w:bCs w:val="0"/>
                      <w:color w:val="auto"/>
                      <w:spacing w:val="-2"/>
                      <w:kern w:val="0"/>
                      <w:sz w:val="21"/>
                      <w:szCs w:val="21"/>
                      <w:vertAlign w:val="superscript"/>
                      <w:lang w:val="en-US" w:eastAsia="zh-CN" w:bidi="ar"/>
                    </w:rPr>
                    <w:t>3</w:t>
                  </w:r>
                </w:p>
              </w:tc>
              <w:tc>
                <w:tcPr>
                  <w:tcW w:w="1238" w:type="dxa"/>
                  <w:vMerge w:val="continue"/>
                  <w:tcBorders>
                    <w:top w:val="single" w:color="auto" w:sz="4" w:space="0"/>
                    <w:left w:val="nil"/>
                    <w:bottom w:val="single" w:color="000000" w:sz="4" w:space="0"/>
                    <w:right w:val="single" w:color="000000" w:sz="4" w:space="0"/>
                  </w:tcBorders>
                  <w:noWrap w:val="0"/>
                  <w:vAlign w:val="center"/>
                </w:tcPr>
                <w:p w14:paraId="7B5C478E">
                  <w:pPr>
                    <w:rPr>
                      <w:rFonts w:hint="default" w:ascii="Times New Roman" w:hAnsi="Times New Roman" w:eastAsia="宋体" w:cs="Times New Roman"/>
                      <w:color w:val="auto"/>
                      <w:sz w:val="21"/>
                      <w:szCs w:val="21"/>
                    </w:rPr>
                  </w:pPr>
                </w:p>
              </w:tc>
              <w:tc>
                <w:tcPr>
                  <w:tcW w:w="1078" w:type="dxa"/>
                  <w:vMerge w:val="continue"/>
                  <w:tcBorders>
                    <w:top w:val="single" w:color="auto" w:sz="4" w:space="0"/>
                    <w:left w:val="nil"/>
                    <w:bottom w:val="single" w:color="000000" w:sz="4" w:space="0"/>
                    <w:right w:val="single" w:color="000000" w:sz="4" w:space="0"/>
                  </w:tcBorders>
                  <w:noWrap w:val="0"/>
                  <w:vAlign w:val="center"/>
                </w:tcPr>
                <w:p w14:paraId="26A2CD0E">
                  <w:pPr>
                    <w:rPr>
                      <w:rFonts w:hint="default" w:ascii="Times New Roman" w:hAnsi="Times New Roman" w:eastAsia="宋体" w:cs="Times New Roman"/>
                      <w:color w:val="auto"/>
                      <w:sz w:val="21"/>
                      <w:szCs w:val="21"/>
                    </w:rPr>
                  </w:pPr>
                </w:p>
              </w:tc>
              <w:tc>
                <w:tcPr>
                  <w:tcW w:w="841" w:type="dxa"/>
                  <w:vMerge w:val="continue"/>
                  <w:tcBorders>
                    <w:top w:val="single" w:color="auto" w:sz="4" w:space="0"/>
                    <w:left w:val="nil"/>
                    <w:bottom w:val="single" w:color="000000" w:sz="4" w:space="0"/>
                    <w:right w:val="single" w:color="000000" w:sz="4" w:space="0"/>
                  </w:tcBorders>
                  <w:noWrap w:val="0"/>
                  <w:vAlign w:val="center"/>
                </w:tcPr>
                <w:p w14:paraId="2C398071">
                  <w:pPr>
                    <w:rPr>
                      <w:rFonts w:hint="default" w:ascii="Times New Roman" w:hAnsi="Times New Roman" w:eastAsia="宋体" w:cs="Times New Roman"/>
                      <w:color w:val="auto"/>
                      <w:sz w:val="21"/>
                      <w:szCs w:val="21"/>
                    </w:rPr>
                  </w:pPr>
                </w:p>
              </w:tc>
              <w:tc>
                <w:tcPr>
                  <w:tcW w:w="727" w:type="dxa"/>
                  <w:vMerge w:val="continue"/>
                  <w:tcBorders>
                    <w:top w:val="single" w:color="auto" w:sz="4" w:space="0"/>
                    <w:left w:val="nil"/>
                    <w:bottom w:val="single" w:color="000000" w:sz="4" w:space="0"/>
                    <w:right w:val="single" w:color="auto" w:sz="4" w:space="0"/>
                  </w:tcBorders>
                  <w:noWrap w:val="0"/>
                  <w:vAlign w:val="center"/>
                </w:tcPr>
                <w:p w14:paraId="317318B1">
                  <w:pPr>
                    <w:rPr>
                      <w:rFonts w:hint="default" w:ascii="Times New Roman" w:hAnsi="Times New Roman" w:eastAsia="宋体" w:cs="Times New Roman"/>
                      <w:color w:val="auto"/>
                      <w:sz w:val="21"/>
                      <w:szCs w:val="21"/>
                    </w:rPr>
                  </w:pPr>
                </w:p>
              </w:tc>
            </w:tr>
            <w:tr w14:paraId="2861B4D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41" w:type="dxa"/>
                  <w:vMerge w:val="continue"/>
                  <w:tcBorders>
                    <w:top w:val="single" w:color="auto" w:sz="4" w:space="0"/>
                    <w:left w:val="single" w:color="auto" w:sz="4" w:space="0"/>
                    <w:bottom w:val="single" w:color="000000" w:sz="4" w:space="0"/>
                    <w:right w:val="single" w:color="000000" w:sz="4" w:space="0"/>
                  </w:tcBorders>
                  <w:noWrap w:val="0"/>
                  <w:vAlign w:val="center"/>
                </w:tcPr>
                <w:p w14:paraId="382B759D">
                  <w:pPr>
                    <w:rPr>
                      <w:rFonts w:hint="default" w:ascii="Times New Roman" w:hAnsi="Times New Roman" w:eastAsia="宋体" w:cs="Times New Roman"/>
                      <w:color w:val="auto"/>
                      <w:sz w:val="21"/>
                      <w:szCs w:val="21"/>
                    </w:rPr>
                  </w:pPr>
                </w:p>
              </w:tc>
              <w:tc>
                <w:tcPr>
                  <w:tcW w:w="1052" w:type="dxa"/>
                  <w:vMerge w:val="continue"/>
                  <w:tcBorders>
                    <w:top w:val="single" w:color="auto" w:sz="4" w:space="0"/>
                    <w:left w:val="nil"/>
                    <w:bottom w:val="single" w:color="000000" w:sz="4" w:space="0"/>
                    <w:right w:val="single" w:color="000000" w:sz="4" w:space="0"/>
                  </w:tcBorders>
                  <w:noWrap w:val="0"/>
                  <w:vAlign w:val="center"/>
                </w:tcPr>
                <w:p w14:paraId="7B43516A">
                  <w:pPr>
                    <w:rPr>
                      <w:rFonts w:hint="default" w:ascii="Times New Roman" w:hAnsi="Times New Roman" w:eastAsia="宋体" w:cs="Times New Roman"/>
                      <w:color w:val="auto"/>
                      <w:sz w:val="21"/>
                      <w:szCs w:val="21"/>
                    </w:rPr>
                  </w:pPr>
                </w:p>
              </w:tc>
              <w:tc>
                <w:tcPr>
                  <w:tcW w:w="1454" w:type="dxa"/>
                  <w:tcBorders>
                    <w:top w:val="single" w:color="000000" w:sz="4" w:space="0"/>
                    <w:left w:val="nil"/>
                    <w:bottom w:val="single" w:color="000000" w:sz="4" w:space="0"/>
                    <w:right w:val="single" w:color="000000" w:sz="4" w:space="0"/>
                  </w:tcBorders>
                  <w:noWrap w:val="0"/>
                  <w:vAlign w:val="center"/>
                </w:tcPr>
                <w:p w14:paraId="3AB6F37D">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最小值</w:t>
                  </w:r>
                </w:p>
              </w:tc>
              <w:tc>
                <w:tcPr>
                  <w:tcW w:w="1266" w:type="dxa"/>
                  <w:tcBorders>
                    <w:top w:val="single" w:color="000000" w:sz="4" w:space="0"/>
                    <w:left w:val="nil"/>
                    <w:bottom w:val="single" w:color="000000" w:sz="4" w:space="0"/>
                    <w:right w:val="single" w:color="000000" w:sz="4" w:space="0"/>
                  </w:tcBorders>
                  <w:noWrap w:val="0"/>
                  <w:vAlign w:val="center"/>
                </w:tcPr>
                <w:p w14:paraId="5CDCA336">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最大值</w:t>
                  </w:r>
                </w:p>
              </w:tc>
              <w:tc>
                <w:tcPr>
                  <w:tcW w:w="1238" w:type="dxa"/>
                  <w:vMerge w:val="continue"/>
                  <w:tcBorders>
                    <w:top w:val="single" w:color="auto" w:sz="4" w:space="0"/>
                    <w:left w:val="nil"/>
                    <w:bottom w:val="single" w:color="000000" w:sz="4" w:space="0"/>
                    <w:right w:val="single" w:color="000000" w:sz="4" w:space="0"/>
                  </w:tcBorders>
                  <w:noWrap w:val="0"/>
                  <w:vAlign w:val="center"/>
                </w:tcPr>
                <w:p w14:paraId="6A5FB5CD">
                  <w:pPr>
                    <w:rPr>
                      <w:rFonts w:hint="default" w:ascii="Times New Roman" w:hAnsi="Times New Roman" w:eastAsia="宋体" w:cs="Times New Roman"/>
                      <w:color w:val="auto"/>
                      <w:sz w:val="21"/>
                      <w:szCs w:val="21"/>
                    </w:rPr>
                  </w:pPr>
                </w:p>
              </w:tc>
              <w:tc>
                <w:tcPr>
                  <w:tcW w:w="1078" w:type="dxa"/>
                  <w:vMerge w:val="continue"/>
                  <w:tcBorders>
                    <w:top w:val="single" w:color="auto" w:sz="4" w:space="0"/>
                    <w:left w:val="nil"/>
                    <w:bottom w:val="single" w:color="000000" w:sz="4" w:space="0"/>
                    <w:right w:val="single" w:color="000000" w:sz="4" w:space="0"/>
                  </w:tcBorders>
                  <w:noWrap w:val="0"/>
                  <w:vAlign w:val="center"/>
                </w:tcPr>
                <w:p w14:paraId="1F0A1B25">
                  <w:pPr>
                    <w:rPr>
                      <w:rFonts w:hint="default" w:ascii="Times New Roman" w:hAnsi="Times New Roman" w:eastAsia="宋体" w:cs="Times New Roman"/>
                      <w:color w:val="auto"/>
                      <w:sz w:val="21"/>
                      <w:szCs w:val="21"/>
                    </w:rPr>
                  </w:pPr>
                </w:p>
              </w:tc>
              <w:tc>
                <w:tcPr>
                  <w:tcW w:w="841" w:type="dxa"/>
                  <w:vMerge w:val="continue"/>
                  <w:tcBorders>
                    <w:top w:val="single" w:color="auto" w:sz="4" w:space="0"/>
                    <w:left w:val="nil"/>
                    <w:bottom w:val="single" w:color="000000" w:sz="4" w:space="0"/>
                    <w:right w:val="single" w:color="000000" w:sz="4" w:space="0"/>
                  </w:tcBorders>
                  <w:noWrap w:val="0"/>
                  <w:vAlign w:val="center"/>
                </w:tcPr>
                <w:p w14:paraId="740DE76B">
                  <w:pPr>
                    <w:rPr>
                      <w:rFonts w:hint="default" w:ascii="Times New Roman" w:hAnsi="Times New Roman" w:eastAsia="宋体" w:cs="Times New Roman"/>
                      <w:color w:val="auto"/>
                      <w:sz w:val="21"/>
                      <w:szCs w:val="21"/>
                    </w:rPr>
                  </w:pPr>
                </w:p>
              </w:tc>
              <w:tc>
                <w:tcPr>
                  <w:tcW w:w="727" w:type="dxa"/>
                  <w:vMerge w:val="continue"/>
                  <w:tcBorders>
                    <w:top w:val="single" w:color="auto" w:sz="4" w:space="0"/>
                    <w:left w:val="nil"/>
                    <w:bottom w:val="single" w:color="000000" w:sz="4" w:space="0"/>
                    <w:right w:val="single" w:color="auto" w:sz="4" w:space="0"/>
                  </w:tcBorders>
                  <w:noWrap w:val="0"/>
                  <w:vAlign w:val="center"/>
                </w:tcPr>
                <w:p w14:paraId="52CC60F9">
                  <w:pPr>
                    <w:rPr>
                      <w:rFonts w:hint="default" w:ascii="Times New Roman" w:hAnsi="Times New Roman" w:eastAsia="宋体" w:cs="Times New Roman"/>
                      <w:color w:val="auto"/>
                      <w:sz w:val="21"/>
                      <w:szCs w:val="21"/>
                    </w:rPr>
                  </w:pPr>
                </w:p>
              </w:tc>
            </w:tr>
            <w:tr w14:paraId="0067544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41" w:type="dxa"/>
                  <w:vMerge w:val="restart"/>
                  <w:tcBorders>
                    <w:top w:val="single" w:color="000000" w:sz="4" w:space="0"/>
                    <w:left w:val="single" w:color="auto" w:sz="4" w:space="0"/>
                    <w:right w:val="single" w:color="000000" w:sz="4" w:space="0"/>
                  </w:tcBorders>
                  <w:noWrap w:val="0"/>
                  <w:vAlign w:val="center"/>
                </w:tcPr>
                <w:p w14:paraId="532EEF26">
                  <w:pPr>
                    <w:pStyle w:val="67"/>
                    <w:adjustRightInd w:val="0"/>
                    <w:snapToGrid w:val="0"/>
                    <w:jc w:val="center"/>
                    <w:rPr>
                      <w:rFonts w:hint="default" w:ascii="Times New Roman" w:hAnsi="Times New Roman" w:eastAsia="宋体" w:cs="Times New Roman"/>
                      <w:color w:val="auto"/>
                      <w:spacing w:val="-2"/>
                      <w:kern w:val="0"/>
                      <w:sz w:val="21"/>
                      <w:szCs w:val="21"/>
                    </w:rPr>
                  </w:pPr>
                  <w:r>
                    <w:rPr>
                      <w:rFonts w:hint="eastAsia" w:cs="Times New Roman"/>
                      <w:snapToGrid w:val="0"/>
                      <w:color w:val="auto"/>
                      <w:spacing w:val="-2"/>
                      <w:kern w:val="2"/>
                      <w:sz w:val="21"/>
                      <w:szCs w:val="21"/>
                      <w:lang w:val="en-US" w:eastAsia="zh-CN"/>
                    </w:rPr>
                    <w:t>连城镇</w:t>
                  </w:r>
                  <w:r>
                    <w:rPr>
                      <w:rFonts w:hint="default" w:ascii="Times New Roman" w:hAnsi="Times New Roman" w:eastAsia="宋体" w:cs="Times New Roman"/>
                      <w:b w:val="0"/>
                      <w:bCs/>
                      <w:snapToGrid/>
                      <w:color w:val="auto"/>
                      <w:kern w:val="2"/>
                      <w:szCs w:val="21"/>
                      <w:lang w:val="en-US" w:eastAsia="zh-CN"/>
                    </w:rPr>
                    <w:t>（G1）</w:t>
                  </w:r>
                </w:p>
              </w:tc>
              <w:tc>
                <w:tcPr>
                  <w:tcW w:w="1052" w:type="dxa"/>
                  <w:tcBorders>
                    <w:top w:val="single" w:color="000000" w:sz="4" w:space="0"/>
                    <w:left w:val="nil"/>
                    <w:bottom w:val="single" w:color="000000" w:sz="4" w:space="0"/>
                    <w:right w:val="single" w:color="000000" w:sz="4" w:space="0"/>
                  </w:tcBorders>
                  <w:noWrap w:val="0"/>
                  <w:vAlign w:val="center"/>
                </w:tcPr>
                <w:p w14:paraId="724D8FE0">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TSP</w:t>
                  </w:r>
                </w:p>
              </w:tc>
              <w:tc>
                <w:tcPr>
                  <w:tcW w:w="1454" w:type="dxa"/>
                  <w:tcBorders>
                    <w:top w:val="single" w:color="000000" w:sz="4" w:space="0"/>
                    <w:left w:val="nil"/>
                    <w:bottom w:val="single" w:color="000000" w:sz="4" w:space="0"/>
                    <w:right w:val="single" w:color="000000" w:sz="4" w:space="0"/>
                  </w:tcBorders>
                  <w:noWrap w:val="0"/>
                  <w:vAlign w:val="center"/>
                </w:tcPr>
                <w:p w14:paraId="469061C9">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rPr>
                  </w:pPr>
                  <w:r>
                    <w:rPr>
                      <w:rFonts w:hint="default" w:ascii="Times New Roman" w:hAnsi="Times New Roman" w:eastAsia="宋体" w:cs="Times New Roman"/>
                      <w:color w:val="auto"/>
                      <w:spacing w:val="-2"/>
                      <w:kern w:val="0"/>
                      <w:sz w:val="21"/>
                      <w:szCs w:val="21"/>
                      <w:lang w:val="en-US" w:eastAsia="zh-CN" w:bidi="ar"/>
                    </w:rPr>
                    <w:t>0.</w:t>
                  </w:r>
                  <w:r>
                    <w:rPr>
                      <w:rFonts w:hint="eastAsia" w:cs="Times New Roman"/>
                      <w:color w:val="auto"/>
                      <w:spacing w:val="-2"/>
                      <w:kern w:val="0"/>
                      <w:sz w:val="21"/>
                      <w:szCs w:val="21"/>
                      <w:lang w:val="en-US" w:eastAsia="zh-CN" w:bidi="ar"/>
                    </w:rPr>
                    <w:t>206</w:t>
                  </w:r>
                </w:p>
              </w:tc>
              <w:tc>
                <w:tcPr>
                  <w:tcW w:w="1266" w:type="dxa"/>
                  <w:tcBorders>
                    <w:top w:val="single" w:color="000000" w:sz="4" w:space="0"/>
                    <w:left w:val="nil"/>
                    <w:bottom w:val="single" w:color="000000" w:sz="4" w:space="0"/>
                    <w:right w:val="single" w:color="000000" w:sz="4" w:space="0"/>
                  </w:tcBorders>
                  <w:noWrap w:val="0"/>
                  <w:vAlign w:val="center"/>
                </w:tcPr>
                <w:p w14:paraId="1F2BE6AB">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rPr>
                  </w:pPr>
                  <w:r>
                    <w:rPr>
                      <w:rFonts w:hint="default" w:ascii="Times New Roman" w:hAnsi="Times New Roman" w:eastAsia="宋体" w:cs="Times New Roman"/>
                      <w:color w:val="auto"/>
                      <w:spacing w:val="-2"/>
                      <w:kern w:val="0"/>
                      <w:sz w:val="21"/>
                      <w:szCs w:val="21"/>
                      <w:lang w:val="en-US" w:eastAsia="zh-CN" w:bidi="ar"/>
                    </w:rPr>
                    <w:t>0.</w:t>
                  </w:r>
                  <w:r>
                    <w:rPr>
                      <w:rFonts w:hint="eastAsia" w:ascii="Times New Roman" w:hAnsi="Times New Roman" w:eastAsia="宋体" w:cs="Times New Roman"/>
                      <w:color w:val="auto"/>
                      <w:spacing w:val="-2"/>
                      <w:kern w:val="0"/>
                      <w:sz w:val="21"/>
                      <w:szCs w:val="21"/>
                      <w:lang w:val="en-US" w:eastAsia="zh-CN" w:bidi="ar"/>
                    </w:rPr>
                    <w:t>236</w:t>
                  </w:r>
                </w:p>
              </w:tc>
              <w:tc>
                <w:tcPr>
                  <w:tcW w:w="1238" w:type="dxa"/>
                  <w:tcBorders>
                    <w:top w:val="single" w:color="000000" w:sz="4" w:space="0"/>
                    <w:left w:val="nil"/>
                    <w:bottom w:val="single" w:color="000000" w:sz="4" w:space="0"/>
                    <w:right w:val="single" w:color="000000" w:sz="4" w:space="0"/>
                  </w:tcBorders>
                  <w:noWrap w:val="0"/>
                  <w:vAlign w:val="center"/>
                </w:tcPr>
                <w:p w14:paraId="15D7AEDF">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rPr>
                  </w:pPr>
                  <w:r>
                    <w:rPr>
                      <w:rFonts w:hint="default" w:ascii="Times New Roman" w:hAnsi="Times New Roman" w:eastAsia="宋体" w:cs="Times New Roman"/>
                      <w:color w:val="auto"/>
                      <w:spacing w:val="-2"/>
                      <w:kern w:val="0"/>
                      <w:sz w:val="21"/>
                      <w:szCs w:val="21"/>
                      <w:lang w:val="en-US" w:eastAsia="zh-CN"/>
                    </w:rPr>
                    <w:t>0.3</w:t>
                  </w:r>
                </w:p>
              </w:tc>
              <w:tc>
                <w:tcPr>
                  <w:tcW w:w="1078" w:type="dxa"/>
                  <w:tcBorders>
                    <w:top w:val="single" w:color="000000" w:sz="4" w:space="0"/>
                    <w:left w:val="nil"/>
                    <w:bottom w:val="single" w:color="000000" w:sz="4" w:space="0"/>
                    <w:right w:val="single" w:color="000000" w:sz="4" w:space="0"/>
                  </w:tcBorders>
                  <w:noWrap w:val="0"/>
                  <w:vAlign w:val="center"/>
                </w:tcPr>
                <w:p w14:paraId="29132853">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rPr>
                  </w:pPr>
                  <w:r>
                    <w:rPr>
                      <w:rFonts w:hint="eastAsia" w:cs="Times New Roman"/>
                      <w:color w:val="auto"/>
                      <w:spacing w:val="-2"/>
                      <w:kern w:val="0"/>
                      <w:sz w:val="21"/>
                      <w:szCs w:val="21"/>
                      <w:lang w:val="en-US" w:eastAsia="zh-CN" w:bidi="ar"/>
                    </w:rPr>
                    <w:t>78.7</w:t>
                  </w:r>
                </w:p>
              </w:tc>
              <w:tc>
                <w:tcPr>
                  <w:tcW w:w="841" w:type="dxa"/>
                  <w:tcBorders>
                    <w:top w:val="single" w:color="000000" w:sz="4" w:space="0"/>
                    <w:left w:val="nil"/>
                    <w:bottom w:val="single" w:color="000000" w:sz="4" w:space="0"/>
                    <w:right w:val="single" w:color="000000" w:sz="4" w:space="0"/>
                  </w:tcBorders>
                  <w:noWrap w:val="0"/>
                  <w:vAlign w:val="center"/>
                </w:tcPr>
                <w:p w14:paraId="0DD4B483">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lang w:val="en-US" w:eastAsia="zh-CN" w:bidi="ar"/>
                    </w:rPr>
                    <w:t>0</w:t>
                  </w:r>
                </w:p>
              </w:tc>
              <w:tc>
                <w:tcPr>
                  <w:tcW w:w="727" w:type="dxa"/>
                  <w:tcBorders>
                    <w:top w:val="single" w:color="000000" w:sz="4" w:space="0"/>
                    <w:left w:val="nil"/>
                    <w:bottom w:val="single" w:color="000000" w:sz="4" w:space="0"/>
                    <w:right w:val="single" w:color="auto" w:sz="4" w:space="0"/>
                  </w:tcBorders>
                  <w:noWrap w:val="0"/>
                  <w:vAlign w:val="center"/>
                </w:tcPr>
                <w:p w14:paraId="5B20139C">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lang w:val="en-US" w:eastAsia="zh-CN" w:bidi="ar"/>
                    </w:rPr>
                    <w:t>达标</w:t>
                  </w:r>
                </w:p>
              </w:tc>
            </w:tr>
            <w:tr w14:paraId="6CD02FC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41" w:type="dxa"/>
                  <w:vMerge w:val="continue"/>
                  <w:tcBorders>
                    <w:left w:val="single" w:color="auto" w:sz="4" w:space="0"/>
                    <w:right w:val="single" w:color="000000" w:sz="4" w:space="0"/>
                  </w:tcBorders>
                  <w:noWrap w:val="0"/>
                  <w:vAlign w:val="center"/>
                </w:tcPr>
                <w:p w14:paraId="7BC2AE93">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kern w:val="2"/>
                      <w:sz w:val="21"/>
                      <w:szCs w:val="21"/>
                      <w:lang w:val="en-US" w:eastAsia="zh-CN" w:bidi="ar"/>
                    </w:rPr>
                  </w:pPr>
                </w:p>
              </w:tc>
              <w:tc>
                <w:tcPr>
                  <w:tcW w:w="1052" w:type="dxa"/>
                  <w:tcBorders>
                    <w:top w:val="single" w:color="000000" w:sz="4" w:space="0"/>
                    <w:left w:val="nil"/>
                    <w:bottom w:val="single" w:color="000000" w:sz="4" w:space="0"/>
                    <w:right w:val="single" w:color="000000" w:sz="4" w:space="0"/>
                  </w:tcBorders>
                  <w:noWrap w:val="0"/>
                  <w:vAlign w:val="center"/>
                </w:tcPr>
                <w:p w14:paraId="570DF0DB">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非甲烷总烃</w:t>
                  </w:r>
                </w:p>
              </w:tc>
              <w:tc>
                <w:tcPr>
                  <w:tcW w:w="1454" w:type="dxa"/>
                  <w:tcBorders>
                    <w:top w:val="single" w:color="000000" w:sz="4" w:space="0"/>
                    <w:left w:val="nil"/>
                    <w:bottom w:val="single" w:color="000000" w:sz="4" w:space="0"/>
                    <w:right w:val="single" w:color="000000" w:sz="4" w:space="0"/>
                  </w:tcBorders>
                  <w:noWrap w:val="0"/>
                  <w:vAlign w:val="center"/>
                </w:tcPr>
                <w:p w14:paraId="7D9291B7">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0.</w:t>
                  </w:r>
                  <w:r>
                    <w:rPr>
                      <w:rFonts w:hint="eastAsia" w:cs="Times New Roman"/>
                      <w:color w:val="auto"/>
                      <w:spacing w:val="-2"/>
                      <w:kern w:val="0"/>
                      <w:sz w:val="21"/>
                      <w:szCs w:val="21"/>
                      <w:lang w:val="en-US" w:eastAsia="zh-CN" w:bidi="ar"/>
                    </w:rPr>
                    <w:t>51</w:t>
                  </w:r>
                </w:p>
              </w:tc>
              <w:tc>
                <w:tcPr>
                  <w:tcW w:w="1266" w:type="dxa"/>
                  <w:tcBorders>
                    <w:top w:val="single" w:color="000000" w:sz="4" w:space="0"/>
                    <w:left w:val="nil"/>
                    <w:bottom w:val="single" w:color="000000" w:sz="4" w:space="0"/>
                    <w:right w:val="single" w:color="000000" w:sz="4" w:space="0"/>
                  </w:tcBorders>
                  <w:noWrap w:val="0"/>
                  <w:vAlign w:val="center"/>
                </w:tcPr>
                <w:p w14:paraId="6166EAC5">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0.</w:t>
                  </w:r>
                  <w:r>
                    <w:rPr>
                      <w:rFonts w:hint="eastAsia" w:cs="Times New Roman"/>
                      <w:color w:val="auto"/>
                      <w:spacing w:val="-2"/>
                      <w:kern w:val="0"/>
                      <w:sz w:val="21"/>
                      <w:szCs w:val="21"/>
                      <w:lang w:val="en-US" w:eastAsia="zh-CN" w:bidi="ar"/>
                    </w:rPr>
                    <w:t>56</w:t>
                  </w:r>
                </w:p>
              </w:tc>
              <w:tc>
                <w:tcPr>
                  <w:tcW w:w="1238" w:type="dxa"/>
                  <w:tcBorders>
                    <w:top w:val="single" w:color="000000" w:sz="4" w:space="0"/>
                    <w:left w:val="nil"/>
                    <w:bottom w:val="single" w:color="000000" w:sz="4" w:space="0"/>
                    <w:right w:val="single" w:color="000000" w:sz="4" w:space="0"/>
                  </w:tcBorders>
                  <w:noWrap w:val="0"/>
                  <w:vAlign w:val="center"/>
                </w:tcPr>
                <w:p w14:paraId="02452AA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2.0</w:t>
                  </w:r>
                </w:p>
              </w:tc>
              <w:tc>
                <w:tcPr>
                  <w:tcW w:w="1078" w:type="dxa"/>
                  <w:tcBorders>
                    <w:top w:val="single" w:color="000000" w:sz="4" w:space="0"/>
                    <w:left w:val="nil"/>
                    <w:bottom w:val="single" w:color="000000" w:sz="4" w:space="0"/>
                    <w:right w:val="single" w:color="000000" w:sz="4" w:space="0"/>
                  </w:tcBorders>
                  <w:noWrap w:val="0"/>
                  <w:vAlign w:val="center"/>
                </w:tcPr>
                <w:p w14:paraId="0668EE5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28</w:t>
                  </w:r>
                </w:p>
              </w:tc>
              <w:tc>
                <w:tcPr>
                  <w:tcW w:w="841" w:type="dxa"/>
                  <w:tcBorders>
                    <w:top w:val="single" w:color="000000" w:sz="4" w:space="0"/>
                    <w:left w:val="nil"/>
                    <w:bottom w:val="single" w:color="000000" w:sz="4" w:space="0"/>
                    <w:right w:val="single" w:color="000000" w:sz="4" w:space="0"/>
                  </w:tcBorders>
                  <w:noWrap w:val="0"/>
                  <w:vAlign w:val="center"/>
                </w:tcPr>
                <w:p w14:paraId="767B111E">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0</w:t>
                  </w:r>
                </w:p>
              </w:tc>
              <w:tc>
                <w:tcPr>
                  <w:tcW w:w="727" w:type="dxa"/>
                  <w:tcBorders>
                    <w:top w:val="single" w:color="000000" w:sz="4" w:space="0"/>
                    <w:left w:val="nil"/>
                    <w:bottom w:val="single" w:color="000000" w:sz="4" w:space="0"/>
                    <w:right w:val="single" w:color="auto" w:sz="4" w:space="0"/>
                  </w:tcBorders>
                  <w:noWrap w:val="0"/>
                  <w:vAlign w:val="center"/>
                </w:tcPr>
                <w:p w14:paraId="6EB14BCE">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达标</w:t>
                  </w:r>
                </w:p>
              </w:tc>
            </w:tr>
            <w:tr w14:paraId="07928B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241" w:type="dxa"/>
                  <w:vMerge w:val="restart"/>
                  <w:tcBorders>
                    <w:left w:val="single" w:color="auto" w:sz="4" w:space="0"/>
                    <w:right w:val="single" w:color="000000" w:sz="4" w:space="0"/>
                  </w:tcBorders>
                  <w:noWrap w:val="0"/>
                  <w:vAlign w:val="center"/>
                </w:tcPr>
                <w:p w14:paraId="55D29103">
                  <w:pPr>
                    <w:pStyle w:val="67"/>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cs="Times New Roman"/>
                      <w:snapToGrid w:val="0"/>
                      <w:color w:val="auto"/>
                      <w:spacing w:val="-2"/>
                      <w:kern w:val="2"/>
                      <w:sz w:val="21"/>
                      <w:szCs w:val="21"/>
                      <w:lang w:val="en-US" w:eastAsia="zh-CN"/>
                    </w:rPr>
                    <w:t>北场</w:t>
                  </w:r>
                  <w:r>
                    <w:rPr>
                      <w:rFonts w:hint="default" w:ascii="Times New Roman" w:hAnsi="Times New Roman" w:eastAsia="宋体" w:cs="Times New Roman"/>
                      <w:b w:val="0"/>
                      <w:bCs/>
                      <w:snapToGrid/>
                      <w:color w:val="auto"/>
                      <w:kern w:val="2"/>
                      <w:szCs w:val="21"/>
                      <w:lang w:val="en-US" w:eastAsia="zh-CN"/>
                    </w:rPr>
                    <w:t>（G</w:t>
                  </w:r>
                  <w:r>
                    <w:rPr>
                      <w:rFonts w:hint="eastAsia" w:ascii="Times New Roman" w:hAnsi="Times New Roman" w:eastAsia="宋体" w:cs="Times New Roman"/>
                      <w:b w:val="0"/>
                      <w:bCs/>
                      <w:snapToGrid/>
                      <w:color w:val="auto"/>
                      <w:kern w:val="2"/>
                      <w:szCs w:val="21"/>
                      <w:lang w:val="en-US" w:eastAsia="zh-CN"/>
                    </w:rPr>
                    <w:t>2</w:t>
                  </w:r>
                  <w:r>
                    <w:rPr>
                      <w:rFonts w:hint="default" w:ascii="Times New Roman" w:hAnsi="Times New Roman" w:eastAsia="宋体" w:cs="Times New Roman"/>
                      <w:b w:val="0"/>
                      <w:bCs/>
                      <w:snapToGrid/>
                      <w:color w:val="auto"/>
                      <w:kern w:val="2"/>
                      <w:szCs w:val="21"/>
                      <w:lang w:val="en-US" w:eastAsia="zh-CN"/>
                    </w:rPr>
                    <w:t>）</w:t>
                  </w:r>
                </w:p>
              </w:tc>
              <w:tc>
                <w:tcPr>
                  <w:tcW w:w="1052" w:type="dxa"/>
                  <w:tcBorders>
                    <w:top w:val="single" w:color="000000" w:sz="4" w:space="0"/>
                    <w:left w:val="nil"/>
                    <w:bottom w:val="single" w:color="auto" w:sz="4" w:space="0"/>
                    <w:right w:val="single" w:color="000000" w:sz="4" w:space="0"/>
                  </w:tcBorders>
                  <w:noWrap w:val="0"/>
                  <w:vAlign w:val="center"/>
                </w:tcPr>
                <w:p w14:paraId="4E083DB1">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rPr>
                    <w:t>TSP</w:t>
                  </w:r>
                </w:p>
              </w:tc>
              <w:tc>
                <w:tcPr>
                  <w:tcW w:w="1454" w:type="dxa"/>
                  <w:tcBorders>
                    <w:top w:val="single" w:color="000000" w:sz="4" w:space="0"/>
                    <w:left w:val="nil"/>
                    <w:bottom w:val="single" w:color="auto" w:sz="4" w:space="0"/>
                    <w:right w:val="single" w:color="000000" w:sz="4" w:space="0"/>
                  </w:tcBorders>
                  <w:noWrap w:val="0"/>
                  <w:vAlign w:val="center"/>
                </w:tcPr>
                <w:p w14:paraId="09FE47D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0.211</w:t>
                  </w:r>
                </w:p>
              </w:tc>
              <w:tc>
                <w:tcPr>
                  <w:tcW w:w="1266" w:type="dxa"/>
                  <w:tcBorders>
                    <w:top w:val="single" w:color="000000" w:sz="4" w:space="0"/>
                    <w:left w:val="nil"/>
                    <w:bottom w:val="single" w:color="auto" w:sz="4" w:space="0"/>
                    <w:right w:val="single" w:color="000000" w:sz="4" w:space="0"/>
                  </w:tcBorders>
                  <w:noWrap w:val="0"/>
                  <w:vAlign w:val="center"/>
                </w:tcPr>
                <w:p w14:paraId="47249118">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0.245</w:t>
                  </w:r>
                </w:p>
              </w:tc>
              <w:tc>
                <w:tcPr>
                  <w:tcW w:w="1238" w:type="dxa"/>
                  <w:tcBorders>
                    <w:top w:val="single" w:color="000000" w:sz="4" w:space="0"/>
                    <w:left w:val="nil"/>
                    <w:bottom w:val="single" w:color="auto" w:sz="4" w:space="0"/>
                    <w:right w:val="single" w:color="000000" w:sz="4" w:space="0"/>
                  </w:tcBorders>
                  <w:noWrap w:val="0"/>
                  <w:vAlign w:val="center"/>
                </w:tcPr>
                <w:p w14:paraId="5C64105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0.3</w:t>
                  </w:r>
                </w:p>
              </w:tc>
              <w:tc>
                <w:tcPr>
                  <w:tcW w:w="1078" w:type="dxa"/>
                  <w:tcBorders>
                    <w:top w:val="single" w:color="000000" w:sz="4" w:space="0"/>
                    <w:left w:val="nil"/>
                    <w:bottom w:val="single" w:color="auto" w:sz="4" w:space="0"/>
                    <w:right w:val="single" w:color="000000" w:sz="4" w:space="0"/>
                  </w:tcBorders>
                  <w:noWrap w:val="0"/>
                  <w:vAlign w:val="center"/>
                </w:tcPr>
                <w:p w14:paraId="4E1CBA9D">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81.7</w:t>
                  </w:r>
                </w:p>
              </w:tc>
              <w:tc>
                <w:tcPr>
                  <w:tcW w:w="841" w:type="dxa"/>
                  <w:tcBorders>
                    <w:top w:val="single" w:color="000000" w:sz="4" w:space="0"/>
                    <w:left w:val="nil"/>
                    <w:bottom w:val="single" w:color="auto" w:sz="4" w:space="0"/>
                    <w:right w:val="single" w:color="000000" w:sz="4" w:space="0"/>
                  </w:tcBorders>
                  <w:noWrap w:val="0"/>
                  <w:vAlign w:val="center"/>
                </w:tcPr>
                <w:p w14:paraId="345AF61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0</w:t>
                  </w:r>
                </w:p>
              </w:tc>
              <w:tc>
                <w:tcPr>
                  <w:tcW w:w="727" w:type="dxa"/>
                  <w:tcBorders>
                    <w:top w:val="single" w:color="000000" w:sz="4" w:space="0"/>
                    <w:left w:val="nil"/>
                    <w:bottom w:val="single" w:color="auto" w:sz="4" w:space="0"/>
                    <w:right w:val="single" w:color="auto" w:sz="4" w:space="0"/>
                  </w:tcBorders>
                  <w:noWrap w:val="0"/>
                  <w:vAlign w:val="center"/>
                </w:tcPr>
                <w:p w14:paraId="4726F99A">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达标</w:t>
                  </w:r>
                </w:p>
              </w:tc>
            </w:tr>
            <w:tr w14:paraId="62E889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1241" w:type="dxa"/>
                  <w:vMerge w:val="continue"/>
                  <w:tcBorders>
                    <w:left w:val="single" w:color="auto" w:sz="4" w:space="0"/>
                    <w:right w:val="single" w:color="000000" w:sz="4" w:space="0"/>
                  </w:tcBorders>
                  <w:noWrap w:val="0"/>
                  <w:vAlign w:val="center"/>
                </w:tcPr>
                <w:p w14:paraId="452CB744">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kern w:val="2"/>
                      <w:sz w:val="21"/>
                      <w:szCs w:val="21"/>
                      <w:lang w:val="en-US" w:eastAsia="zh-CN" w:bidi="ar"/>
                    </w:rPr>
                  </w:pPr>
                </w:p>
              </w:tc>
              <w:tc>
                <w:tcPr>
                  <w:tcW w:w="1052" w:type="dxa"/>
                  <w:tcBorders>
                    <w:top w:val="single" w:color="auto" w:sz="4" w:space="0"/>
                    <w:left w:val="nil"/>
                    <w:bottom w:val="single" w:color="000000" w:sz="4" w:space="0"/>
                    <w:right w:val="single" w:color="000000" w:sz="4" w:space="0"/>
                  </w:tcBorders>
                  <w:noWrap w:val="0"/>
                  <w:vAlign w:val="center"/>
                </w:tcPr>
                <w:p w14:paraId="6B5832F9">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非甲烷总烃</w:t>
                  </w:r>
                </w:p>
              </w:tc>
              <w:tc>
                <w:tcPr>
                  <w:tcW w:w="1454" w:type="dxa"/>
                  <w:tcBorders>
                    <w:top w:val="single" w:color="auto" w:sz="4" w:space="0"/>
                    <w:left w:val="nil"/>
                    <w:bottom w:val="single" w:color="000000" w:sz="4" w:space="0"/>
                    <w:right w:val="single" w:color="000000" w:sz="4" w:space="0"/>
                  </w:tcBorders>
                  <w:noWrap w:val="0"/>
                  <w:vAlign w:val="center"/>
                </w:tcPr>
                <w:p w14:paraId="6934DC8A">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0.52</w:t>
                  </w:r>
                </w:p>
              </w:tc>
              <w:tc>
                <w:tcPr>
                  <w:tcW w:w="1266" w:type="dxa"/>
                  <w:tcBorders>
                    <w:top w:val="single" w:color="auto" w:sz="4" w:space="0"/>
                    <w:left w:val="nil"/>
                    <w:bottom w:val="single" w:color="000000" w:sz="4" w:space="0"/>
                    <w:right w:val="single" w:color="000000" w:sz="4" w:space="0"/>
                  </w:tcBorders>
                  <w:noWrap w:val="0"/>
                  <w:vAlign w:val="center"/>
                </w:tcPr>
                <w:p w14:paraId="4294D541">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0.55</w:t>
                  </w:r>
                </w:p>
              </w:tc>
              <w:tc>
                <w:tcPr>
                  <w:tcW w:w="1238" w:type="dxa"/>
                  <w:tcBorders>
                    <w:top w:val="single" w:color="auto" w:sz="4" w:space="0"/>
                    <w:left w:val="nil"/>
                    <w:bottom w:val="single" w:color="000000" w:sz="4" w:space="0"/>
                    <w:right w:val="single" w:color="000000" w:sz="4" w:space="0"/>
                  </w:tcBorders>
                  <w:noWrap w:val="0"/>
                  <w:vAlign w:val="center"/>
                </w:tcPr>
                <w:p w14:paraId="1E9533B7">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2</w:t>
                  </w:r>
                </w:p>
              </w:tc>
              <w:tc>
                <w:tcPr>
                  <w:tcW w:w="1078" w:type="dxa"/>
                  <w:tcBorders>
                    <w:top w:val="single" w:color="auto" w:sz="4" w:space="0"/>
                    <w:left w:val="nil"/>
                    <w:bottom w:val="single" w:color="000000" w:sz="4" w:space="0"/>
                    <w:right w:val="single" w:color="000000" w:sz="4" w:space="0"/>
                  </w:tcBorders>
                  <w:noWrap w:val="0"/>
                  <w:vAlign w:val="center"/>
                </w:tcPr>
                <w:p w14:paraId="44729507">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27.5</w:t>
                  </w:r>
                </w:p>
              </w:tc>
              <w:tc>
                <w:tcPr>
                  <w:tcW w:w="841" w:type="dxa"/>
                  <w:tcBorders>
                    <w:top w:val="single" w:color="auto" w:sz="4" w:space="0"/>
                    <w:left w:val="nil"/>
                    <w:bottom w:val="single" w:color="000000" w:sz="4" w:space="0"/>
                    <w:right w:val="single" w:color="000000" w:sz="4" w:space="0"/>
                  </w:tcBorders>
                  <w:noWrap w:val="0"/>
                  <w:vAlign w:val="center"/>
                </w:tcPr>
                <w:p w14:paraId="745BC22F">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0</w:t>
                  </w:r>
                </w:p>
              </w:tc>
              <w:tc>
                <w:tcPr>
                  <w:tcW w:w="727" w:type="dxa"/>
                  <w:tcBorders>
                    <w:top w:val="single" w:color="auto" w:sz="4" w:space="0"/>
                    <w:left w:val="nil"/>
                    <w:bottom w:val="single" w:color="000000" w:sz="4" w:space="0"/>
                    <w:right w:val="single" w:color="auto" w:sz="4" w:space="0"/>
                  </w:tcBorders>
                  <w:noWrap w:val="0"/>
                  <w:vAlign w:val="center"/>
                </w:tcPr>
                <w:p w14:paraId="6FF1279F">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达标</w:t>
                  </w:r>
                </w:p>
              </w:tc>
            </w:tr>
          </w:tbl>
          <w:p w14:paraId="12703A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u w:val="none"/>
              </w:rPr>
              <w:t>由</w:t>
            </w:r>
            <w:r>
              <w:rPr>
                <w:rFonts w:hint="default" w:ascii="Times New Roman" w:hAnsi="Times New Roman" w:eastAsia="宋体" w:cs="Times New Roman"/>
                <w:color w:val="auto"/>
                <w:kern w:val="2"/>
                <w:sz w:val="24"/>
                <w:szCs w:val="24"/>
                <w:u w:val="none"/>
                <w:lang w:eastAsia="zh-CN"/>
              </w:rPr>
              <w:t>上表</w:t>
            </w:r>
            <w:r>
              <w:rPr>
                <w:rFonts w:hint="default" w:ascii="Times New Roman" w:hAnsi="Times New Roman" w:eastAsia="宋体" w:cs="Times New Roman"/>
                <w:color w:val="auto"/>
                <w:kern w:val="2"/>
                <w:sz w:val="24"/>
                <w:szCs w:val="24"/>
                <w:u w:val="none"/>
              </w:rPr>
              <w:t>可知：</w:t>
            </w:r>
            <w:r>
              <w:rPr>
                <w:rFonts w:hint="default" w:ascii="Times New Roman" w:hAnsi="Times New Roman" w:eastAsia="宋体" w:cs="Times New Roman"/>
                <w:color w:val="auto"/>
                <w:kern w:val="2"/>
                <w:sz w:val="24"/>
                <w:szCs w:val="24"/>
                <w:u w:val="none"/>
                <w:lang w:eastAsia="zh-CN"/>
              </w:rPr>
              <w:t>区域内</w:t>
            </w:r>
            <w:r>
              <w:rPr>
                <w:rFonts w:hint="default" w:ascii="Times New Roman" w:hAnsi="Times New Roman" w:eastAsia="宋体" w:cs="Times New Roman"/>
                <w:color w:val="auto"/>
                <w:kern w:val="2"/>
                <w:sz w:val="24"/>
                <w:szCs w:val="24"/>
                <w:u w:val="none"/>
                <w:lang w:val="en-US" w:eastAsia="zh-CN"/>
              </w:rPr>
              <w:t>TSP日均值</w:t>
            </w:r>
            <w:r>
              <w:rPr>
                <w:rFonts w:hint="default" w:ascii="Times New Roman" w:hAnsi="Times New Roman" w:eastAsia="宋体" w:cs="Times New Roman"/>
                <w:color w:val="auto"/>
                <w:kern w:val="2"/>
                <w:sz w:val="24"/>
                <w:szCs w:val="24"/>
                <w:u w:val="none"/>
              </w:rPr>
              <w:t>满足《环境空气质量标准》（GB3095-2012）标准限值</w:t>
            </w:r>
            <w:r>
              <w:rPr>
                <w:rFonts w:hint="default" w:ascii="Times New Roman" w:hAnsi="Times New Roman" w:eastAsia="宋体" w:cs="Times New Roman"/>
                <w:color w:val="auto"/>
                <w:kern w:val="2"/>
                <w:sz w:val="24"/>
                <w:szCs w:val="24"/>
                <w:u w:val="none"/>
                <w:lang w:eastAsia="zh-CN"/>
              </w:rPr>
              <w:t>；</w:t>
            </w:r>
            <w:r>
              <w:rPr>
                <w:rFonts w:hint="default" w:ascii="Times New Roman" w:hAnsi="Times New Roman" w:eastAsia="宋体" w:cs="Times New Roman"/>
                <w:snapToGrid/>
                <w:color w:val="auto"/>
                <w:kern w:val="2"/>
                <w:sz w:val="24"/>
                <w:szCs w:val="24"/>
                <w:lang w:val="en-US" w:eastAsia="zh-CN" w:bidi="ar-SA"/>
              </w:rPr>
              <w:t>非甲烷总烃满足《大气污染物综合排放标准详解》小时均值2mg/m</w:t>
            </w:r>
            <w:r>
              <w:rPr>
                <w:rFonts w:hint="default" w:ascii="Times New Roman" w:hAnsi="Times New Roman" w:eastAsia="宋体" w:cs="Times New Roman"/>
                <w:snapToGrid/>
                <w:color w:val="auto"/>
                <w:kern w:val="2"/>
                <w:sz w:val="24"/>
                <w:szCs w:val="24"/>
                <w:vertAlign w:val="superscript"/>
                <w:lang w:val="en-US" w:eastAsia="zh-CN" w:bidi="ar-SA"/>
              </w:rPr>
              <w:t>3</w:t>
            </w:r>
            <w:r>
              <w:rPr>
                <w:rFonts w:hint="default" w:ascii="Times New Roman" w:hAnsi="Times New Roman" w:eastAsia="宋体" w:cs="Times New Roman"/>
                <w:snapToGrid/>
                <w:color w:val="auto"/>
                <w:kern w:val="2"/>
                <w:sz w:val="24"/>
                <w:szCs w:val="24"/>
                <w:lang w:val="en-US" w:eastAsia="zh-CN" w:bidi="ar-SA"/>
              </w:rPr>
              <w:t>标准限值要求，项目所在区域空气环境质量良好。</w:t>
            </w:r>
          </w:p>
          <w:p w14:paraId="0C60B6C2">
            <w:pPr>
              <w:pStyle w:val="24"/>
              <w:spacing w:line="360" w:lineRule="auto"/>
              <w:ind w:right="105" w:rightChars="50" w:firstLine="0" w:firstLineChars="0"/>
              <w:rPr>
                <w:rFonts w:ascii="Times New Roman" w:hAnsi="Times New Roman"/>
                <w:b/>
                <w:color w:val="auto"/>
                <w:sz w:val="24"/>
              </w:rPr>
            </w:pPr>
            <w:r>
              <w:rPr>
                <w:rFonts w:hint="eastAsia" w:ascii="Times New Roman" w:hAnsi="Times New Roman"/>
                <w:b/>
                <w:color w:val="auto"/>
                <w:sz w:val="24"/>
              </w:rPr>
              <w:t>2、</w:t>
            </w:r>
            <w:r>
              <w:rPr>
                <w:rFonts w:ascii="Times New Roman" w:hAnsi="Times New Roman"/>
                <w:b/>
                <w:color w:val="auto"/>
                <w:sz w:val="24"/>
              </w:rPr>
              <w:t>地表水环境</w:t>
            </w:r>
          </w:p>
          <w:p w14:paraId="2489CC6E">
            <w:pPr>
              <w:keepNext w:val="0"/>
              <w:keepLines w:val="0"/>
              <w:pageBreakBefore w:val="0"/>
              <w:kinsoku/>
              <w:wordWrap/>
              <w:overflowPunct/>
              <w:topLinePunct w:val="0"/>
              <w:bidi w:val="0"/>
              <w:snapToGrid/>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b w:val="0"/>
                <w:bCs/>
                <w:color w:val="auto"/>
                <w:sz w:val="24"/>
                <w:szCs w:val="24"/>
                <w:lang w:eastAsia="zh-CN"/>
              </w:rPr>
              <w:t>项目</w:t>
            </w:r>
            <w:r>
              <w:rPr>
                <w:rFonts w:hint="default" w:ascii="Times New Roman" w:hAnsi="Times New Roman" w:cs="Times New Roman"/>
                <w:color w:val="auto"/>
                <w:sz w:val="24"/>
                <w:szCs w:val="24"/>
                <w:lang w:val="en-US" w:eastAsia="zh-CN"/>
              </w:rPr>
              <w:t>区域地表水环境引用</w:t>
            </w:r>
            <w:r>
              <w:rPr>
                <w:rFonts w:hint="default" w:ascii="Times New Roman" w:hAnsi="Times New Roman" w:eastAsia="宋体" w:cs="Times New Roman"/>
                <w:color w:val="auto"/>
                <w:sz w:val="24"/>
                <w:szCs w:val="24"/>
              </w:rPr>
              <w:t>蚌埠市环境</w:t>
            </w:r>
            <w:r>
              <w:rPr>
                <w:rFonts w:hint="default" w:ascii="Times New Roman" w:hAnsi="Times New Roman" w:eastAsia="宋体" w:cs="Times New Roman"/>
                <w:color w:val="auto"/>
                <w:kern w:val="0"/>
                <w:sz w:val="24"/>
                <w:szCs w:val="24"/>
                <w:lang w:val="en-US" w:eastAsia="zh-CN"/>
              </w:rPr>
              <w:t>监测站发布的《202</w:t>
            </w:r>
            <w:r>
              <w:rPr>
                <w:rFonts w:hint="eastAsia"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年蚌埠市生态环境质量状况公报》，具体如下：</w:t>
            </w:r>
          </w:p>
          <w:p w14:paraId="5D4DD4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淮河干流蚌埠段：沫河口断面水质类别符合《地表水环境质量标准》（GB3838-2002）中Ⅱ类标准，蚌埠闸上断面水质类别符合Ⅲ类标准。沫河口断面水质状况有所好转，由良好转为优。</w:t>
            </w:r>
          </w:p>
          <w:p w14:paraId="653BD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ascii="Times New Roman" w:hAnsi="Times New Roman" w:eastAsia="宋体" w:cs="Times New Roman"/>
                <w:color w:val="auto"/>
                <w:sz w:val="24"/>
              </w:rPr>
              <w:t>淮河蚌埠段支流：怀洪新河五河、浍河蚌埠固镇、茨淮新河上桥闸上、涡河怀远三桥、北淝河入淮河口、沱河关咀等6个监测断面均符合Ⅲ类标准，水质状况良好。淮河蚌埠段支流总体水质状况同比无明显变化。其中，涡河怀远三桥断面水质状况同比有所下降，由优转为良好，其他5个断面同比均无明显变化。</w:t>
            </w:r>
          </w:p>
          <w:p w14:paraId="6506E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rPr>
            </w:pPr>
            <w:r>
              <w:rPr>
                <w:rFonts w:hint="eastAsia" w:ascii="Times New Roman" w:hAnsi="Times New Roman" w:eastAsia="宋体" w:cs="Times New Roman"/>
                <w:color w:val="auto"/>
                <w:sz w:val="24"/>
              </w:rPr>
              <w:t>淮河蚌埠段支流：怀洪新河取水口、怀洪新河固镇、新开沱河闸、窑河入淮口等4个断面水质类别均符合Ⅲ类标准，水质状况良好。淮河蚌埠段支流总体水质状况同比无明显变化。其中，窑河入淮</w:t>
            </w:r>
            <w:r>
              <w:rPr>
                <w:rFonts w:hint="eastAsia" w:ascii="Times New Roman" w:hAnsi="Times New Roman" w:eastAsia="宋体" w:cs="Times New Roman"/>
                <w:b w:val="0"/>
                <w:bCs w:val="0"/>
                <w:color w:val="auto"/>
                <w:sz w:val="24"/>
              </w:rPr>
              <w:t>口水质状况有所下降，由优转为良好，其他3个断面同比均无明显变化。</w:t>
            </w:r>
          </w:p>
          <w:p w14:paraId="0D7A85F3">
            <w:pPr>
              <w:pStyle w:val="35"/>
              <w:spacing w:line="360" w:lineRule="auto"/>
              <w:ind w:firstLine="480"/>
              <w:rPr>
                <w:rFonts w:hint="eastAsia" w:ascii="Times New Roman"/>
                <w:b w:val="0"/>
                <w:bCs w:val="0"/>
                <w:color w:val="auto"/>
                <w:lang w:eastAsia="zh-CN"/>
              </w:rPr>
            </w:pPr>
            <w:r>
              <w:rPr>
                <w:rFonts w:hint="eastAsia" w:ascii="Times New Roman" w:hAnsi="Times New Roman" w:eastAsia="宋体" w:cs="Times New Roman"/>
                <w:b w:val="0"/>
                <w:bCs w:val="0"/>
                <w:color w:val="auto"/>
                <w:sz w:val="24"/>
              </w:rPr>
              <w:t>根据公报结论可知，项目所在区域的</w:t>
            </w:r>
            <w:r>
              <w:rPr>
                <w:rFonts w:hint="eastAsia" w:ascii="Times New Roman" w:hAnsi="Times New Roman" w:eastAsia="宋体" w:cs="Times New Roman"/>
                <w:b w:val="0"/>
                <w:bCs w:val="0"/>
                <w:color w:val="auto"/>
                <w:sz w:val="24"/>
                <w:lang w:val="en-US" w:eastAsia="zh-CN"/>
              </w:rPr>
              <w:t>淮河蚌埠段</w:t>
            </w:r>
            <w:r>
              <w:rPr>
                <w:rFonts w:hint="eastAsia" w:ascii="Times New Roman" w:hAnsi="Times New Roman" w:eastAsia="宋体" w:cs="Times New Roman"/>
                <w:b w:val="0"/>
                <w:bCs w:val="0"/>
                <w:color w:val="auto"/>
                <w:sz w:val="24"/>
              </w:rPr>
              <w:t>符合《地表水环境质量标准》﹙GB3838-2002﹚中Ⅲ类标准的要求。</w:t>
            </w:r>
          </w:p>
          <w:p w14:paraId="29073F58">
            <w:pPr>
              <w:spacing w:line="240" w:lineRule="auto"/>
              <w:rPr>
                <w:b/>
                <w:color w:val="auto"/>
                <w:sz w:val="24"/>
              </w:rPr>
            </w:pPr>
            <w:r>
              <w:rPr>
                <w:rFonts w:hint="eastAsia"/>
                <w:b/>
                <w:color w:val="auto"/>
                <w:sz w:val="24"/>
              </w:rPr>
              <w:t>3、</w:t>
            </w:r>
            <w:r>
              <w:rPr>
                <w:b/>
                <w:color w:val="auto"/>
                <w:sz w:val="24"/>
              </w:rPr>
              <w:t>声环境</w:t>
            </w:r>
          </w:p>
          <w:p w14:paraId="210944D3">
            <w:pPr>
              <w:spacing w:line="360" w:lineRule="auto"/>
              <w:ind w:firstLine="480" w:firstLineChars="200"/>
              <w:rPr>
                <w:rFonts w:hint="default" w:ascii="Times New Roman" w:hAnsi="Times New Roman" w:cs="Times New Roman"/>
                <w:color w:val="auto"/>
                <w:kern w:val="0"/>
                <w:sz w:val="24"/>
                <w:szCs w:val="20"/>
              </w:rPr>
            </w:pPr>
            <w:r>
              <w:rPr>
                <w:rFonts w:hint="eastAsia"/>
                <w:color w:val="auto"/>
                <w:sz w:val="24"/>
                <w:szCs w:val="24"/>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固镇经济开发区三星大道005号</w:t>
            </w:r>
            <w:r>
              <w:rPr>
                <w:rFonts w:hint="eastAsia"/>
                <w:color w:val="auto"/>
                <w:sz w:val="24"/>
                <w:szCs w:val="24"/>
              </w:rPr>
              <w:t>，周边50m范围内无声环境保护目标</w:t>
            </w:r>
            <w:r>
              <w:rPr>
                <w:rFonts w:hint="eastAsia"/>
                <w:color w:val="auto"/>
                <w:sz w:val="24"/>
                <w:szCs w:val="24"/>
                <w:lang w:eastAsia="zh-CN"/>
              </w:rPr>
              <w:t>，</w:t>
            </w:r>
            <w:r>
              <w:rPr>
                <w:rFonts w:hint="default" w:ascii="Times New Roman" w:hAnsi="Times New Roman" w:cs="Times New Roman"/>
                <w:color w:val="auto"/>
                <w:kern w:val="0"/>
                <w:sz w:val="24"/>
                <w:szCs w:val="20"/>
              </w:rPr>
              <w:t>根据《建设项目环境影响报告表编制技术指南（污染影响类）（试行）》可不对声环境进行监测。</w:t>
            </w:r>
          </w:p>
          <w:p w14:paraId="7A87CDB9">
            <w:pPr>
              <w:spacing w:line="360" w:lineRule="auto"/>
              <w:rPr>
                <w:b/>
                <w:color w:val="auto"/>
                <w:sz w:val="24"/>
              </w:rPr>
            </w:pP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eastAsia"/>
                <w:b/>
                <w:color w:val="auto"/>
                <w:sz w:val="24"/>
                <w:lang w:eastAsia="zh-CN"/>
              </w:rPr>
              <w:t>地下水、土壤</w:t>
            </w:r>
            <w:r>
              <w:rPr>
                <w:b/>
                <w:color w:val="auto"/>
                <w:sz w:val="24"/>
              </w:rPr>
              <w:t>环境</w:t>
            </w:r>
          </w:p>
          <w:p w14:paraId="713B2533">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szCs w:val="20"/>
                <w:lang w:val="en-US" w:eastAsia="zh-CN"/>
              </w:rPr>
              <w:t>根据《建设项目环境影响报告表编制技术指南（污染影响类）（试行）》中“地下水、土壤环境 原则上不开展环境质量现状调查”，本</w:t>
            </w:r>
            <w:r>
              <w:rPr>
                <w:rFonts w:hint="eastAsia"/>
                <w:color w:val="auto"/>
                <w:sz w:val="24"/>
                <w:szCs w:val="24"/>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固镇经济开发区三星大道005号</w:t>
            </w:r>
            <w:r>
              <w:rPr>
                <w:rFonts w:hint="eastAsia"/>
                <w:color w:val="auto"/>
                <w:sz w:val="24"/>
                <w:szCs w:val="24"/>
              </w:rPr>
              <w:t>，</w:t>
            </w:r>
            <w:r>
              <w:rPr>
                <w:rFonts w:hint="eastAsia"/>
                <w:color w:val="auto"/>
                <w:sz w:val="24"/>
                <w:szCs w:val="24"/>
                <w:lang w:eastAsia="zh-CN"/>
              </w:rPr>
              <w:t>厂区采取</w:t>
            </w:r>
            <w:r>
              <w:rPr>
                <w:rFonts w:hint="eastAsia" w:ascii="Times New Roman" w:hAnsi="Times New Roman" w:eastAsia="宋体" w:cs="Times New Roman"/>
                <w:color w:val="auto"/>
                <w:kern w:val="0"/>
                <w:sz w:val="24"/>
                <w:szCs w:val="20"/>
                <w:lang w:val="en-US" w:eastAsia="zh-CN"/>
              </w:rPr>
              <w:t>分区防控措施后</w:t>
            </w:r>
            <w:r>
              <w:rPr>
                <w:rFonts w:hint="eastAsia" w:cs="Times New Roman"/>
                <w:color w:val="auto"/>
                <w:kern w:val="0"/>
                <w:sz w:val="24"/>
                <w:szCs w:val="20"/>
                <w:lang w:val="en-US" w:eastAsia="zh-CN"/>
              </w:rPr>
              <w:t>不对地下水及土壤造成污染</w:t>
            </w:r>
            <w:r>
              <w:rPr>
                <w:rFonts w:hint="eastAsia" w:ascii="Times New Roman" w:hAnsi="Times New Roman" w:eastAsia="宋体" w:cs="Times New Roman"/>
                <w:color w:val="auto"/>
                <w:kern w:val="0"/>
                <w:sz w:val="24"/>
                <w:szCs w:val="20"/>
                <w:lang w:val="en-US" w:eastAsia="zh-CN"/>
              </w:rPr>
              <w:t>，本评价可不进行地下水及土壤环境质量现状评价。</w:t>
            </w:r>
          </w:p>
          <w:p w14:paraId="4AD86F12">
            <w:pPr>
              <w:spacing w:line="360" w:lineRule="auto"/>
              <w:rPr>
                <w:rFonts w:hint="default" w:ascii="Times New Roman" w:hAnsi="Times New Roman" w:eastAsia="宋体" w:cs="Times New Roman"/>
                <w:b/>
                <w:color w:val="auto"/>
                <w:sz w:val="24"/>
              </w:rPr>
            </w:pPr>
            <w:r>
              <w:rPr>
                <w:rFonts w:hint="eastAsia" w:cs="Times New Roman"/>
                <w:b/>
                <w:color w:val="auto"/>
                <w:sz w:val="24"/>
                <w:lang w:val="en-US" w:eastAsia="zh-CN"/>
              </w:rPr>
              <w:t>5</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eastAsia="zh-CN"/>
              </w:rPr>
              <w:t>生态</w:t>
            </w:r>
            <w:r>
              <w:rPr>
                <w:rFonts w:hint="default" w:ascii="Times New Roman" w:hAnsi="Times New Roman" w:eastAsia="宋体" w:cs="Times New Roman"/>
                <w:b/>
                <w:color w:val="auto"/>
                <w:sz w:val="24"/>
              </w:rPr>
              <w:t>环境</w:t>
            </w:r>
          </w:p>
          <w:p w14:paraId="27606AB4">
            <w:pPr>
              <w:spacing w:line="360" w:lineRule="auto"/>
              <w:ind w:firstLine="480" w:firstLineChars="200"/>
              <w:rPr>
                <w:rFonts w:hint="eastAsia" w:eastAsia="宋体"/>
                <w:b/>
                <w:bCs/>
                <w:color w:val="auto"/>
                <w:sz w:val="24"/>
                <w:szCs w:val="24"/>
                <w:lang w:val="en-US" w:eastAsia="zh-CN"/>
              </w:rPr>
            </w:pPr>
            <w:r>
              <w:rPr>
                <w:rFonts w:hint="default" w:ascii="Times New Roman" w:hAnsi="Times New Roman" w:eastAsia="宋体" w:cs="Times New Roman"/>
                <w:color w:val="auto"/>
                <w:sz w:val="24"/>
                <w:szCs w:val="24"/>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固镇经济开发区三星大道005号</w:t>
            </w:r>
            <w:r>
              <w:rPr>
                <w:rFonts w:hint="default" w:ascii="Times New Roman" w:hAnsi="Times New Roman" w:eastAsia="宋体" w:cs="Times New Roman"/>
                <w:color w:val="auto"/>
                <w:sz w:val="24"/>
                <w:szCs w:val="24"/>
              </w:rPr>
              <w:t>，</w:t>
            </w:r>
            <w:r>
              <w:rPr>
                <w:rFonts w:hint="eastAsia"/>
                <w:color w:val="auto"/>
                <w:sz w:val="24"/>
                <w:szCs w:val="24"/>
                <w:lang w:val="en-US" w:eastAsia="zh-CN"/>
              </w:rPr>
              <w:t>位于规划的工业园区内</w:t>
            </w:r>
            <w:r>
              <w:rPr>
                <w:rFonts w:hint="default" w:ascii="Times New Roman" w:hAnsi="Times New Roman" w:eastAsia="宋体" w:cs="Times New Roman"/>
                <w:color w:val="auto"/>
                <w:sz w:val="24"/>
                <w:szCs w:val="24"/>
                <w:lang w:eastAsia="zh-CN"/>
              </w:rPr>
              <w:t>，无生态环境保护目标，无需进行生态环境现状调查</w:t>
            </w:r>
            <w:r>
              <w:rPr>
                <w:rFonts w:hint="default" w:ascii="Times New Roman" w:hAnsi="Times New Roman" w:eastAsia="宋体" w:cs="Times New Roman"/>
                <w:color w:val="auto"/>
                <w:sz w:val="24"/>
                <w:szCs w:val="24"/>
              </w:rPr>
              <w:t>。</w:t>
            </w:r>
          </w:p>
        </w:tc>
      </w:tr>
      <w:tr w14:paraId="36E7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9" w:hRule="atLeast"/>
        </w:trPr>
        <w:tc>
          <w:tcPr>
            <w:tcW w:w="534" w:type="dxa"/>
            <w:vAlign w:val="center"/>
          </w:tcPr>
          <w:p w14:paraId="70021A9B">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环境保护目标</w:t>
            </w:r>
          </w:p>
        </w:tc>
        <w:tc>
          <w:tcPr>
            <w:tcW w:w="9037" w:type="dxa"/>
          </w:tcPr>
          <w:p w14:paraId="5870CCC9">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color w:val="auto"/>
                <w:sz w:val="24"/>
              </w:rPr>
            </w:pPr>
            <w:r>
              <w:rPr>
                <w:rFonts w:hint="default" w:ascii="Times New Roman" w:hAnsi="Times New Roman" w:eastAsia="宋体" w:cs="Times New Roman"/>
                <w:color w:val="auto"/>
                <w:kern w:val="0"/>
                <w:sz w:val="24"/>
                <w:szCs w:val="24"/>
                <w:lang w:val="en-US" w:eastAsia="zh-CN" w:bidi="ar"/>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固镇经济开发区三星大道005号</w:t>
            </w:r>
            <w:r>
              <w:rPr>
                <w:rFonts w:hint="eastAsia"/>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根据现场踏勘建设项目周边情况，项目厂界外500米范围内无自然保护区、风景名胜区等特殊敏感环境保护目标，</w:t>
            </w:r>
            <w:r>
              <w:rPr>
                <w:rFonts w:hint="eastAsia"/>
                <w:color w:val="auto"/>
                <w:sz w:val="24"/>
              </w:rPr>
              <w:t>厂界外50米范围内无声环境保护目标</w:t>
            </w:r>
            <w:r>
              <w:rPr>
                <w:rFonts w:hint="eastAsia"/>
                <w:color w:val="auto"/>
                <w:sz w:val="24"/>
                <w:lang w:eastAsia="zh-CN"/>
              </w:rPr>
              <w:t>，</w:t>
            </w:r>
            <w:r>
              <w:rPr>
                <w:rFonts w:hint="eastAsia"/>
                <w:color w:val="auto"/>
                <w:sz w:val="24"/>
              </w:rPr>
              <w:t>厂界外500米范围内无地下水集中式饮用水水源和热水、矿泉水、温泉等特殊地下水资源</w:t>
            </w:r>
            <w:r>
              <w:rPr>
                <w:rFonts w:hint="default" w:ascii="Times New Roman" w:hAnsi="Times New Roman" w:eastAsia="宋体" w:cs="Times New Roman"/>
                <w:color w:val="auto"/>
                <w:kern w:val="0"/>
                <w:sz w:val="24"/>
                <w:szCs w:val="24"/>
                <w:lang w:val="en-US" w:eastAsia="zh-CN" w:bidi="ar"/>
              </w:rPr>
              <w:t>等地下水环境保护目标。项目位于工业园区内，因此也不涉及生态环境保护目标。</w:t>
            </w:r>
            <w:r>
              <w:rPr>
                <w:color w:val="auto"/>
                <w:sz w:val="24"/>
              </w:rPr>
              <w:t>总体上不因本项目的实施而改变区域环境现有功能。</w:t>
            </w:r>
          </w:p>
          <w:p w14:paraId="114518A3">
            <w:pPr>
              <w:ind w:left="29" w:leftChars="14" w:firstLine="422" w:firstLineChars="200"/>
              <w:jc w:val="center"/>
              <w:rPr>
                <w:rFonts w:hint="eastAsia" w:ascii="Times New Roman" w:hAnsi="Times New Roman" w:eastAsia="宋体"/>
                <w:b/>
                <w:bCs/>
                <w:color w:val="auto"/>
                <w:sz w:val="24"/>
                <w:szCs w:val="24"/>
                <w:lang w:eastAsia="zh-CN"/>
              </w:rPr>
            </w:pPr>
            <w:r>
              <w:rPr>
                <w:rFonts w:ascii="Times New Roman" w:hAnsi="Times New Roman"/>
                <w:b/>
                <w:bCs/>
                <w:color w:val="auto"/>
                <w:sz w:val="21"/>
                <w:szCs w:val="21"/>
              </w:rPr>
              <w:t>表</w:t>
            </w:r>
            <w:r>
              <w:rPr>
                <w:rFonts w:hint="eastAsia" w:ascii="Times New Roman" w:hAnsi="Times New Roman"/>
                <w:b/>
                <w:bCs/>
                <w:color w:val="auto"/>
                <w:sz w:val="21"/>
                <w:szCs w:val="21"/>
              </w:rPr>
              <w:t>3</w:t>
            </w:r>
            <w:r>
              <w:rPr>
                <w:rFonts w:ascii="Times New Roman" w:hAnsi="Times New Roman"/>
                <w:b/>
                <w:bCs/>
                <w:color w:val="auto"/>
                <w:sz w:val="21"/>
                <w:szCs w:val="21"/>
              </w:rPr>
              <w:t>-</w:t>
            </w:r>
            <w:r>
              <w:rPr>
                <w:rFonts w:hint="eastAsia"/>
                <w:b/>
                <w:bCs/>
                <w:color w:val="auto"/>
                <w:sz w:val="21"/>
                <w:szCs w:val="21"/>
                <w:lang w:val="en-US" w:eastAsia="zh-CN"/>
              </w:rPr>
              <w:t xml:space="preserve">4 </w:t>
            </w:r>
            <w:r>
              <w:rPr>
                <w:rFonts w:ascii="Times New Roman" w:hAnsi="Times New Roman"/>
                <w:b/>
                <w:bCs/>
                <w:color w:val="auto"/>
                <w:sz w:val="21"/>
                <w:szCs w:val="21"/>
              </w:rPr>
              <w:t>项目</w:t>
            </w:r>
            <w:r>
              <w:rPr>
                <w:rFonts w:hint="eastAsia"/>
                <w:b/>
                <w:bCs/>
                <w:color w:val="auto"/>
                <w:sz w:val="21"/>
                <w:szCs w:val="21"/>
                <w:lang w:eastAsia="zh-CN"/>
              </w:rPr>
              <w:t>主要</w:t>
            </w:r>
            <w:r>
              <w:rPr>
                <w:rFonts w:ascii="Times New Roman" w:hAnsi="Times New Roman"/>
                <w:b/>
                <w:bCs/>
                <w:color w:val="auto"/>
                <w:sz w:val="21"/>
                <w:szCs w:val="21"/>
              </w:rPr>
              <w:t>环境保护目标</w:t>
            </w:r>
            <w:r>
              <w:rPr>
                <w:rFonts w:hint="eastAsia"/>
                <w:b/>
                <w:bCs/>
                <w:color w:val="auto"/>
                <w:sz w:val="21"/>
                <w:szCs w:val="21"/>
                <w:lang w:eastAsia="zh-CN"/>
              </w:rPr>
              <w:t>一览表</w:t>
            </w:r>
          </w:p>
          <w:tbl>
            <w:tblPr>
              <w:tblStyle w:val="29"/>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95"/>
              <w:gridCol w:w="946"/>
              <w:gridCol w:w="900"/>
              <w:gridCol w:w="2574"/>
              <w:gridCol w:w="795"/>
              <w:gridCol w:w="1013"/>
            </w:tblGrid>
            <w:tr w14:paraId="69DA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 w:type="dxa"/>
                  <w:vMerge w:val="restart"/>
                  <w:noWrap w:val="0"/>
                  <w:vAlign w:val="center"/>
                </w:tcPr>
                <w:p w14:paraId="637F127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环境类别</w:t>
                  </w:r>
                </w:p>
              </w:tc>
              <w:tc>
                <w:tcPr>
                  <w:tcW w:w="1595" w:type="dxa"/>
                  <w:vMerge w:val="restart"/>
                  <w:noWrap w:val="0"/>
                  <w:vAlign w:val="center"/>
                </w:tcPr>
                <w:p w14:paraId="0C05F4C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hint="eastAsia"/>
                      <w:b w:val="0"/>
                      <w:bCs/>
                      <w:color w:val="auto"/>
                      <w:sz w:val="21"/>
                      <w:szCs w:val="21"/>
                      <w:lang w:eastAsia="zh-CN"/>
                    </w:rPr>
                    <w:t>保护对象</w:t>
                  </w:r>
                </w:p>
              </w:tc>
              <w:tc>
                <w:tcPr>
                  <w:tcW w:w="1846" w:type="dxa"/>
                  <w:gridSpan w:val="2"/>
                  <w:noWrap w:val="0"/>
                  <w:vAlign w:val="center"/>
                </w:tcPr>
                <w:p w14:paraId="45DD1197">
                  <w:pPr>
                    <w:pStyle w:val="17"/>
                    <w:keepNext w:val="0"/>
                    <w:keepLines w:val="0"/>
                    <w:pageBreakBefore w:val="0"/>
                    <w:widowControl w:val="0"/>
                    <w:tabs>
                      <w:tab w:val="left" w:pos="0"/>
                    </w:tabs>
                    <w:kinsoku/>
                    <w:wordWrap/>
                    <w:overflowPunct/>
                    <w:topLinePunct w:val="0"/>
                    <w:autoSpaceDE/>
                    <w:autoSpaceDN/>
                    <w:bidi w:val="0"/>
                    <w:adjustRightInd/>
                    <w:snapToGrid/>
                    <w:spacing w:line="240" w:lineRule="auto"/>
                    <w:ind w:left="-105" w:leftChars="-50" w:right="-105" w:rightChars="-50"/>
                    <w:jc w:val="center"/>
                    <w:textAlignment w:val="auto"/>
                    <w:rPr>
                      <w:rFonts w:hint="eastAsia"/>
                      <w:bCs/>
                      <w:color w:val="auto"/>
                      <w:sz w:val="21"/>
                      <w:szCs w:val="21"/>
                      <w:lang w:eastAsia="zh-CN"/>
                    </w:rPr>
                  </w:pPr>
                  <w:r>
                    <w:rPr>
                      <w:rFonts w:hint="default" w:ascii="Times New Roman" w:hAnsi="Times New Roman" w:eastAsia="宋体" w:cs="Times New Roman"/>
                      <w:b w:val="0"/>
                      <w:bCs/>
                      <w:color w:val="auto"/>
                      <w:sz w:val="21"/>
                      <w:szCs w:val="21"/>
                    </w:rPr>
                    <w:t>坐标/m</w:t>
                  </w:r>
                </w:p>
              </w:tc>
              <w:tc>
                <w:tcPr>
                  <w:tcW w:w="2574" w:type="dxa"/>
                  <w:vMerge w:val="restart"/>
                  <w:noWrap w:val="0"/>
                  <w:vAlign w:val="center"/>
                </w:tcPr>
                <w:p w14:paraId="4101D60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ascii="Times New Roman" w:hAnsi="Times New Roman"/>
                      <w:bCs/>
                      <w:color w:val="auto"/>
                      <w:sz w:val="21"/>
                      <w:szCs w:val="21"/>
                    </w:rPr>
                    <w:t>环境功能区</w:t>
                  </w:r>
                </w:p>
              </w:tc>
              <w:tc>
                <w:tcPr>
                  <w:tcW w:w="795" w:type="dxa"/>
                  <w:vMerge w:val="restart"/>
                  <w:noWrap w:val="0"/>
                  <w:vAlign w:val="center"/>
                </w:tcPr>
                <w:p w14:paraId="1481E59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ascii="Times New Roman" w:hAnsi="Times New Roman"/>
                      <w:bCs/>
                      <w:color w:val="auto"/>
                      <w:sz w:val="21"/>
                      <w:szCs w:val="21"/>
                    </w:rPr>
                    <w:t>相对厂址方向</w:t>
                  </w:r>
                </w:p>
              </w:tc>
              <w:tc>
                <w:tcPr>
                  <w:tcW w:w="1013" w:type="dxa"/>
                  <w:vMerge w:val="restart"/>
                  <w:noWrap w:val="0"/>
                  <w:vAlign w:val="center"/>
                </w:tcPr>
                <w:p w14:paraId="0E04DA6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ascii="Times New Roman" w:hAnsi="Times New Roman"/>
                      <w:bCs/>
                      <w:color w:val="auto"/>
                      <w:sz w:val="21"/>
                      <w:szCs w:val="21"/>
                    </w:rPr>
                    <w:t>相对厂界距离/m</w:t>
                  </w:r>
                </w:p>
              </w:tc>
            </w:tr>
            <w:tr w14:paraId="0BF3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 w:type="dxa"/>
                  <w:vMerge w:val="continue"/>
                  <w:noWrap w:val="0"/>
                  <w:vAlign w:val="center"/>
                </w:tcPr>
                <w:p w14:paraId="5D2B1D1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bCs/>
                      <w:color w:val="auto"/>
                      <w:sz w:val="21"/>
                      <w:szCs w:val="21"/>
                      <w:lang w:eastAsia="zh-CN"/>
                    </w:rPr>
                  </w:pPr>
                </w:p>
              </w:tc>
              <w:tc>
                <w:tcPr>
                  <w:tcW w:w="1595" w:type="dxa"/>
                  <w:vMerge w:val="continue"/>
                  <w:noWrap w:val="0"/>
                  <w:vAlign w:val="center"/>
                </w:tcPr>
                <w:p w14:paraId="06BCFE4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bCs/>
                      <w:color w:val="auto"/>
                      <w:sz w:val="21"/>
                      <w:szCs w:val="21"/>
                      <w:lang w:eastAsia="zh-CN"/>
                    </w:rPr>
                  </w:pPr>
                </w:p>
              </w:tc>
              <w:tc>
                <w:tcPr>
                  <w:tcW w:w="946" w:type="dxa"/>
                  <w:noWrap w:val="0"/>
                  <w:vAlign w:val="center"/>
                </w:tcPr>
                <w:p w14:paraId="2D806733">
                  <w:pPr>
                    <w:pStyle w:val="17"/>
                    <w:keepNext w:val="0"/>
                    <w:keepLines w:val="0"/>
                    <w:pageBreakBefore w:val="0"/>
                    <w:widowControl w:val="0"/>
                    <w:tabs>
                      <w:tab w:val="left" w:pos="0"/>
                    </w:tabs>
                    <w:kinsoku/>
                    <w:wordWrap/>
                    <w:overflowPunct/>
                    <w:topLinePunct w:val="0"/>
                    <w:autoSpaceDE/>
                    <w:autoSpaceDN/>
                    <w:bidi w:val="0"/>
                    <w:adjustRightInd/>
                    <w:snapToGrid/>
                    <w:spacing w:line="240" w:lineRule="auto"/>
                    <w:ind w:left="-105" w:leftChars="-50" w:right="-105" w:rightChars="-50"/>
                    <w:jc w:val="center"/>
                    <w:textAlignment w:val="auto"/>
                    <w:rPr>
                      <w:rFonts w:hint="eastAsia"/>
                      <w:bCs/>
                      <w:color w:val="auto"/>
                      <w:sz w:val="21"/>
                      <w:szCs w:val="21"/>
                      <w:lang w:eastAsia="zh-CN"/>
                    </w:rPr>
                  </w:pPr>
                  <w:r>
                    <w:rPr>
                      <w:rFonts w:hint="default" w:ascii="Times New Roman" w:hAnsi="Times New Roman" w:eastAsia="宋体" w:cs="Times New Roman"/>
                      <w:b w:val="0"/>
                      <w:bCs/>
                      <w:color w:val="auto"/>
                      <w:sz w:val="21"/>
                      <w:szCs w:val="21"/>
                    </w:rPr>
                    <w:t>X</w:t>
                  </w:r>
                </w:p>
              </w:tc>
              <w:tc>
                <w:tcPr>
                  <w:tcW w:w="900" w:type="dxa"/>
                  <w:noWrap w:val="0"/>
                  <w:vAlign w:val="center"/>
                </w:tcPr>
                <w:p w14:paraId="7784B265">
                  <w:pPr>
                    <w:pStyle w:val="17"/>
                    <w:keepNext w:val="0"/>
                    <w:keepLines w:val="0"/>
                    <w:pageBreakBefore w:val="0"/>
                    <w:widowControl w:val="0"/>
                    <w:tabs>
                      <w:tab w:val="left" w:pos="0"/>
                    </w:tabs>
                    <w:kinsoku/>
                    <w:wordWrap/>
                    <w:overflowPunct/>
                    <w:topLinePunct w:val="0"/>
                    <w:autoSpaceDE/>
                    <w:autoSpaceDN/>
                    <w:bidi w:val="0"/>
                    <w:adjustRightInd/>
                    <w:snapToGrid/>
                    <w:spacing w:line="240" w:lineRule="auto"/>
                    <w:ind w:left="-105" w:leftChars="-50" w:right="-105" w:rightChars="-50"/>
                    <w:jc w:val="center"/>
                    <w:textAlignment w:val="auto"/>
                    <w:rPr>
                      <w:rFonts w:hint="eastAsia"/>
                      <w:bCs/>
                      <w:color w:val="auto"/>
                      <w:sz w:val="21"/>
                      <w:szCs w:val="21"/>
                      <w:lang w:eastAsia="zh-CN"/>
                    </w:rPr>
                  </w:pPr>
                  <w:r>
                    <w:rPr>
                      <w:rFonts w:hint="default" w:ascii="Times New Roman" w:hAnsi="Times New Roman" w:eastAsia="宋体" w:cs="Times New Roman"/>
                      <w:b w:val="0"/>
                      <w:bCs/>
                      <w:color w:val="auto"/>
                      <w:sz w:val="21"/>
                      <w:szCs w:val="21"/>
                    </w:rPr>
                    <w:t>Y</w:t>
                  </w:r>
                </w:p>
              </w:tc>
              <w:tc>
                <w:tcPr>
                  <w:tcW w:w="2574" w:type="dxa"/>
                  <w:vMerge w:val="continue"/>
                  <w:noWrap w:val="0"/>
                  <w:vAlign w:val="center"/>
                </w:tcPr>
                <w:p w14:paraId="1E2D89A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p>
              </w:tc>
              <w:tc>
                <w:tcPr>
                  <w:tcW w:w="795" w:type="dxa"/>
                  <w:vMerge w:val="continue"/>
                  <w:noWrap w:val="0"/>
                  <w:vAlign w:val="center"/>
                </w:tcPr>
                <w:p w14:paraId="263A63E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p>
              </w:tc>
              <w:tc>
                <w:tcPr>
                  <w:tcW w:w="1013" w:type="dxa"/>
                  <w:vMerge w:val="continue"/>
                  <w:noWrap w:val="0"/>
                  <w:vAlign w:val="center"/>
                </w:tcPr>
                <w:p w14:paraId="5D6797A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p>
              </w:tc>
            </w:tr>
            <w:tr w14:paraId="5E18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 w:type="dxa"/>
                  <w:noWrap w:val="0"/>
                  <w:vAlign w:val="center"/>
                </w:tcPr>
                <w:p w14:paraId="6D393D4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大气环境</w:t>
                  </w:r>
                </w:p>
              </w:tc>
              <w:tc>
                <w:tcPr>
                  <w:tcW w:w="1595" w:type="dxa"/>
                  <w:noWrap w:val="0"/>
                  <w:vAlign w:val="center"/>
                </w:tcPr>
                <w:p w14:paraId="19BF371A">
                  <w:pPr>
                    <w:adjustRightInd w:val="0"/>
                    <w:snapToGrid w:val="0"/>
                    <w:jc w:val="center"/>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固镇县连城派出所</w:t>
                  </w:r>
                </w:p>
              </w:tc>
              <w:tc>
                <w:tcPr>
                  <w:tcW w:w="946" w:type="dxa"/>
                  <w:noWrap w:val="0"/>
                  <w:vAlign w:val="center"/>
                </w:tcPr>
                <w:p w14:paraId="74DBE3EF">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bCs/>
                      <w:color w:val="auto"/>
                      <w:sz w:val="21"/>
                      <w:szCs w:val="21"/>
                      <w:lang w:val="en-US" w:eastAsia="zh-CN"/>
                    </w:rPr>
                  </w:pPr>
                  <w:r>
                    <w:rPr>
                      <w:rFonts w:hint="eastAsia" w:cs="Times New Roman"/>
                      <w:bCs/>
                      <w:color w:val="auto"/>
                      <w:sz w:val="21"/>
                      <w:szCs w:val="21"/>
                      <w:highlight w:val="none"/>
                      <w:lang w:val="en-US" w:eastAsia="zh-CN"/>
                    </w:rPr>
                    <w:t>208</w:t>
                  </w:r>
                </w:p>
              </w:tc>
              <w:tc>
                <w:tcPr>
                  <w:tcW w:w="900" w:type="dxa"/>
                  <w:noWrap w:val="0"/>
                  <w:vAlign w:val="center"/>
                </w:tcPr>
                <w:p w14:paraId="78E06848">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bCs/>
                      <w:color w:val="auto"/>
                      <w:sz w:val="21"/>
                      <w:szCs w:val="21"/>
                      <w:lang w:val="en-US" w:eastAsia="zh-CN"/>
                    </w:rPr>
                  </w:pPr>
                  <w:r>
                    <w:rPr>
                      <w:rFonts w:hint="eastAsia" w:cs="Times New Roman"/>
                      <w:bCs/>
                      <w:color w:val="auto"/>
                      <w:sz w:val="21"/>
                      <w:szCs w:val="21"/>
                      <w:highlight w:val="none"/>
                      <w:lang w:val="en-US" w:eastAsia="zh-CN"/>
                    </w:rPr>
                    <w:t>405</w:t>
                  </w:r>
                </w:p>
              </w:tc>
              <w:tc>
                <w:tcPr>
                  <w:tcW w:w="2574" w:type="dxa"/>
                  <w:noWrap w:val="0"/>
                  <w:vAlign w:val="center"/>
                </w:tcPr>
                <w:p w14:paraId="47BDC01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color w:val="auto"/>
                      <w:spacing w:val="-4"/>
                      <w:sz w:val="21"/>
                      <w:szCs w:val="21"/>
                    </w:rPr>
                    <w:t>《环境空气质量标准》</w:t>
                  </w:r>
                  <w:r>
                    <w:rPr>
                      <w:color w:val="auto"/>
                      <w:sz w:val="21"/>
                      <w:szCs w:val="21"/>
                    </w:rPr>
                    <w:t>（GB3095-2012）</w:t>
                  </w:r>
                  <w:r>
                    <w:rPr>
                      <w:bCs/>
                      <w:color w:val="auto"/>
                      <w:sz w:val="21"/>
                      <w:szCs w:val="21"/>
                    </w:rPr>
                    <w:t>二级</w:t>
                  </w:r>
                  <w:r>
                    <w:rPr>
                      <w:color w:val="auto"/>
                      <w:spacing w:val="-4"/>
                      <w:sz w:val="21"/>
                      <w:szCs w:val="21"/>
                    </w:rPr>
                    <w:t>标准</w:t>
                  </w:r>
                </w:p>
              </w:tc>
              <w:tc>
                <w:tcPr>
                  <w:tcW w:w="795" w:type="dxa"/>
                  <w:noWrap w:val="0"/>
                  <w:vAlign w:val="center"/>
                </w:tcPr>
                <w:p w14:paraId="38D7287C">
                  <w:pPr>
                    <w:adjustRightInd w:val="0"/>
                    <w:snapToGrid w:val="0"/>
                    <w:jc w:val="center"/>
                    <w:rPr>
                      <w:rFonts w:hint="eastAsia" w:ascii="Times New Roman" w:hAnsi="Times New Roman" w:eastAsia="宋体"/>
                      <w:bCs/>
                      <w:color w:val="auto"/>
                      <w:sz w:val="21"/>
                      <w:szCs w:val="21"/>
                      <w:lang w:eastAsia="zh-CN"/>
                    </w:rPr>
                  </w:pPr>
                  <w:r>
                    <w:rPr>
                      <w:rFonts w:hint="eastAsia" w:cs="Times New Roman"/>
                      <w:b w:val="0"/>
                      <w:bCs w:val="0"/>
                      <w:color w:val="auto"/>
                      <w:kern w:val="2"/>
                      <w:sz w:val="21"/>
                      <w:szCs w:val="21"/>
                      <w:lang w:val="en-US" w:eastAsia="zh-CN" w:bidi="ar-SA"/>
                    </w:rPr>
                    <w:t>西北</w:t>
                  </w:r>
                </w:p>
              </w:tc>
              <w:tc>
                <w:tcPr>
                  <w:tcW w:w="1013" w:type="dxa"/>
                  <w:noWrap w:val="0"/>
                  <w:vAlign w:val="center"/>
                </w:tcPr>
                <w:p w14:paraId="42B469E4">
                  <w:pPr>
                    <w:adjustRightInd w:val="0"/>
                    <w:snapToGrid w:val="0"/>
                    <w:jc w:val="center"/>
                    <w:rPr>
                      <w:rFonts w:hint="default" w:ascii="Times New Roman" w:hAnsi="Times New Roman" w:eastAsia="宋体"/>
                      <w:bCs/>
                      <w:color w:val="auto"/>
                      <w:sz w:val="21"/>
                      <w:szCs w:val="21"/>
                      <w:lang w:val="en-US" w:eastAsia="zh-CN"/>
                    </w:rPr>
                  </w:pPr>
                  <w:r>
                    <w:rPr>
                      <w:rFonts w:hint="eastAsia" w:cs="Times New Roman"/>
                      <w:b w:val="0"/>
                      <w:bCs w:val="0"/>
                      <w:color w:val="auto"/>
                      <w:kern w:val="2"/>
                      <w:sz w:val="21"/>
                      <w:szCs w:val="21"/>
                      <w:lang w:val="en-US" w:eastAsia="zh-CN" w:bidi="ar-SA"/>
                    </w:rPr>
                    <w:t>436</w:t>
                  </w:r>
                </w:p>
              </w:tc>
            </w:tr>
          </w:tbl>
          <w:p w14:paraId="127C18E5">
            <w:pPr>
              <w:keepNext w:val="0"/>
              <w:keepLines w:val="0"/>
              <w:pageBreakBefore w:val="0"/>
              <w:widowControl/>
              <w:suppressLineNumbers w:val="0"/>
              <w:kinsoku/>
              <w:wordWrap/>
              <w:overflowPunct/>
              <w:topLinePunct w:val="0"/>
              <w:bidi w:val="0"/>
              <w:snapToGrid/>
              <w:spacing w:line="360" w:lineRule="auto"/>
              <w:jc w:val="left"/>
              <w:textAlignment w:val="auto"/>
              <w:rPr>
                <w:color w:val="auto"/>
                <w:sz w:val="21"/>
                <w:szCs w:val="21"/>
              </w:rPr>
            </w:pPr>
            <w:r>
              <w:rPr>
                <w:color w:val="auto"/>
                <w:sz w:val="21"/>
                <w:szCs w:val="21"/>
              </w:rPr>
              <w:t>坐标系以</w:t>
            </w:r>
            <w:r>
              <w:rPr>
                <w:rFonts w:hint="eastAsia"/>
                <w:color w:val="auto"/>
                <w:sz w:val="21"/>
                <w:szCs w:val="21"/>
                <w:lang w:eastAsia="zh-CN"/>
              </w:rPr>
              <w:t>厂界东北角</w:t>
            </w:r>
            <w:r>
              <w:rPr>
                <w:color w:val="auto"/>
                <w:sz w:val="21"/>
                <w:szCs w:val="21"/>
              </w:rPr>
              <w:t>为原点，正东向为x轴，正北向为y轴。</w:t>
            </w:r>
          </w:p>
          <w:p w14:paraId="3263C216">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hAnsi="Times New Roman" w:eastAsia="宋体"/>
                <w:color w:val="auto"/>
                <w:szCs w:val="24"/>
                <w:lang w:val="en-US" w:eastAsia="zh-CN"/>
              </w:rPr>
            </w:pPr>
            <w:r>
              <w:rPr>
                <w:rFonts w:hint="eastAsia"/>
                <w:color w:val="auto"/>
                <w:sz w:val="21"/>
                <w:szCs w:val="21"/>
                <w:lang w:val="en-US" w:eastAsia="zh-CN"/>
              </w:rPr>
              <w:t xml:space="preserve"> </w:t>
            </w:r>
          </w:p>
        </w:tc>
      </w:tr>
      <w:tr w14:paraId="17CB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7" w:hRule="atLeast"/>
        </w:trPr>
        <w:tc>
          <w:tcPr>
            <w:tcW w:w="534" w:type="dxa"/>
            <w:vAlign w:val="center"/>
          </w:tcPr>
          <w:p w14:paraId="67D10E4B">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污染物排放控制标准</w:t>
            </w:r>
          </w:p>
        </w:tc>
        <w:tc>
          <w:tcPr>
            <w:tcW w:w="9037" w:type="dxa"/>
          </w:tcPr>
          <w:p w14:paraId="66044734">
            <w:pPr>
              <w:shd w:val="clear"/>
              <w:tabs>
                <w:tab w:val="left" w:pos="540"/>
                <w:tab w:val="left" w:pos="900"/>
                <w:tab w:val="left" w:pos="3780"/>
              </w:tabs>
              <w:adjustRightInd w:val="0"/>
              <w:snapToGrid w:val="0"/>
              <w:spacing w:line="240" w:lineRule="auto"/>
              <w:rPr>
                <w:b/>
                <w:bCs/>
                <w:color w:val="auto"/>
                <w:sz w:val="24"/>
              </w:rPr>
            </w:pPr>
            <w:r>
              <w:rPr>
                <w:b/>
                <w:bCs/>
                <w:color w:val="auto"/>
                <w:sz w:val="24"/>
              </w:rPr>
              <w:t>1、废气</w:t>
            </w:r>
          </w:p>
          <w:p w14:paraId="4249AAF3">
            <w:pPr>
              <w:spacing w:line="360" w:lineRule="auto"/>
              <w:ind w:firstLine="480"/>
              <w:contextualSpacing/>
              <w:rPr>
                <w:rFonts w:hint="eastAsia"/>
                <w:color w:val="auto"/>
                <w:sz w:val="24"/>
                <w:lang w:eastAsia="zh-CN"/>
              </w:rPr>
            </w:pPr>
            <w:r>
              <w:rPr>
                <w:rFonts w:hint="eastAsia"/>
                <w:color w:val="auto"/>
                <w:sz w:val="24"/>
                <w:lang w:eastAsia="zh-CN"/>
              </w:rPr>
              <w:t>项目施工期颗粒物执行</w:t>
            </w:r>
            <w:r>
              <w:rPr>
                <w:rFonts w:hint="eastAsia"/>
                <w:bCs/>
                <w:color w:val="auto"/>
                <w:sz w:val="24"/>
                <w:lang w:eastAsia="zh-CN"/>
              </w:rPr>
              <w:t>《施工场地颗粒物排放标准》（</w:t>
            </w:r>
            <w:r>
              <w:rPr>
                <w:rFonts w:hint="eastAsia"/>
                <w:bCs/>
                <w:color w:val="auto"/>
                <w:sz w:val="24"/>
                <w:lang w:val="en-US" w:eastAsia="zh-CN"/>
              </w:rPr>
              <w:t>D</w:t>
            </w:r>
            <w:r>
              <w:rPr>
                <w:rFonts w:hint="eastAsia"/>
                <w:bCs/>
                <w:color w:val="auto"/>
                <w:sz w:val="24"/>
                <w:lang w:eastAsia="zh-CN"/>
              </w:rPr>
              <w:t>B</w:t>
            </w:r>
            <w:r>
              <w:rPr>
                <w:rFonts w:hint="eastAsia"/>
                <w:bCs/>
                <w:color w:val="auto"/>
                <w:sz w:val="24"/>
                <w:lang w:val="en-US" w:eastAsia="zh-CN"/>
              </w:rPr>
              <w:t>34/4811</w:t>
            </w:r>
            <w:r>
              <w:rPr>
                <w:rFonts w:hint="eastAsia"/>
                <w:bCs/>
                <w:color w:val="auto"/>
                <w:sz w:val="24"/>
                <w:lang w:eastAsia="zh-CN"/>
              </w:rPr>
              <w:t>-20</w:t>
            </w:r>
            <w:r>
              <w:rPr>
                <w:rFonts w:hint="eastAsia"/>
                <w:bCs/>
                <w:color w:val="auto"/>
                <w:sz w:val="24"/>
                <w:lang w:val="en-US" w:eastAsia="zh-CN"/>
              </w:rPr>
              <w:t>24</w:t>
            </w:r>
            <w:r>
              <w:rPr>
                <w:rFonts w:hint="eastAsia"/>
                <w:bCs/>
                <w:color w:val="auto"/>
                <w:sz w:val="24"/>
                <w:lang w:eastAsia="zh-CN"/>
              </w:rPr>
              <w:t>）</w:t>
            </w:r>
            <w:r>
              <w:rPr>
                <w:rFonts w:hint="eastAsia"/>
                <w:bCs/>
                <w:color w:val="auto"/>
                <w:sz w:val="24"/>
              </w:rPr>
              <w:t>中</w:t>
            </w:r>
            <w:r>
              <w:rPr>
                <w:rFonts w:hint="eastAsia"/>
                <w:bCs/>
                <w:color w:val="auto"/>
                <w:sz w:val="24"/>
                <w:lang w:eastAsia="zh-CN"/>
              </w:rPr>
              <w:t>表</w:t>
            </w:r>
            <w:r>
              <w:rPr>
                <w:rFonts w:hint="eastAsia"/>
                <w:bCs/>
                <w:color w:val="auto"/>
                <w:sz w:val="24"/>
                <w:lang w:val="en-US" w:eastAsia="zh-CN"/>
              </w:rPr>
              <w:t>1监测点颗粒物排放要求；</w:t>
            </w:r>
          </w:p>
          <w:p w14:paraId="06229FFA">
            <w:pPr>
              <w:spacing w:line="360" w:lineRule="auto"/>
              <w:ind w:firstLine="480"/>
              <w:contextualSpacing/>
              <w:rPr>
                <w:rFonts w:hint="eastAsia" w:eastAsia="宋体"/>
                <w:bCs/>
                <w:snapToGrid w:val="0"/>
                <w:color w:val="auto"/>
                <w:kern w:val="0"/>
                <w:sz w:val="24"/>
                <w:szCs w:val="20"/>
                <w:vertAlign w:val="baseline"/>
                <w:lang w:val="en-US" w:eastAsia="zh-CN"/>
              </w:rPr>
            </w:pPr>
            <w:r>
              <w:rPr>
                <w:rFonts w:hint="eastAsia"/>
                <w:color w:val="auto"/>
                <w:sz w:val="24"/>
                <w:lang w:eastAsia="zh-CN"/>
              </w:rPr>
              <w:t>本</w:t>
            </w:r>
            <w:r>
              <w:rPr>
                <w:rFonts w:hint="eastAsia"/>
                <w:color w:val="auto"/>
                <w:sz w:val="24"/>
              </w:rPr>
              <w:t>项目</w:t>
            </w:r>
            <w:r>
              <w:rPr>
                <w:rFonts w:hint="eastAsia"/>
                <w:color w:val="auto"/>
                <w:sz w:val="24"/>
                <w:lang w:eastAsia="zh-CN"/>
              </w:rPr>
              <w:t>营运期</w:t>
            </w:r>
            <w:r>
              <w:rPr>
                <w:rFonts w:hint="eastAsia"/>
                <w:bCs/>
                <w:color w:val="auto"/>
                <w:sz w:val="24"/>
                <w:lang w:eastAsia="zh-CN"/>
              </w:rPr>
              <w:t>非甲烷总烃有组织排放执行《合成树脂工业污染物排放标准》（GB31572-2015）（含</w:t>
            </w:r>
            <w:r>
              <w:rPr>
                <w:rFonts w:hint="eastAsia"/>
                <w:bCs/>
                <w:color w:val="auto"/>
                <w:sz w:val="24"/>
                <w:lang w:val="en-US" w:eastAsia="zh-CN"/>
              </w:rPr>
              <w:t>2024年修改单）</w:t>
            </w:r>
            <w:r>
              <w:rPr>
                <w:rFonts w:hint="eastAsia"/>
                <w:bCs/>
                <w:color w:val="auto"/>
                <w:sz w:val="24"/>
              </w:rPr>
              <w:t>中</w:t>
            </w:r>
            <w:r>
              <w:rPr>
                <w:rFonts w:hint="eastAsia"/>
                <w:bCs/>
                <w:color w:val="auto"/>
                <w:sz w:val="24"/>
                <w:lang w:eastAsia="zh-CN"/>
              </w:rPr>
              <w:t>表</w:t>
            </w:r>
            <w:r>
              <w:rPr>
                <w:rFonts w:hint="eastAsia"/>
                <w:bCs/>
                <w:color w:val="auto"/>
                <w:sz w:val="24"/>
                <w:lang w:val="en-US" w:eastAsia="zh-CN"/>
              </w:rPr>
              <w:t>5大气污染物特别排放限值以及</w:t>
            </w:r>
            <w:r>
              <w:rPr>
                <w:rFonts w:hint="eastAsia"/>
                <w:bCs/>
                <w:color w:val="auto"/>
                <w:sz w:val="24"/>
                <w:lang w:eastAsia="zh-CN"/>
              </w:rPr>
              <w:t>《</w:t>
            </w:r>
            <w:r>
              <w:rPr>
                <w:rFonts w:hint="eastAsia"/>
                <w:bCs/>
                <w:color w:val="auto"/>
                <w:sz w:val="24"/>
                <w:lang w:val="en-US" w:eastAsia="zh-CN"/>
              </w:rPr>
              <w:t>固定源挥发性有机物综合排放标准 第6部分：其他行业</w:t>
            </w:r>
            <w:r>
              <w:rPr>
                <w:rFonts w:hint="eastAsia"/>
                <w:bCs/>
                <w:color w:val="auto"/>
                <w:sz w:val="24"/>
                <w:lang w:eastAsia="zh-CN"/>
              </w:rPr>
              <w:t>》（</w:t>
            </w:r>
            <w:r>
              <w:rPr>
                <w:rFonts w:hint="eastAsia"/>
                <w:bCs/>
                <w:color w:val="auto"/>
                <w:sz w:val="24"/>
                <w:lang w:val="en-US" w:eastAsia="zh-CN"/>
              </w:rPr>
              <w:t>DB34/4812.6-2024）中表1塑料制品工业非甲烷总烃排放限值；颗粒物、</w:t>
            </w:r>
            <w:r>
              <w:rPr>
                <w:rFonts w:hint="eastAsia"/>
                <w:bCs/>
                <w:color w:val="auto"/>
                <w:sz w:val="24"/>
                <w:lang w:eastAsia="zh-CN"/>
              </w:rPr>
              <w:t>非甲烷总烃</w:t>
            </w:r>
            <w:r>
              <w:rPr>
                <w:rFonts w:hint="eastAsia"/>
                <w:bCs/>
                <w:color w:val="auto"/>
                <w:sz w:val="24"/>
                <w:lang w:val="en-US" w:eastAsia="zh-CN"/>
              </w:rPr>
              <w:t>无组织排放执行</w:t>
            </w:r>
            <w:r>
              <w:rPr>
                <w:rFonts w:hint="eastAsia"/>
                <w:bCs/>
                <w:color w:val="auto"/>
                <w:sz w:val="24"/>
                <w:lang w:eastAsia="zh-CN"/>
              </w:rPr>
              <w:t>《合成树脂工业污染物排放标准》（GB31572-2015）（含</w:t>
            </w:r>
            <w:r>
              <w:rPr>
                <w:rFonts w:hint="eastAsia"/>
                <w:bCs/>
                <w:color w:val="auto"/>
                <w:sz w:val="24"/>
                <w:lang w:val="en-US" w:eastAsia="zh-CN"/>
              </w:rPr>
              <w:t>2024年修改单）</w:t>
            </w:r>
            <w:r>
              <w:rPr>
                <w:rFonts w:hint="eastAsia"/>
                <w:bCs/>
                <w:color w:val="auto"/>
                <w:sz w:val="24"/>
              </w:rPr>
              <w:t>中</w:t>
            </w:r>
            <w:r>
              <w:rPr>
                <w:rFonts w:hint="eastAsia"/>
                <w:bCs/>
                <w:color w:val="auto"/>
                <w:sz w:val="24"/>
                <w:lang w:eastAsia="zh-CN"/>
              </w:rPr>
              <w:t>表</w:t>
            </w:r>
            <w:r>
              <w:rPr>
                <w:rFonts w:hint="eastAsia"/>
                <w:bCs/>
                <w:color w:val="auto"/>
                <w:sz w:val="24"/>
                <w:lang w:val="en-US" w:eastAsia="zh-CN"/>
              </w:rPr>
              <w:t>9企业边界大气污染物浓度限值要求</w:t>
            </w:r>
            <w:r>
              <w:rPr>
                <w:rFonts w:hint="eastAsia"/>
                <w:color w:val="auto"/>
                <w:sz w:val="24"/>
                <w:lang w:eastAsia="zh-CN"/>
              </w:rPr>
              <w:t>；</w:t>
            </w:r>
            <w:r>
              <w:rPr>
                <w:rFonts w:hint="eastAsia"/>
                <w:bCs/>
                <w:color w:val="auto"/>
                <w:sz w:val="24"/>
                <w:szCs w:val="24"/>
                <w:lang w:val="en-US" w:eastAsia="zh-CN"/>
              </w:rPr>
              <w:t>厂区内</w:t>
            </w:r>
            <w:r>
              <w:rPr>
                <w:rFonts w:hint="eastAsia"/>
                <w:bCs/>
                <w:color w:val="auto"/>
                <w:sz w:val="24"/>
                <w:szCs w:val="24"/>
                <w:lang w:eastAsia="zh-CN"/>
              </w:rPr>
              <w:t>非甲烷总烃无组织排放执行</w:t>
            </w:r>
            <w:r>
              <w:rPr>
                <w:rFonts w:hint="eastAsia"/>
                <w:bCs/>
                <w:color w:val="auto"/>
                <w:sz w:val="24"/>
                <w:lang w:eastAsia="zh-CN"/>
              </w:rPr>
              <w:t>《</w:t>
            </w:r>
            <w:r>
              <w:rPr>
                <w:rFonts w:hint="eastAsia"/>
                <w:bCs/>
                <w:color w:val="auto"/>
                <w:sz w:val="24"/>
                <w:lang w:val="en-US" w:eastAsia="zh-CN"/>
              </w:rPr>
              <w:t>固定源挥发性有机物综合排放标准 第6部分：其他行业</w:t>
            </w:r>
            <w:r>
              <w:rPr>
                <w:rFonts w:hint="eastAsia"/>
                <w:bCs/>
                <w:color w:val="auto"/>
                <w:sz w:val="24"/>
                <w:lang w:eastAsia="zh-CN"/>
              </w:rPr>
              <w:t>》（</w:t>
            </w:r>
            <w:r>
              <w:rPr>
                <w:rFonts w:hint="eastAsia"/>
                <w:bCs/>
                <w:color w:val="auto"/>
                <w:sz w:val="24"/>
                <w:lang w:val="en-US" w:eastAsia="zh-CN"/>
              </w:rPr>
              <w:t>DB34/4812.6-2024）中表4无组织排放限值</w:t>
            </w:r>
            <w:r>
              <w:rPr>
                <w:rFonts w:hint="eastAsia"/>
                <w:snapToGrid w:val="0"/>
                <w:color w:val="auto"/>
                <w:kern w:val="0"/>
                <w:sz w:val="24"/>
                <w:szCs w:val="24"/>
              </w:rPr>
              <w:t>。</w:t>
            </w:r>
          </w:p>
          <w:p w14:paraId="2F0418C8">
            <w:pPr>
              <w:adjustRightInd w:val="0"/>
              <w:spacing w:line="240" w:lineRule="auto"/>
              <w:jc w:val="center"/>
              <w:rPr>
                <w:b/>
                <w:bCs w:val="0"/>
                <w:color w:val="auto"/>
                <w:sz w:val="21"/>
                <w:szCs w:val="21"/>
              </w:rPr>
            </w:pPr>
            <w:r>
              <w:rPr>
                <w:b/>
                <w:bCs w:val="0"/>
                <w:color w:val="auto"/>
                <w:sz w:val="21"/>
                <w:szCs w:val="21"/>
              </w:rPr>
              <w:t>表3-</w:t>
            </w:r>
            <w:r>
              <w:rPr>
                <w:rFonts w:hint="eastAsia"/>
                <w:b/>
                <w:bCs w:val="0"/>
                <w:color w:val="auto"/>
                <w:sz w:val="21"/>
                <w:szCs w:val="21"/>
                <w:lang w:val="en-US" w:eastAsia="zh-CN"/>
              </w:rPr>
              <w:t xml:space="preserve">5 </w:t>
            </w:r>
            <w:r>
              <w:rPr>
                <w:rFonts w:hint="eastAsia"/>
                <w:b/>
                <w:bCs w:val="0"/>
                <w:color w:val="auto"/>
                <w:sz w:val="21"/>
                <w:szCs w:val="21"/>
                <w:lang w:eastAsia="zh-CN"/>
              </w:rPr>
              <w:t>《施工场地颗粒物排放标准》（</w:t>
            </w:r>
            <w:r>
              <w:rPr>
                <w:rFonts w:hint="eastAsia"/>
                <w:b/>
                <w:bCs w:val="0"/>
                <w:color w:val="auto"/>
                <w:sz w:val="21"/>
                <w:szCs w:val="21"/>
                <w:lang w:val="en-US" w:eastAsia="zh-CN"/>
              </w:rPr>
              <w:t>D</w:t>
            </w:r>
            <w:r>
              <w:rPr>
                <w:rFonts w:hint="eastAsia"/>
                <w:b/>
                <w:bCs w:val="0"/>
                <w:color w:val="auto"/>
                <w:sz w:val="21"/>
                <w:szCs w:val="21"/>
                <w:lang w:eastAsia="zh-CN"/>
              </w:rPr>
              <w:t>B</w:t>
            </w:r>
            <w:r>
              <w:rPr>
                <w:rFonts w:hint="eastAsia"/>
                <w:b/>
                <w:bCs w:val="0"/>
                <w:color w:val="auto"/>
                <w:sz w:val="21"/>
                <w:szCs w:val="21"/>
                <w:lang w:val="en-US" w:eastAsia="zh-CN"/>
              </w:rPr>
              <w:t>34/4811</w:t>
            </w:r>
            <w:r>
              <w:rPr>
                <w:rFonts w:hint="eastAsia"/>
                <w:b/>
                <w:bCs w:val="0"/>
                <w:color w:val="auto"/>
                <w:sz w:val="21"/>
                <w:szCs w:val="21"/>
                <w:lang w:eastAsia="zh-CN"/>
              </w:rPr>
              <w:t>-20</w:t>
            </w:r>
            <w:r>
              <w:rPr>
                <w:rFonts w:hint="eastAsia"/>
                <w:b/>
                <w:bCs w:val="0"/>
                <w:color w:val="auto"/>
                <w:sz w:val="21"/>
                <w:szCs w:val="21"/>
                <w:lang w:val="en-US" w:eastAsia="zh-CN"/>
              </w:rPr>
              <w:t>24</w:t>
            </w:r>
            <w:r>
              <w:rPr>
                <w:rFonts w:hint="eastAsia"/>
                <w:b/>
                <w:bCs w:val="0"/>
                <w:color w:val="auto"/>
                <w:sz w:val="21"/>
                <w:szCs w:val="21"/>
                <w:lang w:eastAsia="zh-CN"/>
              </w:rPr>
              <w:t>）</w:t>
            </w:r>
          </w:p>
          <w:tbl>
            <w:tblPr>
              <w:tblStyle w:val="29"/>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290"/>
              <w:gridCol w:w="1770"/>
              <w:gridCol w:w="4517"/>
            </w:tblGrid>
            <w:tr w14:paraId="1D1E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341" w:type="dxa"/>
                  <w:vAlign w:val="center"/>
                </w:tcPr>
                <w:p w14:paraId="25F30C73">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控制项目</w:t>
                  </w:r>
                </w:p>
              </w:tc>
              <w:tc>
                <w:tcPr>
                  <w:tcW w:w="1290" w:type="dxa"/>
                  <w:vAlign w:val="center"/>
                </w:tcPr>
                <w:p w14:paraId="576D7DFF">
                  <w:pPr>
                    <w:pStyle w:val="54"/>
                    <w:adjustRightInd w:val="0"/>
                    <w:snapToGrid w:val="0"/>
                    <w:spacing w:after="0"/>
                    <w:ind w:firstLine="0" w:firstLineChars="0"/>
                    <w:jc w:val="center"/>
                    <w:rPr>
                      <w:bCs/>
                      <w:color w:val="auto"/>
                      <w:szCs w:val="21"/>
                    </w:rPr>
                  </w:pPr>
                  <w:r>
                    <w:rPr>
                      <w:rFonts w:hint="eastAsia"/>
                      <w:bCs/>
                      <w:color w:val="auto"/>
                      <w:szCs w:val="21"/>
                      <w:lang w:eastAsia="zh-CN"/>
                    </w:rPr>
                    <w:t>单位</w:t>
                  </w:r>
                </w:p>
              </w:tc>
              <w:tc>
                <w:tcPr>
                  <w:tcW w:w="1770" w:type="dxa"/>
                  <w:vAlign w:val="center"/>
                </w:tcPr>
                <w:p w14:paraId="2B18D853">
                  <w:pPr>
                    <w:pStyle w:val="54"/>
                    <w:adjustRightInd w:val="0"/>
                    <w:snapToGrid w:val="0"/>
                    <w:spacing w:after="0"/>
                    <w:ind w:firstLine="0" w:firstLineChars="0"/>
                    <w:jc w:val="center"/>
                    <w:rPr>
                      <w:bCs/>
                      <w:color w:val="auto"/>
                      <w:szCs w:val="21"/>
                    </w:rPr>
                  </w:pPr>
                  <w:r>
                    <w:rPr>
                      <w:rFonts w:hint="eastAsia"/>
                      <w:bCs/>
                      <w:color w:val="auto"/>
                      <w:szCs w:val="21"/>
                      <w:lang w:eastAsia="zh-CN"/>
                    </w:rPr>
                    <w:t>监测点浓度限值</w:t>
                  </w:r>
                  <w:r>
                    <w:rPr>
                      <w:bCs/>
                      <w:color w:val="auto"/>
                      <w:szCs w:val="21"/>
                    </w:rPr>
                    <w:t>限值</w:t>
                  </w:r>
                </w:p>
              </w:tc>
              <w:tc>
                <w:tcPr>
                  <w:tcW w:w="4517" w:type="dxa"/>
                  <w:vAlign w:val="center"/>
                </w:tcPr>
                <w:p w14:paraId="35046355">
                  <w:pPr>
                    <w:pStyle w:val="54"/>
                    <w:adjustRightInd w:val="0"/>
                    <w:snapToGrid w:val="0"/>
                    <w:spacing w:after="0"/>
                    <w:ind w:firstLine="0" w:firstLineChars="0"/>
                    <w:jc w:val="center"/>
                    <w:rPr>
                      <w:bCs/>
                      <w:color w:val="auto"/>
                      <w:szCs w:val="21"/>
                    </w:rPr>
                  </w:pPr>
                  <w:r>
                    <w:rPr>
                      <w:bCs/>
                      <w:color w:val="auto"/>
                      <w:szCs w:val="21"/>
                    </w:rPr>
                    <w:t>标准</w:t>
                  </w:r>
                </w:p>
              </w:tc>
            </w:tr>
            <w:tr w14:paraId="6B24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341" w:type="dxa"/>
                  <w:vMerge w:val="restart"/>
                  <w:vAlign w:val="center"/>
                </w:tcPr>
                <w:p w14:paraId="38679233">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TSP</w:t>
                  </w:r>
                </w:p>
              </w:tc>
              <w:tc>
                <w:tcPr>
                  <w:tcW w:w="1290" w:type="dxa"/>
                  <w:vMerge w:val="restart"/>
                  <w:vAlign w:val="center"/>
                </w:tcPr>
                <w:p w14:paraId="4C5EB06D">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u</w:t>
                  </w:r>
                  <w:r>
                    <w:rPr>
                      <w:bCs/>
                      <w:color w:val="auto"/>
                      <w:szCs w:val="21"/>
                    </w:rPr>
                    <w:t>g/m³</w:t>
                  </w:r>
                </w:p>
              </w:tc>
              <w:tc>
                <w:tcPr>
                  <w:tcW w:w="1770" w:type="dxa"/>
                  <w:vAlign w:val="center"/>
                </w:tcPr>
                <w:p w14:paraId="60A1ECAB">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1000</w:t>
                  </w:r>
                </w:p>
              </w:tc>
              <w:tc>
                <w:tcPr>
                  <w:tcW w:w="4517" w:type="dxa"/>
                  <w:vAlign w:val="center"/>
                </w:tcPr>
                <w:p w14:paraId="62E62CAC">
                  <w:pPr>
                    <w:pStyle w:val="54"/>
                    <w:adjustRightInd w:val="0"/>
                    <w:snapToGrid w:val="0"/>
                    <w:spacing w:after="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eastAsia="宋体"/>
                      <w:color w:val="auto"/>
                      <w:sz w:val="21"/>
                      <w:szCs w:val="21"/>
                      <w:lang w:eastAsia="zh-CN"/>
                    </w:rPr>
                    <w:t>超标次数</w:t>
                  </w:r>
                  <w:r>
                    <w:rPr>
                      <w:rFonts w:hint="default" w:ascii="Arial" w:hAnsi="Arial" w:eastAsia="宋体" w:cs="Arial"/>
                      <w:color w:val="auto"/>
                      <w:sz w:val="21"/>
                      <w:szCs w:val="21"/>
                      <w:lang w:eastAsia="zh-CN"/>
                    </w:rPr>
                    <w:t>≤</w:t>
                  </w:r>
                  <w:r>
                    <w:rPr>
                      <w:rFonts w:hint="eastAsia" w:eastAsia="宋体"/>
                      <w:color w:val="auto"/>
                      <w:sz w:val="21"/>
                      <w:szCs w:val="21"/>
                      <w:lang w:val="en-US" w:eastAsia="zh-CN"/>
                    </w:rPr>
                    <w:t>1次/日</w:t>
                  </w:r>
                </w:p>
              </w:tc>
            </w:tr>
            <w:tr w14:paraId="7621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1341" w:type="dxa"/>
                  <w:vMerge w:val="continue"/>
                  <w:vAlign w:val="center"/>
                </w:tcPr>
                <w:p w14:paraId="546F94C4">
                  <w:pPr>
                    <w:pStyle w:val="54"/>
                    <w:adjustRightInd w:val="0"/>
                    <w:snapToGrid w:val="0"/>
                    <w:spacing w:after="0"/>
                    <w:ind w:firstLine="0" w:firstLineChars="0"/>
                    <w:jc w:val="center"/>
                    <w:rPr>
                      <w:rFonts w:hint="eastAsia"/>
                      <w:bCs/>
                      <w:color w:val="auto"/>
                      <w:szCs w:val="21"/>
                      <w:lang w:val="en-US" w:eastAsia="zh-CN"/>
                    </w:rPr>
                  </w:pPr>
                </w:p>
              </w:tc>
              <w:tc>
                <w:tcPr>
                  <w:tcW w:w="1290" w:type="dxa"/>
                  <w:vMerge w:val="continue"/>
                  <w:vAlign w:val="center"/>
                </w:tcPr>
                <w:p w14:paraId="3FE649A2">
                  <w:pPr>
                    <w:pStyle w:val="54"/>
                    <w:adjustRightInd w:val="0"/>
                    <w:snapToGrid w:val="0"/>
                    <w:spacing w:after="0"/>
                    <w:ind w:firstLine="0" w:firstLineChars="0"/>
                    <w:jc w:val="center"/>
                    <w:rPr>
                      <w:rFonts w:hint="eastAsia"/>
                      <w:bCs/>
                      <w:color w:val="auto"/>
                      <w:szCs w:val="21"/>
                      <w:lang w:val="en-US" w:eastAsia="zh-CN"/>
                    </w:rPr>
                  </w:pPr>
                </w:p>
              </w:tc>
              <w:tc>
                <w:tcPr>
                  <w:tcW w:w="1770" w:type="dxa"/>
                  <w:vAlign w:val="center"/>
                </w:tcPr>
                <w:p w14:paraId="30E45A8B">
                  <w:pPr>
                    <w:pStyle w:val="54"/>
                    <w:adjustRightInd w:val="0"/>
                    <w:snapToGrid w:val="0"/>
                    <w:spacing w:after="0"/>
                    <w:ind w:firstLine="0" w:firstLineChars="0"/>
                    <w:jc w:val="center"/>
                    <w:rPr>
                      <w:rFonts w:hint="default"/>
                      <w:bCs/>
                      <w:color w:val="auto"/>
                      <w:szCs w:val="21"/>
                      <w:lang w:val="en-US" w:eastAsia="zh-CN"/>
                    </w:rPr>
                  </w:pPr>
                  <w:r>
                    <w:rPr>
                      <w:rFonts w:hint="eastAsia"/>
                      <w:bCs/>
                      <w:color w:val="auto"/>
                      <w:szCs w:val="21"/>
                      <w:lang w:val="en-US" w:eastAsia="zh-CN"/>
                    </w:rPr>
                    <w:t>500</w:t>
                  </w:r>
                </w:p>
              </w:tc>
              <w:tc>
                <w:tcPr>
                  <w:tcW w:w="4517" w:type="dxa"/>
                  <w:vAlign w:val="center"/>
                </w:tcPr>
                <w:p w14:paraId="50FD983D">
                  <w:pPr>
                    <w:pStyle w:val="54"/>
                    <w:adjustRightInd w:val="0"/>
                    <w:snapToGrid w:val="0"/>
                    <w:spacing w:after="0"/>
                    <w:ind w:firstLine="0" w:firstLineChars="0"/>
                    <w:jc w:val="center"/>
                    <w:rPr>
                      <w:color w:val="auto"/>
                      <w:sz w:val="21"/>
                      <w:szCs w:val="21"/>
                    </w:rPr>
                  </w:pPr>
                  <w:r>
                    <w:rPr>
                      <w:rFonts w:hint="eastAsia" w:eastAsia="宋体"/>
                      <w:color w:val="auto"/>
                      <w:sz w:val="21"/>
                      <w:szCs w:val="21"/>
                      <w:lang w:eastAsia="zh-CN"/>
                    </w:rPr>
                    <w:t>超标次数</w:t>
                  </w:r>
                  <w:r>
                    <w:rPr>
                      <w:rFonts w:hint="default" w:ascii="Arial" w:hAnsi="Arial" w:eastAsia="宋体" w:cs="Arial"/>
                      <w:color w:val="auto"/>
                      <w:sz w:val="21"/>
                      <w:szCs w:val="21"/>
                      <w:lang w:eastAsia="zh-CN"/>
                    </w:rPr>
                    <w:t>≤</w:t>
                  </w:r>
                  <w:r>
                    <w:rPr>
                      <w:rFonts w:hint="eastAsia" w:eastAsia="宋体"/>
                      <w:color w:val="auto"/>
                      <w:sz w:val="21"/>
                      <w:szCs w:val="21"/>
                      <w:lang w:val="en-US" w:eastAsia="zh-CN"/>
                    </w:rPr>
                    <w:t>6次/日</w:t>
                  </w:r>
                </w:p>
              </w:tc>
            </w:tr>
          </w:tbl>
          <w:p w14:paraId="4EF25D41">
            <w:pPr>
              <w:adjustRightInd w:val="0"/>
              <w:spacing w:line="240" w:lineRule="auto"/>
              <w:jc w:val="center"/>
              <w:rPr>
                <w:b/>
                <w:bCs w:val="0"/>
                <w:color w:val="auto"/>
                <w:sz w:val="21"/>
                <w:szCs w:val="21"/>
              </w:rPr>
            </w:pPr>
            <w:r>
              <w:rPr>
                <w:b/>
                <w:bCs w:val="0"/>
                <w:color w:val="auto"/>
                <w:sz w:val="21"/>
                <w:szCs w:val="21"/>
              </w:rPr>
              <w:t>表3-</w:t>
            </w:r>
            <w:r>
              <w:rPr>
                <w:rFonts w:hint="eastAsia"/>
                <w:b/>
                <w:bCs w:val="0"/>
                <w:color w:val="auto"/>
                <w:sz w:val="21"/>
                <w:szCs w:val="21"/>
                <w:lang w:val="en-US" w:eastAsia="zh-CN"/>
              </w:rPr>
              <w:t xml:space="preserve">6 </w:t>
            </w:r>
            <w:r>
              <w:rPr>
                <w:rFonts w:hint="eastAsia"/>
                <w:b/>
                <w:bCs w:val="0"/>
                <w:color w:val="auto"/>
                <w:sz w:val="21"/>
                <w:szCs w:val="21"/>
                <w:lang w:eastAsia="zh-CN"/>
              </w:rPr>
              <w:t>大气污染物排放标准</w:t>
            </w:r>
          </w:p>
          <w:tbl>
            <w:tblPr>
              <w:tblStyle w:val="29"/>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515"/>
              <w:gridCol w:w="1485"/>
              <w:gridCol w:w="1939"/>
              <w:gridCol w:w="3069"/>
            </w:tblGrid>
            <w:tr w14:paraId="322D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29" w:type="dxa"/>
                  <w:vAlign w:val="center"/>
                </w:tcPr>
                <w:p w14:paraId="6305D23A">
                  <w:pPr>
                    <w:pStyle w:val="54"/>
                    <w:adjustRightInd w:val="0"/>
                    <w:snapToGrid w:val="0"/>
                    <w:spacing w:after="0"/>
                    <w:ind w:firstLine="0" w:firstLineChars="0"/>
                    <w:jc w:val="center"/>
                    <w:rPr>
                      <w:bCs/>
                      <w:color w:val="auto"/>
                      <w:szCs w:val="21"/>
                    </w:rPr>
                  </w:pPr>
                  <w:r>
                    <w:rPr>
                      <w:bCs/>
                      <w:color w:val="auto"/>
                      <w:szCs w:val="21"/>
                    </w:rPr>
                    <w:t>污染物名称</w:t>
                  </w:r>
                </w:p>
              </w:tc>
              <w:tc>
                <w:tcPr>
                  <w:tcW w:w="1515" w:type="dxa"/>
                  <w:vAlign w:val="center"/>
                </w:tcPr>
                <w:p w14:paraId="02B81C6A">
                  <w:pPr>
                    <w:pStyle w:val="54"/>
                    <w:adjustRightInd w:val="0"/>
                    <w:snapToGrid w:val="0"/>
                    <w:spacing w:after="0"/>
                    <w:ind w:firstLine="0" w:firstLineChars="0"/>
                    <w:jc w:val="center"/>
                    <w:rPr>
                      <w:bCs/>
                      <w:color w:val="auto"/>
                      <w:szCs w:val="21"/>
                    </w:rPr>
                  </w:pPr>
                  <w:r>
                    <w:rPr>
                      <w:bCs/>
                      <w:color w:val="auto"/>
                      <w:szCs w:val="21"/>
                    </w:rPr>
                    <w:t>最高允许排放浓度（mg/m³）</w:t>
                  </w:r>
                </w:p>
              </w:tc>
              <w:tc>
                <w:tcPr>
                  <w:tcW w:w="1485" w:type="dxa"/>
                  <w:vAlign w:val="center"/>
                </w:tcPr>
                <w:p w14:paraId="08C360EE">
                  <w:pPr>
                    <w:pStyle w:val="54"/>
                    <w:adjustRightInd w:val="0"/>
                    <w:snapToGrid w:val="0"/>
                    <w:spacing w:after="0"/>
                    <w:ind w:firstLine="0" w:firstLineChars="0"/>
                    <w:jc w:val="center"/>
                    <w:rPr>
                      <w:bCs/>
                      <w:color w:val="auto"/>
                      <w:szCs w:val="21"/>
                    </w:rPr>
                  </w:pPr>
                  <w:r>
                    <w:rPr>
                      <w:rFonts w:hint="eastAsia"/>
                      <w:bCs/>
                      <w:color w:val="auto"/>
                      <w:szCs w:val="21"/>
                      <w:lang w:eastAsia="zh-CN"/>
                    </w:rPr>
                    <w:t>最高允许排放速率</w:t>
                  </w:r>
                  <w:r>
                    <w:rPr>
                      <w:rFonts w:hint="eastAsia"/>
                      <w:bCs/>
                      <w:color w:val="auto"/>
                      <w:szCs w:val="21"/>
                    </w:rPr>
                    <w:t>（</w:t>
                  </w:r>
                  <w:r>
                    <w:rPr>
                      <w:rFonts w:hint="eastAsia"/>
                      <w:bCs/>
                      <w:color w:val="auto"/>
                      <w:szCs w:val="21"/>
                      <w:lang w:val="en-US" w:eastAsia="zh-CN"/>
                    </w:rPr>
                    <w:t>kg/h</w:t>
                  </w:r>
                  <w:r>
                    <w:rPr>
                      <w:rFonts w:hint="eastAsia"/>
                      <w:bCs/>
                      <w:color w:val="auto"/>
                      <w:szCs w:val="21"/>
                    </w:rPr>
                    <w:t>）</w:t>
                  </w:r>
                </w:p>
              </w:tc>
              <w:tc>
                <w:tcPr>
                  <w:tcW w:w="1939" w:type="dxa"/>
                  <w:vAlign w:val="center"/>
                </w:tcPr>
                <w:p w14:paraId="5D364DC9">
                  <w:pPr>
                    <w:pStyle w:val="54"/>
                    <w:adjustRightInd w:val="0"/>
                    <w:snapToGrid w:val="0"/>
                    <w:spacing w:after="0"/>
                    <w:ind w:firstLine="0" w:firstLineChars="0"/>
                    <w:jc w:val="center"/>
                    <w:rPr>
                      <w:bCs/>
                      <w:color w:val="auto"/>
                      <w:szCs w:val="21"/>
                    </w:rPr>
                  </w:pPr>
                  <w:r>
                    <w:rPr>
                      <w:bCs/>
                      <w:color w:val="auto"/>
                      <w:szCs w:val="21"/>
                    </w:rPr>
                    <w:t>无组织排放监控限值（mg/m³）</w:t>
                  </w:r>
                </w:p>
              </w:tc>
              <w:tc>
                <w:tcPr>
                  <w:tcW w:w="3069" w:type="dxa"/>
                  <w:vAlign w:val="center"/>
                </w:tcPr>
                <w:p w14:paraId="4C628C72">
                  <w:pPr>
                    <w:pStyle w:val="54"/>
                    <w:adjustRightInd w:val="0"/>
                    <w:snapToGrid w:val="0"/>
                    <w:spacing w:after="0"/>
                    <w:ind w:firstLine="0" w:firstLineChars="0"/>
                    <w:jc w:val="center"/>
                    <w:rPr>
                      <w:bCs/>
                      <w:color w:val="auto"/>
                      <w:szCs w:val="21"/>
                    </w:rPr>
                  </w:pPr>
                  <w:r>
                    <w:rPr>
                      <w:bCs/>
                      <w:color w:val="auto"/>
                      <w:szCs w:val="21"/>
                    </w:rPr>
                    <w:t>标准</w:t>
                  </w:r>
                </w:p>
              </w:tc>
            </w:tr>
            <w:tr w14:paraId="2818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29" w:type="dxa"/>
                  <w:vAlign w:val="center"/>
                </w:tcPr>
                <w:p w14:paraId="76006108">
                  <w:pPr>
                    <w:pStyle w:val="54"/>
                    <w:adjustRightInd w:val="0"/>
                    <w:snapToGrid w:val="0"/>
                    <w:spacing w:after="0"/>
                    <w:ind w:firstLine="0" w:firstLineChars="0"/>
                    <w:jc w:val="center"/>
                    <w:rPr>
                      <w:rFonts w:hint="eastAsia" w:eastAsia="宋体"/>
                      <w:bCs/>
                      <w:color w:val="auto"/>
                      <w:szCs w:val="21"/>
                      <w:lang w:eastAsia="zh-CN"/>
                    </w:rPr>
                  </w:pPr>
                  <w:r>
                    <w:rPr>
                      <w:rFonts w:hint="eastAsia"/>
                      <w:bCs/>
                      <w:color w:val="auto"/>
                      <w:szCs w:val="21"/>
                      <w:lang w:eastAsia="zh-CN"/>
                    </w:rPr>
                    <w:t>非甲烷总烃</w:t>
                  </w:r>
                </w:p>
              </w:tc>
              <w:tc>
                <w:tcPr>
                  <w:tcW w:w="1515" w:type="dxa"/>
                  <w:vAlign w:val="center"/>
                </w:tcPr>
                <w:p w14:paraId="5F1F73CC">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60</w:t>
                  </w:r>
                </w:p>
              </w:tc>
              <w:tc>
                <w:tcPr>
                  <w:tcW w:w="1485" w:type="dxa"/>
                  <w:vAlign w:val="center"/>
                </w:tcPr>
                <w:p w14:paraId="75ED9ED0">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w:t>
                  </w:r>
                </w:p>
              </w:tc>
              <w:tc>
                <w:tcPr>
                  <w:tcW w:w="1939" w:type="dxa"/>
                  <w:vAlign w:val="center"/>
                </w:tcPr>
                <w:p w14:paraId="6ACF3C6C">
                  <w:pPr>
                    <w:pStyle w:val="54"/>
                    <w:adjustRightInd w:val="0"/>
                    <w:snapToGrid w:val="0"/>
                    <w:spacing w:after="0"/>
                    <w:ind w:firstLine="0" w:firstLineChars="0"/>
                    <w:jc w:val="center"/>
                    <w:rPr>
                      <w:rFonts w:hint="default" w:eastAsia="宋体"/>
                      <w:bCs/>
                      <w:color w:val="auto"/>
                      <w:szCs w:val="21"/>
                      <w:lang w:val="en-US" w:eastAsia="zh-CN"/>
                    </w:rPr>
                  </w:pPr>
                  <w:r>
                    <w:rPr>
                      <w:rFonts w:hint="eastAsia"/>
                      <w:bCs/>
                      <w:color w:val="auto"/>
                      <w:szCs w:val="21"/>
                      <w:lang w:val="en-US" w:eastAsia="zh-CN"/>
                    </w:rPr>
                    <w:t>4.0</w:t>
                  </w:r>
                </w:p>
              </w:tc>
              <w:tc>
                <w:tcPr>
                  <w:tcW w:w="3069" w:type="dxa"/>
                  <w:vMerge w:val="restart"/>
                  <w:vAlign w:val="center"/>
                </w:tcPr>
                <w:p w14:paraId="40F589A5">
                  <w:pPr>
                    <w:pStyle w:val="54"/>
                    <w:adjustRightInd w:val="0"/>
                    <w:snapToGrid w:val="0"/>
                    <w:spacing w:after="0"/>
                    <w:ind w:firstLine="0" w:firstLineChars="0"/>
                    <w:jc w:val="center"/>
                    <w:rPr>
                      <w:rFonts w:ascii="Times New Roman" w:hAnsi="Times New Roman" w:eastAsia="宋体" w:cs="Times New Roman"/>
                      <w:bCs/>
                      <w:color w:val="auto"/>
                      <w:kern w:val="2"/>
                      <w:sz w:val="21"/>
                      <w:szCs w:val="21"/>
                      <w:lang w:val="en-US" w:eastAsia="zh-CN" w:bidi="ar-SA"/>
                    </w:rPr>
                  </w:pPr>
                  <w:r>
                    <w:rPr>
                      <w:color w:val="auto"/>
                      <w:sz w:val="21"/>
                      <w:szCs w:val="21"/>
                    </w:rPr>
                    <w:t>《合成树脂工业污染物排放标准》（GB31572-2015）</w:t>
                  </w:r>
                </w:p>
              </w:tc>
            </w:tr>
            <w:tr w14:paraId="0DC9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29" w:type="dxa"/>
                  <w:vAlign w:val="center"/>
                </w:tcPr>
                <w:p w14:paraId="2DBFA7D4">
                  <w:pPr>
                    <w:pStyle w:val="54"/>
                    <w:adjustRightInd w:val="0"/>
                    <w:snapToGrid w:val="0"/>
                    <w:spacing w:after="0"/>
                    <w:ind w:firstLine="0" w:firstLineChars="0"/>
                    <w:jc w:val="center"/>
                    <w:rPr>
                      <w:rFonts w:hint="eastAsia"/>
                      <w:bCs/>
                      <w:color w:val="auto"/>
                      <w:szCs w:val="21"/>
                      <w:lang w:eastAsia="zh-CN"/>
                    </w:rPr>
                  </w:pPr>
                  <w:r>
                    <w:rPr>
                      <w:rFonts w:hint="eastAsia"/>
                      <w:bCs/>
                      <w:color w:val="auto"/>
                      <w:szCs w:val="21"/>
                      <w:lang w:eastAsia="zh-CN"/>
                    </w:rPr>
                    <w:t>颗粒物</w:t>
                  </w:r>
                </w:p>
              </w:tc>
              <w:tc>
                <w:tcPr>
                  <w:tcW w:w="1515" w:type="dxa"/>
                  <w:vAlign w:val="center"/>
                </w:tcPr>
                <w:p w14:paraId="13D8F389">
                  <w:pPr>
                    <w:pStyle w:val="54"/>
                    <w:adjustRightInd w:val="0"/>
                    <w:snapToGrid w:val="0"/>
                    <w:spacing w:after="0"/>
                    <w:ind w:firstLine="0" w:firstLineChars="0"/>
                    <w:jc w:val="center"/>
                    <w:rPr>
                      <w:rFonts w:hint="eastAsia"/>
                      <w:bCs/>
                      <w:color w:val="auto"/>
                      <w:szCs w:val="21"/>
                      <w:lang w:val="en-US" w:eastAsia="zh-CN"/>
                    </w:rPr>
                  </w:pPr>
                  <w:r>
                    <w:rPr>
                      <w:rFonts w:hint="eastAsia"/>
                      <w:bCs/>
                      <w:color w:val="auto"/>
                      <w:szCs w:val="21"/>
                      <w:lang w:val="en-US" w:eastAsia="zh-CN"/>
                    </w:rPr>
                    <w:t>20</w:t>
                  </w:r>
                </w:p>
              </w:tc>
              <w:tc>
                <w:tcPr>
                  <w:tcW w:w="1485" w:type="dxa"/>
                  <w:vAlign w:val="center"/>
                </w:tcPr>
                <w:p w14:paraId="1AED1EBD">
                  <w:pPr>
                    <w:pStyle w:val="54"/>
                    <w:adjustRightInd w:val="0"/>
                    <w:snapToGrid w:val="0"/>
                    <w:spacing w:after="0"/>
                    <w:ind w:firstLine="0" w:firstLineChars="0"/>
                    <w:jc w:val="center"/>
                    <w:rPr>
                      <w:rFonts w:hint="eastAsia"/>
                      <w:bCs/>
                      <w:color w:val="auto"/>
                      <w:szCs w:val="21"/>
                      <w:lang w:val="en-US" w:eastAsia="zh-CN"/>
                    </w:rPr>
                  </w:pPr>
                  <w:r>
                    <w:rPr>
                      <w:rFonts w:hint="eastAsia"/>
                      <w:bCs/>
                      <w:color w:val="auto"/>
                      <w:szCs w:val="21"/>
                      <w:lang w:val="en-US" w:eastAsia="zh-CN"/>
                    </w:rPr>
                    <w:t>/</w:t>
                  </w:r>
                </w:p>
              </w:tc>
              <w:tc>
                <w:tcPr>
                  <w:tcW w:w="1939" w:type="dxa"/>
                  <w:vAlign w:val="center"/>
                </w:tcPr>
                <w:p w14:paraId="5DD67D9F">
                  <w:pPr>
                    <w:pStyle w:val="54"/>
                    <w:adjustRightInd w:val="0"/>
                    <w:snapToGrid w:val="0"/>
                    <w:spacing w:after="0"/>
                    <w:ind w:firstLine="0" w:firstLineChars="0"/>
                    <w:jc w:val="center"/>
                    <w:rPr>
                      <w:rFonts w:hint="eastAsia"/>
                      <w:bCs/>
                      <w:color w:val="auto"/>
                      <w:szCs w:val="21"/>
                      <w:lang w:val="en-US" w:eastAsia="zh-CN"/>
                    </w:rPr>
                  </w:pPr>
                  <w:r>
                    <w:rPr>
                      <w:rFonts w:hint="eastAsia"/>
                      <w:bCs/>
                      <w:color w:val="auto"/>
                      <w:szCs w:val="21"/>
                      <w:lang w:val="en-US" w:eastAsia="zh-CN"/>
                    </w:rPr>
                    <w:t>1.0</w:t>
                  </w:r>
                </w:p>
              </w:tc>
              <w:tc>
                <w:tcPr>
                  <w:tcW w:w="3069" w:type="dxa"/>
                  <w:vMerge w:val="continue"/>
                  <w:vAlign w:val="center"/>
                </w:tcPr>
                <w:p w14:paraId="1775079B">
                  <w:pPr>
                    <w:pStyle w:val="54"/>
                    <w:adjustRightInd w:val="0"/>
                    <w:snapToGrid w:val="0"/>
                    <w:spacing w:after="0"/>
                    <w:ind w:firstLine="0" w:firstLineChars="0"/>
                    <w:jc w:val="center"/>
                    <w:rPr>
                      <w:color w:val="auto"/>
                      <w:sz w:val="21"/>
                      <w:szCs w:val="21"/>
                    </w:rPr>
                  </w:pPr>
                </w:p>
              </w:tc>
            </w:tr>
            <w:tr w14:paraId="6C14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929" w:type="dxa"/>
                  <w:vAlign w:val="center"/>
                </w:tcPr>
                <w:p w14:paraId="0225952D">
                  <w:pPr>
                    <w:pStyle w:val="54"/>
                    <w:adjustRightInd w:val="0"/>
                    <w:snapToGrid w:val="0"/>
                    <w:spacing w:after="0"/>
                    <w:ind w:firstLine="0" w:firstLineChars="0"/>
                    <w:jc w:val="center"/>
                    <w:rPr>
                      <w:rFonts w:hint="eastAsia"/>
                      <w:bCs/>
                      <w:color w:val="auto"/>
                      <w:szCs w:val="21"/>
                      <w:lang w:eastAsia="zh-CN"/>
                    </w:rPr>
                  </w:pPr>
                  <w:r>
                    <w:rPr>
                      <w:rFonts w:hint="eastAsia"/>
                      <w:bCs/>
                      <w:color w:val="auto"/>
                      <w:szCs w:val="21"/>
                      <w:lang w:eastAsia="zh-CN"/>
                    </w:rPr>
                    <w:t>非甲烷总烃</w:t>
                  </w:r>
                </w:p>
              </w:tc>
              <w:tc>
                <w:tcPr>
                  <w:tcW w:w="1515" w:type="dxa"/>
                  <w:vAlign w:val="center"/>
                </w:tcPr>
                <w:p w14:paraId="6FF6C61B">
                  <w:pPr>
                    <w:pStyle w:val="54"/>
                    <w:adjustRightInd w:val="0"/>
                    <w:snapToGrid w:val="0"/>
                    <w:spacing w:after="0"/>
                    <w:ind w:firstLine="0" w:firstLineChars="0"/>
                    <w:jc w:val="center"/>
                    <w:rPr>
                      <w:rFonts w:hint="eastAsia"/>
                      <w:bCs/>
                      <w:color w:val="auto"/>
                      <w:szCs w:val="21"/>
                      <w:lang w:val="en-US" w:eastAsia="zh-CN"/>
                    </w:rPr>
                  </w:pPr>
                  <w:r>
                    <w:rPr>
                      <w:rFonts w:hint="eastAsia"/>
                      <w:bCs/>
                      <w:color w:val="auto"/>
                      <w:szCs w:val="21"/>
                      <w:lang w:val="en-US" w:eastAsia="zh-CN"/>
                    </w:rPr>
                    <w:t>40</w:t>
                  </w:r>
                </w:p>
              </w:tc>
              <w:tc>
                <w:tcPr>
                  <w:tcW w:w="1485" w:type="dxa"/>
                  <w:vAlign w:val="center"/>
                </w:tcPr>
                <w:p w14:paraId="6035D112">
                  <w:pPr>
                    <w:pStyle w:val="54"/>
                    <w:adjustRightInd w:val="0"/>
                    <w:snapToGrid w:val="0"/>
                    <w:spacing w:after="0"/>
                    <w:ind w:firstLine="0" w:firstLineChars="0"/>
                    <w:jc w:val="center"/>
                    <w:rPr>
                      <w:rFonts w:hint="eastAsia"/>
                      <w:bCs/>
                      <w:color w:val="auto"/>
                      <w:szCs w:val="21"/>
                      <w:lang w:val="en-US" w:eastAsia="zh-CN"/>
                    </w:rPr>
                  </w:pPr>
                  <w:r>
                    <w:rPr>
                      <w:rFonts w:hint="eastAsia"/>
                      <w:bCs/>
                      <w:color w:val="auto"/>
                      <w:szCs w:val="21"/>
                      <w:lang w:val="en-US" w:eastAsia="zh-CN"/>
                    </w:rPr>
                    <w:t>1.6</w:t>
                  </w:r>
                </w:p>
              </w:tc>
              <w:tc>
                <w:tcPr>
                  <w:tcW w:w="1939" w:type="dxa"/>
                  <w:vAlign w:val="center"/>
                </w:tcPr>
                <w:p w14:paraId="0230D95C">
                  <w:pPr>
                    <w:pStyle w:val="54"/>
                    <w:adjustRightInd w:val="0"/>
                    <w:snapToGrid w:val="0"/>
                    <w:spacing w:after="0"/>
                    <w:ind w:firstLine="0" w:firstLineChars="0"/>
                    <w:jc w:val="center"/>
                    <w:rPr>
                      <w:rFonts w:hint="eastAsia"/>
                      <w:bCs/>
                      <w:color w:val="auto"/>
                      <w:szCs w:val="21"/>
                      <w:lang w:val="en-US" w:eastAsia="zh-CN"/>
                    </w:rPr>
                  </w:pPr>
                  <w:r>
                    <w:rPr>
                      <w:rFonts w:hint="eastAsia" w:eastAsia="宋体"/>
                      <w:bCs/>
                      <w:color w:val="auto"/>
                      <w:szCs w:val="21"/>
                      <w:lang w:val="en-US" w:eastAsia="zh-CN"/>
                    </w:rPr>
                    <w:t>/</w:t>
                  </w:r>
                </w:p>
              </w:tc>
              <w:tc>
                <w:tcPr>
                  <w:tcW w:w="3069" w:type="dxa"/>
                  <w:vAlign w:val="center"/>
                </w:tcPr>
                <w:p w14:paraId="4465D7F4">
                  <w:pPr>
                    <w:pStyle w:val="54"/>
                    <w:adjustRightInd w:val="0"/>
                    <w:snapToGrid w:val="0"/>
                    <w:spacing w:after="0"/>
                    <w:ind w:firstLine="0" w:firstLineChars="0"/>
                    <w:jc w:val="center"/>
                    <w:rPr>
                      <w:color w:val="auto"/>
                      <w:sz w:val="21"/>
                      <w:szCs w:val="21"/>
                    </w:rPr>
                  </w:pPr>
                  <w:r>
                    <w:rPr>
                      <w:rFonts w:hint="eastAsia"/>
                      <w:bCs/>
                      <w:color w:val="auto"/>
                      <w:sz w:val="21"/>
                      <w:szCs w:val="21"/>
                      <w:lang w:eastAsia="zh-CN"/>
                    </w:rPr>
                    <w:t>《</w:t>
                  </w:r>
                  <w:r>
                    <w:rPr>
                      <w:rFonts w:hint="eastAsia"/>
                      <w:bCs/>
                      <w:color w:val="auto"/>
                      <w:sz w:val="21"/>
                      <w:szCs w:val="21"/>
                      <w:lang w:val="en-US" w:eastAsia="zh-CN"/>
                    </w:rPr>
                    <w:t>固定源挥发性有机物综合排放标准 第6部分：其他行业</w:t>
                  </w:r>
                  <w:r>
                    <w:rPr>
                      <w:rFonts w:hint="eastAsia"/>
                      <w:bCs/>
                      <w:color w:val="auto"/>
                      <w:sz w:val="21"/>
                      <w:szCs w:val="21"/>
                      <w:lang w:eastAsia="zh-CN"/>
                    </w:rPr>
                    <w:t>》（</w:t>
                  </w:r>
                  <w:r>
                    <w:rPr>
                      <w:rFonts w:hint="eastAsia"/>
                      <w:bCs/>
                      <w:color w:val="auto"/>
                      <w:sz w:val="21"/>
                      <w:szCs w:val="21"/>
                      <w:lang w:val="en-US" w:eastAsia="zh-CN"/>
                    </w:rPr>
                    <w:t>DB34/4812.6-2024)</w:t>
                  </w:r>
                </w:p>
              </w:tc>
            </w:tr>
          </w:tbl>
          <w:p w14:paraId="41144968">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7</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eastAsia="zh-CN"/>
              </w:rPr>
              <w:t>厂区内大气污染物无组织排放浓度限值</w:t>
            </w:r>
            <w:r>
              <w:rPr>
                <w:rFonts w:hint="default" w:ascii="Times New Roman" w:hAnsi="Times New Roman" w:eastAsia="宋体" w:cs="Times New Roman"/>
                <w:b/>
                <w:bCs/>
                <w:color w:val="auto"/>
                <w:sz w:val="21"/>
                <w:szCs w:val="21"/>
              </w:rPr>
              <w:t xml:space="preserve">  单位：mg/</w:t>
            </w:r>
            <w:r>
              <w:rPr>
                <w:rFonts w:hint="eastAsia" w:ascii="Times New Roman" w:hAnsi="Times New Roman" w:eastAsia="宋体" w:cs="Times New Roman"/>
                <w:b/>
                <w:bCs/>
                <w:color w:val="auto"/>
                <w:sz w:val="21"/>
                <w:szCs w:val="21"/>
                <w:lang w:eastAsia="zh-CN"/>
              </w:rPr>
              <w:t>m</w:t>
            </w:r>
            <w:r>
              <w:rPr>
                <w:rFonts w:hint="eastAsia" w:ascii="Times New Roman" w:hAnsi="Times New Roman" w:eastAsia="宋体" w:cs="Times New Roman"/>
                <w:b/>
                <w:bCs/>
                <w:color w:val="auto"/>
                <w:sz w:val="21"/>
                <w:szCs w:val="21"/>
                <w:vertAlign w:val="superscript"/>
                <w:lang w:eastAsia="zh-CN"/>
              </w:rPr>
              <w:t>3</w:t>
            </w:r>
          </w:p>
          <w:tbl>
            <w:tblPr>
              <w:tblStyle w:val="29"/>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2033"/>
              <w:gridCol w:w="2882"/>
              <w:gridCol w:w="2170"/>
            </w:tblGrid>
            <w:tr w14:paraId="6287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813" w:type="dxa"/>
                  <w:noWrap w:val="0"/>
                  <w:vAlign w:val="center"/>
                </w:tcPr>
                <w:p w14:paraId="1D430BB4">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w:t>
                  </w:r>
                </w:p>
              </w:tc>
              <w:tc>
                <w:tcPr>
                  <w:tcW w:w="2033" w:type="dxa"/>
                  <w:noWrap w:val="0"/>
                  <w:vAlign w:val="center"/>
                </w:tcPr>
                <w:p w14:paraId="4FCB6490">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特别排放限值</w:t>
                  </w:r>
                </w:p>
              </w:tc>
              <w:tc>
                <w:tcPr>
                  <w:tcW w:w="2882" w:type="dxa"/>
                  <w:noWrap w:val="0"/>
                  <w:vAlign w:val="center"/>
                </w:tcPr>
                <w:p w14:paraId="4842F721">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限值含义</w:t>
                  </w:r>
                </w:p>
              </w:tc>
              <w:tc>
                <w:tcPr>
                  <w:tcW w:w="2170" w:type="dxa"/>
                  <w:noWrap w:val="0"/>
                  <w:vAlign w:val="center"/>
                </w:tcPr>
                <w:p w14:paraId="4E295362">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无组织排放监控位置</w:t>
                  </w:r>
                </w:p>
              </w:tc>
            </w:tr>
            <w:tr w14:paraId="2D15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813" w:type="dxa"/>
                  <w:vMerge w:val="restart"/>
                  <w:noWrap w:val="0"/>
                  <w:vAlign w:val="center"/>
                </w:tcPr>
                <w:p w14:paraId="5C0B2DAF">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NMHC</w:t>
                  </w:r>
                </w:p>
              </w:tc>
              <w:tc>
                <w:tcPr>
                  <w:tcW w:w="2033" w:type="dxa"/>
                  <w:noWrap w:val="0"/>
                  <w:vAlign w:val="center"/>
                </w:tcPr>
                <w:p w14:paraId="7CB4EECF">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w:t>
                  </w:r>
                </w:p>
              </w:tc>
              <w:tc>
                <w:tcPr>
                  <w:tcW w:w="2882" w:type="dxa"/>
                  <w:noWrap w:val="0"/>
                  <w:vAlign w:val="center"/>
                </w:tcPr>
                <w:p w14:paraId="623B29E6">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监控点处1h平均浓度值</w:t>
                  </w:r>
                </w:p>
              </w:tc>
              <w:tc>
                <w:tcPr>
                  <w:tcW w:w="2170" w:type="dxa"/>
                  <w:vMerge w:val="restart"/>
                  <w:noWrap w:val="0"/>
                  <w:vAlign w:val="center"/>
                </w:tcPr>
                <w:p w14:paraId="68299C36">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在厂房外设置监控点</w:t>
                  </w:r>
                </w:p>
              </w:tc>
            </w:tr>
            <w:tr w14:paraId="276B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13" w:type="dxa"/>
                  <w:vMerge w:val="continue"/>
                  <w:noWrap w:val="0"/>
                  <w:vAlign w:val="center"/>
                </w:tcPr>
                <w:p w14:paraId="6C294818">
                  <w:pPr>
                    <w:pStyle w:val="73"/>
                    <w:spacing w:line="240" w:lineRule="auto"/>
                    <w:ind w:firstLine="0"/>
                    <w:jc w:val="center"/>
                    <w:rPr>
                      <w:rFonts w:hint="default" w:ascii="Times New Roman" w:hAnsi="Times New Roman" w:cs="Times New Roman"/>
                      <w:b w:val="0"/>
                      <w:bCs w:val="0"/>
                      <w:color w:val="auto"/>
                      <w:sz w:val="21"/>
                      <w:szCs w:val="21"/>
                    </w:rPr>
                  </w:pPr>
                </w:p>
              </w:tc>
              <w:tc>
                <w:tcPr>
                  <w:tcW w:w="2033" w:type="dxa"/>
                  <w:noWrap w:val="0"/>
                  <w:vAlign w:val="center"/>
                </w:tcPr>
                <w:p w14:paraId="2FE22303">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20</w:t>
                  </w:r>
                </w:p>
              </w:tc>
              <w:tc>
                <w:tcPr>
                  <w:tcW w:w="2882" w:type="dxa"/>
                  <w:noWrap w:val="0"/>
                  <w:vAlign w:val="center"/>
                </w:tcPr>
                <w:p w14:paraId="0E792C84">
                  <w:pPr>
                    <w:pStyle w:val="73"/>
                    <w:spacing w:line="240" w:lineRule="auto"/>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监控点处任意一次浓度值</w:t>
                  </w:r>
                </w:p>
              </w:tc>
              <w:tc>
                <w:tcPr>
                  <w:tcW w:w="2170" w:type="dxa"/>
                  <w:vMerge w:val="continue"/>
                  <w:noWrap w:val="0"/>
                  <w:vAlign w:val="center"/>
                </w:tcPr>
                <w:p w14:paraId="7C0AA57D">
                  <w:pPr>
                    <w:pStyle w:val="73"/>
                    <w:spacing w:line="240" w:lineRule="auto"/>
                    <w:ind w:firstLine="0"/>
                    <w:jc w:val="center"/>
                    <w:rPr>
                      <w:rFonts w:hint="default" w:ascii="Times New Roman" w:hAnsi="Times New Roman" w:cs="Times New Roman"/>
                      <w:b w:val="0"/>
                      <w:bCs w:val="0"/>
                      <w:color w:val="auto"/>
                      <w:sz w:val="21"/>
                      <w:szCs w:val="21"/>
                    </w:rPr>
                  </w:pPr>
                </w:p>
              </w:tc>
            </w:tr>
          </w:tbl>
          <w:p w14:paraId="64ADDC27">
            <w:pPr>
              <w:tabs>
                <w:tab w:val="left" w:pos="540"/>
                <w:tab w:val="left" w:pos="900"/>
                <w:tab w:val="left" w:pos="3780"/>
              </w:tabs>
              <w:adjustRightInd w:val="0"/>
              <w:snapToGrid w:val="0"/>
              <w:spacing w:line="360" w:lineRule="auto"/>
              <w:rPr>
                <w:b/>
                <w:color w:val="auto"/>
                <w:sz w:val="24"/>
              </w:rPr>
            </w:pPr>
            <w:r>
              <w:rPr>
                <w:b/>
                <w:color w:val="auto"/>
                <w:sz w:val="24"/>
              </w:rPr>
              <w:t>2、废水</w:t>
            </w:r>
          </w:p>
          <w:p w14:paraId="3AF202A7">
            <w:pPr>
              <w:keepNext w:val="0"/>
              <w:keepLines w:val="0"/>
              <w:pageBreakBefore w:val="0"/>
              <w:kinsoku/>
              <w:wordWrap/>
              <w:overflowPunct/>
              <w:topLinePunct w:val="0"/>
              <w:bidi w:val="0"/>
              <w:adjustRightInd w:val="0"/>
              <w:snapToGrid w:val="0"/>
              <w:spacing w:line="360" w:lineRule="auto"/>
              <w:ind w:firstLine="480" w:firstLineChars="200"/>
              <w:jc w:val="both"/>
              <w:outlineLvl w:val="9"/>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rPr>
              <w:t>排放执行</w:t>
            </w:r>
            <w:r>
              <w:rPr>
                <w:rFonts w:hint="default" w:ascii="Times New Roman" w:hAnsi="Times New Roman" w:eastAsia="宋体" w:cs="Times New Roman"/>
                <w:color w:val="auto"/>
                <w:sz w:val="24"/>
                <w:szCs w:val="24"/>
                <w:lang w:eastAsia="zh-CN"/>
              </w:rPr>
              <w:t>固镇经济开发区污水处理厂</w:t>
            </w:r>
            <w:r>
              <w:rPr>
                <w:rFonts w:hint="default" w:ascii="Times New Roman" w:hAnsi="Times New Roman" w:eastAsia="宋体" w:cs="Times New Roman"/>
                <w:color w:val="auto"/>
                <w:sz w:val="24"/>
                <w:szCs w:val="24"/>
              </w:rPr>
              <w:t>接管标准</w:t>
            </w:r>
            <w:r>
              <w:rPr>
                <w:rFonts w:hint="default" w:ascii="Times New Roman" w:hAnsi="Times New Roman" w:eastAsia="宋体" w:cs="Times New Roman"/>
                <w:color w:val="auto"/>
                <w:sz w:val="24"/>
                <w:szCs w:val="24"/>
                <w:lang w:eastAsia="zh-CN"/>
              </w:rPr>
              <w:t>和</w:t>
            </w:r>
            <w:r>
              <w:rPr>
                <w:rFonts w:hint="default" w:ascii="Times New Roman" w:hAnsi="Times New Roman" w:eastAsia="宋体" w:cs="Times New Roman"/>
                <w:bCs/>
                <w:color w:val="auto"/>
                <w:sz w:val="24"/>
                <w:szCs w:val="24"/>
                <w:lang w:val="en-US" w:eastAsia="zh-CN"/>
              </w:rPr>
              <w:t>《污水综合排放标准》（GB8978-1996）表4中三级标准排放限值</w:t>
            </w:r>
            <w:r>
              <w:rPr>
                <w:rFonts w:hint="default" w:ascii="Times New Roman" w:hAnsi="Times New Roman" w:eastAsia="宋体" w:cs="Times New Roman"/>
                <w:color w:val="auto"/>
                <w:sz w:val="24"/>
                <w:szCs w:val="24"/>
                <w:lang w:eastAsia="zh-CN"/>
              </w:rPr>
              <w:t>，经固镇经济开发区污水处理厂处理达</w:t>
            </w:r>
            <w:r>
              <w:rPr>
                <w:rFonts w:hint="default" w:ascii="Times New Roman" w:hAnsi="Times New Roman" w:eastAsia="宋体" w:cs="Times New Roman"/>
                <w:color w:val="auto"/>
                <w:sz w:val="24"/>
                <w:szCs w:val="24"/>
              </w:rPr>
              <w:t>《城镇污水处理厂污染物排放标准》（GB18918-2002）一级A标准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rPr>
              <w:t>排入</w:t>
            </w:r>
            <w:r>
              <w:rPr>
                <w:rFonts w:hint="default" w:ascii="Times New Roman" w:hAnsi="Times New Roman" w:eastAsia="宋体" w:cs="Times New Roman"/>
                <w:color w:val="auto"/>
                <w:sz w:val="24"/>
                <w:szCs w:val="24"/>
                <w:lang w:eastAsia="zh-CN"/>
              </w:rPr>
              <w:t>北淝河下段</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具体标准见下表：</w:t>
            </w:r>
          </w:p>
          <w:p w14:paraId="1D7E81C3">
            <w:pPr>
              <w:keepNext w:val="0"/>
              <w:keepLines w:val="0"/>
              <w:pageBreakBefore w:val="0"/>
              <w:kinsoku/>
              <w:wordWrap/>
              <w:overflowPunct/>
              <w:topLinePunct w:val="0"/>
              <w:bidi w:val="0"/>
              <w:jc w:val="center"/>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8</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rPr>
              <w:t>项目</w:t>
            </w:r>
            <w:r>
              <w:rPr>
                <w:rFonts w:hint="default" w:ascii="Times New Roman" w:hAnsi="Times New Roman" w:eastAsia="宋体" w:cs="Times New Roman"/>
                <w:b/>
                <w:color w:val="auto"/>
                <w:sz w:val="21"/>
                <w:szCs w:val="21"/>
              </w:rPr>
              <w:t>废水排放标准（单位：mg/L，pH：无量纲）</w:t>
            </w:r>
          </w:p>
          <w:tbl>
            <w:tblPr>
              <w:tblStyle w:val="29"/>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0"/>
              <w:gridCol w:w="1582"/>
              <w:gridCol w:w="1046"/>
              <w:gridCol w:w="1210"/>
              <w:gridCol w:w="883"/>
              <w:gridCol w:w="978"/>
            </w:tblGrid>
            <w:tr w14:paraId="44EC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05" w:type="pct"/>
                  <w:tcBorders>
                    <w:tl2br w:val="nil"/>
                    <w:tr2bl w:val="nil"/>
                  </w:tcBorders>
                  <w:vAlign w:val="center"/>
                </w:tcPr>
                <w:p w14:paraId="72C89EF6">
                  <w:pPr>
                    <w:keepNext w:val="0"/>
                    <w:keepLines w:val="0"/>
                    <w:pageBreakBefore w:val="0"/>
                    <w:widowControl w:val="0"/>
                    <w:suppressLineNumbers w:val="0"/>
                    <w:kinsoku/>
                    <w:wordWrap/>
                    <w:overflowPunct/>
                    <w:topLinePunct w:val="0"/>
                    <w:bidi w:val="0"/>
                    <w:spacing w:before="0" w:beforeAutospacing="0" w:after="0" w:afterAutospacing="0"/>
                    <w:ind w:left="0" w:right="0"/>
                    <w:jc w:val="center"/>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886" w:type="pct"/>
                  <w:tcBorders>
                    <w:tl2br w:val="nil"/>
                    <w:tr2bl w:val="nil"/>
                  </w:tcBorders>
                  <w:vAlign w:val="center"/>
                </w:tcPr>
                <w:p w14:paraId="07416D2B">
                  <w:pPr>
                    <w:keepNext w:val="0"/>
                    <w:keepLines w:val="0"/>
                    <w:pageBreakBefore w:val="0"/>
                    <w:widowControl w:val="0"/>
                    <w:suppressLineNumbers w:val="0"/>
                    <w:kinsoku/>
                    <w:wordWrap/>
                    <w:overflowPunct/>
                    <w:topLinePunct w:val="0"/>
                    <w:bidi w:val="0"/>
                    <w:spacing w:before="0" w:beforeAutospacing="0" w:after="0" w:afterAutospacing="0"/>
                    <w:ind w:left="0" w:right="0"/>
                    <w:jc w:val="center"/>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pH</w:t>
                  </w:r>
                </w:p>
              </w:tc>
              <w:tc>
                <w:tcPr>
                  <w:tcW w:w="586" w:type="pct"/>
                  <w:tcBorders>
                    <w:tl2br w:val="nil"/>
                    <w:tr2bl w:val="nil"/>
                  </w:tcBorders>
                  <w:vAlign w:val="center"/>
                </w:tcPr>
                <w:p w14:paraId="0DD6558D">
                  <w:pPr>
                    <w:keepNext w:val="0"/>
                    <w:keepLines w:val="0"/>
                    <w:pageBreakBefore w:val="0"/>
                    <w:widowControl w:val="0"/>
                    <w:suppressLineNumbers w:val="0"/>
                    <w:kinsoku/>
                    <w:wordWrap/>
                    <w:overflowPunct/>
                    <w:topLinePunct w:val="0"/>
                    <w:bidi w:val="0"/>
                    <w:spacing w:before="0" w:beforeAutospacing="0" w:after="0" w:afterAutospacing="0"/>
                    <w:ind w:left="0" w:right="0"/>
                    <w:jc w:val="center"/>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678" w:type="pct"/>
                  <w:tcBorders>
                    <w:tl2br w:val="nil"/>
                    <w:tr2bl w:val="nil"/>
                  </w:tcBorders>
                  <w:vAlign w:val="center"/>
                </w:tcPr>
                <w:p w14:paraId="288F73F2">
                  <w:pPr>
                    <w:keepNext w:val="0"/>
                    <w:keepLines w:val="0"/>
                    <w:pageBreakBefore w:val="0"/>
                    <w:widowControl w:val="0"/>
                    <w:suppressLineNumbers w:val="0"/>
                    <w:kinsoku/>
                    <w:wordWrap/>
                    <w:overflowPunct/>
                    <w:topLinePunct w:val="0"/>
                    <w:bidi w:val="0"/>
                    <w:spacing w:before="0" w:beforeAutospacing="0" w:after="0" w:afterAutospacing="0"/>
                    <w:ind w:left="0" w:right="0"/>
                    <w:jc w:val="center"/>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BOD</w:t>
                  </w:r>
                  <w:r>
                    <w:rPr>
                      <w:rFonts w:hint="default" w:ascii="Times New Roman" w:hAnsi="Times New Roman" w:eastAsia="宋体" w:cs="Times New Roman"/>
                      <w:color w:val="auto"/>
                      <w:kern w:val="2"/>
                      <w:sz w:val="21"/>
                      <w:szCs w:val="21"/>
                      <w:vertAlign w:val="subscript"/>
                      <w:lang w:eastAsia="zh-CN"/>
                    </w:rPr>
                    <w:t>5</w:t>
                  </w:r>
                </w:p>
              </w:tc>
              <w:tc>
                <w:tcPr>
                  <w:tcW w:w="495" w:type="pct"/>
                  <w:tcBorders>
                    <w:tl2br w:val="nil"/>
                    <w:tr2bl w:val="nil"/>
                  </w:tcBorders>
                  <w:vAlign w:val="center"/>
                </w:tcPr>
                <w:p w14:paraId="0BCF888D">
                  <w:pPr>
                    <w:keepNext w:val="0"/>
                    <w:keepLines w:val="0"/>
                    <w:pageBreakBefore w:val="0"/>
                    <w:widowControl w:val="0"/>
                    <w:suppressLineNumbers w:val="0"/>
                    <w:kinsoku/>
                    <w:wordWrap/>
                    <w:overflowPunct/>
                    <w:topLinePunct w:val="0"/>
                    <w:bidi w:val="0"/>
                    <w:spacing w:before="0" w:beforeAutospacing="0" w:after="0" w:afterAutospacing="0"/>
                    <w:ind w:left="0" w:right="0"/>
                    <w:jc w:val="center"/>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548" w:type="pct"/>
                  <w:tcBorders>
                    <w:right w:val="single" w:color="auto" w:sz="4" w:space="0"/>
                    <w:tl2br w:val="nil"/>
                    <w:tr2bl w:val="nil"/>
                  </w:tcBorders>
                  <w:vAlign w:val="center"/>
                </w:tcPr>
                <w:p w14:paraId="53A91CEF">
                  <w:pPr>
                    <w:keepNext w:val="0"/>
                    <w:keepLines w:val="0"/>
                    <w:pageBreakBefore w:val="0"/>
                    <w:widowControl w:val="0"/>
                    <w:suppressLineNumbers w:val="0"/>
                    <w:kinsoku/>
                    <w:wordWrap/>
                    <w:overflowPunct/>
                    <w:topLinePunct w:val="0"/>
                    <w:bidi w:val="0"/>
                    <w:spacing w:before="0" w:beforeAutospacing="0" w:after="0" w:afterAutospacing="0"/>
                    <w:ind w:left="0" w:right="0"/>
                    <w:jc w:val="center"/>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氨氮</w:t>
                  </w:r>
                </w:p>
              </w:tc>
            </w:tr>
            <w:tr w14:paraId="09F6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1805" w:type="pct"/>
                  <w:tcBorders>
                    <w:tl2br w:val="nil"/>
                    <w:tr2bl w:val="nil"/>
                  </w:tcBorders>
                  <w:vAlign w:val="center"/>
                </w:tcPr>
                <w:p w14:paraId="7DA766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eastAsia="zh-CN"/>
                    </w:rPr>
                    <w:t>固镇经济开发区</w:t>
                  </w:r>
                  <w:r>
                    <w:rPr>
                      <w:rFonts w:hint="default" w:ascii="Times New Roman" w:hAnsi="Times New Roman" w:eastAsia="宋体" w:cs="Times New Roman"/>
                      <w:color w:val="auto"/>
                      <w:sz w:val="21"/>
                      <w:szCs w:val="21"/>
                    </w:rPr>
                    <w:t>污水处理厂</w:t>
                  </w:r>
                  <w:r>
                    <w:rPr>
                      <w:rFonts w:hint="eastAsia" w:ascii="Times New Roman" w:hAnsi="Times New Roman" w:cs="Times New Roman"/>
                      <w:color w:val="auto"/>
                      <w:sz w:val="21"/>
                      <w:szCs w:val="21"/>
                      <w:lang w:eastAsia="zh-CN"/>
                    </w:rPr>
                    <w:t>（一、二期）</w:t>
                  </w:r>
                  <w:r>
                    <w:rPr>
                      <w:rFonts w:hint="default" w:ascii="Times New Roman" w:hAnsi="Times New Roman" w:eastAsia="宋体" w:cs="Times New Roman"/>
                      <w:color w:val="auto"/>
                      <w:sz w:val="21"/>
                      <w:szCs w:val="21"/>
                    </w:rPr>
                    <w:t>接管标准</w:t>
                  </w:r>
                </w:p>
              </w:tc>
              <w:tc>
                <w:tcPr>
                  <w:tcW w:w="886" w:type="pct"/>
                  <w:tcBorders>
                    <w:tl2br w:val="nil"/>
                    <w:tr2bl w:val="nil"/>
                  </w:tcBorders>
                  <w:vAlign w:val="center"/>
                </w:tcPr>
                <w:p w14:paraId="42C09D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rPr>
                    <w:t>6</w:t>
                  </w:r>
                  <w:r>
                    <w:rPr>
                      <w:rFonts w:hint="default"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～9</w:t>
                  </w:r>
                  <w:r>
                    <w:rPr>
                      <w:rFonts w:hint="default" w:ascii="Times New Roman" w:hAnsi="Times New Roman" w:eastAsia="宋体" w:cs="Times New Roman"/>
                      <w:bCs/>
                      <w:color w:val="auto"/>
                      <w:sz w:val="21"/>
                      <w:szCs w:val="21"/>
                      <w:lang w:val="en-US" w:eastAsia="zh-CN"/>
                    </w:rPr>
                    <w:t>.5</w:t>
                  </w:r>
                </w:p>
              </w:tc>
              <w:tc>
                <w:tcPr>
                  <w:tcW w:w="586" w:type="pct"/>
                  <w:tcBorders>
                    <w:tl2br w:val="nil"/>
                    <w:tr2bl w:val="nil"/>
                  </w:tcBorders>
                  <w:vAlign w:val="center"/>
                </w:tcPr>
                <w:p w14:paraId="1B9EE5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val="en-US" w:eastAsia="zh-CN"/>
                    </w:rPr>
                    <w:t>500</w:t>
                  </w:r>
                </w:p>
              </w:tc>
              <w:tc>
                <w:tcPr>
                  <w:tcW w:w="678" w:type="pct"/>
                  <w:tcBorders>
                    <w:tl2br w:val="nil"/>
                    <w:tr2bl w:val="nil"/>
                  </w:tcBorders>
                  <w:vAlign w:val="center"/>
                </w:tcPr>
                <w:p w14:paraId="4062B1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val="en-US" w:eastAsia="zh-CN"/>
                    </w:rPr>
                    <w:t>350</w:t>
                  </w:r>
                </w:p>
              </w:tc>
              <w:tc>
                <w:tcPr>
                  <w:tcW w:w="495" w:type="pct"/>
                  <w:tcBorders>
                    <w:tl2br w:val="nil"/>
                    <w:tr2bl w:val="nil"/>
                  </w:tcBorders>
                  <w:vAlign w:val="center"/>
                </w:tcPr>
                <w:p w14:paraId="3C8AC7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val="en-US" w:eastAsia="zh-CN"/>
                    </w:rPr>
                    <w:t>400</w:t>
                  </w:r>
                </w:p>
              </w:tc>
              <w:tc>
                <w:tcPr>
                  <w:tcW w:w="548" w:type="pct"/>
                  <w:tcBorders>
                    <w:right w:val="single" w:color="auto" w:sz="4" w:space="0"/>
                    <w:tl2br w:val="nil"/>
                    <w:tr2bl w:val="nil"/>
                  </w:tcBorders>
                  <w:vAlign w:val="center"/>
                </w:tcPr>
                <w:p w14:paraId="07DB68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bCs/>
                      <w:color w:val="auto"/>
                      <w:sz w:val="21"/>
                      <w:szCs w:val="21"/>
                      <w:lang w:val="en-US" w:eastAsia="zh-CN"/>
                    </w:rPr>
                    <w:t>45</w:t>
                  </w:r>
                </w:p>
              </w:tc>
            </w:tr>
            <w:tr w14:paraId="05E5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1805" w:type="pct"/>
                  <w:tcBorders>
                    <w:tl2br w:val="nil"/>
                    <w:tr2bl w:val="nil"/>
                  </w:tcBorders>
                  <w:vAlign w:val="center"/>
                </w:tcPr>
                <w:p w14:paraId="029EFB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《污水综合排放标准》（GB8978-1996）表4中三级标准排放限值</w:t>
                  </w:r>
                </w:p>
              </w:tc>
              <w:tc>
                <w:tcPr>
                  <w:tcW w:w="886" w:type="pct"/>
                  <w:tcBorders>
                    <w:tl2br w:val="nil"/>
                    <w:tr2bl w:val="nil"/>
                  </w:tcBorders>
                  <w:vAlign w:val="center"/>
                </w:tcPr>
                <w:p w14:paraId="5FACC5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6-9</w:t>
                  </w:r>
                </w:p>
              </w:tc>
              <w:tc>
                <w:tcPr>
                  <w:tcW w:w="586" w:type="pct"/>
                  <w:tcBorders>
                    <w:tl2br w:val="nil"/>
                    <w:tr2bl w:val="nil"/>
                  </w:tcBorders>
                  <w:vAlign w:val="center"/>
                </w:tcPr>
                <w:p w14:paraId="6A880A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sz w:val="21"/>
                      <w:szCs w:val="21"/>
                    </w:rPr>
                    <w:t>500</w:t>
                  </w:r>
                </w:p>
              </w:tc>
              <w:tc>
                <w:tcPr>
                  <w:tcW w:w="678" w:type="pct"/>
                  <w:tcBorders>
                    <w:tl2br w:val="nil"/>
                    <w:tr2bl w:val="nil"/>
                  </w:tcBorders>
                  <w:vAlign w:val="center"/>
                </w:tcPr>
                <w:p w14:paraId="012AA7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sz w:val="21"/>
                      <w:szCs w:val="21"/>
                    </w:rPr>
                    <w:t>300</w:t>
                  </w:r>
                </w:p>
              </w:tc>
              <w:tc>
                <w:tcPr>
                  <w:tcW w:w="495" w:type="pct"/>
                  <w:tcBorders>
                    <w:tl2br w:val="nil"/>
                    <w:tr2bl w:val="nil"/>
                  </w:tcBorders>
                  <w:vAlign w:val="center"/>
                </w:tcPr>
                <w:p w14:paraId="5ABE51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400</w:t>
                  </w:r>
                </w:p>
              </w:tc>
              <w:tc>
                <w:tcPr>
                  <w:tcW w:w="548" w:type="pct"/>
                  <w:tcBorders>
                    <w:right w:val="single" w:color="auto" w:sz="4" w:space="0"/>
                    <w:tl2br w:val="nil"/>
                    <w:tr2bl w:val="nil"/>
                  </w:tcBorders>
                  <w:vAlign w:val="center"/>
                </w:tcPr>
                <w:p w14:paraId="6A4EE9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w:t>
                  </w:r>
                </w:p>
              </w:tc>
            </w:tr>
            <w:tr w14:paraId="255C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05" w:type="pct"/>
                  <w:tcBorders>
                    <w:tl2br w:val="nil"/>
                    <w:tr2bl w:val="nil"/>
                  </w:tcBorders>
                  <w:vAlign w:val="center"/>
                </w:tcPr>
                <w:p w14:paraId="094D47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eastAsia="zh-CN"/>
                    </w:rPr>
                    <w:t>本项目执行标准</w:t>
                  </w:r>
                </w:p>
              </w:tc>
              <w:tc>
                <w:tcPr>
                  <w:tcW w:w="886" w:type="pct"/>
                  <w:tcBorders>
                    <w:tl2br w:val="nil"/>
                    <w:tr2bl w:val="nil"/>
                  </w:tcBorders>
                  <w:vAlign w:val="center"/>
                </w:tcPr>
                <w:p w14:paraId="60DFA2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rPr>
                    <w:t>6</w:t>
                  </w:r>
                  <w:r>
                    <w:rPr>
                      <w:rFonts w:hint="default"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～9</w:t>
                  </w:r>
                </w:p>
              </w:tc>
              <w:tc>
                <w:tcPr>
                  <w:tcW w:w="586" w:type="pct"/>
                  <w:tcBorders>
                    <w:tl2br w:val="nil"/>
                    <w:tr2bl w:val="nil"/>
                  </w:tcBorders>
                  <w:vAlign w:val="center"/>
                </w:tcPr>
                <w:p w14:paraId="490AE1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500</w:t>
                  </w:r>
                </w:p>
              </w:tc>
              <w:tc>
                <w:tcPr>
                  <w:tcW w:w="678" w:type="pct"/>
                  <w:tcBorders>
                    <w:tl2br w:val="nil"/>
                    <w:tr2bl w:val="nil"/>
                  </w:tcBorders>
                  <w:vAlign w:val="center"/>
                </w:tcPr>
                <w:p w14:paraId="7BD896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300</w:t>
                  </w:r>
                </w:p>
              </w:tc>
              <w:tc>
                <w:tcPr>
                  <w:tcW w:w="495" w:type="pct"/>
                  <w:tcBorders>
                    <w:tl2br w:val="nil"/>
                    <w:tr2bl w:val="nil"/>
                  </w:tcBorders>
                  <w:vAlign w:val="center"/>
                </w:tcPr>
                <w:p w14:paraId="175B10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400</w:t>
                  </w:r>
                </w:p>
              </w:tc>
              <w:tc>
                <w:tcPr>
                  <w:tcW w:w="548" w:type="pct"/>
                  <w:tcBorders>
                    <w:right w:val="single" w:color="auto" w:sz="4" w:space="0"/>
                    <w:tl2br w:val="nil"/>
                    <w:tr2bl w:val="nil"/>
                  </w:tcBorders>
                  <w:vAlign w:val="center"/>
                </w:tcPr>
                <w:p w14:paraId="18304C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45</w:t>
                  </w:r>
                </w:p>
              </w:tc>
            </w:tr>
            <w:tr w14:paraId="79E8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1805" w:type="pct"/>
                  <w:tcBorders>
                    <w:tl2br w:val="nil"/>
                    <w:tr2bl w:val="nil"/>
                  </w:tcBorders>
                  <w:vAlign w:val="center"/>
                </w:tcPr>
                <w:p w14:paraId="2A1E16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bCs/>
                      <w:color w:val="auto"/>
                      <w:sz w:val="21"/>
                      <w:szCs w:val="21"/>
                    </w:rPr>
                    <w:t>《城镇污水处理厂污染物排放标准》（GB18918-2002）一级标准中A类标准</w:t>
                  </w:r>
                </w:p>
              </w:tc>
              <w:tc>
                <w:tcPr>
                  <w:tcW w:w="886" w:type="pct"/>
                  <w:tcBorders>
                    <w:tl2br w:val="nil"/>
                    <w:tr2bl w:val="nil"/>
                  </w:tcBorders>
                  <w:vAlign w:val="center"/>
                </w:tcPr>
                <w:p w14:paraId="0D5E8D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rPr>
                    <w:t>6～9</w:t>
                  </w:r>
                </w:p>
              </w:tc>
              <w:tc>
                <w:tcPr>
                  <w:tcW w:w="586" w:type="pct"/>
                  <w:tcBorders>
                    <w:tl2br w:val="nil"/>
                    <w:tr2bl w:val="nil"/>
                  </w:tcBorders>
                  <w:vAlign w:val="center"/>
                </w:tcPr>
                <w:p w14:paraId="36F241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val="en-US" w:eastAsia="zh-CN"/>
                    </w:rPr>
                    <w:t>50</w:t>
                  </w:r>
                </w:p>
              </w:tc>
              <w:tc>
                <w:tcPr>
                  <w:tcW w:w="678" w:type="pct"/>
                  <w:tcBorders>
                    <w:tl2br w:val="nil"/>
                    <w:tr2bl w:val="nil"/>
                  </w:tcBorders>
                  <w:vAlign w:val="center"/>
                </w:tcPr>
                <w:p w14:paraId="3F0867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val="en-US" w:eastAsia="zh-CN"/>
                    </w:rPr>
                    <w:t>10</w:t>
                  </w:r>
                </w:p>
              </w:tc>
              <w:tc>
                <w:tcPr>
                  <w:tcW w:w="495" w:type="pct"/>
                  <w:tcBorders>
                    <w:tl2br w:val="nil"/>
                    <w:tr2bl w:val="nil"/>
                  </w:tcBorders>
                  <w:vAlign w:val="center"/>
                </w:tcPr>
                <w:p w14:paraId="401A7F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rPr>
                    <w:t>10</w:t>
                  </w:r>
                </w:p>
              </w:tc>
              <w:tc>
                <w:tcPr>
                  <w:tcW w:w="548" w:type="pct"/>
                  <w:tcBorders>
                    <w:right w:val="single" w:color="auto" w:sz="4" w:space="0"/>
                    <w:tl2br w:val="nil"/>
                    <w:tr2bl w:val="nil"/>
                  </w:tcBorders>
                  <w:vAlign w:val="center"/>
                </w:tcPr>
                <w:p w14:paraId="79642F9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lang w:val="en-US" w:eastAsia="zh-CN"/>
                    </w:rPr>
                    <w:t>5</w:t>
                  </w:r>
                </w:p>
              </w:tc>
            </w:tr>
          </w:tbl>
          <w:p w14:paraId="3139727A">
            <w:pPr>
              <w:adjustRightInd w:val="0"/>
              <w:snapToGrid w:val="0"/>
              <w:spacing w:line="360" w:lineRule="auto"/>
              <w:rPr>
                <w:b/>
                <w:color w:val="auto"/>
                <w:sz w:val="24"/>
              </w:rPr>
            </w:pPr>
            <w:r>
              <w:rPr>
                <w:b/>
                <w:color w:val="auto"/>
                <w:sz w:val="24"/>
              </w:rPr>
              <w:t>3、噪声</w:t>
            </w:r>
          </w:p>
          <w:p w14:paraId="1429BBAD">
            <w:pPr>
              <w:spacing w:line="360" w:lineRule="auto"/>
              <w:ind w:firstLine="480" w:firstLineChars="200"/>
              <w:rPr>
                <w:color w:val="auto"/>
                <w:sz w:val="24"/>
                <w:szCs w:val="24"/>
              </w:rPr>
            </w:pPr>
            <w:r>
              <w:rPr>
                <w:rFonts w:ascii="Times New Roman" w:hAnsi="Times New Roman"/>
                <w:color w:val="auto"/>
                <w:sz w:val="24"/>
              </w:rPr>
              <w:t>本项目</w:t>
            </w:r>
            <w:r>
              <w:rPr>
                <w:rFonts w:hint="eastAsia" w:ascii="Times New Roman" w:hAnsi="Times New Roman"/>
                <w:color w:val="auto"/>
                <w:sz w:val="24"/>
              </w:rPr>
              <w:t>施工期噪声执行《建筑施工厂界环境噪声排放标准》（GB12523-2011）中的标准要求，</w:t>
            </w:r>
            <w:r>
              <w:rPr>
                <w:color w:val="auto"/>
                <w:sz w:val="24"/>
              </w:rPr>
              <w:t>营运期</w:t>
            </w:r>
            <w:r>
              <w:rPr>
                <w:rFonts w:hint="eastAsia"/>
                <w:color w:val="auto"/>
                <w:sz w:val="24"/>
                <w:lang w:eastAsia="zh-CN"/>
              </w:rPr>
              <w:t>厂界</w:t>
            </w:r>
            <w:r>
              <w:rPr>
                <w:color w:val="auto"/>
                <w:sz w:val="24"/>
              </w:rPr>
              <w:t>噪声执行《工业企业厂界环境噪声排放标准》（GB12348-2008）中3类标准</w:t>
            </w:r>
            <w:r>
              <w:rPr>
                <w:color w:val="auto"/>
                <w:sz w:val="24"/>
                <w:szCs w:val="24"/>
              </w:rPr>
              <w:t>。</w:t>
            </w:r>
          </w:p>
          <w:p w14:paraId="1E5CA2E4">
            <w:pPr>
              <w:adjustRightInd w:val="0"/>
              <w:spacing w:line="240" w:lineRule="auto"/>
              <w:ind w:left="400"/>
              <w:jc w:val="center"/>
              <w:rPr>
                <w:b/>
                <w:color w:val="auto"/>
                <w:sz w:val="21"/>
                <w:szCs w:val="21"/>
              </w:rPr>
            </w:pPr>
            <w:r>
              <w:rPr>
                <w:b/>
                <w:color w:val="auto"/>
                <w:sz w:val="21"/>
                <w:szCs w:val="21"/>
              </w:rPr>
              <w:t>表3-</w:t>
            </w:r>
            <w:r>
              <w:rPr>
                <w:rFonts w:hint="eastAsia"/>
                <w:b/>
                <w:color w:val="auto"/>
                <w:sz w:val="21"/>
                <w:szCs w:val="21"/>
                <w:lang w:val="en-US" w:eastAsia="zh-CN"/>
              </w:rPr>
              <w:t xml:space="preserve">9 </w:t>
            </w:r>
            <w:r>
              <w:rPr>
                <w:b/>
                <w:color w:val="auto"/>
                <w:sz w:val="21"/>
                <w:szCs w:val="21"/>
              </w:rPr>
              <w:t>工业企业厂界环境噪声排放标准  单位：dB（A）</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4"/>
              <w:gridCol w:w="2202"/>
              <w:gridCol w:w="2202"/>
            </w:tblGrid>
            <w:tr w14:paraId="4D37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9" w:type="pct"/>
                  <w:vAlign w:val="center"/>
                </w:tcPr>
                <w:p w14:paraId="77143EAF">
                  <w:pPr>
                    <w:snapToGrid w:val="0"/>
                    <w:jc w:val="center"/>
                    <w:rPr>
                      <w:color w:val="auto"/>
                      <w:szCs w:val="21"/>
                    </w:rPr>
                  </w:pPr>
                  <w:r>
                    <w:rPr>
                      <w:color w:val="auto"/>
                      <w:szCs w:val="21"/>
                    </w:rPr>
                    <w:t>标准</w:t>
                  </w:r>
                </w:p>
              </w:tc>
              <w:tc>
                <w:tcPr>
                  <w:tcW w:w="1249" w:type="pct"/>
                  <w:vAlign w:val="center"/>
                </w:tcPr>
                <w:p w14:paraId="7259C9F4">
                  <w:pPr>
                    <w:snapToGrid w:val="0"/>
                    <w:jc w:val="center"/>
                    <w:rPr>
                      <w:color w:val="auto"/>
                      <w:szCs w:val="21"/>
                    </w:rPr>
                  </w:pPr>
                  <w:r>
                    <w:rPr>
                      <w:color w:val="auto"/>
                      <w:szCs w:val="21"/>
                    </w:rPr>
                    <w:t>昼间</w:t>
                  </w:r>
                </w:p>
              </w:tc>
              <w:tc>
                <w:tcPr>
                  <w:tcW w:w="1250" w:type="pct"/>
                  <w:vAlign w:val="center"/>
                </w:tcPr>
                <w:p w14:paraId="20022D04">
                  <w:pPr>
                    <w:snapToGrid w:val="0"/>
                    <w:jc w:val="center"/>
                    <w:rPr>
                      <w:color w:val="auto"/>
                      <w:szCs w:val="21"/>
                    </w:rPr>
                  </w:pPr>
                  <w:r>
                    <w:rPr>
                      <w:color w:val="auto"/>
                      <w:szCs w:val="21"/>
                    </w:rPr>
                    <w:t>夜间</w:t>
                  </w:r>
                </w:p>
              </w:tc>
            </w:tr>
            <w:tr w14:paraId="10BD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03" w:type="dxa"/>
                  <w:vAlign w:val="center"/>
                </w:tcPr>
                <w:p w14:paraId="0F466C30">
                  <w:pPr>
                    <w:pStyle w:val="42"/>
                    <w:spacing w:line="240" w:lineRule="auto"/>
                    <w:ind w:firstLine="0" w:firstLineChars="0"/>
                    <w:jc w:val="center"/>
                    <w:rPr>
                      <w:color w:val="auto"/>
                      <w:szCs w:val="21"/>
                    </w:rPr>
                  </w:pPr>
                  <w:r>
                    <w:rPr>
                      <w:rFonts w:hint="eastAsia"/>
                      <w:color w:val="auto"/>
                      <w:spacing w:val="0"/>
                      <w:position w:val="0"/>
                      <w:sz w:val="21"/>
                      <w:highlight w:val="none"/>
                    </w:rPr>
                    <w:t>《建筑施工场界环境噪声排放标准》（GB12523-2011）</w:t>
                  </w:r>
                </w:p>
              </w:tc>
              <w:tc>
                <w:tcPr>
                  <w:tcW w:w="2201" w:type="dxa"/>
                  <w:vAlign w:val="center"/>
                </w:tcPr>
                <w:p w14:paraId="1A1EFDD3">
                  <w:pPr>
                    <w:pStyle w:val="42"/>
                    <w:spacing w:line="240" w:lineRule="auto"/>
                    <w:ind w:firstLine="0" w:firstLineChars="0"/>
                    <w:jc w:val="center"/>
                    <w:rPr>
                      <w:color w:val="auto"/>
                      <w:szCs w:val="21"/>
                    </w:rPr>
                  </w:pPr>
                  <w:r>
                    <w:rPr>
                      <w:rFonts w:hint="eastAsia"/>
                      <w:color w:val="auto"/>
                      <w:spacing w:val="0"/>
                      <w:position w:val="0"/>
                      <w:sz w:val="21"/>
                      <w:highlight w:val="none"/>
                      <w:lang w:val="en-US" w:eastAsia="zh-CN"/>
                    </w:rPr>
                    <w:t>70</w:t>
                  </w:r>
                </w:p>
              </w:tc>
              <w:tc>
                <w:tcPr>
                  <w:tcW w:w="2203" w:type="dxa"/>
                  <w:vAlign w:val="center"/>
                </w:tcPr>
                <w:p w14:paraId="69A08705">
                  <w:pPr>
                    <w:pStyle w:val="42"/>
                    <w:spacing w:line="240" w:lineRule="auto"/>
                    <w:ind w:firstLine="0" w:firstLineChars="0"/>
                    <w:jc w:val="center"/>
                    <w:rPr>
                      <w:color w:val="auto"/>
                      <w:szCs w:val="21"/>
                    </w:rPr>
                  </w:pPr>
                  <w:r>
                    <w:rPr>
                      <w:rFonts w:hint="eastAsia"/>
                      <w:color w:val="auto"/>
                      <w:spacing w:val="0"/>
                      <w:position w:val="0"/>
                      <w:sz w:val="21"/>
                      <w:highlight w:val="none"/>
                      <w:lang w:val="en-US" w:eastAsia="zh-CN"/>
                    </w:rPr>
                    <w:t>55</w:t>
                  </w:r>
                </w:p>
              </w:tc>
            </w:tr>
            <w:tr w14:paraId="6612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2499" w:type="pct"/>
                  <w:vAlign w:val="center"/>
                </w:tcPr>
                <w:p w14:paraId="604BDFBD">
                  <w:pPr>
                    <w:snapToGrid w:val="0"/>
                    <w:jc w:val="center"/>
                    <w:rPr>
                      <w:color w:val="auto"/>
                      <w:szCs w:val="21"/>
                    </w:rPr>
                  </w:pPr>
                  <w:r>
                    <w:rPr>
                      <w:color w:val="auto"/>
                      <w:szCs w:val="21"/>
                    </w:rPr>
                    <w:t>《工业企业厂界环境噪声排放标准》（GB12348-2008）3类</w:t>
                  </w:r>
                </w:p>
              </w:tc>
              <w:tc>
                <w:tcPr>
                  <w:tcW w:w="1249" w:type="pct"/>
                  <w:vAlign w:val="center"/>
                </w:tcPr>
                <w:p w14:paraId="4542C716">
                  <w:pPr>
                    <w:snapToGrid w:val="0"/>
                    <w:jc w:val="center"/>
                    <w:rPr>
                      <w:color w:val="auto"/>
                      <w:szCs w:val="21"/>
                    </w:rPr>
                  </w:pPr>
                  <w:r>
                    <w:rPr>
                      <w:color w:val="auto"/>
                      <w:szCs w:val="21"/>
                    </w:rPr>
                    <w:t>65</w:t>
                  </w:r>
                </w:p>
              </w:tc>
              <w:tc>
                <w:tcPr>
                  <w:tcW w:w="1250" w:type="pct"/>
                  <w:vAlign w:val="center"/>
                </w:tcPr>
                <w:p w14:paraId="71339D52">
                  <w:pPr>
                    <w:snapToGrid w:val="0"/>
                    <w:jc w:val="center"/>
                    <w:rPr>
                      <w:color w:val="auto"/>
                      <w:szCs w:val="21"/>
                    </w:rPr>
                  </w:pPr>
                  <w:r>
                    <w:rPr>
                      <w:color w:val="auto"/>
                      <w:szCs w:val="21"/>
                    </w:rPr>
                    <w:t>55</w:t>
                  </w:r>
                </w:p>
              </w:tc>
            </w:tr>
          </w:tbl>
          <w:p w14:paraId="5F1F4463">
            <w:pPr>
              <w:adjustRightInd w:val="0"/>
              <w:snapToGrid w:val="0"/>
              <w:spacing w:line="360" w:lineRule="auto"/>
              <w:rPr>
                <w:rFonts w:hint="default" w:ascii="Times New Roman" w:hAnsi="Times New Roman" w:cs="Times New Roman"/>
                <w:b/>
                <w:color w:val="auto"/>
                <w:sz w:val="24"/>
              </w:rPr>
            </w:pPr>
            <w:r>
              <w:rPr>
                <w:b/>
                <w:color w:val="auto"/>
                <w:sz w:val="24"/>
              </w:rPr>
              <w:t>4、固</w:t>
            </w:r>
            <w:r>
              <w:rPr>
                <w:rFonts w:hint="default" w:ascii="Times New Roman" w:hAnsi="Times New Roman" w:cs="Times New Roman"/>
                <w:b/>
                <w:color w:val="auto"/>
                <w:sz w:val="24"/>
              </w:rPr>
              <w:t>体废物</w:t>
            </w:r>
          </w:p>
          <w:p w14:paraId="7F319D6E">
            <w:pPr>
              <w:pStyle w:val="27"/>
              <w:spacing w:before="0" w:beforeAutospacing="0" w:after="0" w:afterAutospacing="0" w:line="360" w:lineRule="auto"/>
              <w:ind w:firstLine="480" w:firstLineChars="200"/>
              <w:jc w:val="both"/>
              <w:rPr>
                <w:b/>
                <w:color w:val="auto"/>
                <w:sz w:val="24"/>
                <w:szCs w:val="24"/>
              </w:rPr>
            </w:pPr>
            <w:r>
              <w:rPr>
                <w:rFonts w:hint="default" w:ascii="Times New Roman" w:hAnsi="Times New Roman" w:eastAsia="宋体" w:cs="Times New Roman"/>
                <w:color w:val="auto"/>
                <w:kern w:val="2"/>
                <w:sz w:val="24"/>
              </w:rPr>
              <w:t>一般固废处理处置执行《安徽省实施〈中华人民共和国</w:t>
            </w:r>
            <w:r>
              <w:rPr>
                <w:rFonts w:hint="default" w:ascii="Times New Roman" w:hAnsi="Times New Roman" w:eastAsia="宋体" w:cs="Times New Roman"/>
                <w:color w:val="auto"/>
                <w:kern w:val="2"/>
                <w:sz w:val="21"/>
              </w:rPr>
              <w:fldChar w:fldCharType="begin"/>
            </w:r>
            <w:r>
              <w:rPr>
                <w:rFonts w:hint="default" w:ascii="Times New Roman" w:hAnsi="Times New Roman" w:eastAsia="宋体" w:cs="Times New Roman"/>
                <w:color w:val="auto"/>
                <w:kern w:val="2"/>
                <w:sz w:val="21"/>
              </w:rPr>
              <w:instrText xml:space="preserve"> HYPERLINK "https://huanbao.bjx.com.cn/topics/gutifeiwuwuran/" \t "https://huanbao.bjx.com.cn/news/20210602/_blank" </w:instrText>
            </w:r>
            <w:r>
              <w:rPr>
                <w:rFonts w:hint="default" w:ascii="Times New Roman" w:hAnsi="Times New Roman" w:eastAsia="宋体" w:cs="Times New Roman"/>
                <w:color w:val="auto"/>
                <w:kern w:val="2"/>
                <w:sz w:val="21"/>
              </w:rPr>
              <w:fldChar w:fldCharType="separate"/>
            </w:r>
            <w:r>
              <w:rPr>
                <w:rFonts w:hint="default" w:ascii="Times New Roman" w:hAnsi="Times New Roman" w:eastAsia="宋体" w:cs="Times New Roman"/>
                <w:color w:val="auto"/>
                <w:kern w:val="2"/>
                <w:sz w:val="24"/>
              </w:rPr>
              <w:t>固体废物污染</w:t>
            </w:r>
            <w:r>
              <w:rPr>
                <w:rFonts w:hint="default" w:ascii="Times New Roman" w:hAnsi="Times New Roman" w:eastAsia="宋体" w:cs="Times New Roman"/>
                <w:color w:val="auto"/>
                <w:kern w:val="2"/>
                <w:sz w:val="24"/>
              </w:rPr>
              <w:fldChar w:fldCharType="end"/>
            </w:r>
            <w:r>
              <w:rPr>
                <w:rFonts w:hint="default" w:ascii="Times New Roman" w:hAnsi="Times New Roman" w:eastAsia="宋体" w:cs="Times New Roman"/>
                <w:color w:val="auto"/>
                <w:kern w:val="2"/>
                <w:sz w:val="24"/>
              </w:rPr>
              <w:t>环境防治法〉办法》</w:t>
            </w:r>
            <w:r>
              <w:rPr>
                <w:rFonts w:hint="default" w:ascii="Times New Roman" w:hAnsi="Times New Roman" w:eastAsia="宋体" w:cs="Times New Roman"/>
                <w:color w:val="auto"/>
                <w:kern w:val="2"/>
                <w:sz w:val="24"/>
                <w:lang w:eastAsia="zh-CN"/>
              </w:rPr>
              <w:t>（</w:t>
            </w:r>
            <w:r>
              <w:rPr>
                <w:rFonts w:hint="default" w:ascii="Times New Roman" w:hAnsi="Times New Roman" w:eastAsia="宋体" w:cs="Times New Roman"/>
                <w:color w:val="auto"/>
                <w:kern w:val="2"/>
                <w:sz w:val="24"/>
              </w:rPr>
              <w:t>2021年5月31日修订）</w:t>
            </w:r>
            <w:r>
              <w:rPr>
                <w:rFonts w:hint="default" w:ascii="Times New Roman" w:hAnsi="Times New Roman" w:eastAsia="宋体" w:cs="Times New Roman"/>
                <w:color w:val="auto"/>
                <w:kern w:val="2"/>
                <w:sz w:val="24"/>
                <w:lang w:eastAsia="zh-CN"/>
              </w:rPr>
              <w:t>、</w:t>
            </w:r>
            <w:r>
              <w:rPr>
                <w:rFonts w:hint="default" w:ascii="Times New Roman" w:hAnsi="Times New Roman" w:eastAsia="宋体" w:cs="Times New Roman"/>
                <w:color w:val="auto"/>
                <w:kern w:val="2"/>
                <w:sz w:val="24"/>
                <w:lang w:val="en-US" w:eastAsia="zh-CN"/>
              </w:rPr>
              <w:t>《一般工业固体废物贮存和填埋污染控制标准》（GB18599-2020）</w:t>
            </w:r>
            <w:r>
              <w:rPr>
                <w:rFonts w:hint="default" w:ascii="Times New Roman" w:hAnsi="Times New Roman" w:eastAsia="宋体" w:cs="Times New Roman"/>
                <w:color w:val="auto"/>
                <w:kern w:val="2"/>
                <w:sz w:val="24"/>
              </w:rPr>
              <w:t>，危险废物执行《危险废物贮存污染控制标准》</w:t>
            </w:r>
            <w:r>
              <w:rPr>
                <w:rFonts w:hint="default" w:ascii="Times New Roman" w:hAnsi="Times New Roman" w:eastAsia="宋体" w:cs="Times New Roman"/>
                <w:color w:val="auto"/>
                <w:kern w:val="2"/>
                <w:sz w:val="24"/>
                <w:lang w:eastAsia="zh-CN"/>
              </w:rPr>
              <w:t>（</w:t>
            </w:r>
            <w:r>
              <w:rPr>
                <w:rFonts w:hint="default" w:ascii="Times New Roman" w:hAnsi="Times New Roman" w:eastAsia="宋体" w:cs="Times New Roman"/>
                <w:color w:val="auto"/>
                <w:kern w:val="2"/>
                <w:sz w:val="24"/>
              </w:rPr>
              <w:t>GB 18597-2023）</w:t>
            </w:r>
            <w:r>
              <w:rPr>
                <w:rFonts w:hint="default" w:ascii="Times New Roman" w:hAnsi="Times New Roman" w:eastAsia="宋体" w:cs="Times New Roman"/>
                <w:color w:val="auto"/>
                <w:kern w:val="2"/>
                <w:sz w:val="24"/>
                <w:lang w:eastAsia="zh-CN"/>
              </w:rPr>
              <w:t>中要求</w:t>
            </w:r>
            <w:r>
              <w:rPr>
                <w:rFonts w:hint="default" w:ascii="Times New Roman" w:hAnsi="Times New Roman" w:cs="Times New Roman"/>
                <w:color w:val="auto"/>
                <w:kern w:val="0"/>
                <w:sz w:val="24"/>
                <w:szCs w:val="24"/>
              </w:rPr>
              <w:t>。</w:t>
            </w:r>
          </w:p>
        </w:tc>
      </w:tr>
      <w:tr w14:paraId="4ABC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5" w:hRule="atLeast"/>
        </w:trPr>
        <w:tc>
          <w:tcPr>
            <w:tcW w:w="534" w:type="dxa"/>
            <w:vAlign w:val="center"/>
          </w:tcPr>
          <w:p w14:paraId="32D33C94">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总量控制指标</w:t>
            </w:r>
          </w:p>
        </w:tc>
        <w:tc>
          <w:tcPr>
            <w:tcW w:w="9037" w:type="dxa"/>
          </w:tcPr>
          <w:p w14:paraId="0F2200B9">
            <w:pPr>
              <w:autoSpaceDE w:val="0"/>
              <w:autoSpaceDN w:val="0"/>
              <w:adjustRightIn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关于进一步加强建设项目新增大气主要污染物总量指标管理工作的通知（安徽省环保厅（皖环发【2017】19号）），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如下：</w:t>
            </w:r>
          </w:p>
          <w:p w14:paraId="557EA6D3">
            <w:pPr>
              <w:pStyle w:val="69"/>
              <w:adjustRightIn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自2017年4月起，新增大气主要污染物排放的建设项目环境影响评价文件审批前必须取得的总量指标从两项增加为四项。在二氧化硫（</w:t>
            </w:r>
            <w:r>
              <w:rPr>
                <w:rFonts w:hint="default" w:ascii="Times New Roman" w:hAnsi="Times New Roman" w:eastAsia="宋体" w:cs="Times New Roman"/>
                <w:color w:val="auto"/>
                <w:sz w:val="24"/>
                <w:szCs w:val="24"/>
                <w:lang w:eastAsia="zh-CN"/>
              </w:rPr>
              <w:t>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rPr>
              <w:t>）、氮氧化物（NOx）的基础上增加烟（粉）尘、挥发性有机物（VOCs）两项指标。</w:t>
            </w:r>
          </w:p>
          <w:p w14:paraId="6B4D17FC">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）废水总量</w:t>
            </w:r>
          </w:p>
          <w:p w14:paraId="66546DB2">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kern w:val="0"/>
                <w:sz w:val="24"/>
                <w:szCs w:val="24"/>
                <w:lang w:val="en-US" w:eastAsia="zh-CN" w:bidi="ar"/>
              </w:rPr>
              <w:t>本项目生活污水</w:t>
            </w:r>
            <w:r>
              <w:rPr>
                <w:rFonts w:hint="eastAsia" w:ascii="Times New Roman" w:hAnsi="Times New Roman" w:eastAsia="宋体" w:cs="Times New Roman"/>
                <w:b w:val="0"/>
                <w:bCs w:val="0"/>
                <w:color w:val="auto"/>
                <w:kern w:val="0"/>
                <w:sz w:val="24"/>
                <w:szCs w:val="24"/>
                <w:lang w:val="en-US" w:eastAsia="zh-CN" w:bidi="ar"/>
              </w:rPr>
              <w:t>经</w:t>
            </w:r>
            <w:r>
              <w:rPr>
                <w:rFonts w:hint="default" w:ascii="Times New Roman" w:hAnsi="Times New Roman" w:eastAsia="宋体" w:cs="Times New Roman"/>
                <w:b w:val="0"/>
                <w:bCs w:val="0"/>
                <w:color w:val="auto"/>
                <w:kern w:val="0"/>
                <w:sz w:val="24"/>
                <w:szCs w:val="24"/>
                <w:lang w:val="en-US" w:eastAsia="zh-CN" w:bidi="ar"/>
              </w:rPr>
              <w:t>化粪池处理</w:t>
            </w:r>
            <w:r>
              <w:rPr>
                <w:rFonts w:hint="eastAsia" w:cs="Times New Roman"/>
                <w:b w:val="0"/>
                <w:bCs w:val="0"/>
                <w:color w:val="auto"/>
                <w:kern w:val="0"/>
                <w:sz w:val="24"/>
                <w:szCs w:val="24"/>
                <w:lang w:val="en-US" w:eastAsia="zh-CN" w:bidi="ar"/>
              </w:rPr>
              <w:t>后进入固镇经济开发区污水处理厂</w:t>
            </w:r>
            <w:r>
              <w:rPr>
                <w:rFonts w:hint="default" w:ascii="Times New Roman" w:hAnsi="Times New Roman" w:eastAsia="宋体" w:cs="Times New Roman"/>
                <w:b w:val="0"/>
                <w:bCs w:val="0"/>
                <w:color w:val="auto"/>
                <w:kern w:val="0"/>
                <w:sz w:val="24"/>
                <w:szCs w:val="24"/>
                <w:lang w:val="en-US" w:eastAsia="zh-CN" w:bidi="ar"/>
              </w:rPr>
              <w:t>，废水经处理</w:t>
            </w:r>
            <w:r>
              <w:rPr>
                <w:rFonts w:hint="eastAsia" w:ascii="Times New Roman" w:hAnsi="Times New Roman" w:cs="Times New Roman"/>
                <w:b w:val="0"/>
                <w:bCs w:val="0"/>
                <w:color w:val="auto"/>
                <w:kern w:val="0"/>
                <w:sz w:val="24"/>
                <w:szCs w:val="24"/>
                <w:lang w:val="en-US" w:eastAsia="zh-CN" w:bidi="ar"/>
              </w:rPr>
              <w:t>达标</w:t>
            </w:r>
            <w:r>
              <w:rPr>
                <w:rFonts w:hint="default" w:ascii="Times New Roman" w:hAnsi="Times New Roman" w:eastAsia="宋体" w:cs="Times New Roman"/>
                <w:b w:val="0"/>
                <w:bCs w:val="0"/>
                <w:color w:val="auto"/>
                <w:kern w:val="0"/>
                <w:sz w:val="24"/>
                <w:szCs w:val="24"/>
                <w:lang w:val="en-US" w:eastAsia="zh-CN" w:bidi="ar"/>
              </w:rPr>
              <w:t>后排入</w:t>
            </w:r>
            <w:r>
              <w:rPr>
                <w:rFonts w:hint="eastAsia" w:ascii="Times New Roman" w:hAnsi="Times New Roman" w:eastAsia="宋体" w:cs="Times New Roman"/>
                <w:b w:val="0"/>
                <w:bCs w:val="0"/>
                <w:color w:val="auto"/>
                <w:kern w:val="0"/>
                <w:sz w:val="24"/>
                <w:szCs w:val="24"/>
                <w:lang w:val="en-US" w:eastAsia="zh-CN" w:bidi="ar"/>
              </w:rPr>
              <w:t>北淝河下段</w:t>
            </w:r>
            <w:r>
              <w:rPr>
                <w:rFonts w:hint="default" w:ascii="Times New Roman" w:hAnsi="Times New Roman" w:eastAsia="宋体" w:cs="Times New Roman"/>
                <w:b w:val="0"/>
                <w:bCs w:val="0"/>
                <w:color w:val="auto"/>
                <w:kern w:val="0"/>
                <w:sz w:val="24"/>
                <w:szCs w:val="24"/>
                <w:lang w:val="en-US" w:eastAsia="zh-CN" w:bidi="ar"/>
              </w:rPr>
              <w:t>。</w:t>
            </w:r>
            <w:r>
              <w:rPr>
                <w:rFonts w:hint="eastAsia"/>
                <w:color w:val="auto"/>
                <w:sz w:val="24"/>
                <w:szCs w:val="24"/>
                <w:lang w:eastAsia="zh-CN"/>
              </w:rPr>
              <w:t>项目仅有生活污水排放，</w:t>
            </w:r>
            <w:r>
              <w:rPr>
                <w:rFonts w:hint="eastAsia" w:cs="Times New Roman"/>
                <w:color w:val="auto"/>
                <w:sz w:val="24"/>
                <w:szCs w:val="24"/>
                <w:lang w:eastAsia="zh-CN"/>
              </w:rPr>
              <w:t>废水不申请总量。</w:t>
            </w:r>
          </w:p>
          <w:p w14:paraId="3191B54C">
            <w:pPr>
              <w:pStyle w:val="69"/>
              <w:adjustRightIn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）废气总量</w:t>
            </w:r>
          </w:p>
          <w:p w14:paraId="33542A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auto"/>
                <w:sz w:val="24"/>
                <w:szCs w:val="24"/>
                <w:lang w:val="en-US" w:eastAsia="zh-CN"/>
              </w:rPr>
            </w:pPr>
            <w:r>
              <w:rPr>
                <w:rFonts w:hint="eastAsia"/>
                <w:color w:val="auto"/>
                <w:sz w:val="24"/>
                <w:szCs w:val="24"/>
                <w:lang w:eastAsia="zh-CN"/>
              </w:rPr>
              <w:t>本项目废气污染物总量：</w:t>
            </w:r>
            <w:r>
              <w:rPr>
                <w:rFonts w:hint="default" w:ascii="Times New Roman" w:hAnsi="Times New Roman" w:eastAsia="宋体" w:cs="Times New Roman"/>
                <w:color w:val="auto"/>
                <w:sz w:val="24"/>
                <w:szCs w:val="24"/>
              </w:rPr>
              <w:t>VOCs</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val="en-US" w:eastAsia="zh-CN"/>
              </w:rPr>
              <w:t>0.</w:t>
            </w:r>
            <w:r>
              <w:rPr>
                <w:rFonts w:hint="eastAsia" w:eastAsia="宋体" w:cs="Times New Roman"/>
                <w:color w:val="auto"/>
                <w:sz w:val="24"/>
                <w:szCs w:val="24"/>
                <w:lang w:val="en-US" w:eastAsia="zh-CN"/>
              </w:rPr>
              <w:t>4536</w:t>
            </w:r>
            <w:r>
              <w:rPr>
                <w:color w:val="auto"/>
                <w:sz w:val="24"/>
                <w:szCs w:val="24"/>
              </w:rPr>
              <w:t>t/a</w:t>
            </w:r>
            <w:r>
              <w:rPr>
                <w:rFonts w:hint="eastAsia"/>
                <w:color w:val="auto"/>
                <w:sz w:val="24"/>
                <w:szCs w:val="24"/>
                <w:lang w:eastAsia="zh-CN"/>
              </w:rPr>
              <w:t>。</w:t>
            </w:r>
          </w:p>
          <w:p w14:paraId="34BDBAC4">
            <w:pPr>
              <w:pStyle w:val="69"/>
              <w:adjustRightInd w:val="0"/>
              <w:spacing w:line="360" w:lineRule="auto"/>
              <w:ind w:firstLine="480" w:firstLineChars="200"/>
              <w:rPr>
                <w:rFonts w:hint="eastAsia" w:eastAsia="宋体"/>
                <w:color w:val="auto"/>
                <w:sz w:val="24"/>
                <w:lang w:val="en-US" w:eastAsia="zh-CN"/>
              </w:rPr>
            </w:pPr>
            <w:r>
              <w:rPr>
                <w:rFonts w:hint="eastAsia" w:cs="Times New Roman"/>
                <w:color w:val="auto"/>
                <w:sz w:val="24"/>
                <w:szCs w:val="24"/>
                <w:lang w:val="en-US" w:eastAsia="zh-CN"/>
              </w:rPr>
              <w:t xml:space="preserve"> </w:t>
            </w:r>
          </w:p>
        </w:tc>
      </w:tr>
    </w:tbl>
    <w:p w14:paraId="33E0A3C4">
      <w:pPr>
        <w:pStyle w:val="28"/>
        <w:jc w:val="both"/>
        <w:rPr>
          <w:rFonts w:hint="eastAsia"/>
          <w:snapToGrid w:val="0"/>
          <w:color w:val="auto"/>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0" w:name="_Toc6367"/>
    </w:p>
    <w:p w14:paraId="2C1D793B">
      <w:pPr>
        <w:pStyle w:val="28"/>
        <w:ind w:firstLine="2570" w:firstLineChars="800"/>
        <w:jc w:val="both"/>
        <w:rPr>
          <w:snapToGrid w:val="0"/>
          <w:color w:val="auto"/>
        </w:rPr>
      </w:pPr>
      <w:bookmarkStart w:id="11" w:name="_Toc4713"/>
      <w:r>
        <w:rPr>
          <w:rFonts w:hint="eastAsia"/>
          <w:snapToGrid w:val="0"/>
          <w:color w:val="auto"/>
        </w:rPr>
        <w:t>四、主要环境影响和保护措施</w:t>
      </w:r>
      <w:bookmarkEnd w:id="10"/>
      <w:bookmarkEnd w:id="11"/>
    </w:p>
    <w:tbl>
      <w:tblPr>
        <w:tblStyle w:val="29"/>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037"/>
      </w:tblGrid>
      <w:tr w14:paraId="24E10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6" w:hRule="atLeast"/>
          <w:jc w:val="center"/>
        </w:trPr>
        <w:tc>
          <w:tcPr>
            <w:tcW w:w="533" w:type="dxa"/>
            <w:tcMar>
              <w:left w:w="28" w:type="dxa"/>
              <w:right w:w="28" w:type="dxa"/>
            </w:tcMar>
            <w:vAlign w:val="center"/>
          </w:tcPr>
          <w:p w14:paraId="532BEFA4">
            <w:pPr>
              <w:pStyle w:val="27"/>
              <w:adjustRightInd w:val="0"/>
              <w:snapToGrid w:val="0"/>
              <w:spacing w:before="0" w:beforeAutospacing="0" w:after="0" w:afterAutospacing="0"/>
              <w:jc w:val="center"/>
              <w:rPr>
                <w:rFonts w:cs="宋体"/>
                <w:bCs/>
                <w:color w:val="auto"/>
                <w:kern w:val="2"/>
              </w:rPr>
            </w:pPr>
            <w:r>
              <w:rPr>
                <w:rFonts w:hint="eastAsia" w:cs="宋体"/>
                <w:color w:val="auto"/>
                <w:kern w:val="2"/>
              </w:rPr>
              <w:t>施工期环境保护措施</w:t>
            </w:r>
          </w:p>
        </w:tc>
        <w:tc>
          <w:tcPr>
            <w:tcW w:w="9037" w:type="dxa"/>
            <w:vAlign w:val="center"/>
          </w:tcPr>
          <w:p w14:paraId="09F48FBF">
            <w:pPr>
              <w:numPr>
                <w:ilvl w:val="0"/>
                <w:numId w:val="0"/>
              </w:numPr>
              <w:adjustRightInd w:val="0"/>
              <w:snapToGrid w:val="0"/>
              <w:spacing w:line="360" w:lineRule="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1、</w:t>
            </w:r>
            <w:r>
              <w:rPr>
                <w:rFonts w:hint="default" w:ascii="Times New Roman" w:hAnsi="Times New Roman" w:eastAsia="宋体" w:cs="Times New Roman"/>
                <w:bCs/>
                <w:color w:val="auto"/>
                <w:spacing w:val="0"/>
                <w:position w:val="0"/>
                <w:sz w:val="24"/>
                <w:szCs w:val="24"/>
              </w:rPr>
              <w:t>废气防治措施</w:t>
            </w:r>
          </w:p>
          <w:p w14:paraId="7F88B402">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项目施工过程中的大气污染主要来自于施工场地的扬尘、施工机械的尾气和装修废气。这些废气的影响是局部的、暂时的，影响的程度及范围有限，随着施工期的结束而逐渐消失。</w:t>
            </w:r>
          </w:p>
          <w:p w14:paraId="7C5B086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施工期间应特别注意施工扬尘的防治问题，须制定必要的防治措施，以减少施工扬尘对周围环境的影响。</w:t>
            </w:r>
          </w:p>
          <w:p w14:paraId="65A30938">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首先，要加强现场管理，做好文明标化施工，采取配置工地滞尘防护网、设置围档和硬化道路，及车辆出场冲洗等措施，并采用商品混凝土建房，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p>
          <w:p w14:paraId="15DA6A3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减轻扬尘对区域环境空气质量的不利影响，在初期三通一平后，即应根据设计方案对规划中的公共绿地进行合理绿化，以减少表土的裸露。结合《安徽省大气污染防治行动计划实施方案》和《大气污染防治行动计划》（国发〔2013〕37号）中相关要求，项目施工期扬尘污染防治措施见下表。</w:t>
            </w:r>
          </w:p>
          <w:p w14:paraId="1A5B47D4">
            <w:pPr>
              <w:autoSpaceDE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default" w:ascii="Times New Roman" w:hAnsi="Times New Roman" w:eastAsia="宋体" w:cs="Times New Roman"/>
                <w:b/>
                <w:bCs/>
                <w:color w:val="auto"/>
                <w:sz w:val="21"/>
                <w:szCs w:val="21"/>
              </w:rPr>
              <w:tab/>
            </w:r>
            <w:r>
              <w:rPr>
                <w:rFonts w:hint="default" w:ascii="Times New Roman" w:hAnsi="Times New Roman" w:eastAsia="宋体" w:cs="Times New Roman"/>
                <w:b/>
                <w:bCs/>
                <w:color w:val="auto"/>
                <w:sz w:val="21"/>
                <w:szCs w:val="21"/>
              </w:rPr>
              <w:t>施工期废气污染防治措施</w:t>
            </w:r>
          </w:p>
          <w:tbl>
            <w:tblPr>
              <w:tblStyle w:val="29"/>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7785"/>
            </w:tblGrid>
            <w:tr w14:paraId="68AD3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1" w:type="pct"/>
                  <w:noWrap w:val="0"/>
                  <w:vAlign w:val="center"/>
                </w:tcPr>
                <w:p w14:paraId="726C71CA">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依据</w:t>
                  </w:r>
                </w:p>
              </w:tc>
              <w:tc>
                <w:tcPr>
                  <w:tcW w:w="4418" w:type="pct"/>
                  <w:noWrap w:val="0"/>
                  <w:vAlign w:val="center"/>
                </w:tcPr>
                <w:p w14:paraId="2F337231">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施工期扬尘污染防治措施</w:t>
                  </w:r>
                </w:p>
              </w:tc>
            </w:tr>
            <w:tr w14:paraId="5345D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1" w:type="pct"/>
                  <w:noWrap w:val="0"/>
                  <w:vAlign w:val="center"/>
                </w:tcPr>
                <w:p w14:paraId="581BEBDA">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《安徽</w:t>
                  </w:r>
                </w:p>
                <w:p w14:paraId="36A958E4">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省大气</w:t>
                  </w:r>
                </w:p>
                <w:p w14:paraId="76C57040">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污染防</w:t>
                  </w:r>
                </w:p>
                <w:p w14:paraId="72E0CDDF">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治行动</w:t>
                  </w:r>
                </w:p>
                <w:p w14:paraId="2FE64CF6">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计划实</w:t>
                  </w:r>
                </w:p>
                <w:p w14:paraId="058A42F2">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施方</w:t>
                  </w:r>
                </w:p>
                <w:p w14:paraId="215D2CFA">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案》和</w:t>
                  </w:r>
                </w:p>
                <w:p w14:paraId="7E4FCCA4">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《大气污染防</w:t>
                  </w:r>
                </w:p>
                <w:p w14:paraId="4DD6E7DC">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治行动</w:t>
                  </w:r>
                </w:p>
                <w:p w14:paraId="12664994">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计划》</w:t>
                  </w:r>
                </w:p>
                <w:p w14:paraId="048511CF">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（国发</w:t>
                  </w:r>
                </w:p>
                <w:p w14:paraId="73AA2B11">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〔2013</w:t>
                  </w:r>
                </w:p>
                <w:p w14:paraId="57EE071C">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〕37</w:t>
                  </w:r>
                </w:p>
                <w:p w14:paraId="0D8C739B">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号）</w:t>
                  </w:r>
                </w:p>
              </w:tc>
              <w:tc>
                <w:tcPr>
                  <w:tcW w:w="4418" w:type="pct"/>
                  <w:noWrap w:val="0"/>
                  <w:vAlign w:val="center"/>
                </w:tcPr>
                <w:p w14:paraId="4284F9EE">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施工现场实行围挡封闭。主要路段施工现场围挡高度不得低于2.5米，一般路段施工现场围挡高度不得低于1.8米。围档底边应当封闭并设置防溢沉淀井，不得有泥浆外漏。</w:t>
                  </w:r>
                </w:p>
                <w:p w14:paraId="1FA42807">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施工现场出入口道路实施混凝土硬化并配备车辆冲洗设施。对驶出施工现场的机动车辆冲洗干净，方可上路。</w:t>
                  </w:r>
                </w:p>
                <w:p w14:paraId="20858151">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施工现场内道路、加工区实施混凝土硬化。硬化后的地面，不得有浮土、积土，裸露场地应当采取覆盖或绿化措施。施工现场设置洒水降尘设施，安排专人定时洒水降尘。</w:t>
                  </w:r>
                </w:p>
                <w:p w14:paraId="5FFC33B3">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施工现场土方开挖后尽快完成回填，不能及时回填的场地，采取覆盖等防尘措施；砂石等散体材料集中堆放并覆盖。</w:t>
                  </w:r>
                </w:p>
                <w:p w14:paraId="672B3C53">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渣土等建筑垃圾集中、分类堆放，严密遮盖，采用封闭式管道或装袋清运，严禁高处抛洒。需要运输、处理的，按照市、县（区）政府市容环境卫生行政主管部门规定的时间、线路和要求，清运到指定的场所处理。清运过程中对出施工区路面采取清扫+罐车冲洗措施，保持路面洁净减少扬尘产生。外脚手架应当设置悬挂密目式安全网封闭，并保持严密整洁。</w:t>
                  </w:r>
                </w:p>
                <w:p w14:paraId="435DC506">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禁止焚烧沥青、油毡、橡胶、塑料、皮革、垃圾以及其他产生有毒有害烟尘和恶臭气体的物质。施工现场使用商品混凝土和预拌砂浆，搅拌混凝土和砂浆采取封闭、降尘措施。运进或运出工地的土方、砂石、粉煤灰、建筑垃圾等易产生扬尘的材料，应采取封闭运输。施工几近结束后，拆除工程工地的围挡应当使用金属或硬质板材材料，严禁使用各类砌筑墙体；拆除作业实行持续加压洒水或者喷淋方式作业；拆除作业后，场地闲置1个月以上的，用地单位对拆除后的裸露地面采取绿化等防尘措施。</w:t>
                  </w:r>
                </w:p>
                <w:p w14:paraId="1FE076FE">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根据《安徽省重污染天气应急预案》启动Ⅲ级（黄色）预警以上或气象预报风速达到五级以上时，不得进行土方挖填和转运、拆除、道路路面鼓风机吹灰等易产生扬尘的作业。</w:t>
                  </w:r>
                </w:p>
                <w:p w14:paraId="7D25E93A">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场地的扬尘，大部分来自施工车辆。在同样清洁程度的条件下，车速越慢，扬尘量越小。本场地施工车辆在进入施工场地后，需减速行驶，以减少施工场地扬尘，建议行驶车速不大于5km/h。此时的扬尘量可减少为一般行驶速度（15km/h计）情况下的1/3。</w:t>
                  </w:r>
                </w:p>
                <w:p w14:paraId="48CD1187">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为减轻施工现场生活炉灶排放的烟气对大气环境造成的影响，评价建议在附近联系就餐。若不方便在外就餐，则工地食堂产生的油烟需经油烟净化装置处理后排放，经采取本评价提出的防治措施，由工程分析可知，营地食堂油烟排放应满足《饮食业油烟排放标准》（GB18483-2001）中相关要求。</w:t>
                  </w:r>
                </w:p>
              </w:tc>
            </w:tr>
          </w:tbl>
          <w:p w14:paraId="78DC75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pacing w:val="0"/>
                <w:position w:val="0"/>
                <w:sz w:val="24"/>
              </w:rPr>
            </w:pPr>
            <w:r>
              <w:rPr>
                <w:rFonts w:hint="default" w:ascii="Times New Roman" w:hAnsi="Times New Roman" w:eastAsia="宋体" w:cs="Times New Roman"/>
                <w:color w:val="auto"/>
                <w:sz w:val="24"/>
              </w:rPr>
              <w:t>在采取以上施工期大气污染防治措施后可减轻对周围环境敏感点的空气环境影响。</w:t>
            </w:r>
          </w:p>
          <w:p w14:paraId="627D84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2、</w:t>
            </w:r>
            <w:r>
              <w:rPr>
                <w:rFonts w:hint="default" w:ascii="Times New Roman" w:hAnsi="Times New Roman" w:eastAsia="宋体" w:cs="Times New Roman"/>
                <w:bCs/>
                <w:color w:val="auto"/>
                <w:spacing w:val="0"/>
                <w:position w:val="0"/>
                <w:sz w:val="24"/>
                <w:szCs w:val="24"/>
                <w:lang w:eastAsia="zh-CN"/>
              </w:rPr>
              <w:t>废水</w:t>
            </w:r>
            <w:r>
              <w:rPr>
                <w:rFonts w:hint="default" w:ascii="Times New Roman" w:hAnsi="Times New Roman" w:eastAsia="宋体" w:cs="Times New Roman"/>
                <w:bCs/>
                <w:color w:val="auto"/>
                <w:spacing w:val="0"/>
                <w:position w:val="0"/>
                <w:sz w:val="24"/>
                <w:szCs w:val="24"/>
              </w:rPr>
              <w:t>防治措施</w:t>
            </w:r>
          </w:p>
          <w:p w14:paraId="4360F46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冲洗废水的排放特点是间歇式排放，废水量不稳定。因此，施工中往往用水量无节制、废水排放量大，若不采取措施，将会在施工现场随意流淌，对周围水环境造成一定影响。施工期生活污水的水量相当少，对周围水环境影响甚微。</w:t>
            </w:r>
          </w:p>
          <w:p w14:paraId="5D9F3F3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对于施工中的冲洗废水，建议在施工现场设置临时废水沉淀池一座，收集施工中所排放的各类废水，废水经沉淀后，仍可作为施工用水的一部分重复使用，这样既节约了水资源，又减轻了对地表水环境的污染。</w:t>
            </w:r>
          </w:p>
          <w:p w14:paraId="1A24D5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rPr>
            </w:pPr>
            <w:r>
              <w:rPr>
                <w:rFonts w:hint="default" w:ascii="Times New Roman" w:hAnsi="Times New Roman" w:eastAsia="宋体" w:cs="Times New Roman"/>
                <w:color w:val="auto"/>
                <w:sz w:val="24"/>
              </w:rPr>
              <w:t>施工期生活污水的水量相对较少，对周围水环境影响甚微。集中处理排放的生活污水，不得任意排放，影响到地表水体水质</w:t>
            </w:r>
            <w:r>
              <w:rPr>
                <w:rFonts w:hint="default" w:ascii="Times New Roman" w:hAnsi="Times New Roman" w:eastAsia="宋体" w:cs="Times New Roman"/>
                <w:color w:val="auto"/>
                <w:spacing w:val="0"/>
                <w:position w:val="0"/>
                <w:sz w:val="24"/>
              </w:rPr>
              <w:t>。</w:t>
            </w:r>
          </w:p>
          <w:p w14:paraId="527923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3、噪声</w:t>
            </w:r>
            <w:r>
              <w:rPr>
                <w:rFonts w:hint="default" w:ascii="Times New Roman" w:hAnsi="Times New Roman" w:eastAsia="宋体" w:cs="Times New Roman"/>
                <w:bCs/>
                <w:color w:val="auto"/>
                <w:spacing w:val="0"/>
                <w:position w:val="0"/>
                <w:sz w:val="24"/>
                <w:szCs w:val="24"/>
              </w:rPr>
              <w:t>防治措施</w:t>
            </w:r>
          </w:p>
          <w:p w14:paraId="265D1279">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单位应严格执行《中华人民共和国噪声污染防治法》、《建筑施工场界环境噪声排放标准》（GB12523-2011）中相关规定，采用低噪声施工机具和先进工艺进行施工，基础打桩应采用静压桩。另外，对施工场地平面布局时应将高噪声设备尽量置于场地东南侧，进行合理布置，以减少施工噪声对周围敏感点的影响。同时在施工作业中必须合理安排各类施工机械的工作时间，对于夜间施工认真执行申报审批手续，并报环保部门备案。根据有关规定，建设施工时除抢修、抢险作业和因生产工艺上要求或者特殊要求必须连续作业外，禁止夜间进行产生环境噪声污染的建筑施工作业，因特殊要求必须连续作业的，必须有县级以上人民政府或者有关主管部门的证明，《中华人民共和国环境噪声污染防治法》第三十条）。</w:t>
            </w:r>
          </w:p>
          <w:p w14:paraId="304FA557">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该项目在装修阶段，建设方必须加强相应的管理，严禁夜间时段（22：00</w:t>
            </w:r>
            <w:r>
              <w:rPr>
                <w:rFonts w:hint="eastAsia" w:cs="Times New Roman"/>
                <w:color w:val="auto"/>
                <w:kern w:val="0"/>
                <w:sz w:val="24"/>
                <w:lang w:eastAsia="zh-CN"/>
              </w:rPr>
              <w:t>至次日</w:t>
            </w:r>
            <w:r>
              <w:rPr>
                <w:rFonts w:hint="eastAsia" w:cs="Times New Roman"/>
                <w:color w:val="auto"/>
                <w:kern w:val="0"/>
                <w:sz w:val="24"/>
                <w:lang w:val="en-US" w:eastAsia="zh-CN"/>
              </w:rPr>
              <w:t>6:00</w:t>
            </w:r>
            <w:r>
              <w:rPr>
                <w:rFonts w:hint="default" w:ascii="Times New Roman" w:hAnsi="Times New Roman" w:eastAsia="宋体" w:cs="Times New Roman"/>
                <w:color w:val="auto"/>
                <w:kern w:val="0"/>
                <w:sz w:val="24"/>
              </w:rPr>
              <w:t>）装修施工，防止噪声影响到附近居民。</w:t>
            </w:r>
          </w:p>
          <w:p w14:paraId="36D0D618">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针对施工期噪声影响，拟采取的污染防治措施如下：</w:t>
            </w:r>
          </w:p>
          <w:p w14:paraId="7109BC9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①降低设备噪声：尽量采用低噪声设备；采用安装消音器和隔离发动机振动部件的方法降低噪声；挖掘机、装卸车辆进出场地应限速；加强机械设备、运输车辆的保养维修，使它们处于良好的工作状态；</w:t>
            </w:r>
          </w:p>
          <w:p w14:paraId="61037280">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②合理安排时间：避免强噪声设备同时施工、持续作业；夜间（22：00</w:t>
            </w:r>
            <w:r>
              <w:rPr>
                <w:rFonts w:hint="eastAsia" w:cs="Times New Roman"/>
                <w:color w:val="auto"/>
                <w:kern w:val="0"/>
                <w:sz w:val="24"/>
                <w:lang w:eastAsia="zh-CN"/>
              </w:rPr>
              <w:t>至次日</w:t>
            </w:r>
            <w:r>
              <w:rPr>
                <w:rFonts w:hint="eastAsia" w:cs="Times New Roman"/>
                <w:color w:val="auto"/>
                <w:kern w:val="0"/>
                <w:sz w:val="24"/>
                <w:lang w:val="en-US" w:eastAsia="zh-CN"/>
              </w:rPr>
              <w:t>6:00</w:t>
            </w:r>
            <w:r>
              <w:rPr>
                <w:rFonts w:hint="default" w:ascii="Times New Roman" w:hAnsi="Times New Roman" w:eastAsia="宋体" w:cs="Times New Roman"/>
                <w:color w:val="auto"/>
                <w:kern w:val="0"/>
                <w:sz w:val="24"/>
              </w:rPr>
              <w:t>）禁止进行对居民生活环境产生噪声污染的施工作业，昼间使用高噪声设备应避开中午休息时间并公告附近居民和有关单位；</w:t>
            </w:r>
          </w:p>
          <w:p w14:paraId="762829D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③合理布局施工场地：噪声大的设备尽量远离敏感区；</w:t>
            </w:r>
          </w:p>
          <w:p w14:paraId="3E946D8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④降低人为噪声：操作机械设备时及模板、支架装卸过程中，尽量减少碰撞声音；尽量少用哨子指挥作业；</w:t>
            </w:r>
          </w:p>
          <w:p w14:paraId="636EB8C7">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⑤对于噪声影响较重的施工场地须采取临时隔声围墙或吸声屏障等措施处理。</w:t>
            </w:r>
          </w:p>
          <w:p w14:paraId="7F5AE9BB">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a、吸声降噪：可以在搅拌机、电锯机等高噪声施工机械附近设置吸声屏，能降低噪声3～15dB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p>
          <w:p w14:paraId="1134F2C7">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b、消声降噪：对产生空气动力性噪声源的施工机械，如空压机等高频率噪声源采用阴性消声器、抗性消声器、扩散消声器、缓冲消声器等消声方法，能降低噪声10～30dB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。对于运输土石方的装卸机以及翻斗车，可以通过排气消声器和隔离发动机震动部分的方法来降低噪声。</w:t>
            </w:r>
          </w:p>
          <w:p w14:paraId="2D7209ED">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c、隔声降噪：用隔声性能好的隔声构件将施工机械噪声源与周围环境隔离，使施工噪声控制在隔声构件内，以减少环境声污染范围与污染程度。隔声间由12～24m的空心砖构成，其隔声量为30～50dB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、隔声罩由1～3m钢板构成、隔声量为10～20dB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，如在钢板外表用阻尼层，内表用吸声层处理，隔声量会再提高10dB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；施工场地四周建2.5m高的围墙。</w:t>
            </w:r>
          </w:p>
          <w:p w14:paraId="192522F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⑥隔振降噪：在施工机械设备与基础或连接部之间采用弹簧减振、橡胶减振、管道减振、阻尼减振技术，可减振至原动量1/10～1/100，降噪20～40dB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。对振级较高及较大的机械如空压机等应采取增加减振垫；在施工场地四周设置减震沟降低振动对周边建筑的损坏等减振措施。</w:t>
            </w:r>
          </w:p>
          <w:p w14:paraId="45DECA7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⑦减少交通噪声：进出车辆和经过敏感点的车辆限速、限鸣；</w:t>
            </w:r>
          </w:p>
          <w:p w14:paraId="69CB41E9">
            <w:pPr>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rPr>
            </w:pPr>
            <w:r>
              <w:rPr>
                <w:rFonts w:hint="default" w:ascii="Times New Roman" w:hAnsi="Times New Roman" w:eastAsia="宋体" w:cs="Times New Roman"/>
                <w:color w:val="auto"/>
                <w:kern w:val="0"/>
                <w:sz w:val="24"/>
              </w:rPr>
              <w:t>上述措施能有效的减轻施工噪声，尽可能减少对周边环境的影响</w:t>
            </w:r>
            <w:r>
              <w:rPr>
                <w:rFonts w:hint="default" w:ascii="Times New Roman" w:hAnsi="Times New Roman" w:eastAsia="宋体" w:cs="Times New Roman"/>
                <w:color w:val="auto"/>
                <w:sz w:val="24"/>
              </w:rPr>
              <w:t>。</w:t>
            </w:r>
          </w:p>
          <w:p w14:paraId="42BF74E2">
            <w:pPr>
              <w:numPr>
                <w:ilvl w:val="0"/>
                <w:numId w:val="0"/>
              </w:numPr>
              <w:adjustRightInd w:val="0"/>
              <w:snapToGrid w:val="0"/>
              <w:spacing w:line="240" w:lineRule="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rPr>
              <w:t>固废防治措施</w:t>
            </w:r>
          </w:p>
          <w:p w14:paraId="2E2ACA1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施工挖掘产生的土方以及施工过程中产生的渣土，由施工单位或承建单位同渣土办联系外运至政府指定的弃土地点，在渣土运输过程中严格执行下列相关规定：</w:t>
            </w:r>
          </w:p>
          <w:p w14:paraId="0707C993">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①施工单位在开工前，应与环境卫生行政主管部门签订环境卫生责任书，对施工过程中产生和各类建筑垃圾应当及时清理，保持施工现场整洁；</w:t>
            </w:r>
          </w:p>
          <w:p w14:paraId="1439A5BB">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②工程施工现场出入口的道路应当硬化，配置相应的冲洗设施，车辆冲洗干净后，方可驶离工地；</w:t>
            </w:r>
          </w:p>
          <w:p w14:paraId="13C6EFD3">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③按照环境卫生行政主管部门核定的时间、路线、地点运输和倾倒建筑垃圾，禁止偷倒、乱倒；</w:t>
            </w:r>
          </w:p>
          <w:p w14:paraId="603E7A0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④建筑垃圾运输车辆应当采取密闭措施，不得超载运输，不得车轮带泥，不得遗撒、泄漏。</w:t>
            </w:r>
          </w:p>
          <w:p w14:paraId="7FC17CB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⑤建筑垃圾运输作业时，建设单位应当督促运输单位在清运时间内组织人力、物力或委托专业环境卫生服务单位做好沿途的污染清理工作；清运过程中造成交通安全设施损坏的，应予以赔偿。</w:t>
            </w:r>
          </w:p>
          <w:p w14:paraId="64953430">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⑥施工期生活垃圾分类收集、袋装化；与环卫部门签订协议，由环卫部门负责将生活垃圾及时清运，做到日产日清。</w:t>
            </w:r>
          </w:p>
          <w:p w14:paraId="4E9AAC18">
            <w:pPr>
              <w:autoSpaceDE w:val="0"/>
              <w:autoSpaceDN w:val="0"/>
              <w:adjustRightInd w:val="0"/>
              <w:spacing w:line="360" w:lineRule="auto"/>
              <w:ind w:firstLine="480" w:firstLineChars="200"/>
              <w:rPr>
                <w:rFonts w:hint="eastAsia" w:eastAsia="宋体"/>
                <w:color w:val="auto"/>
                <w:kern w:val="0"/>
                <w:sz w:val="24"/>
                <w:szCs w:val="24"/>
                <w:lang w:val="en-US" w:eastAsia="zh-CN"/>
              </w:rPr>
            </w:pPr>
            <w:r>
              <w:rPr>
                <w:rFonts w:hint="default" w:ascii="Times New Roman" w:hAnsi="Times New Roman" w:eastAsia="宋体" w:cs="Times New Roman"/>
                <w:color w:val="auto"/>
                <w:kern w:val="0"/>
                <w:sz w:val="24"/>
              </w:rPr>
              <w:t>由于建筑垃圾是土建工程中不可避免的，因此建设单位和施工单位必须做好施工垃圾管理，避免对周围环境造成影响。</w:t>
            </w:r>
          </w:p>
        </w:tc>
      </w:tr>
      <w:tr w14:paraId="14E0E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6" w:hRule="atLeast"/>
          <w:jc w:val="center"/>
        </w:trPr>
        <w:tc>
          <w:tcPr>
            <w:tcW w:w="533" w:type="dxa"/>
            <w:tcMar>
              <w:left w:w="28" w:type="dxa"/>
              <w:right w:w="28" w:type="dxa"/>
            </w:tcMar>
            <w:vAlign w:val="center"/>
          </w:tcPr>
          <w:p w14:paraId="3A56A638">
            <w:pPr>
              <w:pStyle w:val="27"/>
              <w:adjustRightInd w:val="0"/>
              <w:snapToGrid w:val="0"/>
              <w:spacing w:before="0" w:beforeAutospacing="0" w:after="0" w:afterAutospacing="0"/>
              <w:jc w:val="center"/>
              <w:rPr>
                <w:rFonts w:hint="eastAsia" w:cs="宋体"/>
                <w:color w:val="auto"/>
                <w:kern w:val="2"/>
              </w:rPr>
            </w:pPr>
            <w:r>
              <w:rPr>
                <w:rFonts w:hint="eastAsia" w:ascii="宋体" w:hAnsi="宋体" w:cs="宋体"/>
                <w:bCs/>
                <w:color w:val="auto"/>
                <w:sz w:val="24"/>
                <w:szCs w:val="24"/>
              </w:rPr>
              <w:t>运营期环境影响和保护措施</w:t>
            </w:r>
          </w:p>
        </w:tc>
        <w:tc>
          <w:tcPr>
            <w:tcW w:w="9037" w:type="dxa"/>
            <w:vAlign w:val="center"/>
          </w:tcPr>
          <w:p w14:paraId="071AD206">
            <w:pPr>
              <w:adjustRightInd w:val="0"/>
              <w:snapToGrid w:val="0"/>
              <w:spacing w:line="240" w:lineRule="auto"/>
              <w:jc w:val="left"/>
              <w:rPr>
                <w:rFonts w:hAnsi="宋体"/>
                <w:b/>
                <w:color w:val="auto"/>
                <w:kern w:val="0"/>
                <w:sz w:val="24"/>
                <w:szCs w:val="24"/>
              </w:rPr>
            </w:pPr>
            <w:r>
              <w:rPr>
                <w:rFonts w:hint="eastAsia" w:hAnsi="宋体"/>
                <w:b/>
                <w:color w:val="auto"/>
                <w:kern w:val="0"/>
                <w:sz w:val="24"/>
                <w:szCs w:val="24"/>
              </w:rPr>
              <w:t>1、废气</w:t>
            </w:r>
          </w:p>
          <w:p w14:paraId="64AE649A">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本项目</w:t>
            </w:r>
            <w:r>
              <w:rPr>
                <w:rFonts w:hint="eastAsia" w:cs="Times New Roman"/>
                <w:color w:val="auto"/>
                <w:kern w:val="0"/>
                <w:sz w:val="24"/>
                <w:szCs w:val="24"/>
                <w:lang w:eastAsia="zh-CN"/>
              </w:rPr>
              <w:t>运营期废气主要为挤出废气、注塑废气、焊接废气和破碎粉尘。</w:t>
            </w:r>
          </w:p>
          <w:p w14:paraId="3002D1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lang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1）</w:t>
            </w:r>
            <w:r>
              <w:rPr>
                <w:rFonts w:hint="eastAsia" w:cs="Times New Roman"/>
                <w:b/>
                <w:bCs/>
                <w:color w:val="auto"/>
                <w:sz w:val="24"/>
                <w:szCs w:val="24"/>
                <w:lang w:eastAsia="zh-CN"/>
              </w:rPr>
              <w:t>挤出、注塑废气</w:t>
            </w:r>
          </w:p>
          <w:p w14:paraId="79E14860">
            <w:pPr>
              <w:adjustRightInd w:val="0"/>
              <w:snapToGrid w:val="0"/>
              <w:spacing w:line="360" w:lineRule="auto"/>
              <w:ind w:firstLine="480" w:firstLineChars="200"/>
              <w:rPr>
                <w:rFonts w:hint="default" w:eastAsia="宋体" w:cs="Times New Roman"/>
                <w:color w:val="auto"/>
                <w:sz w:val="24"/>
                <w:szCs w:val="24"/>
                <w:lang w:val="en-US" w:eastAsia="zh-CN"/>
              </w:rPr>
            </w:pPr>
            <w:r>
              <w:rPr>
                <w:rFonts w:hint="eastAsia" w:cs="Times New Roman"/>
                <w:color w:val="auto"/>
                <w:sz w:val="24"/>
                <w:szCs w:val="24"/>
                <w:lang w:val="en-US" w:eastAsia="zh-CN"/>
              </w:rPr>
              <w:t>本项目所有生产设备均采用电能源，项目挤出、注塑工序加热</w:t>
            </w:r>
            <w:r>
              <w:rPr>
                <w:rFonts w:ascii="Times New Roman" w:hAnsi="Times New Roman" w:eastAsia="宋体" w:cs="Times New Roman"/>
                <w:color w:val="auto"/>
                <w:sz w:val="24"/>
                <w:szCs w:val="24"/>
              </w:rPr>
              <w:t>温度约200℃</w:t>
            </w:r>
            <w:r>
              <w:rPr>
                <w:rFonts w:hint="eastAsia" w:ascii="Times New Roman" w:hAnsi="Times New Roman" w:eastAsia="宋体" w:cs="Times New Roman"/>
                <w:color w:val="auto"/>
                <w:sz w:val="24"/>
                <w:szCs w:val="24"/>
                <w:lang w:eastAsia="zh-CN"/>
              </w:rPr>
              <w:t>，低于原料</w:t>
            </w:r>
            <w:r>
              <w:rPr>
                <w:rFonts w:hint="eastAsia" w:ascii="Times New Roman" w:hAnsi="Times New Roman" w:eastAsia="宋体" w:cs="Times New Roman"/>
                <w:color w:val="auto"/>
                <w:sz w:val="24"/>
                <w:szCs w:val="24"/>
                <w:lang w:val="en-US" w:eastAsia="zh-CN"/>
              </w:rPr>
              <w:t>PP（聚丙烯）的热分解温度，因此仅产生少量有机废气（以非甲烷总烃计）。</w:t>
            </w:r>
          </w:p>
          <w:p w14:paraId="628A52C5">
            <w:pPr>
              <w:adjustRightInd w:val="0"/>
              <w:snapToGrid w:val="0"/>
              <w:spacing w:line="360" w:lineRule="auto"/>
              <w:ind w:firstLine="480" w:firstLineChars="200"/>
              <w:rPr>
                <w:bCs/>
                <w:color w:val="auto"/>
                <w:sz w:val="24"/>
                <w:szCs w:val="24"/>
              </w:rPr>
            </w:pPr>
            <w:r>
              <w:rPr>
                <w:rFonts w:hint="eastAsia"/>
                <w:bCs/>
                <w:color w:val="auto"/>
                <w:sz w:val="24"/>
                <w:szCs w:val="24"/>
                <w:highlight w:val="none"/>
                <w:lang w:eastAsia="zh-CN"/>
              </w:rPr>
              <w:t>挤出废气：参考</w:t>
            </w:r>
            <w:r>
              <w:rPr>
                <w:bCs/>
                <w:color w:val="auto"/>
                <w:sz w:val="24"/>
                <w:szCs w:val="24"/>
                <w:highlight w:val="none"/>
              </w:rPr>
              <w:t>《排放源统计调查产排污核算方法和系数手册》</w:t>
            </w:r>
            <w:r>
              <w:rPr>
                <w:rFonts w:hint="eastAsia"/>
                <w:bCs/>
                <w:color w:val="auto"/>
                <w:sz w:val="24"/>
                <w:szCs w:val="24"/>
                <w:highlight w:val="none"/>
                <w:lang w:val="en-US" w:eastAsia="zh-CN"/>
              </w:rPr>
              <w:t>2922</w:t>
            </w:r>
            <w:r>
              <w:rPr>
                <w:rFonts w:hint="eastAsia"/>
                <w:bCs/>
                <w:color w:val="auto"/>
                <w:sz w:val="24"/>
                <w:szCs w:val="24"/>
                <w:highlight w:val="none"/>
                <w:lang w:eastAsia="zh-CN"/>
              </w:rPr>
              <w:t>塑料板、管、型材制造行业系数表</w:t>
            </w:r>
            <w:r>
              <w:rPr>
                <w:bCs/>
                <w:color w:val="auto"/>
                <w:sz w:val="24"/>
                <w:szCs w:val="24"/>
                <w:highlight w:val="none"/>
              </w:rPr>
              <w:t>中</w:t>
            </w:r>
            <w:r>
              <w:rPr>
                <w:rFonts w:hint="eastAsia"/>
                <w:bCs/>
                <w:color w:val="auto"/>
                <w:sz w:val="24"/>
                <w:szCs w:val="24"/>
                <w:highlight w:val="none"/>
                <w:lang w:val="en-US" w:eastAsia="zh-CN"/>
              </w:rPr>
              <w:t>挤出工序中挥发性有机物</w:t>
            </w:r>
            <w:r>
              <w:rPr>
                <w:bCs/>
                <w:color w:val="auto"/>
                <w:sz w:val="24"/>
                <w:szCs w:val="24"/>
                <w:highlight w:val="none"/>
              </w:rPr>
              <w:t>产污系数为</w:t>
            </w:r>
            <w:r>
              <w:rPr>
                <w:rFonts w:hint="eastAsia"/>
                <w:bCs/>
                <w:color w:val="auto"/>
                <w:sz w:val="24"/>
                <w:szCs w:val="24"/>
                <w:highlight w:val="none"/>
                <w:lang w:val="en-US" w:eastAsia="zh-CN"/>
              </w:rPr>
              <w:t>1.5</w:t>
            </w:r>
            <w:r>
              <w:rPr>
                <w:bCs/>
                <w:color w:val="auto"/>
                <w:sz w:val="24"/>
                <w:szCs w:val="24"/>
                <w:highlight w:val="none"/>
              </w:rPr>
              <w:t>千克/吨-</w:t>
            </w:r>
            <w:r>
              <w:rPr>
                <w:rFonts w:hint="eastAsia"/>
                <w:bCs/>
                <w:color w:val="auto"/>
                <w:sz w:val="24"/>
                <w:szCs w:val="24"/>
                <w:highlight w:val="none"/>
                <w:lang w:eastAsia="zh-CN"/>
              </w:rPr>
              <w:t>产品，项目挤出工序用</w:t>
            </w:r>
            <w:r>
              <w:rPr>
                <w:rFonts w:hint="eastAsia"/>
                <w:bCs/>
                <w:color w:val="auto"/>
                <w:sz w:val="24"/>
                <w:szCs w:val="24"/>
                <w:highlight w:val="none"/>
                <w:lang w:val="en-US" w:eastAsia="zh-CN"/>
              </w:rPr>
              <w:t>PP原粒、PP改性料及色母粒1200</w:t>
            </w:r>
            <w:r>
              <w:rPr>
                <w:bCs/>
                <w:color w:val="auto"/>
                <w:sz w:val="24"/>
                <w:szCs w:val="24"/>
                <w:highlight w:val="none"/>
              </w:rPr>
              <w:t>t/a</w:t>
            </w:r>
            <w:r>
              <w:rPr>
                <w:rFonts w:hint="eastAsia"/>
                <w:bCs/>
                <w:color w:val="auto"/>
                <w:sz w:val="24"/>
                <w:szCs w:val="24"/>
                <w:highlight w:val="none"/>
                <w:lang w:eastAsia="zh-CN"/>
              </w:rPr>
              <w:t>，</w:t>
            </w:r>
            <w:r>
              <w:rPr>
                <w:bCs/>
                <w:color w:val="auto"/>
                <w:sz w:val="24"/>
                <w:szCs w:val="24"/>
                <w:highlight w:val="none"/>
              </w:rPr>
              <w:t>则</w:t>
            </w:r>
            <w:r>
              <w:rPr>
                <w:rFonts w:hint="eastAsia"/>
                <w:bCs/>
                <w:color w:val="auto"/>
                <w:sz w:val="24"/>
                <w:szCs w:val="24"/>
                <w:highlight w:val="none"/>
                <w:lang w:eastAsia="zh-CN"/>
              </w:rPr>
              <w:t>挤出废气非甲烷总烃</w:t>
            </w:r>
            <w:r>
              <w:rPr>
                <w:bCs/>
                <w:color w:val="auto"/>
                <w:sz w:val="24"/>
                <w:szCs w:val="24"/>
                <w:highlight w:val="none"/>
              </w:rPr>
              <w:t>产生量为</w:t>
            </w:r>
            <w:r>
              <w:rPr>
                <w:rFonts w:hint="eastAsia"/>
                <w:bCs/>
                <w:color w:val="auto"/>
                <w:sz w:val="24"/>
                <w:szCs w:val="24"/>
                <w:highlight w:val="none"/>
                <w:lang w:val="en-US" w:eastAsia="zh-CN"/>
              </w:rPr>
              <w:t>1.8</w:t>
            </w:r>
            <w:r>
              <w:rPr>
                <w:bCs/>
                <w:color w:val="auto"/>
                <w:sz w:val="24"/>
                <w:szCs w:val="24"/>
                <w:highlight w:val="none"/>
              </w:rPr>
              <w:t>t/a</w:t>
            </w:r>
            <w:r>
              <w:rPr>
                <w:bCs/>
                <w:color w:val="auto"/>
                <w:sz w:val="24"/>
                <w:szCs w:val="24"/>
              </w:rPr>
              <w:t>。</w:t>
            </w:r>
          </w:p>
          <w:p w14:paraId="511949DF">
            <w:pPr>
              <w:adjustRightInd w:val="0"/>
              <w:snapToGrid w:val="0"/>
              <w:spacing w:line="360" w:lineRule="auto"/>
              <w:ind w:firstLine="480" w:firstLineChars="200"/>
              <w:rPr>
                <w:rFonts w:hint="eastAsia"/>
                <w:bCs/>
                <w:color w:val="auto"/>
                <w:sz w:val="24"/>
                <w:szCs w:val="24"/>
                <w:lang w:eastAsia="zh-CN"/>
              </w:rPr>
            </w:pPr>
            <w:r>
              <w:rPr>
                <w:rFonts w:hint="eastAsia"/>
                <w:bCs/>
                <w:color w:val="auto"/>
                <w:sz w:val="24"/>
                <w:szCs w:val="24"/>
                <w:highlight w:val="none"/>
                <w:lang w:eastAsia="zh-CN"/>
              </w:rPr>
              <w:t>注塑废气：参考</w:t>
            </w:r>
            <w:r>
              <w:rPr>
                <w:bCs/>
                <w:color w:val="auto"/>
                <w:sz w:val="24"/>
                <w:szCs w:val="24"/>
                <w:highlight w:val="none"/>
              </w:rPr>
              <w:t>《排放源统计调查产排污核算方法和系数手册》</w:t>
            </w:r>
            <w:r>
              <w:rPr>
                <w:rFonts w:hint="eastAsia"/>
                <w:bCs/>
                <w:color w:val="auto"/>
                <w:sz w:val="24"/>
                <w:szCs w:val="24"/>
                <w:highlight w:val="none"/>
                <w:lang w:val="en-US" w:eastAsia="zh-CN"/>
              </w:rPr>
              <w:t>292</w:t>
            </w:r>
            <w:r>
              <w:rPr>
                <w:rFonts w:hint="eastAsia"/>
                <w:bCs/>
                <w:color w:val="auto"/>
                <w:sz w:val="24"/>
                <w:szCs w:val="24"/>
                <w:highlight w:val="none"/>
                <w:lang w:eastAsia="zh-CN"/>
              </w:rPr>
              <w:t>塑料塑料制品业系数手册</w:t>
            </w:r>
            <w:r>
              <w:rPr>
                <w:bCs/>
                <w:color w:val="auto"/>
                <w:sz w:val="24"/>
                <w:szCs w:val="24"/>
                <w:highlight w:val="none"/>
              </w:rPr>
              <w:t>中</w:t>
            </w:r>
            <w:r>
              <w:rPr>
                <w:rFonts w:hint="eastAsia"/>
                <w:bCs/>
                <w:color w:val="auto"/>
                <w:sz w:val="24"/>
                <w:szCs w:val="24"/>
                <w:highlight w:val="none"/>
                <w:lang w:eastAsia="zh-CN"/>
              </w:rPr>
              <w:t>注塑</w:t>
            </w:r>
            <w:r>
              <w:rPr>
                <w:rFonts w:hint="eastAsia"/>
                <w:bCs/>
                <w:color w:val="auto"/>
                <w:sz w:val="24"/>
                <w:szCs w:val="24"/>
                <w:highlight w:val="none"/>
                <w:lang w:val="en-US" w:eastAsia="zh-CN"/>
              </w:rPr>
              <w:t>工序中挥发性有机物</w:t>
            </w:r>
            <w:r>
              <w:rPr>
                <w:bCs/>
                <w:color w:val="auto"/>
                <w:sz w:val="24"/>
                <w:szCs w:val="24"/>
                <w:highlight w:val="none"/>
              </w:rPr>
              <w:t>产污系数为</w:t>
            </w:r>
            <w:r>
              <w:rPr>
                <w:rFonts w:hint="eastAsia"/>
                <w:bCs/>
                <w:color w:val="auto"/>
                <w:sz w:val="24"/>
                <w:szCs w:val="24"/>
                <w:highlight w:val="none"/>
                <w:lang w:val="en-US" w:eastAsia="zh-CN"/>
              </w:rPr>
              <w:t>2.7</w:t>
            </w:r>
            <w:r>
              <w:rPr>
                <w:bCs/>
                <w:color w:val="auto"/>
                <w:sz w:val="24"/>
                <w:szCs w:val="24"/>
                <w:highlight w:val="none"/>
              </w:rPr>
              <w:t>千克/吨-</w:t>
            </w:r>
            <w:r>
              <w:rPr>
                <w:rFonts w:hint="eastAsia"/>
                <w:bCs/>
                <w:color w:val="auto"/>
                <w:sz w:val="24"/>
                <w:szCs w:val="24"/>
                <w:highlight w:val="none"/>
                <w:lang w:eastAsia="zh-CN"/>
              </w:rPr>
              <w:t>产品，项目注塑工序用</w:t>
            </w:r>
            <w:r>
              <w:rPr>
                <w:rFonts w:hint="eastAsia"/>
                <w:bCs/>
                <w:color w:val="auto"/>
                <w:sz w:val="24"/>
                <w:szCs w:val="24"/>
                <w:highlight w:val="none"/>
                <w:lang w:val="en-US" w:eastAsia="zh-CN"/>
              </w:rPr>
              <w:t>PP原粒、PP改性料及色母粒1200</w:t>
            </w:r>
            <w:r>
              <w:rPr>
                <w:bCs/>
                <w:color w:val="auto"/>
                <w:sz w:val="24"/>
                <w:szCs w:val="24"/>
                <w:highlight w:val="none"/>
              </w:rPr>
              <w:t>t/a</w:t>
            </w:r>
            <w:r>
              <w:rPr>
                <w:rFonts w:hint="eastAsia"/>
                <w:bCs/>
                <w:color w:val="auto"/>
                <w:sz w:val="24"/>
                <w:szCs w:val="24"/>
                <w:highlight w:val="none"/>
                <w:lang w:eastAsia="zh-CN"/>
              </w:rPr>
              <w:t>，</w:t>
            </w:r>
            <w:r>
              <w:rPr>
                <w:bCs/>
                <w:color w:val="auto"/>
                <w:sz w:val="24"/>
                <w:szCs w:val="24"/>
                <w:highlight w:val="none"/>
              </w:rPr>
              <w:t>则</w:t>
            </w:r>
            <w:r>
              <w:rPr>
                <w:rFonts w:hint="eastAsia"/>
                <w:bCs/>
                <w:color w:val="auto"/>
                <w:sz w:val="24"/>
                <w:szCs w:val="24"/>
                <w:highlight w:val="none"/>
                <w:lang w:eastAsia="zh-CN"/>
              </w:rPr>
              <w:t>注塑废气非甲烷总烃</w:t>
            </w:r>
            <w:r>
              <w:rPr>
                <w:bCs/>
                <w:color w:val="auto"/>
                <w:sz w:val="24"/>
                <w:szCs w:val="24"/>
                <w:highlight w:val="none"/>
              </w:rPr>
              <w:t>产生量为</w:t>
            </w:r>
            <w:r>
              <w:rPr>
                <w:rFonts w:hint="eastAsia"/>
                <w:bCs/>
                <w:color w:val="auto"/>
                <w:sz w:val="24"/>
                <w:szCs w:val="24"/>
                <w:highlight w:val="none"/>
                <w:lang w:val="en-US" w:eastAsia="zh-CN"/>
              </w:rPr>
              <w:t>3.24</w:t>
            </w:r>
            <w:r>
              <w:rPr>
                <w:bCs/>
                <w:color w:val="auto"/>
                <w:sz w:val="24"/>
                <w:szCs w:val="24"/>
                <w:highlight w:val="none"/>
              </w:rPr>
              <w:t>t/a</w:t>
            </w:r>
            <w:r>
              <w:rPr>
                <w:bCs/>
                <w:color w:val="auto"/>
                <w:sz w:val="24"/>
                <w:szCs w:val="24"/>
              </w:rPr>
              <w:t>。</w:t>
            </w:r>
          </w:p>
          <w:p w14:paraId="6845908B">
            <w:pPr>
              <w:adjustRightInd w:val="0"/>
              <w:snapToGrid w:val="0"/>
              <w:spacing w:line="360" w:lineRule="auto"/>
              <w:ind w:firstLine="480" w:firstLineChars="200"/>
              <w:rPr>
                <w:rFonts w:hint="default"/>
                <w:bCs/>
                <w:color w:val="auto"/>
                <w:sz w:val="24"/>
                <w:szCs w:val="24"/>
                <w:lang w:val="en-US" w:eastAsia="zh-CN"/>
              </w:rPr>
            </w:pPr>
            <w:r>
              <w:rPr>
                <w:rFonts w:hint="eastAsia"/>
                <w:bCs/>
                <w:color w:val="auto"/>
                <w:sz w:val="24"/>
                <w:szCs w:val="24"/>
                <w:lang w:eastAsia="zh-CN"/>
              </w:rPr>
              <w:t>建设单位拟在挤出机和注塑机上方设置集气罩收集废气，通过“</w:t>
            </w:r>
            <w:r>
              <w:rPr>
                <w:rFonts w:hint="eastAsia"/>
                <w:color w:val="auto"/>
                <w:kern w:val="0"/>
                <w:sz w:val="24"/>
                <w:szCs w:val="24"/>
                <w:highlight w:val="none"/>
                <w:lang w:val="en-US" w:eastAsia="zh-CN"/>
              </w:rPr>
              <w:t>二级活性炭吸附”装置</w:t>
            </w:r>
            <w:r>
              <w:rPr>
                <w:rFonts w:hint="eastAsia"/>
                <w:color w:val="auto"/>
                <w:kern w:val="0"/>
                <w:sz w:val="24"/>
                <w:szCs w:val="24"/>
                <w:lang w:val="en-US" w:eastAsia="zh-CN"/>
              </w:rPr>
              <w:t>处理后通过</w:t>
            </w:r>
            <w:r>
              <w:rPr>
                <w:color w:val="auto"/>
                <w:sz w:val="24"/>
                <w:szCs w:val="24"/>
              </w:rPr>
              <w:t>1根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1</w:t>
            </w:r>
            <w:r>
              <w:rPr>
                <w:color w:val="auto"/>
                <w:sz w:val="24"/>
                <w:szCs w:val="24"/>
              </w:rPr>
              <w:t>）排放</w:t>
            </w:r>
            <w:r>
              <w:rPr>
                <w:rFonts w:hint="eastAsia"/>
                <w:color w:val="auto"/>
                <w:sz w:val="24"/>
                <w:szCs w:val="24"/>
                <w:lang w:eastAsia="zh-CN"/>
              </w:rPr>
              <w:t>，废气收集效率以</w:t>
            </w:r>
            <w:r>
              <w:rPr>
                <w:rFonts w:hint="eastAsia"/>
                <w:color w:val="auto"/>
                <w:sz w:val="24"/>
                <w:szCs w:val="24"/>
                <w:lang w:val="en-US" w:eastAsia="zh-CN"/>
              </w:rPr>
              <w:t>90%计，</w:t>
            </w:r>
            <w:r>
              <w:rPr>
                <w:rFonts w:hint="eastAsia"/>
                <w:color w:val="auto"/>
                <w:sz w:val="24"/>
                <w:szCs w:val="24"/>
                <w:lang w:eastAsia="zh-CN"/>
              </w:rPr>
              <w:t>二级活性炭处理效率为</w:t>
            </w:r>
            <w:r>
              <w:rPr>
                <w:rFonts w:hint="eastAsia"/>
                <w:color w:val="auto"/>
                <w:sz w:val="24"/>
                <w:szCs w:val="24"/>
                <w:lang w:val="en-US" w:eastAsia="zh-CN"/>
              </w:rPr>
              <w:t>90%。风机风量为</w:t>
            </w:r>
            <w:r>
              <w:rPr>
                <w:rFonts w:hint="eastAsia" w:cs="Times New Roman"/>
                <w:color w:val="auto"/>
                <w:w w:val="100"/>
                <w:sz w:val="24"/>
                <w:szCs w:val="24"/>
                <w:highlight w:val="none"/>
                <w:lang w:val="en-US" w:eastAsia="zh-CN"/>
              </w:rPr>
              <w:t>12</w:t>
            </w:r>
            <w:r>
              <w:rPr>
                <w:rFonts w:hint="eastAsia" w:ascii="Times New Roman" w:hAnsi="Times New Roman" w:cs="Times New Roman"/>
                <w:color w:val="auto"/>
                <w:w w:val="100"/>
                <w:sz w:val="24"/>
                <w:szCs w:val="24"/>
                <w:highlight w:val="none"/>
                <w:lang w:val="en-US" w:eastAsia="zh-CN"/>
              </w:rPr>
              <w:t>0</w:t>
            </w:r>
            <w:r>
              <w:rPr>
                <w:rFonts w:hint="default" w:ascii="Times New Roman" w:hAnsi="Times New Roman" w:eastAsia="宋体" w:cs="Times New Roman"/>
                <w:color w:val="auto"/>
                <w:w w:val="100"/>
                <w:sz w:val="24"/>
                <w:szCs w:val="24"/>
                <w:highlight w:val="none"/>
                <w:lang w:val="en-US" w:eastAsia="zh-CN"/>
              </w:rPr>
              <w:t>00</w:t>
            </w:r>
            <w:r>
              <w:rPr>
                <w:rFonts w:hint="default" w:ascii="Times New Roman" w:hAnsi="Times New Roman" w:eastAsia="宋体" w:cs="Times New Roman"/>
                <w:color w:val="auto"/>
                <w:w w:val="100"/>
                <w:sz w:val="24"/>
                <w:szCs w:val="24"/>
                <w:highlight w:val="none"/>
                <w:lang w:val="zh-CN" w:eastAsia="zh-CN"/>
              </w:rPr>
              <w:t>m</w:t>
            </w:r>
            <w:r>
              <w:rPr>
                <w:rFonts w:hint="default" w:ascii="Times New Roman" w:hAnsi="Times New Roman" w:eastAsia="宋体" w:cs="Times New Roman"/>
                <w:color w:val="auto"/>
                <w:w w:val="100"/>
                <w:sz w:val="24"/>
                <w:szCs w:val="24"/>
                <w:highlight w:val="none"/>
                <w:vertAlign w:val="superscript"/>
                <w:lang w:val="zh-CN" w:eastAsia="zh-CN"/>
              </w:rPr>
              <w:t>3</w:t>
            </w:r>
            <w:r>
              <w:rPr>
                <w:rFonts w:hint="default" w:ascii="Times New Roman" w:hAnsi="Times New Roman" w:eastAsia="宋体" w:cs="Times New Roman"/>
                <w:color w:val="auto"/>
                <w:w w:val="100"/>
                <w:sz w:val="24"/>
                <w:szCs w:val="24"/>
                <w:highlight w:val="none"/>
                <w:lang w:val="zh-CN" w:eastAsia="zh-CN"/>
              </w:rPr>
              <w:t>/h</w:t>
            </w:r>
            <w:r>
              <w:rPr>
                <w:rFonts w:hint="eastAsia" w:ascii="Times New Roman" w:hAnsi="Times New Roman" w:eastAsia="宋体" w:cs="Times New Roman"/>
                <w:color w:val="auto"/>
                <w:w w:val="100"/>
                <w:sz w:val="24"/>
                <w:szCs w:val="24"/>
                <w:highlight w:val="none"/>
                <w:lang w:val="zh-CN" w:eastAsia="zh-CN"/>
              </w:rPr>
              <w:t>，年工作</w:t>
            </w:r>
            <w:r>
              <w:rPr>
                <w:rFonts w:hint="eastAsia" w:cs="Times New Roman"/>
                <w:color w:val="auto"/>
                <w:w w:val="100"/>
                <w:sz w:val="24"/>
                <w:szCs w:val="24"/>
                <w:highlight w:val="none"/>
                <w:lang w:val="en-US" w:eastAsia="zh-CN"/>
              </w:rPr>
              <w:t>7200</w:t>
            </w:r>
            <w:r>
              <w:rPr>
                <w:rFonts w:hint="eastAsia" w:ascii="Times New Roman" w:hAnsi="Times New Roman" w:eastAsia="宋体" w:cs="Times New Roman"/>
                <w:color w:val="auto"/>
                <w:w w:val="100"/>
                <w:sz w:val="24"/>
                <w:szCs w:val="24"/>
                <w:highlight w:val="none"/>
                <w:lang w:val="en-US" w:eastAsia="zh-CN"/>
              </w:rPr>
              <w:t>h。</w:t>
            </w:r>
          </w:p>
          <w:p w14:paraId="59AC2C76">
            <w:pPr>
              <w:adjustRightInd w:val="0"/>
              <w:snapToGrid w:val="0"/>
              <w:spacing w:line="360" w:lineRule="auto"/>
              <w:ind w:firstLine="480" w:firstLineChars="200"/>
              <w:rPr>
                <w:rFonts w:hint="default" w:cs="Times New Roman"/>
                <w:color w:val="auto"/>
                <w:sz w:val="24"/>
                <w:szCs w:val="24"/>
                <w:lang w:val="en-US" w:eastAsia="zh-CN"/>
              </w:rPr>
            </w:pPr>
            <w:r>
              <w:rPr>
                <w:rFonts w:hint="eastAsia"/>
                <w:color w:val="auto"/>
                <w:sz w:val="24"/>
                <w:szCs w:val="24"/>
                <w:lang w:val="en-US" w:eastAsia="zh-CN"/>
              </w:rPr>
              <w:t>则挤出、注塑工序非甲烷总烃产生量为5.04</w:t>
            </w:r>
            <w:r>
              <w:rPr>
                <w:bCs/>
                <w:color w:val="auto"/>
                <w:sz w:val="24"/>
                <w:szCs w:val="24"/>
                <w:highlight w:val="none"/>
              </w:rPr>
              <w:t>t/a</w:t>
            </w:r>
            <w:r>
              <w:rPr>
                <w:rFonts w:hint="eastAsia"/>
                <w:bCs/>
                <w:color w:val="auto"/>
                <w:sz w:val="24"/>
                <w:szCs w:val="24"/>
                <w:highlight w:val="none"/>
                <w:lang w:eastAsia="zh-CN"/>
              </w:rPr>
              <w:t>，</w:t>
            </w:r>
            <w:r>
              <w:rPr>
                <w:rFonts w:hint="default" w:ascii="Times New Roman" w:hAnsi="Times New Roman" w:eastAsia="宋体" w:cs="Times New Roman"/>
                <w:color w:val="auto"/>
                <w:spacing w:val="-3"/>
                <w:sz w:val="24"/>
                <w:lang w:eastAsia="zh-CN"/>
              </w:rPr>
              <w:t>有组织排放量为</w:t>
            </w:r>
            <w:r>
              <w:rPr>
                <w:rFonts w:hint="eastAsia" w:ascii="Times New Roman" w:hAnsi="Times New Roman" w:eastAsia="宋体" w:cs="Times New Roman"/>
                <w:color w:val="auto"/>
                <w:spacing w:val="-3"/>
                <w:sz w:val="24"/>
                <w:lang w:val="en-US" w:eastAsia="zh-CN"/>
              </w:rPr>
              <w:t>0.4536</w:t>
            </w:r>
            <w:r>
              <w:rPr>
                <w:rFonts w:hint="default" w:ascii="Times New Roman" w:hAnsi="Times New Roman" w:eastAsia="宋体" w:cs="Times New Roman"/>
                <w:color w:val="auto"/>
                <w:spacing w:val="-3"/>
                <w:sz w:val="24"/>
                <w:lang w:val="en-US" w:eastAsia="zh-CN"/>
              </w:rPr>
              <w:t>t</w:t>
            </w:r>
            <w:r>
              <w:rPr>
                <w:rFonts w:hint="default" w:ascii="Times New Roman" w:hAnsi="Times New Roman" w:eastAsia="宋体" w:cs="Times New Roman"/>
                <w:color w:val="auto"/>
                <w:spacing w:val="-3"/>
                <w:sz w:val="24"/>
              </w:rPr>
              <w:t>/a</w:t>
            </w:r>
            <w:r>
              <w:rPr>
                <w:rFonts w:hint="default" w:ascii="Times New Roman" w:hAnsi="Times New Roman" w:eastAsia="宋体" w:cs="Times New Roman"/>
                <w:color w:val="auto"/>
                <w:spacing w:val="-3"/>
                <w:sz w:val="24"/>
                <w:lang w:eastAsia="zh-CN"/>
              </w:rPr>
              <w:t>（</w:t>
            </w:r>
            <w:r>
              <w:rPr>
                <w:rFonts w:hint="default" w:ascii="Times New Roman" w:hAnsi="Times New Roman" w:eastAsia="宋体" w:cs="Times New Roman"/>
                <w:color w:val="auto"/>
                <w:spacing w:val="-3"/>
                <w:sz w:val="24"/>
                <w:lang w:val="en-US" w:eastAsia="zh-CN"/>
              </w:rPr>
              <w:t>0.0</w:t>
            </w:r>
            <w:r>
              <w:rPr>
                <w:rFonts w:hint="eastAsia" w:ascii="Times New Roman" w:hAnsi="Times New Roman" w:eastAsia="宋体" w:cs="Times New Roman"/>
                <w:color w:val="auto"/>
                <w:spacing w:val="-3"/>
                <w:sz w:val="24"/>
                <w:lang w:val="en-US" w:eastAsia="zh-CN"/>
              </w:rPr>
              <w:t>63</w:t>
            </w:r>
            <w:r>
              <w:rPr>
                <w:rFonts w:hint="default" w:ascii="Times New Roman" w:hAnsi="Times New Roman" w:eastAsia="宋体" w:cs="Times New Roman"/>
                <w:color w:val="auto"/>
                <w:spacing w:val="-3"/>
                <w:sz w:val="24"/>
                <w:lang w:val="en-US" w:eastAsia="zh-CN"/>
              </w:rPr>
              <w:t>kg/h），</w:t>
            </w:r>
            <w:r>
              <w:rPr>
                <w:rFonts w:hint="default" w:ascii="Times New Roman" w:hAnsi="Times New Roman" w:eastAsia="宋体" w:cs="Times New Roman"/>
                <w:color w:val="auto"/>
                <w:spacing w:val="-3"/>
                <w:sz w:val="24"/>
                <w:lang w:eastAsia="zh-CN"/>
              </w:rPr>
              <w:t>无组织排放量为</w:t>
            </w:r>
            <w:r>
              <w:rPr>
                <w:rFonts w:hint="default" w:ascii="Times New Roman" w:hAnsi="Times New Roman" w:eastAsia="宋体" w:cs="Times New Roman"/>
                <w:color w:val="auto"/>
                <w:spacing w:val="-3"/>
                <w:sz w:val="24"/>
                <w:lang w:val="en-US" w:eastAsia="zh-CN"/>
              </w:rPr>
              <w:t>0.</w:t>
            </w:r>
            <w:r>
              <w:rPr>
                <w:rFonts w:hint="eastAsia" w:ascii="Times New Roman" w:hAnsi="Times New Roman" w:eastAsia="宋体" w:cs="Times New Roman"/>
                <w:color w:val="auto"/>
                <w:spacing w:val="-3"/>
                <w:sz w:val="24"/>
                <w:lang w:val="en-US" w:eastAsia="zh-CN"/>
              </w:rPr>
              <w:t>504</w:t>
            </w:r>
            <w:r>
              <w:rPr>
                <w:rFonts w:hint="default" w:ascii="Times New Roman" w:hAnsi="Times New Roman" w:eastAsia="宋体" w:cs="Times New Roman"/>
                <w:color w:val="auto"/>
                <w:spacing w:val="-3"/>
                <w:sz w:val="24"/>
                <w:lang w:val="en-US" w:eastAsia="zh-CN"/>
              </w:rPr>
              <w:t>t</w:t>
            </w:r>
            <w:r>
              <w:rPr>
                <w:rFonts w:hint="default" w:ascii="Times New Roman" w:hAnsi="Times New Roman" w:eastAsia="宋体" w:cs="Times New Roman"/>
                <w:color w:val="auto"/>
                <w:spacing w:val="-3"/>
                <w:sz w:val="24"/>
              </w:rPr>
              <w:t>/a</w:t>
            </w:r>
            <w:r>
              <w:rPr>
                <w:rFonts w:hint="default" w:ascii="Times New Roman" w:hAnsi="Times New Roman" w:eastAsia="宋体" w:cs="Times New Roman"/>
                <w:color w:val="auto"/>
                <w:spacing w:val="-3"/>
                <w:sz w:val="24"/>
                <w:lang w:eastAsia="zh-CN"/>
              </w:rPr>
              <w:t>（</w:t>
            </w:r>
            <w:r>
              <w:rPr>
                <w:rFonts w:hint="default" w:ascii="Times New Roman" w:hAnsi="Times New Roman" w:eastAsia="宋体" w:cs="Times New Roman"/>
                <w:color w:val="auto"/>
                <w:spacing w:val="-3"/>
                <w:sz w:val="24"/>
                <w:lang w:val="en-US" w:eastAsia="zh-CN"/>
              </w:rPr>
              <w:t>0.0</w:t>
            </w:r>
            <w:r>
              <w:rPr>
                <w:rFonts w:hint="eastAsia" w:ascii="Times New Roman" w:hAnsi="Times New Roman" w:eastAsia="宋体" w:cs="Times New Roman"/>
                <w:color w:val="auto"/>
                <w:spacing w:val="-3"/>
                <w:sz w:val="24"/>
                <w:lang w:val="en-US" w:eastAsia="zh-CN"/>
              </w:rPr>
              <w:t>7</w:t>
            </w:r>
            <w:r>
              <w:rPr>
                <w:rFonts w:hint="default" w:ascii="Times New Roman" w:hAnsi="Times New Roman" w:eastAsia="宋体" w:cs="Times New Roman"/>
                <w:color w:val="auto"/>
                <w:spacing w:val="-3"/>
                <w:sz w:val="24"/>
                <w:lang w:val="en-US" w:eastAsia="zh-CN"/>
              </w:rPr>
              <w:t>kg/h）</w:t>
            </w:r>
            <w:r>
              <w:rPr>
                <w:rFonts w:hint="eastAsia"/>
                <w:color w:val="auto"/>
                <w:kern w:val="0"/>
                <w:sz w:val="24"/>
                <w:szCs w:val="24"/>
                <w:lang w:val="en-US" w:eastAsia="zh-CN"/>
              </w:rPr>
              <w:t>。</w:t>
            </w:r>
          </w:p>
          <w:p w14:paraId="5CF195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highlight w:val="none"/>
                <w:lang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2</w:t>
            </w:r>
            <w:r>
              <w:rPr>
                <w:rFonts w:hint="eastAsia" w:cs="Times New Roman"/>
                <w:b/>
                <w:bCs/>
                <w:color w:val="auto"/>
                <w:sz w:val="24"/>
                <w:szCs w:val="24"/>
                <w:lang w:eastAsia="zh-CN"/>
              </w:rPr>
              <w:t>）焊接废气</w:t>
            </w:r>
          </w:p>
          <w:p w14:paraId="5EBD77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szCs w:val="24"/>
                <w:highlight w:val="none"/>
                <w:lang w:val="en-US" w:eastAsia="zh-CN"/>
              </w:rPr>
            </w:pPr>
            <w:r>
              <w:rPr>
                <w:rFonts w:hint="eastAsia"/>
                <w:b w:val="0"/>
                <w:bCs/>
                <w:color w:val="auto"/>
                <w:sz w:val="24"/>
                <w:szCs w:val="24"/>
                <w:lang w:val="en-US" w:eastAsia="zh-CN"/>
              </w:rPr>
              <w:t>项目采用接板机对两块板材连接处进行热熔焊接（加热温度160</w:t>
            </w:r>
            <w:r>
              <w:rPr>
                <w:rFonts w:hint="eastAsia"/>
                <w:color w:val="auto"/>
                <w:sz w:val="24"/>
                <w:szCs w:val="24"/>
                <w:lang w:val="en-US" w:eastAsia="zh-CN"/>
              </w:rPr>
              <w:t>℃</w:t>
            </w:r>
            <w:r>
              <w:rPr>
                <w:rFonts w:hint="eastAsia"/>
                <w:b w:val="0"/>
                <w:bCs/>
                <w:color w:val="auto"/>
                <w:sz w:val="24"/>
                <w:szCs w:val="24"/>
                <w:lang w:val="en-US" w:eastAsia="zh-CN"/>
              </w:rPr>
              <w:t>），机理与注塑机理一致，但焊接过程不涉及熔融塑化，焊接废气</w:t>
            </w:r>
            <w:r>
              <w:rPr>
                <w:rFonts w:hint="eastAsia" w:ascii="Times New Roman" w:hAnsi="Times New Roman" w:eastAsia="宋体" w:cs="Times New Roman"/>
                <w:color w:val="auto"/>
                <w:sz w:val="24"/>
                <w:szCs w:val="24"/>
                <w:lang w:val="en-US" w:eastAsia="zh-CN"/>
              </w:rPr>
              <w:t>废气（以非甲烷总烃计）</w:t>
            </w:r>
            <w:r>
              <w:rPr>
                <w:rFonts w:hint="eastAsia" w:cs="Times New Roman"/>
                <w:color w:val="auto"/>
                <w:sz w:val="24"/>
                <w:szCs w:val="24"/>
                <w:lang w:val="en-US" w:eastAsia="zh-CN"/>
              </w:rPr>
              <w:t>产污系数按注塑的20%计</w:t>
            </w:r>
            <w:r>
              <w:rPr>
                <w:rFonts w:hint="eastAsia" w:ascii="Times New Roman" w:hAnsi="Times New Roman" w:eastAsia="宋体" w:cs="Times New Roman"/>
                <w:color w:val="auto"/>
                <w:sz w:val="24"/>
                <w:szCs w:val="24"/>
                <w:lang w:val="en-US" w:eastAsia="zh-CN"/>
              </w:rPr>
              <w:t>。根据建设单位提供资料，</w:t>
            </w:r>
            <w:r>
              <w:rPr>
                <w:rFonts w:hint="eastAsia"/>
                <w:bCs/>
                <w:color w:val="auto"/>
                <w:sz w:val="24"/>
                <w:highlight w:val="none"/>
                <w:lang w:eastAsia="zh-CN"/>
              </w:rPr>
              <w:t>焊接部位比重占整体用量的</w:t>
            </w:r>
            <w:r>
              <w:rPr>
                <w:rFonts w:hint="eastAsia"/>
                <w:bCs/>
                <w:color w:val="auto"/>
                <w:sz w:val="24"/>
                <w:highlight w:val="none"/>
                <w:lang w:val="en-US" w:eastAsia="zh-CN"/>
              </w:rPr>
              <w:t>1%，</w:t>
            </w:r>
            <w:r>
              <w:rPr>
                <w:rFonts w:hint="eastAsia"/>
                <w:bCs/>
                <w:color w:val="auto"/>
                <w:sz w:val="24"/>
                <w:szCs w:val="24"/>
                <w:highlight w:val="none"/>
                <w:lang w:eastAsia="zh-CN"/>
              </w:rPr>
              <w:t>项目共用</w:t>
            </w:r>
            <w:r>
              <w:rPr>
                <w:rFonts w:hint="eastAsia"/>
                <w:bCs/>
                <w:color w:val="auto"/>
                <w:sz w:val="24"/>
                <w:szCs w:val="24"/>
                <w:highlight w:val="none"/>
                <w:lang w:val="en-US" w:eastAsia="zh-CN"/>
              </w:rPr>
              <w:t>PP原粒、PP改性料及色母粒2400</w:t>
            </w:r>
            <w:r>
              <w:rPr>
                <w:bCs/>
                <w:color w:val="auto"/>
                <w:sz w:val="24"/>
                <w:szCs w:val="24"/>
                <w:highlight w:val="none"/>
              </w:rPr>
              <w:t>t/a</w:t>
            </w:r>
            <w:r>
              <w:rPr>
                <w:rFonts w:hint="eastAsia"/>
                <w:bCs/>
                <w:color w:val="auto"/>
                <w:sz w:val="24"/>
                <w:szCs w:val="24"/>
                <w:highlight w:val="none"/>
                <w:lang w:eastAsia="zh-CN"/>
              </w:rPr>
              <w:t>，则焊接原料用量</w:t>
            </w:r>
            <w:r>
              <w:rPr>
                <w:rFonts w:hint="eastAsia"/>
                <w:bCs/>
                <w:color w:val="auto"/>
                <w:sz w:val="24"/>
                <w:szCs w:val="24"/>
                <w:highlight w:val="none"/>
                <w:lang w:val="en-US" w:eastAsia="zh-CN"/>
              </w:rPr>
              <w:t>24</w:t>
            </w:r>
            <w:r>
              <w:rPr>
                <w:bCs/>
                <w:color w:val="auto"/>
                <w:sz w:val="24"/>
                <w:szCs w:val="24"/>
                <w:highlight w:val="none"/>
              </w:rPr>
              <w:t>t/a</w:t>
            </w:r>
            <w:r>
              <w:rPr>
                <w:rFonts w:hint="eastAsia"/>
                <w:bCs/>
                <w:color w:val="auto"/>
                <w:sz w:val="24"/>
                <w:szCs w:val="24"/>
                <w:highlight w:val="none"/>
                <w:lang w:eastAsia="zh-CN"/>
              </w:rPr>
              <w:t>。非甲烷总烃产污系数可参照</w:t>
            </w:r>
            <w:r>
              <w:rPr>
                <w:bCs/>
                <w:color w:val="auto"/>
                <w:sz w:val="24"/>
                <w:szCs w:val="24"/>
                <w:highlight w:val="none"/>
              </w:rPr>
              <w:t>《排放源统计调查产排污核算方法和系数手册》</w:t>
            </w:r>
            <w:r>
              <w:rPr>
                <w:color w:val="auto"/>
                <w:spacing w:val="-6"/>
                <w:sz w:val="24"/>
                <w:szCs w:val="24"/>
              </w:rPr>
              <w:t>中</w:t>
            </w:r>
            <w:r>
              <w:rPr>
                <w:rFonts w:hint="eastAsia"/>
                <w:bCs/>
                <w:color w:val="auto"/>
                <w:sz w:val="24"/>
                <w:szCs w:val="24"/>
                <w:highlight w:val="none"/>
                <w:lang w:val="en-US" w:eastAsia="zh-CN"/>
              </w:rPr>
              <w:t>292</w:t>
            </w:r>
            <w:r>
              <w:rPr>
                <w:rFonts w:hint="eastAsia"/>
                <w:bCs/>
                <w:color w:val="auto"/>
                <w:sz w:val="24"/>
                <w:szCs w:val="24"/>
                <w:highlight w:val="none"/>
                <w:lang w:eastAsia="zh-CN"/>
              </w:rPr>
              <w:t>塑料塑料制品业系数手册</w:t>
            </w:r>
            <w:r>
              <w:rPr>
                <w:bCs/>
                <w:color w:val="auto"/>
                <w:sz w:val="24"/>
                <w:szCs w:val="24"/>
                <w:highlight w:val="none"/>
              </w:rPr>
              <w:t>中</w:t>
            </w:r>
            <w:r>
              <w:rPr>
                <w:rFonts w:hint="eastAsia"/>
                <w:bCs/>
                <w:color w:val="auto"/>
                <w:sz w:val="24"/>
                <w:szCs w:val="24"/>
                <w:highlight w:val="none"/>
                <w:lang w:eastAsia="zh-CN"/>
              </w:rPr>
              <w:t>注塑</w:t>
            </w:r>
            <w:r>
              <w:rPr>
                <w:rFonts w:hint="eastAsia"/>
                <w:bCs/>
                <w:color w:val="auto"/>
                <w:sz w:val="24"/>
                <w:szCs w:val="24"/>
                <w:highlight w:val="none"/>
                <w:lang w:val="en-US" w:eastAsia="zh-CN"/>
              </w:rPr>
              <w:t>工序中挥发性有机物</w:t>
            </w:r>
            <w:r>
              <w:rPr>
                <w:bCs/>
                <w:color w:val="auto"/>
                <w:sz w:val="24"/>
                <w:szCs w:val="24"/>
                <w:highlight w:val="none"/>
              </w:rPr>
              <w:t>产污系数为</w:t>
            </w:r>
            <w:r>
              <w:rPr>
                <w:rFonts w:hint="eastAsia"/>
                <w:bCs/>
                <w:color w:val="auto"/>
                <w:sz w:val="24"/>
                <w:szCs w:val="24"/>
                <w:highlight w:val="none"/>
                <w:lang w:val="en-US" w:eastAsia="zh-CN"/>
              </w:rPr>
              <w:t>2.7</w:t>
            </w:r>
            <w:r>
              <w:rPr>
                <w:bCs/>
                <w:color w:val="auto"/>
                <w:sz w:val="24"/>
                <w:szCs w:val="24"/>
                <w:highlight w:val="none"/>
              </w:rPr>
              <w:t>千克/吨-</w:t>
            </w:r>
            <w:r>
              <w:rPr>
                <w:rFonts w:hint="eastAsia"/>
                <w:bCs/>
                <w:color w:val="auto"/>
                <w:sz w:val="24"/>
                <w:szCs w:val="24"/>
                <w:highlight w:val="none"/>
                <w:lang w:eastAsia="zh-CN"/>
              </w:rPr>
              <w:t>产品，</w:t>
            </w:r>
            <w:r>
              <w:rPr>
                <w:bCs/>
                <w:color w:val="auto"/>
                <w:sz w:val="24"/>
                <w:szCs w:val="24"/>
                <w:highlight w:val="none"/>
              </w:rPr>
              <w:t>则</w:t>
            </w:r>
            <w:r>
              <w:rPr>
                <w:rFonts w:hint="eastAsia"/>
                <w:bCs/>
                <w:color w:val="auto"/>
                <w:sz w:val="24"/>
                <w:szCs w:val="24"/>
                <w:highlight w:val="none"/>
                <w:lang w:eastAsia="zh-CN"/>
              </w:rPr>
              <w:t>非甲烷总烃</w:t>
            </w:r>
            <w:r>
              <w:rPr>
                <w:bCs/>
                <w:color w:val="auto"/>
                <w:sz w:val="24"/>
                <w:szCs w:val="24"/>
                <w:highlight w:val="none"/>
              </w:rPr>
              <w:t>产生量为</w:t>
            </w:r>
            <w:r>
              <w:rPr>
                <w:rFonts w:hint="eastAsia"/>
                <w:bCs/>
                <w:color w:val="auto"/>
                <w:sz w:val="24"/>
                <w:szCs w:val="24"/>
                <w:highlight w:val="none"/>
                <w:lang w:val="en-US" w:eastAsia="zh-CN"/>
              </w:rPr>
              <w:t>0.013</w:t>
            </w:r>
            <w:r>
              <w:rPr>
                <w:bCs/>
                <w:color w:val="auto"/>
                <w:sz w:val="24"/>
                <w:szCs w:val="24"/>
                <w:highlight w:val="none"/>
              </w:rPr>
              <w:t>t/a</w:t>
            </w:r>
            <w:r>
              <w:rPr>
                <w:bCs/>
                <w:color w:val="auto"/>
                <w:sz w:val="24"/>
                <w:szCs w:val="24"/>
              </w:rPr>
              <w:t>。</w:t>
            </w:r>
            <w:r>
              <w:rPr>
                <w:rFonts w:hint="eastAsia"/>
                <w:bCs/>
                <w:color w:val="auto"/>
                <w:sz w:val="24"/>
                <w:lang w:eastAsia="zh-CN"/>
              </w:rPr>
              <w:t>由于焊接废气非甲烷总烃产生量较小，因此本环评仅对焊接废气源强进行核算，焊接过程中产生的非甲烷总烃无组织排放，排放量为</w:t>
            </w:r>
            <w:r>
              <w:rPr>
                <w:rFonts w:hint="eastAsia"/>
                <w:bCs/>
                <w:color w:val="auto"/>
                <w:sz w:val="24"/>
                <w:szCs w:val="24"/>
                <w:highlight w:val="none"/>
                <w:lang w:val="en-US" w:eastAsia="zh-CN"/>
              </w:rPr>
              <w:t>0.013</w:t>
            </w:r>
            <w:r>
              <w:rPr>
                <w:bCs/>
                <w:color w:val="auto"/>
                <w:sz w:val="24"/>
                <w:szCs w:val="24"/>
                <w:highlight w:val="none"/>
              </w:rPr>
              <w:t>t/a</w:t>
            </w:r>
            <w:r>
              <w:rPr>
                <w:bCs/>
                <w:color w:val="auto"/>
                <w:sz w:val="24"/>
                <w:szCs w:val="24"/>
              </w:rPr>
              <w:t>。</w:t>
            </w:r>
          </w:p>
          <w:p w14:paraId="28BC15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highlight w:val="none"/>
                <w:lang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3</w:t>
            </w:r>
            <w:r>
              <w:rPr>
                <w:rFonts w:hint="eastAsia" w:cs="Times New Roman"/>
                <w:b/>
                <w:bCs/>
                <w:color w:val="auto"/>
                <w:sz w:val="24"/>
                <w:szCs w:val="24"/>
                <w:lang w:eastAsia="zh-CN"/>
              </w:rPr>
              <w:t>）破碎粉尘</w:t>
            </w:r>
          </w:p>
          <w:p w14:paraId="469A0FD0">
            <w:pPr>
              <w:spacing w:line="360" w:lineRule="auto"/>
              <w:ind w:firstLine="480" w:firstLineChars="200"/>
              <w:rPr>
                <w:rFonts w:hint="default"/>
                <w:b/>
                <w:bCs/>
                <w:color w:val="auto"/>
                <w:spacing w:val="-2"/>
                <w:sz w:val="24"/>
                <w:lang w:val="en-US" w:eastAsia="zh-CN"/>
              </w:rPr>
            </w:pPr>
            <w:r>
              <w:rPr>
                <w:rFonts w:hint="eastAsia" w:cs="Times New Roman"/>
                <w:color w:val="auto"/>
                <w:sz w:val="24"/>
                <w:szCs w:val="24"/>
                <w:lang w:val="en-US" w:eastAsia="zh-CN"/>
              </w:rPr>
              <w:t>本项目在生产过程中，产生的边角料及不良品需破碎后回用，根据建设单位提供的数据，项目年破碎量为原料的5</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，则破碎量为</w:t>
            </w:r>
            <w:r>
              <w:rPr>
                <w:rFonts w:hint="eastAsia" w:cs="Times New Roman"/>
                <w:color w:val="auto"/>
                <w:kern w:val="0"/>
                <w:sz w:val="24"/>
                <w:szCs w:val="24"/>
                <w:lang w:val="en-US" w:eastAsia="zh-CN" w:bidi="ar"/>
              </w:rPr>
              <w:t>120</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。边角料及不良品破碎粒径较大，故破碎过程中产生的粉尘量较小，</w:t>
            </w:r>
            <w:r>
              <w:rPr>
                <w:rFonts w:hint="eastAsia" w:cs="Times New Roman"/>
                <w:color w:val="auto"/>
                <w:sz w:val="24"/>
                <w:szCs w:val="24"/>
              </w:rPr>
              <w:t>根据</w:t>
            </w:r>
            <w:r>
              <w:rPr>
                <w:bCs/>
                <w:color w:val="auto"/>
                <w:sz w:val="24"/>
                <w:szCs w:val="24"/>
                <w:highlight w:val="none"/>
              </w:rPr>
              <w:t>《排放源统计调查产排污核算方法和系数手册》</w:t>
            </w:r>
            <w:r>
              <w:rPr>
                <w:color w:val="auto"/>
                <w:spacing w:val="-6"/>
                <w:sz w:val="24"/>
                <w:szCs w:val="24"/>
              </w:rPr>
              <w:t>中</w:t>
            </w:r>
            <w:r>
              <w:rPr>
                <w:rFonts w:hint="eastAsia" w:eastAsia="宋体" w:cs="Times New Roman"/>
                <w:color w:val="auto"/>
                <w:sz w:val="24"/>
                <w:szCs w:val="24"/>
                <w:lang w:val="en-US" w:eastAsia="zh-CN"/>
              </w:rPr>
              <w:t>42</w:t>
            </w:r>
            <w:r>
              <w:rPr>
                <w:rFonts w:hint="eastAsia" w:ascii="宋体" w:hAnsi="宋体" w:eastAsia="宋体" w:cs="宋体"/>
                <w:b w:val="0"/>
                <w:bCs w:val="0"/>
                <w:i w:val="0"/>
                <w:iCs w:val="0"/>
                <w:caps w:val="0"/>
                <w:color w:val="auto"/>
                <w:spacing w:val="0"/>
                <w:sz w:val="24"/>
                <w:szCs w:val="24"/>
                <w:shd w:val="clear" w:fill="FFFFFF"/>
              </w:rPr>
              <w:t>废弃资源综合利用行业系数手册</w:t>
            </w:r>
            <w:r>
              <w:rPr>
                <w:rFonts w:hint="eastAsia" w:eastAsia="宋体" w:cs="Times New Roman"/>
                <w:color w:val="auto"/>
                <w:sz w:val="24"/>
                <w:szCs w:val="24"/>
                <w:lang w:eastAsia="zh-CN"/>
              </w:rPr>
              <w:t>中</w:t>
            </w:r>
            <w:r>
              <w:rPr>
                <w:rFonts w:hint="eastAsia" w:cs="Times New Roman"/>
                <w:color w:val="auto"/>
                <w:sz w:val="24"/>
                <w:szCs w:val="24"/>
                <w:lang w:eastAsia="zh-CN"/>
              </w:rPr>
              <w:t>废</w:t>
            </w:r>
            <w:r>
              <w:rPr>
                <w:rFonts w:hint="eastAsia" w:cs="Times New Roman"/>
                <w:color w:val="auto"/>
                <w:sz w:val="24"/>
                <w:szCs w:val="24"/>
                <w:lang w:val="en-US" w:eastAsia="zh-CN"/>
              </w:rPr>
              <w:t>PE/PP塑料干法破碎工艺中</w:t>
            </w:r>
            <w:r>
              <w:rPr>
                <w:rFonts w:hint="eastAsia" w:cs="Times New Roman"/>
                <w:color w:val="auto"/>
                <w:sz w:val="24"/>
                <w:szCs w:val="24"/>
                <w:lang w:eastAsia="zh-CN"/>
              </w:rPr>
              <w:t>颗粒物产污系数</w:t>
            </w:r>
            <w:r>
              <w:rPr>
                <w:rFonts w:hint="eastAsia" w:cs="Times New Roman"/>
                <w:color w:val="auto"/>
                <w:sz w:val="24"/>
                <w:szCs w:val="24"/>
                <w:lang w:val="en-US" w:eastAsia="zh-CN"/>
              </w:rPr>
              <w:t>为375g/t原料，</w:t>
            </w:r>
            <w:r>
              <w:rPr>
                <w:rFonts w:hint="eastAsia" w:cs="Times New Roman"/>
                <w:color w:val="auto"/>
                <w:kern w:val="0"/>
                <w:sz w:val="24"/>
                <w:szCs w:val="24"/>
                <w:lang w:val="en-US" w:eastAsia="zh-CN" w:bidi="ar"/>
              </w:rPr>
              <w:t>则破碎粉尘产生量为0.045</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cs="Times New Roman"/>
                <w:color w:val="auto"/>
                <w:kern w:val="0"/>
                <w:sz w:val="24"/>
                <w:szCs w:val="24"/>
                <w:lang w:val="en-US" w:eastAsia="zh-CN" w:bidi="ar"/>
              </w:rPr>
              <w:t>。该工段为间断性运行，年运行时间按600h计。破碎机进料口及出料口均设置防尘帘，可遮挡80%的破碎粉尘，少部分通过无组织排放，则破碎粉尘无组织排放量为0.009</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p>
          <w:p w14:paraId="15785BFD">
            <w:pPr>
              <w:spacing w:line="360" w:lineRule="auto"/>
              <w:ind w:firstLine="474" w:firstLineChars="200"/>
              <w:rPr>
                <w:color w:val="auto"/>
                <w:kern w:val="0"/>
                <w:sz w:val="24"/>
              </w:rPr>
            </w:pPr>
            <w:r>
              <w:rPr>
                <w:rFonts w:hint="eastAsia"/>
                <w:b/>
                <w:bCs/>
                <w:color w:val="auto"/>
                <w:spacing w:val="-2"/>
                <w:sz w:val="24"/>
                <w:lang w:val="en-US" w:eastAsia="zh-CN"/>
              </w:rPr>
              <w:t>风量计算：</w:t>
            </w:r>
            <w:r>
              <w:rPr>
                <w:rFonts w:hint="eastAsia"/>
                <w:color w:val="auto"/>
                <w:kern w:val="0"/>
                <w:sz w:val="24"/>
              </w:rPr>
              <w:t>单个集气罩</w:t>
            </w:r>
            <w:r>
              <w:rPr>
                <w:color w:val="auto"/>
                <w:kern w:val="0"/>
                <w:sz w:val="24"/>
              </w:rPr>
              <w:t>集气风量计算公式：Q=</w:t>
            </w:r>
            <w:r>
              <w:rPr>
                <w:rFonts w:hint="eastAsia"/>
                <w:color w:val="auto"/>
                <w:kern w:val="0"/>
                <w:sz w:val="24"/>
              </w:rPr>
              <w:t>K</w:t>
            </w:r>
            <w:r>
              <w:rPr>
                <w:color w:val="auto"/>
                <w:kern w:val="0"/>
                <w:sz w:val="24"/>
              </w:rPr>
              <w:t>（a</w:t>
            </w:r>
            <w:r>
              <w:rPr>
                <w:rFonts w:hint="eastAsia"/>
                <w:color w:val="auto"/>
                <w:kern w:val="0"/>
                <w:sz w:val="24"/>
              </w:rPr>
              <w:t>+</w:t>
            </w:r>
            <w:r>
              <w:rPr>
                <w:color w:val="auto"/>
                <w:kern w:val="0"/>
                <w:sz w:val="24"/>
              </w:rPr>
              <w:t>b）×</w:t>
            </w:r>
            <w:r>
              <w:rPr>
                <w:rFonts w:hint="eastAsia"/>
                <w:color w:val="auto"/>
                <w:kern w:val="0"/>
                <w:sz w:val="24"/>
              </w:rPr>
              <w:t>h</w:t>
            </w:r>
            <w:r>
              <w:rPr>
                <w:color w:val="auto"/>
                <w:kern w:val="0"/>
                <w:sz w:val="24"/>
              </w:rPr>
              <w:t>×V</w:t>
            </w:r>
            <w:r>
              <w:rPr>
                <w:color w:val="auto"/>
                <w:kern w:val="0"/>
                <w:sz w:val="24"/>
                <w:vertAlign w:val="subscript"/>
              </w:rPr>
              <w:t>0</w:t>
            </w:r>
            <w:r>
              <w:rPr>
                <w:color w:val="auto"/>
                <w:kern w:val="0"/>
                <w:sz w:val="24"/>
              </w:rPr>
              <w:t>×3600</w:t>
            </w:r>
          </w:p>
          <w:p w14:paraId="76BE60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rPr>
            </w:pPr>
            <w:r>
              <w:rPr>
                <w:color w:val="auto"/>
                <w:kern w:val="0"/>
                <w:sz w:val="24"/>
              </w:rPr>
              <w:t>式中：</w:t>
            </w:r>
            <w:r>
              <w:rPr>
                <w:color w:val="auto"/>
                <w:sz w:val="24"/>
                <w:szCs w:val="28"/>
              </w:rPr>
              <w:t>Q</w:t>
            </w:r>
            <w:r>
              <w:rPr>
                <w:rFonts w:hint="eastAsia"/>
                <w:color w:val="auto"/>
                <w:sz w:val="24"/>
                <w:szCs w:val="28"/>
              </w:rPr>
              <w:t>：为集气罩集气风量</w:t>
            </w:r>
            <w:r>
              <w:rPr>
                <w:rFonts w:hint="eastAsia"/>
                <w:color w:val="auto"/>
                <w:sz w:val="24"/>
                <w:szCs w:val="28"/>
                <w:lang w:eastAsia="zh-CN"/>
              </w:rPr>
              <w:t>，</w:t>
            </w:r>
            <w:r>
              <w:rPr>
                <w:rFonts w:hint="eastAsia"/>
                <w:color w:val="auto"/>
                <w:sz w:val="24"/>
                <w:szCs w:val="28"/>
              </w:rPr>
              <w:t>单位为</w:t>
            </w:r>
            <w:r>
              <w:rPr>
                <w:rFonts w:hint="eastAsia"/>
                <w:color w:val="auto"/>
                <w:sz w:val="24"/>
                <w:szCs w:val="28"/>
                <w:lang w:eastAsia="zh-CN"/>
              </w:rPr>
              <w:t>m</w:t>
            </w:r>
            <w:r>
              <w:rPr>
                <w:rFonts w:hint="eastAsia"/>
                <w:color w:val="auto"/>
                <w:sz w:val="24"/>
                <w:szCs w:val="28"/>
                <w:vertAlign w:val="superscript"/>
                <w:lang w:eastAsia="zh-CN"/>
              </w:rPr>
              <w:t>3</w:t>
            </w:r>
            <w:r>
              <w:rPr>
                <w:color w:val="auto"/>
                <w:sz w:val="24"/>
                <w:szCs w:val="28"/>
              </w:rPr>
              <w:t>/h</w:t>
            </w:r>
            <w:r>
              <w:rPr>
                <w:rFonts w:hint="eastAsia"/>
                <w:color w:val="auto"/>
                <w:sz w:val="24"/>
                <w:szCs w:val="28"/>
              </w:rPr>
              <w:t>；</w:t>
            </w:r>
          </w:p>
          <w:p w14:paraId="0CB216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rPr>
            </w:pPr>
            <w:r>
              <w:rPr>
                <w:color w:val="auto"/>
                <w:sz w:val="24"/>
                <w:szCs w:val="28"/>
              </w:rPr>
              <w:t>K</w:t>
            </w:r>
            <w:r>
              <w:rPr>
                <w:rFonts w:hint="eastAsia"/>
                <w:color w:val="auto"/>
                <w:sz w:val="24"/>
                <w:szCs w:val="28"/>
              </w:rPr>
              <w:t>为安全系数</w:t>
            </w:r>
            <w:r>
              <w:rPr>
                <w:color w:val="auto"/>
                <w:sz w:val="24"/>
                <w:szCs w:val="28"/>
              </w:rPr>
              <w:t>1.4</w:t>
            </w:r>
            <w:r>
              <w:rPr>
                <w:rFonts w:hint="eastAsia"/>
                <w:color w:val="auto"/>
                <w:sz w:val="24"/>
                <w:szCs w:val="28"/>
              </w:rPr>
              <w:t>；</w:t>
            </w:r>
          </w:p>
          <w:p w14:paraId="056249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lang w:val="en-US" w:eastAsia="zh-CN"/>
              </w:rPr>
            </w:pPr>
            <w:r>
              <w:rPr>
                <w:rFonts w:hint="eastAsia"/>
                <w:color w:val="auto"/>
                <w:sz w:val="24"/>
                <w:szCs w:val="28"/>
              </w:rPr>
              <w:t>（</w:t>
            </w:r>
            <w:r>
              <w:rPr>
                <w:color w:val="auto"/>
                <w:sz w:val="24"/>
                <w:szCs w:val="28"/>
              </w:rPr>
              <w:t>a+b</w:t>
            </w:r>
            <w:r>
              <w:rPr>
                <w:rFonts w:hint="eastAsia"/>
                <w:color w:val="auto"/>
                <w:sz w:val="24"/>
                <w:szCs w:val="28"/>
              </w:rPr>
              <w:t>）为集气罩周长</w:t>
            </w:r>
            <w:r>
              <w:rPr>
                <w:rFonts w:hint="eastAsia"/>
                <w:color w:val="auto"/>
                <w:sz w:val="24"/>
                <w:szCs w:val="28"/>
                <w:lang w:eastAsia="zh-CN"/>
              </w:rPr>
              <w:t>，</w:t>
            </w:r>
            <w:r>
              <w:rPr>
                <w:rFonts w:hint="eastAsia"/>
                <w:color w:val="auto"/>
                <w:sz w:val="24"/>
                <w:szCs w:val="28"/>
              </w:rPr>
              <w:t>单位为</w:t>
            </w:r>
            <w:r>
              <w:rPr>
                <w:color w:val="auto"/>
                <w:sz w:val="24"/>
                <w:szCs w:val="28"/>
              </w:rPr>
              <w:t>m</w:t>
            </w:r>
            <w:r>
              <w:rPr>
                <w:rFonts w:hint="eastAsia"/>
                <w:color w:val="auto"/>
                <w:sz w:val="24"/>
                <w:szCs w:val="28"/>
                <w:lang w:eastAsia="zh-CN"/>
              </w:rPr>
              <w:t>，</w:t>
            </w:r>
            <w:r>
              <w:rPr>
                <w:rFonts w:hint="eastAsia" w:eastAsia="宋体" w:cs="Times New Roman"/>
                <w:color w:val="auto"/>
                <w:sz w:val="24"/>
                <w:szCs w:val="24"/>
                <w:lang w:val="en-US" w:eastAsia="zh-CN"/>
              </w:rPr>
              <w:t>挤出机</w:t>
            </w:r>
            <w:r>
              <w:rPr>
                <w:rFonts w:hint="eastAsia" w:ascii="Times New Roman" w:hAnsi="Times New Roman" w:eastAsia="宋体" w:cs="Times New Roman"/>
                <w:color w:val="auto"/>
                <w:sz w:val="24"/>
                <w:szCs w:val="24"/>
                <w:lang w:val="en-US" w:eastAsia="zh-CN"/>
              </w:rPr>
              <w:t>集气罩尺寸</w:t>
            </w:r>
            <w:r>
              <w:rPr>
                <w:rFonts w:hint="eastAsia" w:eastAsia="宋体" w:cs="Times New Roman"/>
                <w:color w:val="auto"/>
                <w:sz w:val="24"/>
                <w:szCs w:val="24"/>
                <w:lang w:val="en-US" w:eastAsia="zh-CN"/>
              </w:rPr>
              <w:t>0.6</w:t>
            </w:r>
            <w:r>
              <w:rPr>
                <w:rFonts w:hint="eastAsia"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0.6</w:t>
            </w:r>
            <w:r>
              <w:rPr>
                <w:rFonts w:hint="eastAsia" w:ascii="Times New Roman" w:hAnsi="Times New Roman" w:eastAsia="宋体" w:cs="Times New Roman"/>
                <w:color w:val="auto"/>
                <w:sz w:val="24"/>
                <w:szCs w:val="24"/>
                <w:lang w:val="en-US" w:eastAsia="zh-CN"/>
              </w:rPr>
              <w:t>米，</w:t>
            </w:r>
            <w:r>
              <w:rPr>
                <w:rFonts w:hint="eastAsia" w:eastAsia="宋体" w:cs="Times New Roman"/>
                <w:color w:val="auto"/>
                <w:sz w:val="24"/>
                <w:szCs w:val="24"/>
                <w:lang w:val="en-US" w:eastAsia="zh-CN"/>
              </w:rPr>
              <w:t>注塑机</w:t>
            </w:r>
            <w:r>
              <w:rPr>
                <w:rFonts w:hint="eastAsia" w:ascii="Times New Roman" w:hAnsi="Times New Roman" w:eastAsia="宋体" w:cs="Times New Roman"/>
                <w:color w:val="auto"/>
                <w:sz w:val="24"/>
                <w:szCs w:val="24"/>
                <w:lang w:val="en-US" w:eastAsia="zh-CN"/>
              </w:rPr>
              <w:t>集气罩尺寸</w:t>
            </w:r>
            <w:r>
              <w:rPr>
                <w:rFonts w:hint="eastAsia" w:eastAsia="宋体" w:cs="Times New Roman"/>
                <w:color w:val="auto"/>
                <w:sz w:val="24"/>
                <w:szCs w:val="24"/>
                <w:lang w:val="en-US" w:eastAsia="zh-CN"/>
              </w:rPr>
              <w:t>0.4</w:t>
            </w:r>
            <w:r>
              <w:rPr>
                <w:rFonts w:hint="eastAsia"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0.4</w:t>
            </w:r>
            <w:r>
              <w:rPr>
                <w:rFonts w:hint="eastAsia" w:ascii="Times New Roman" w:hAnsi="Times New Roman" w:eastAsia="宋体" w:cs="Times New Roman"/>
                <w:color w:val="auto"/>
                <w:sz w:val="24"/>
                <w:szCs w:val="24"/>
                <w:lang w:val="en-US" w:eastAsia="zh-CN"/>
              </w:rPr>
              <w:t>米</w:t>
            </w:r>
            <w:r>
              <w:rPr>
                <w:rFonts w:hint="eastAsia"/>
                <w:color w:val="auto"/>
                <w:sz w:val="24"/>
                <w:szCs w:val="28"/>
                <w:lang w:val="en-US" w:eastAsia="zh-CN"/>
              </w:rPr>
              <w:t>；</w:t>
            </w:r>
          </w:p>
          <w:p w14:paraId="33EA27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8"/>
              </w:rPr>
            </w:pPr>
            <w:r>
              <w:rPr>
                <w:color w:val="auto"/>
                <w:sz w:val="24"/>
                <w:szCs w:val="28"/>
              </w:rPr>
              <w:t>h</w:t>
            </w:r>
            <w:r>
              <w:rPr>
                <w:rFonts w:hint="eastAsia"/>
                <w:color w:val="auto"/>
                <w:sz w:val="24"/>
                <w:szCs w:val="28"/>
              </w:rPr>
              <w:t>为罩口至污染源的距离</w:t>
            </w:r>
            <w:r>
              <w:rPr>
                <w:rFonts w:hint="eastAsia"/>
                <w:color w:val="auto"/>
                <w:sz w:val="24"/>
                <w:szCs w:val="28"/>
                <w:lang w:eastAsia="zh-CN"/>
              </w:rPr>
              <w:t>，</w:t>
            </w:r>
            <w:r>
              <w:rPr>
                <w:rFonts w:hint="eastAsia"/>
                <w:color w:val="auto"/>
                <w:sz w:val="24"/>
                <w:szCs w:val="28"/>
              </w:rPr>
              <w:t>单位为</w:t>
            </w:r>
            <w:r>
              <w:rPr>
                <w:color w:val="auto"/>
                <w:sz w:val="24"/>
                <w:szCs w:val="28"/>
              </w:rPr>
              <w:t>m</w:t>
            </w:r>
            <w:r>
              <w:rPr>
                <w:rFonts w:hint="eastAsia"/>
                <w:color w:val="auto"/>
                <w:sz w:val="24"/>
                <w:szCs w:val="28"/>
                <w:lang w:eastAsia="zh-CN"/>
              </w:rPr>
              <w:t>，</w:t>
            </w:r>
            <w:r>
              <w:rPr>
                <w:rFonts w:hint="eastAsia"/>
                <w:color w:val="auto"/>
                <w:sz w:val="24"/>
                <w:szCs w:val="28"/>
              </w:rPr>
              <w:t>本项目取0.</w:t>
            </w:r>
            <w:r>
              <w:rPr>
                <w:rFonts w:hint="eastAsia"/>
                <w:color w:val="auto"/>
                <w:sz w:val="24"/>
                <w:szCs w:val="28"/>
                <w:lang w:val="en-US" w:eastAsia="zh-CN"/>
              </w:rPr>
              <w:t>2</w:t>
            </w:r>
            <w:r>
              <w:rPr>
                <w:rFonts w:hint="eastAsia"/>
                <w:color w:val="auto"/>
                <w:sz w:val="24"/>
                <w:szCs w:val="28"/>
              </w:rPr>
              <w:t>m；</w:t>
            </w:r>
          </w:p>
          <w:p w14:paraId="7AF4F73E">
            <w:pPr>
              <w:keepNext w:val="0"/>
              <w:keepLines w:val="0"/>
              <w:suppressLineNumbers w:val="0"/>
              <w:spacing w:before="0" w:beforeAutospacing="0" w:after="0" w:afterAutospacing="0" w:line="520" w:lineRule="exact"/>
              <w:ind w:left="0" w:right="0" w:firstLine="480" w:firstLineChars="200"/>
              <w:rPr>
                <w:rFonts w:hint="eastAsia" w:eastAsia="宋体"/>
                <w:b/>
                <w:bCs/>
                <w:color w:val="auto"/>
                <w:spacing w:val="-2"/>
                <w:sz w:val="24"/>
                <w:lang w:val="en-US" w:eastAsia="zh-CN"/>
              </w:rPr>
            </w:pPr>
            <w:r>
              <w:rPr>
                <w:color w:val="auto"/>
                <w:sz w:val="24"/>
                <w:szCs w:val="28"/>
              </w:rPr>
              <w:t>V</w:t>
            </w:r>
            <w:r>
              <w:rPr>
                <w:color w:val="auto"/>
                <w:sz w:val="24"/>
                <w:szCs w:val="28"/>
                <w:vertAlign w:val="subscript"/>
              </w:rPr>
              <w:t>0</w:t>
            </w:r>
            <w:r>
              <w:rPr>
                <w:rFonts w:hint="eastAsia"/>
                <w:color w:val="auto"/>
                <w:sz w:val="24"/>
                <w:szCs w:val="28"/>
              </w:rPr>
              <w:t>污染源气体流速</w:t>
            </w:r>
            <w:r>
              <w:rPr>
                <w:rFonts w:hint="eastAsia"/>
                <w:color w:val="auto"/>
                <w:sz w:val="24"/>
                <w:szCs w:val="28"/>
                <w:lang w:eastAsia="zh-CN"/>
              </w:rPr>
              <w:t>，</w:t>
            </w:r>
            <w:r>
              <w:rPr>
                <w:rFonts w:hint="eastAsia"/>
                <w:color w:val="auto"/>
                <w:sz w:val="24"/>
                <w:szCs w:val="28"/>
              </w:rPr>
              <w:t>一般在</w:t>
            </w:r>
            <w:r>
              <w:rPr>
                <w:color w:val="auto"/>
                <w:sz w:val="24"/>
                <w:szCs w:val="28"/>
              </w:rPr>
              <w:t>0.5m/s~1.5m/s</w:t>
            </w:r>
            <w:r>
              <w:rPr>
                <w:rFonts w:hint="eastAsia"/>
                <w:color w:val="auto"/>
                <w:sz w:val="24"/>
                <w:szCs w:val="28"/>
                <w:lang w:eastAsia="zh-CN"/>
              </w:rPr>
              <w:t>，</w:t>
            </w:r>
            <w:r>
              <w:rPr>
                <w:rFonts w:hint="eastAsia"/>
                <w:color w:val="auto"/>
                <w:sz w:val="24"/>
                <w:szCs w:val="28"/>
              </w:rPr>
              <w:t>本次评价取均值</w:t>
            </w:r>
            <w:r>
              <w:rPr>
                <w:color w:val="auto"/>
                <w:sz w:val="24"/>
                <w:szCs w:val="28"/>
              </w:rPr>
              <w:t>1.0m/s</w:t>
            </w:r>
            <w:r>
              <w:rPr>
                <w:rFonts w:hint="eastAsia"/>
                <w:color w:val="auto"/>
                <w:sz w:val="24"/>
                <w:szCs w:val="28"/>
              </w:rPr>
              <w:t>（根据《</w:t>
            </w:r>
            <w:r>
              <w:rPr>
                <w:rFonts w:hint="eastAsia"/>
                <w:color w:val="auto"/>
                <w:sz w:val="24"/>
                <w:szCs w:val="28"/>
                <w:lang w:eastAsia="zh-CN"/>
              </w:rPr>
              <w:t>局部排放设施控</w:t>
            </w:r>
            <w:r>
              <w:rPr>
                <w:rFonts w:hint="eastAsia"/>
                <w:color w:val="auto"/>
                <w:sz w:val="24"/>
                <w:szCs w:val="28"/>
              </w:rPr>
              <w:t>制风速检测与评估技术规范》（</w:t>
            </w:r>
            <w:r>
              <w:rPr>
                <w:color w:val="auto"/>
                <w:sz w:val="24"/>
                <w:szCs w:val="28"/>
              </w:rPr>
              <w:t>AQ/T4274-2016</w:t>
            </w:r>
            <w:r>
              <w:rPr>
                <w:rFonts w:hint="eastAsia"/>
                <w:color w:val="auto"/>
                <w:sz w:val="24"/>
                <w:szCs w:val="28"/>
              </w:rPr>
              <w:t>）中有毒气体外部排风罩控制风速</w:t>
            </w:r>
            <w:r>
              <w:rPr>
                <w:color w:val="auto"/>
                <w:sz w:val="24"/>
                <w:szCs w:val="28"/>
              </w:rPr>
              <w:t>1.0m/s</w:t>
            </w:r>
            <w:r>
              <w:rPr>
                <w:rFonts w:hint="eastAsia"/>
                <w:color w:val="auto"/>
                <w:sz w:val="24"/>
                <w:szCs w:val="28"/>
              </w:rPr>
              <w:t>）</w:t>
            </w:r>
            <w:r>
              <w:rPr>
                <w:rFonts w:hint="eastAsia"/>
                <w:color w:val="auto"/>
                <w:sz w:val="24"/>
                <w:szCs w:val="28"/>
                <w:lang w:eastAsia="zh-CN"/>
              </w:rPr>
              <w:t>。</w:t>
            </w:r>
          </w:p>
          <w:p w14:paraId="751DFC11">
            <w:pPr>
              <w:keepNext w:val="0"/>
              <w:keepLines w:val="0"/>
              <w:suppressLineNumbers w:val="0"/>
              <w:spacing w:before="0" w:beforeAutospacing="0" w:after="0" w:afterAutospacing="0" w:line="520" w:lineRule="exact"/>
              <w:ind w:left="0" w:right="0" w:firstLine="480" w:firstLineChars="200"/>
              <w:rPr>
                <w:rFonts w:hint="eastAsia"/>
                <w:b/>
                <w:bCs/>
                <w:color w:val="auto"/>
                <w:spacing w:val="-2"/>
                <w:sz w:val="24"/>
                <w:lang w:val="en-US" w:eastAsia="zh-CN"/>
              </w:rPr>
            </w:pPr>
            <w:r>
              <w:rPr>
                <w:rFonts w:hint="default" w:ascii="Times New Roman" w:hAnsi="Times New Roman" w:eastAsia="宋体" w:cs="Times New Roman"/>
                <w:color w:val="auto"/>
                <w:sz w:val="24"/>
                <w:szCs w:val="24"/>
                <w:highlight w:val="none"/>
                <w:lang w:val="en-US" w:eastAsia="zh-CN"/>
              </w:rPr>
              <w:t>代入相关数据经计算可知</w:t>
            </w:r>
            <w:r>
              <w:rPr>
                <w:rFonts w:hint="eastAsia" w:eastAsia="宋体" w:cs="Times New Roman"/>
                <w:color w:val="auto"/>
                <w:sz w:val="24"/>
                <w:szCs w:val="24"/>
                <w:lang w:val="en-US" w:eastAsia="zh-CN"/>
              </w:rPr>
              <w:t>挤出机</w:t>
            </w:r>
            <w:r>
              <w:rPr>
                <w:rFonts w:hint="eastAsia" w:ascii="Times New Roman" w:hAnsi="Times New Roman" w:eastAsia="宋体" w:cs="Times New Roman"/>
                <w:color w:val="auto"/>
                <w:sz w:val="24"/>
                <w:szCs w:val="24"/>
                <w:lang w:val="en-US" w:eastAsia="zh-CN"/>
              </w:rPr>
              <w:t>集气罩</w:t>
            </w:r>
            <w:r>
              <w:rPr>
                <w:rFonts w:hint="eastAsia" w:ascii="Times New Roman" w:hAnsi="Times New Roman" w:eastAsia="宋体" w:cs="Times New Roman"/>
                <w:color w:val="auto"/>
                <w:sz w:val="24"/>
                <w:szCs w:val="24"/>
                <w:highlight w:val="none"/>
                <w:lang w:val="en-US" w:eastAsia="zh-CN"/>
              </w:rPr>
              <w:t>所需风量为</w:t>
            </w:r>
            <w:r>
              <w:rPr>
                <w:rFonts w:hint="eastAsia" w:cs="Times New Roman"/>
                <w:color w:val="auto"/>
                <w:sz w:val="24"/>
                <w:szCs w:val="24"/>
                <w:highlight w:val="none"/>
                <w:lang w:val="en-US" w:eastAsia="zh-CN"/>
              </w:rPr>
              <w:t>1210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w:t>
            </w:r>
            <w:r>
              <w:rPr>
                <w:rFonts w:hint="eastAsia" w:eastAsia="宋体" w:cs="Times New Roman"/>
                <w:color w:val="auto"/>
                <w:sz w:val="24"/>
                <w:szCs w:val="24"/>
                <w:lang w:eastAsia="zh-CN"/>
              </w:rPr>
              <w:t>注塑机</w:t>
            </w:r>
            <w:r>
              <w:rPr>
                <w:rFonts w:hint="eastAsia" w:ascii="Times New Roman" w:hAnsi="Times New Roman" w:eastAsia="宋体" w:cs="Times New Roman"/>
                <w:color w:val="auto"/>
                <w:sz w:val="24"/>
                <w:szCs w:val="24"/>
                <w:highlight w:val="none"/>
                <w:lang w:val="en-US" w:eastAsia="zh-CN"/>
              </w:rPr>
              <w:t>集气罩所需风量为</w:t>
            </w:r>
            <w:r>
              <w:rPr>
                <w:rFonts w:hint="eastAsia" w:cs="Times New Roman"/>
                <w:color w:val="auto"/>
                <w:sz w:val="24"/>
                <w:szCs w:val="24"/>
                <w:highlight w:val="none"/>
                <w:lang w:val="en-US" w:eastAsia="zh-CN"/>
              </w:rPr>
              <w:t>806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项目挤出机2台、注塑机10台，</w:t>
            </w:r>
            <w:r>
              <w:rPr>
                <w:rFonts w:hint="eastAsia" w:ascii="Times New Roman" w:hAnsi="Times New Roman" w:cs="Times New Roman"/>
                <w:color w:val="auto"/>
                <w:sz w:val="24"/>
                <w:szCs w:val="24"/>
                <w:lang w:val="en-US" w:eastAsia="zh-CN"/>
              </w:rPr>
              <w:t>所以风机所需风量为</w:t>
            </w:r>
            <w:r>
              <w:rPr>
                <w:rFonts w:hint="eastAsia" w:cs="Times New Roman"/>
                <w:color w:val="auto"/>
                <w:sz w:val="24"/>
                <w:szCs w:val="24"/>
                <w:lang w:val="en-US" w:eastAsia="zh-CN"/>
              </w:rPr>
              <w:t>10480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，取整得风机风量为</w:t>
            </w:r>
            <w:r>
              <w:rPr>
                <w:rFonts w:hint="eastAsia" w:cs="Times New Roman"/>
                <w:color w:val="auto"/>
                <w:sz w:val="24"/>
                <w:szCs w:val="24"/>
                <w:highlight w:val="none"/>
                <w:lang w:val="en-US" w:eastAsia="zh-CN"/>
              </w:rPr>
              <w:t>12</w:t>
            </w:r>
            <w:r>
              <w:rPr>
                <w:rFonts w:hint="eastAsia" w:ascii="Times New Roman" w:hAnsi="Times New Roman"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w:t>
            </w:r>
          </w:p>
          <w:p w14:paraId="2ABF41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eastAsia="zh-CN"/>
              </w:rPr>
              <w:t>项目废气产排情况见下表：</w:t>
            </w:r>
          </w:p>
          <w:p w14:paraId="0562D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color w:val="auto"/>
                <w:kern w:val="0"/>
                <w:sz w:val="21"/>
                <w:szCs w:val="21"/>
              </w:rPr>
            </w:pPr>
            <w:r>
              <w:rPr>
                <w:rFonts w:hint="eastAsia" w:hAnsi="宋体"/>
                <w:b/>
                <w:color w:val="auto"/>
                <w:kern w:val="0"/>
                <w:sz w:val="21"/>
                <w:szCs w:val="21"/>
              </w:rPr>
              <w:t>表4-</w:t>
            </w:r>
            <w:r>
              <w:rPr>
                <w:rFonts w:hint="eastAsia" w:hAnsi="宋体"/>
                <w:b/>
                <w:color w:val="auto"/>
                <w:kern w:val="0"/>
                <w:sz w:val="21"/>
                <w:szCs w:val="21"/>
                <w:lang w:val="en-US" w:eastAsia="zh-CN"/>
              </w:rPr>
              <w:t xml:space="preserve">2 </w:t>
            </w:r>
            <w:r>
              <w:rPr>
                <w:rFonts w:hint="eastAsia" w:hAnsi="宋体"/>
                <w:b/>
                <w:color w:val="auto"/>
                <w:kern w:val="0"/>
                <w:sz w:val="21"/>
                <w:szCs w:val="21"/>
                <w:lang w:eastAsia="zh-CN"/>
              </w:rPr>
              <w:t>项目有组织废气产排</w:t>
            </w:r>
            <w:r>
              <w:rPr>
                <w:rFonts w:hint="eastAsia" w:hAnsi="宋体"/>
                <w:b/>
                <w:color w:val="auto"/>
                <w:kern w:val="0"/>
                <w:sz w:val="21"/>
                <w:szCs w:val="21"/>
              </w:rPr>
              <w:t>情况一览表</w:t>
            </w:r>
          </w:p>
          <w:tbl>
            <w:tblPr>
              <w:tblStyle w:val="29"/>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596"/>
              <w:gridCol w:w="758"/>
              <w:gridCol w:w="790"/>
              <w:gridCol w:w="754"/>
              <w:gridCol w:w="870"/>
              <w:gridCol w:w="585"/>
              <w:gridCol w:w="1208"/>
              <w:gridCol w:w="766"/>
              <w:gridCol w:w="801"/>
              <w:gridCol w:w="895"/>
            </w:tblGrid>
            <w:tr w14:paraId="1977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59FF3F3E">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w:t>
                  </w:r>
                  <w:r>
                    <w:rPr>
                      <w:rFonts w:hint="eastAsia"/>
                      <w:color w:val="auto"/>
                      <w:kern w:val="0"/>
                      <w:sz w:val="21"/>
                      <w:szCs w:val="21"/>
                      <w:lang w:eastAsia="zh-CN"/>
                    </w:rPr>
                    <w:t>排</w:t>
                  </w:r>
                  <w:r>
                    <w:rPr>
                      <w:color w:val="auto"/>
                      <w:kern w:val="0"/>
                      <w:sz w:val="21"/>
                      <w:szCs w:val="21"/>
                    </w:rPr>
                    <w:t>污环节</w:t>
                  </w:r>
                </w:p>
              </w:tc>
              <w:tc>
                <w:tcPr>
                  <w:tcW w:w="337" w:type="pct"/>
                  <w:vAlign w:val="center"/>
                </w:tcPr>
                <w:p w14:paraId="45DA9EE2">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eastAsia="宋体"/>
                      <w:color w:val="auto"/>
                      <w:kern w:val="0"/>
                      <w:sz w:val="21"/>
                      <w:szCs w:val="21"/>
                      <w:lang w:eastAsia="zh-CN"/>
                    </w:rPr>
                  </w:pPr>
                  <w:r>
                    <w:rPr>
                      <w:rFonts w:hint="eastAsia"/>
                      <w:color w:val="auto"/>
                      <w:kern w:val="0"/>
                      <w:sz w:val="21"/>
                      <w:szCs w:val="21"/>
                      <w:lang w:eastAsia="zh-CN"/>
                    </w:rPr>
                    <w:t>排放形式</w:t>
                  </w:r>
                </w:p>
              </w:tc>
              <w:tc>
                <w:tcPr>
                  <w:tcW w:w="428" w:type="pct"/>
                  <w:vAlign w:val="center"/>
                </w:tcPr>
                <w:p w14:paraId="4F498010">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污染物</w:t>
                  </w:r>
                </w:p>
              </w:tc>
              <w:tc>
                <w:tcPr>
                  <w:tcW w:w="447" w:type="pct"/>
                  <w:vAlign w:val="center"/>
                </w:tcPr>
                <w:p w14:paraId="61E1C665">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产生量</w:t>
                  </w:r>
                  <w:r>
                    <w:rPr>
                      <w:rFonts w:hint="eastAsia"/>
                      <w:color w:val="auto"/>
                      <w:kern w:val="0"/>
                      <w:sz w:val="21"/>
                      <w:szCs w:val="21"/>
                    </w:rPr>
                    <w:t>t/a</w:t>
                  </w:r>
                </w:p>
              </w:tc>
              <w:tc>
                <w:tcPr>
                  <w:tcW w:w="426" w:type="pct"/>
                  <w:vAlign w:val="center"/>
                </w:tcPr>
                <w:p w14:paraId="3DE2718C">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产生速率</w:t>
                  </w:r>
                  <w:r>
                    <w:rPr>
                      <w:rFonts w:hint="eastAsia"/>
                      <w:color w:val="auto"/>
                      <w:kern w:val="0"/>
                      <w:sz w:val="21"/>
                      <w:szCs w:val="21"/>
                    </w:rPr>
                    <w:t>kg/h</w:t>
                  </w:r>
                </w:p>
              </w:tc>
              <w:tc>
                <w:tcPr>
                  <w:tcW w:w="492" w:type="pct"/>
                  <w:vAlign w:val="center"/>
                </w:tcPr>
                <w:p w14:paraId="239A2694">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产生浓度</w:t>
                  </w:r>
                  <w:r>
                    <w:rPr>
                      <w:bCs/>
                      <w:color w:val="auto"/>
                      <w:kern w:val="0"/>
                      <w:sz w:val="21"/>
                      <w:szCs w:val="21"/>
                    </w:rPr>
                    <w:t>mg/m</w:t>
                  </w:r>
                  <w:r>
                    <w:rPr>
                      <w:bCs/>
                      <w:color w:val="auto"/>
                      <w:kern w:val="0"/>
                      <w:sz w:val="21"/>
                      <w:szCs w:val="21"/>
                      <w:vertAlign w:val="superscript"/>
                    </w:rPr>
                    <w:t>3</w:t>
                  </w:r>
                </w:p>
              </w:tc>
              <w:tc>
                <w:tcPr>
                  <w:tcW w:w="331" w:type="pct"/>
                  <w:vAlign w:val="center"/>
                </w:tcPr>
                <w:p w14:paraId="5A57C96E">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风量</w:t>
                  </w:r>
                </w:p>
                <w:p w14:paraId="4B303705">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default" w:ascii="Times New Roman" w:hAnsi="Times New Roman" w:eastAsia="宋体" w:cs="Times New Roman"/>
                      <w:b w:val="0"/>
                      <w:bCs w:val="0"/>
                      <w:color w:val="auto"/>
                      <w:kern w:val="0"/>
                      <w:sz w:val="21"/>
                      <w:szCs w:val="21"/>
                      <w:lang w:val="en-US" w:eastAsia="zh-CN" w:bidi="ar-SA"/>
                    </w:rPr>
                    <w:t>/h</w:t>
                  </w:r>
                </w:p>
              </w:tc>
              <w:tc>
                <w:tcPr>
                  <w:tcW w:w="683" w:type="pct"/>
                  <w:vAlign w:val="center"/>
                </w:tcPr>
                <w:p w14:paraId="2E8EDBAB">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治理设施</w:t>
                  </w:r>
                </w:p>
              </w:tc>
              <w:tc>
                <w:tcPr>
                  <w:tcW w:w="433" w:type="pct"/>
                  <w:vAlign w:val="center"/>
                </w:tcPr>
                <w:p w14:paraId="0E65D610">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排放量</w:t>
                  </w:r>
                  <w:r>
                    <w:rPr>
                      <w:rFonts w:hint="eastAsia"/>
                      <w:color w:val="auto"/>
                      <w:kern w:val="0"/>
                      <w:sz w:val="21"/>
                      <w:szCs w:val="21"/>
                    </w:rPr>
                    <w:t>t/a</w:t>
                  </w:r>
                </w:p>
              </w:tc>
              <w:tc>
                <w:tcPr>
                  <w:tcW w:w="453" w:type="pct"/>
                  <w:vAlign w:val="center"/>
                </w:tcPr>
                <w:p w14:paraId="0212ACDE">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排放速率</w:t>
                  </w:r>
                  <w:r>
                    <w:rPr>
                      <w:rFonts w:hint="eastAsia"/>
                      <w:color w:val="auto"/>
                      <w:kern w:val="0"/>
                      <w:sz w:val="21"/>
                      <w:szCs w:val="21"/>
                    </w:rPr>
                    <w:t>kg/h</w:t>
                  </w:r>
                </w:p>
              </w:tc>
              <w:tc>
                <w:tcPr>
                  <w:tcW w:w="506" w:type="pct"/>
                  <w:vAlign w:val="center"/>
                </w:tcPr>
                <w:p w14:paraId="15BB78E5">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排放浓度</w:t>
                  </w:r>
                  <w:r>
                    <w:rPr>
                      <w:bCs/>
                      <w:color w:val="auto"/>
                      <w:kern w:val="0"/>
                      <w:sz w:val="21"/>
                      <w:szCs w:val="21"/>
                    </w:rPr>
                    <w:t>mg/m</w:t>
                  </w:r>
                  <w:r>
                    <w:rPr>
                      <w:bCs/>
                      <w:color w:val="auto"/>
                      <w:kern w:val="0"/>
                      <w:sz w:val="21"/>
                      <w:szCs w:val="21"/>
                      <w:vertAlign w:val="superscript"/>
                    </w:rPr>
                    <w:t>3</w:t>
                  </w:r>
                </w:p>
              </w:tc>
            </w:tr>
            <w:tr w14:paraId="43B0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59" w:type="pct"/>
                  <w:vAlign w:val="center"/>
                </w:tcPr>
                <w:p w14:paraId="240FAF55">
                  <w:pPr>
                    <w:adjustRightInd w:val="0"/>
                    <w:spacing w:line="240" w:lineRule="auto"/>
                    <w:jc w:val="center"/>
                    <w:rPr>
                      <w:rFonts w:hint="eastAsia" w:eastAsia="宋体"/>
                      <w:color w:val="auto"/>
                      <w:kern w:val="0"/>
                      <w:sz w:val="21"/>
                      <w:szCs w:val="21"/>
                      <w:lang w:eastAsia="zh-CN"/>
                    </w:rPr>
                  </w:pPr>
                  <w:r>
                    <w:rPr>
                      <w:rFonts w:hint="eastAsia"/>
                      <w:color w:val="auto"/>
                      <w:kern w:val="0"/>
                      <w:sz w:val="21"/>
                      <w:szCs w:val="21"/>
                      <w:lang w:eastAsia="zh-CN"/>
                    </w:rPr>
                    <w:t>挤出、注塑</w:t>
                  </w:r>
                </w:p>
              </w:tc>
              <w:tc>
                <w:tcPr>
                  <w:tcW w:w="337" w:type="pct"/>
                  <w:vAlign w:val="center"/>
                </w:tcPr>
                <w:p w14:paraId="614A36E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8" w:type="pct"/>
                  <w:vAlign w:val="center"/>
                </w:tcPr>
                <w:p w14:paraId="0E15C2F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color w:val="auto"/>
                      <w:kern w:val="0"/>
                      <w:sz w:val="21"/>
                      <w:szCs w:val="21"/>
                      <w:lang w:eastAsia="zh-CN"/>
                    </w:rPr>
                  </w:pPr>
                  <w:r>
                    <w:rPr>
                      <w:rFonts w:hint="eastAsia" w:cs="Times New Roman"/>
                      <w:color w:val="auto"/>
                      <w:sz w:val="21"/>
                      <w:szCs w:val="21"/>
                      <w:lang w:val="en-US" w:eastAsia="zh-CN"/>
                    </w:rPr>
                    <w:t>非甲烷总烃</w:t>
                  </w:r>
                </w:p>
              </w:tc>
              <w:tc>
                <w:tcPr>
                  <w:tcW w:w="447" w:type="pct"/>
                  <w:vAlign w:val="center"/>
                </w:tcPr>
                <w:p w14:paraId="36E77705">
                  <w:pPr>
                    <w:adjustRightInd w:val="0"/>
                    <w:spacing w:line="240" w:lineRule="auto"/>
                    <w:jc w:val="center"/>
                    <w:rPr>
                      <w:rFonts w:hint="default" w:eastAsia="宋体"/>
                      <w:color w:val="auto"/>
                      <w:kern w:val="0"/>
                      <w:sz w:val="21"/>
                      <w:szCs w:val="21"/>
                      <w:lang w:val="en-US" w:eastAsia="zh-CN"/>
                    </w:rPr>
                  </w:pPr>
                  <w:r>
                    <w:rPr>
                      <w:rFonts w:hint="eastAsia" w:cs="Times New Roman"/>
                      <w:color w:val="auto"/>
                      <w:kern w:val="0"/>
                      <w:sz w:val="21"/>
                      <w:szCs w:val="21"/>
                      <w:lang w:val="en-US" w:eastAsia="zh-CN"/>
                    </w:rPr>
                    <w:t>4.536</w:t>
                  </w:r>
                </w:p>
              </w:tc>
              <w:tc>
                <w:tcPr>
                  <w:tcW w:w="426" w:type="pct"/>
                  <w:vAlign w:val="center"/>
                </w:tcPr>
                <w:p w14:paraId="719C4221">
                  <w:pPr>
                    <w:adjustRightInd w:val="0"/>
                    <w:spacing w:line="240" w:lineRule="auto"/>
                    <w:jc w:val="center"/>
                    <w:rPr>
                      <w:rFonts w:hint="default" w:eastAsia="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63</w:t>
                  </w:r>
                </w:p>
              </w:tc>
              <w:tc>
                <w:tcPr>
                  <w:tcW w:w="492" w:type="pct"/>
                  <w:vAlign w:val="center"/>
                </w:tcPr>
                <w:p w14:paraId="273339E5">
                  <w:pPr>
                    <w:adjustRightInd w:val="0"/>
                    <w:spacing w:line="240" w:lineRule="auto"/>
                    <w:jc w:val="center"/>
                    <w:rPr>
                      <w:rFonts w:hint="default" w:eastAsia="宋体"/>
                      <w:color w:val="auto"/>
                      <w:kern w:val="0"/>
                      <w:sz w:val="21"/>
                      <w:szCs w:val="21"/>
                      <w:lang w:val="en-US" w:eastAsia="zh-CN"/>
                    </w:rPr>
                  </w:pPr>
                  <w:r>
                    <w:rPr>
                      <w:rFonts w:hint="eastAsia" w:cs="Times New Roman"/>
                      <w:color w:val="auto"/>
                      <w:kern w:val="0"/>
                      <w:sz w:val="21"/>
                      <w:szCs w:val="21"/>
                      <w:lang w:val="en-US" w:eastAsia="zh-CN"/>
                    </w:rPr>
                    <w:t>52.5</w:t>
                  </w:r>
                </w:p>
              </w:tc>
              <w:tc>
                <w:tcPr>
                  <w:tcW w:w="331" w:type="pct"/>
                  <w:vAlign w:val="center"/>
                </w:tcPr>
                <w:p w14:paraId="489923BB">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color w:val="auto"/>
                      <w:kern w:val="0"/>
                      <w:sz w:val="21"/>
                      <w:szCs w:val="21"/>
                      <w:lang w:val="en-US" w:eastAsia="zh-CN"/>
                    </w:rPr>
                  </w:pPr>
                  <w:r>
                    <w:rPr>
                      <w:rFonts w:hint="eastAsia"/>
                      <w:color w:val="auto"/>
                      <w:kern w:val="0"/>
                      <w:sz w:val="21"/>
                      <w:szCs w:val="21"/>
                      <w:lang w:val="en-US" w:eastAsia="zh-CN"/>
                    </w:rPr>
                    <w:t>12000</w:t>
                  </w:r>
                </w:p>
              </w:tc>
              <w:tc>
                <w:tcPr>
                  <w:tcW w:w="683" w:type="pct"/>
                  <w:vAlign w:val="center"/>
                </w:tcPr>
                <w:p w14:paraId="3BF2310F">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s="Times New Roman"/>
                      <w:color w:val="auto"/>
                      <w:kern w:val="0"/>
                      <w:sz w:val="21"/>
                      <w:szCs w:val="21"/>
                      <w:lang w:val="en-US" w:eastAsia="zh-CN"/>
                    </w:rPr>
                  </w:pPr>
                  <w:r>
                    <w:rPr>
                      <w:rFonts w:hint="eastAsia"/>
                      <w:color w:val="auto"/>
                      <w:kern w:val="0"/>
                      <w:sz w:val="21"/>
                      <w:szCs w:val="21"/>
                      <w:lang w:val="en-US" w:eastAsia="zh-CN"/>
                    </w:rPr>
                    <w:t>二级活性炭吸附+1根20m高排气筒（DA001）</w:t>
                  </w:r>
                </w:p>
              </w:tc>
              <w:tc>
                <w:tcPr>
                  <w:tcW w:w="433" w:type="pct"/>
                  <w:vAlign w:val="center"/>
                </w:tcPr>
                <w:p w14:paraId="21623798">
                  <w:pPr>
                    <w:adjustRightInd w:val="0"/>
                    <w:spacing w:line="240" w:lineRule="auto"/>
                    <w:jc w:val="center"/>
                    <w:rPr>
                      <w:rFonts w:hint="default" w:eastAsia="宋体"/>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4536</w:t>
                  </w:r>
                </w:p>
              </w:tc>
              <w:tc>
                <w:tcPr>
                  <w:tcW w:w="453" w:type="pct"/>
                  <w:vAlign w:val="center"/>
                </w:tcPr>
                <w:p w14:paraId="0FB35AD3">
                  <w:pPr>
                    <w:adjustRightInd w:val="0"/>
                    <w:spacing w:line="240" w:lineRule="auto"/>
                    <w:jc w:val="center"/>
                    <w:rPr>
                      <w:rFonts w:hint="default" w:eastAsia="宋体"/>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63</w:t>
                  </w:r>
                </w:p>
              </w:tc>
              <w:tc>
                <w:tcPr>
                  <w:tcW w:w="506" w:type="pct"/>
                  <w:vAlign w:val="center"/>
                </w:tcPr>
                <w:p w14:paraId="25C62F4D">
                  <w:pPr>
                    <w:adjustRightInd w:val="0"/>
                    <w:spacing w:line="240" w:lineRule="auto"/>
                    <w:jc w:val="center"/>
                    <w:rPr>
                      <w:rFonts w:hint="default" w:eastAsia="宋体"/>
                      <w:color w:val="auto"/>
                      <w:kern w:val="0"/>
                      <w:sz w:val="21"/>
                      <w:szCs w:val="21"/>
                      <w:lang w:val="en-US" w:eastAsia="zh-CN"/>
                    </w:rPr>
                  </w:pPr>
                  <w:r>
                    <w:rPr>
                      <w:rFonts w:hint="eastAsia" w:cs="Times New Roman"/>
                      <w:color w:val="auto"/>
                      <w:kern w:val="0"/>
                      <w:sz w:val="21"/>
                      <w:szCs w:val="21"/>
                      <w:lang w:val="en-US" w:eastAsia="zh-CN"/>
                    </w:rPr>
                    <w:t>5.25</w:t>
                  </w:r>
                </w:p>
              </w:tc>
            </w:tr>
          </w:tbl>
          <w:p w14:paraId="6C8D0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b/>
                <w:color w:val="auto"/>
                <w:kern w:val="0"/>
                <w:sz w:val="21"/>
                <w:szCs w:val="21"/>
              </w:rPr>
            </w:pPr>
          </w:p>
          <w:p w14:paraId="73B21A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b/>
                <w:color w:val="auto"/>
                <w:kern w:val="0"/>
                <w:sz w:val="21"/>
                <w:szCs w:val="21"/>
              </w:rPr>
            </w:pPr>
            <w:r>
              <w:rPr>
                <w:rFonts w:hint="eastAsia" w:hAnsi="宋体"/>
                <w:b/>
                <w:color w:val="auto"/>
                <w:kern w:val="0"/>
                <w:sz w:val="21"/>
                <w:szCs w:val="21"/>
              </w:rPr>
              <w:t>表4-</w:t>
            </w:r>
            <w:r>
              <w:rPr>
                <w:rFonts w:hint="eastAsia" w:hAnsi="宋体"/>
                <w:b/>
                <w:color w:val="auto"/>
                <w:kern w:val="0"/>
                <w:sz w:val="21"/>
                <w:szCs w:val="21"/>
                <w:lang w:val="en-US" w:eastAsia="zh-CN"/>
              </w:rPr>
              <w:t xml:space="preserve">3 </w:t>
            </w:r>
            <w:r>
              <w:rPr>
                <w:rFonts w:hint="eastAsia" w:hAnsi="宋体"/>
                <w:b/>
                <w:color w:val="auto"/>
                <w:kern w:val="0"/>
                <w:sz w:val="21"/>
                <w:szCs w:val="21"/>
                <w:lang w:eastAsia="zh-CN"/>
              </w:rPr>
              <w:t>项目无组织废气产排</w:t>
            </w:r>
            <w:r>
              <w:rPr>
                <w:rFonts w:hint="eastAsia" w:hAnsi="宋体"/>
                <w:b/>
                <w:color w:val="auto"/>
                <w:kern w:val="0"/>
                <w:sz w:val="21"/>
                <w:szCs w:val="21"/>
              </w:rPr>
              <w:t>情况一览表</w:t>
            </w:r>
          </w:p>
          <w:tbl>
            <w:tblPr>
              <w:tblStyle w:val="29"/>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663"/>
              <w:gridCol w:w="1485"/>
              <w:gridCol w:w="881"/>
              <w:gridCol w:w="1159"/>
              <w:gridCol w:w="840"/>
              <w:gridCol w:w="812"/>
              <w:gridCol w:w="746"/>
              <w:gridCol w:w="685"/>
            </w:tblGrid>
            <w:tr w14:paraId="1355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restart"/>
                  <w:noWrap w:val="0"/>
                  <w:vAlign w:val="center"/>
                </w:tcPr>
                <w:p w14:paraId="2870747E">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污染源</w:t>
                  </w:r>
                </w:p>
              </w:tc>
              <w:tc>
                <w:tcPr>
                  <w:tcW w:w="936" w:type="pct"/>
                  <w:vMerge w:val="restart"/>
                  <w:noWrap w:val="0"/>
                  <w:vAlign w:val="center"/>
                </w:tcPr>
                <w:p w14:paraId="4E37AB78">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Times New Roman" w:hAnsi="Times New Roman" w:eastAsia="宋体" w:cs="Times New Roman"/>
                      <w:color w:val="auto"/>
                      <w:kern w:val="0"/>
                      <w:sz w:val="21"/>
                      <w:szCs w:val="21"/>
                      <w:lang w:val="en-US" w:eastAsia="zh-CN" w:bidi="ar-SA"/>
                    </w:rPr>
                  </w:pPr>
                  <w:r>
                    <w:rPr>
                      <w:rFonts w:hint="eastAsia" w:eastAsia="宋体"/>
                      <w:color w:val="auto"/>
                      <w:kern w:val="0"/>
                      <w:sz w:val="21"/>
                      <w:szCs w:val="21"/>
                      <w:lang w:eastAsia="zh-CN"/>
                    </w:rPr>
                    <w:t>污染工序</w:t>
                  </w:r>
                </w:p>
              </w:tc>
              <w:tc>
                <w:tcPr>
                  <w:tcW w:w="836" w:type="pct"/>
                  <w:vMerge w:val="restart"/>
                  <w:noWrap w:val="0"/>
                  <w:vAlign w:val="center"/>
                </w:tcPr>
                <w:p w14:paraId="2D34C883">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w:t>
                  </w:r>
                </w:p>
              </w:tc>
              <w:tc>
                <w:tcPr>
                  <w:tcW w:w="496" w:type="pct"/>
                  <w:vMerge w:val="restart"/>
                  <w:noWrap w:val="0"/>
                  <w:vAlign w:val="center"/>
                </w:tcPr>
                <w:p w14:paraId="57191961">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产生</w:t>
                  </w:r>
                  <w:r>
                    <w:rPr>
                      <w:rFonts w:hint="default" w:ascii="Times New Roman" w:hAnsi="Times New Roman" w:eastAsia="宋体" w:cs="Times New Roman"/>
                      <w:color w:val="auto"/>
                      <w:kern w:val="0"/>
                      <w:sz w:val="21"/>
                      <w:szCs w:val="21"/>
                      <w:lang w:val="en-US" w:eastAsia="zh-CN" w:bidi="ar-SA"/>
                    </w:rPr>
                    <w:t>量（t/a）</w:t>
                  </w:r>
                </w:p>
              </w:tc>
              <w:tc>
                <w:tcPr>
                  <w:tcW w:w="652" w:type="pct"/>
                  <w:vMerge w:val="restart"/>
                  <w:noWrap w:val="0"/>
                  <w:vAlign w:val="center"/>
                </w:tcPr>
                <w:p w14:paraId="62917FA9">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治理措施</w:t>
                  </w:r>
                </w:p>
              </w:tc>
              <w:tc>
                <w:tcPr>
                  <w:tcW w:w="473" w:type="pct"/>
                  <w:vMerge w:val="restart"/>
                  <w:noWrap w:val="0"/>
                  <w:vAlign w:val="center"/>
                </w:tcPr>
                <w:p w14:paraId="4961D95E">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排放量（t/a）</w:t>
                  </w:r>
                </w:p>
              </w:tc>
              <w:tc>
                <w:tcPr>
                  <w:tcW w:w="457" w:type="pct"/>
                  <w:vMerge w:val="restart"/>
                  <w:noWrap w:val="0"/>
                  <w:vAlign w:val="center"/>
                </w:tcPr>
                <w:p w14:paraId="0FD26FE8">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w:t>
                  </w:r>
                  <w:r>
                    <w:rPr>
                      <w:rFonts w:hint="eastAsia" w:eastAsia="宋体" w:cs="Times New Roman"/>
                      <w:color w:val="auto"/>
                      <w:kern w:val="0"/>
                      <w:sz w:val="21"/>
                      <w:szCs w:val="21"/>
                      <w:lang w:val="en-US" w:eastAsia="zh-CN" w:bidi="ar-SA"/>
                    </w:rPr>
                    <w:t>速率</w:t>
                  </w:r>
                  <w:r>
                    <w:rPr>
                      <w:rFonts w:hint="default" w:ascii="Times New Roman" w:hAnsi="Times New Roman" w:eastAsia="宋体" w:cs="Times New Roman"/>
                      <w:color w:val="auto"/>
                      <w:kern w:val="0"/>
                      <w:sz w:val="21"/>
                      <w:szCs w:val="21"/>
                      <w:lang w:val="en-US" w:eastAsia="zh-CN" w:bidi="ar-SA"/>
                    </w:rPr>
                    <w:t>（</w:t>
                  </w:r>
                  <w:r>
                    <w:rPr>
                      <w:rFonts w:hint="eastAsia"/>
                      <w:color w:val="auto"/>
                      <w:kern w:val="0"/>
                      <w:sz w:val="21"/>
                      <w:szCs w:val="21"/>
                    </w:rPr>
                    <w:t>kg/h</w:t>
                  </w:r>
                  <w:r>
                    <w:rPr>
                      <w:rFonts w:hint="default" w:ascii="Times New Roman" w:hAnsi="Times New Roman" w:eastAsia="宋体" w:cs="Times New Roman"/>
                      <w:color w:val="auto"/>
                      <w:kern w:val="0"/>
                      <w:sz w:val="21"/>
                      <w:szCs w:val="21"/>
                      <w:lang w:val="en-US" w:eastAsia="zh-CN" w:bidi="ar-SA"/>
                    </w:rPr>
                    <w:t>）</w:t>
                  </w:r>
                </w:p>
              </w:tc>
              <w:tc>
                <w:tcPr>
                  <w:tcW w:w="806" w:type="pct"/>
                  <w:gridSpan w:val="2"/>
                  <w:noWrap w:val="0"/>
                  <w:vAlign w:val="center"/>
                </w:tcPr>
                <w:p w14:paraId="0C4BB682">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面源参数</w:t>
                  </w:r>
                </w:p>
              </w:tc>
            </w:tr>
            <w:tr w14:paraId="03F7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4D1B74ED">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936" w:type="pct"/>
                  <w:vMerge w:val="continue"/>
                  <w:noWrap w:val="0"/>
                  <w:vAlign w:val="center"/>
                </w:tcPr>
                <w:p w14:paraId="606B8BFC">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836" w:type="pct"/>
                  <w:vMerge w:val="continue"/>
                  <w:noWrap w:val="0"/>
                  <w:vAlign w:val="center"/>
                </w:tcPr>
                <w:p w14:paraId="20A88037">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96" w:type="pct"/>
                  <w:vMerge w:val="continue"/>
                  <w:noWrap w:val="0"/>
                  <w:vAlign w:val="center"/>
                </w:tcPr>
                <w:p w14:paraId="7AA541C5">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652" w:type="pct"/>
                  <w:vMerge w:val="continue"/>
                  <w:noWrap w:val="0"/>
                  <w:vAlign w:val="center"/>
                </w:tcPr>
                <w:p w14:paraId="136A6F6B">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73" w:type="pct"/>
                  <w:vMerge w:val="continue"/>
                  <w:noWrap w:val="0"/>
                  <w:vAlign w:val="center"/>
                </w:tcPr>
                <w:p w14:paraId="6E5828AF">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57" w:type="pct"/>
                  <w:vMerge w:val="continue"/>
                  <w:noWrap w:val="0"/>
                  <w:vAlign w:val="center"/>
                </w:tcPr>
                <w:p w14:paraId="6ECECFB2">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20" w:type="pct"/>
                  <w:noWrap w:val="0"/>
                  <w:vAlign w:val="center"/>
                </w:tcPr>
                <w:p w14:paraId="3525E701">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面积（m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w:t>
                  </w:r>
                </w:p>
              </w:tc>
              <w:tc>
                <w:tcPr>
                  <w:tcW w:w="385" w:type="pct"/>
                  <w:noWrap w:val="0"/>
                  <w:vAlign w:val="center"/>
                </w:tcPr>
                <w:p w14:paraId="56E86028">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高度（m）</w:t>
                  </w:r>
                </w:p>
              </w:tc>
            </w:tr>
            <w:tr w14:paraId="738C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restart"/>
                  <w:noWrap w:val="0"/>
                  <w:vAlign w:val="center"/>
                </w:tcPr>
                <w:p w14:paraId="1C2BCD15">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生产车间</w:t>
                  </w:r>
                </w:p>
              </w:tc>
              <w:tc>
                <w:tcPr>
                  <w:tcW w:w="936" w:type="pct"/>
                  <w:noWrap w:val="0"/>
                  <w:vAlign w:val="center"/>
                </w:tcPr>
                <w:p w14:paraId="3D975D23">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挤出、注塑废气</w:t>
                  </w:r>
                </w:p>
              </w:tc>
              <w:tc>
                <w:tcPr>
                  <w:tcW w:w="836" w:type="pct"/>
                  <w:noWrap w:val="0"/>
                  <w:vAlign w:val="center"/>
                </w:tcPr>
                <w:p w14:paraId="4E96FFFA">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非甲烷总烃</w:t>
                  </w:r>
                </w:p>
              </w:tc>
              <w:tc>
                <w:tcPr>
                  <w:tcW w:w="496" w:type="pct"/>
                  <w:noWrap w:val="0"/>
                  <w:vAlign w:val="center"/>
                </w:tcPr>
                <w:p w14:paraId="6E7335D0">
                  <w:pPr>
                    <w:adjustRightInd w:val="0"/>
                    <w:spacing w:line="240" w:lineRule="auto"/>
                    <w:jc w:val="center"/>
                    <w:rPr>
                      <w:rFonts w:hint="default"/>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504</w:t>
                  </w:r>
                </w:p>
              </w:tc>
              <w:tc>
                <w:tcPr>
                  <w:tcW w:w="652" w:type="pct"/>
                  <w:vMerge w:val="restart"/>
                  <w:noWrap w:val="0"/>
                  <w:vAlign w:val="center"/>
                </w:tcPr>
                <w:p w14:paraId="1AB75A0A">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olor w:val="auto"/>
                      <w:kern w:val="0"/>
                      <w:sz w:val="21"/>
                      <w:szCs w:val="21"/>
                      <w:lang w:eastAsia="zh-CN"/>
                    </w:rPr>
                  </w:pPr>
                  <w:r>
                    <w:rPr>
                      <w:rFonts w:hint="eastAsia" w:cs="Times New Roman"/>
                      <w:color w:val="auto"/>
                      <w:kern w:val="0"/>
                      <w:sz w:val="21"/>
                      <w:szCs w:val="21"/>
                      <w:lang w:val="en-US" w:eastAsia="zh-CN" w:bidi="ar-SA"/>
                    </w:rPr>
                    <w:t>封闭车间，加强废气收集效率，设置防尘帘</w:t>
                  </w:r>
                </w:p>
              </w:tc>
              <w:tc>
                <w:tcPr>
                  <w:tcW w:w="473" w:type="pct"/>
                  <w:noWrap w:val="0"/>
                  <w:vAlign w:val="center"/>
                </w:tcPr>
                <w:p w14:paraId="77827320">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r>
                    <w:rPr>
                      <w:rFonts w:hint="eastAsia" w:cs="Times New Roman"/>
                      <w:color w:val="auto"/>
                      <w:kern w:val="0"/>
                      <w:sz w:val="21"/>
                      <w:szCs w:val="21"/>
                      <w:lang w:val="en-US" w:eastAsia="zh-CN" w:bidi="ar-SA"/>
                    </w:rPr>
                    <w:t>504</w:t>
                  </w:r>
                </w:p>
              </w:tc>
              <w:tc>
                <w:tcPr>
                  <w:tcW w:w="457" w:type="pct"/>
                  <w:noWrap w:val="0"/>
                  <w:vAlign w:val="center"/>
                </w:tcPr>
                <w:p w14:paraId="72B07719">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w:t>
                  </w:r>
                  <w:r>
                    <w:rPr>
                      <w:rFonts w:hint="eastAsia" w:cs="Times New Roman"/>
                      <w:color w:val="auto"/>
                      <w:kern w:val="0"/>
                      <w:sz w:val="21"/>
                      <w:szCs w:val="21"/>
                      <w:lang w:val="en-US" w:eastAsia="zh-CN" w:bidi="ar-SA"/>
                    </w:rPr>
                    <w:t>7</w:t>
                  </w:r>
                </w:p>
              </w:tc>
              <w:tc>
                <w:tcPr>
                  <w:tcW w:w="420" w:type="pct"/>
                  <w:vMerge w:val="restart"/>
                  <w:noWrap w:val="0"/>
                  <w:vAlign w:val="center"/>
                </w:tcPr>
                <w:p w14:paraId="044547B3">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18201.93</w:t>
                  </w:r>
                </w:p>
              </w:tc>
              <w:tc>
                <w:tcPr>
                  <w:tcW w:w="385" w:type="pct"/>
                  <w:vMerge w:val="restart"/>
                  <w:noWrap w:val="0"/>
                  <w:vAlign w:val="center"/>
                </w:tcPr>
                <w:p w14:paraId="5BF14372">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11.15</w:t>
                  </w:r>
                </w:p>
              </w:tc>
            </w:tr>
            <w:tr w14:paraId="5EA5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0B6D0C81">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Times New Roman" w:hAnsi="Times New Roman" w:eastAsia="宋体" w:cs="Times New Roman"/>
                      <w:color w:val="auto"/>
                      <w:kern w:val="0"/>
                      <w:sz w:val="21"/>
                      <w:szCs w:val="21"/>
                      <w:lang w:val="en-US" w:eastAsia="zh-CN" w:bidi="ar-SA"/>
                    </w:rPr>
                  </w:pPr>
                </w:p>
              </w:tc>
              <w:tc>
                <w:tcPr>
                  <w:tcW w:w="936" w:type="pct"/>
                  <w:noWrap w:val="0"/>
                  <w:vAlign w:val="center"/>
                </w:tcPr>
                <w:p w14:paraId="1F5415D5">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焊接废气</w:t>
                  </w:r>
                </w:p>
              </w:tc>
              <w:tc>
                <w:tcPr>
                  <w:tcW w:w="836" w:type="pct"/>
                  <w:noWrap w:val="0"/>
                  <w:vAlign w:val="center"/>
                </w:tcPr>
                <w:p w14:paraId="14894822">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非甲烷总烃</w:t>
                  </w:r>
                </w:p>
              </w:tc>
              <w:tc>
                <w:tcPr>
                  <w:tcW w:w="496" w:type="pct"/>
                  <w:noWrap w:val="0"/>
                  <w:vAlign w:val="center"/>
                </w:tcPr>
                <w:p w14:paraId="789674AF">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w:t>
                  </w:r>
                  <w:r>
                    <w:rPr>
                      <w:rFonts w:hint="eastAsia" w:cs="Times New Roman"/>
                      <w:color w:val="auto"/>
                      <w:kern w:val="0"/>
                      <w:sz w:val="21"/>
                      <w:szCs w:val="21"/>
                      <w:lang w:val="en-US" w:eastAsia="zh-CN"/>
                    </w:rPr>
                    <w:t>13</w:t>
                  </w:r>
                </w:p>
              </w:tc>
              <w:tc>
                <w:tcPr>
                  <w:tcW w:w="652" w:type="pct"/>
                  <w:vMerge w:val="continue"/>
                  <w:noWrap w:val="0"/>
                  <w:vAlign w:val="center"/>
                </w:tcPr>
                <w:p w14:paraId="536C350C">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olor w:val="auto"/>
                      <w:kern w:val="0"/>
                      <w:sz w:val="21"/>
                      <w:szCs w:val="21"/>
                      <w:lang w:eastAsia="zh-CN"/>
                    </w:rPr>
                  </w:pPr>
                </w:p>
              </w:tc>
              <w:tc>
                <w:tcPr>
                  <w:tcW w:w="473" w:type="pct"/>
                  <w:noWrap w:val="0"/>
                  <w:vAlign w:val="center"/>
                </w:tcPr>
                <w:p w14:paraId="618ECF86">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w:t>
                  </w:r>
                  <w:r>
                    <w:rPr>
                      <w:rFonts w:hint="eastAsia" w:cs="Times New Roman"/>
                      <w:color w:val="auto"/>
                      <w:kern w:val="0"/>
                      <w:sz w:val="21"/>
                      <w:szCs w:val="21"/>
                      <w:lang w:val="en-US" w:eastAsia="zh-CN" w:bidi="ar-SA"/>
                    </w:rPr>
                    <w:t>13</w:t>
                  </w:r>
                </w:p>
              </w:tc>
              <w:tc>
                <w:tcPr>
                  <w:tcW w:w="457" w:type="pct"/>
                  <w:noWrap w:val="0"/>
                  <w:vAlign w:val="center"/>
                </w:tcPr>
                <w:p w14:paraId="79E92E0A">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w:t>
                  </w:r>
                  <w:r>
                    <w:rPr>
                      <w:rFonts w:hint="eastAsia" w:ascii="Times New Roman" w:hAnsi="Times New Roman" w:eastAsia="宋体" w:cs="Times New Roman"/>
                      <w:color w:val="auto"/>
                      <w:kern w:val="0"/>
                      <w:sz w:val="21"/>
                      <w:szCs w:val="21"/>
                      <w:lang w:val="en-US" w:eastAsia="zh-CN" w:bidi="ar-SA"/>
                    </w:rPr>
                    <w:t>0</w:t>
                  </w:r>
                  <w:r>
                    <w:rPr>
                      <w:rFonts w:hint="eastAsia" w:cs="Times New Roman"/>
                      <w:color w:val="auto"/>
                      <w:kern w:val="0"/>
                      <w:sz w:val="21"/>
                      <w:szCs w:val="21"/>
                      <w:lang w:val="en-US" w:eastAsia="zh-CN" w:bidi="ar-SA"/>
                    </w:rPr>
                    <w:t>18</w:t>
                  </w:r>
                </w:p>
              </w:tc>
              <w:tc>
                <w:tcPr>
                  <w:tcW w:w="420" w:type="pct"/>
                  <w:vMerge w:val="continue"/>
                  <w:noWrap w:val="0"/>
                  <w:vAlign w:val="center"/>
                </w:tcPr>
                <w:p w14:paraId="620CC334">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b w:val="0"/>
                      <w:bCs/>
                      <w:color w:val="auto"/>
                      <w:sz w:val="21"/>
                      <w:szCs w:val="21"/>
                      <w:vertAlign w:val="baseline"/>
                      <w:lang w:val="en-US" w:eastAsia="zh-CN"/>
                    </w:rPr>
                  </w:pPr>
                </w:p>
              </w:tc>
              <w:tc>
                <w:tcPr>
                  <w:tcW w:w="385" w:type="pct"/>
                  <w:vMerge w:val="continue"/>
                  <w:noWrap w:val="0"/>
                  <w:vAlign w:val="center"/>
                </w:tcPr>
                <w:p w14:paraId="140004F3">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6B45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45C3E307">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Times New Roman" w:hAnsi="Times New Roman" w:eastAsia="宋体" w:cs="Times New Roman"/>
                      <w:color w:val="auto"/>
                      <w:kern w:val="0"/>
                      <w:sz w:val="21"/>
                      <w:szCs w:val="21"/>
                      <w:lang w:val="en-US" w:eastAsia="zh-CN" w:bidi="ar-SA"/>
                    </w:rPr>
                  </w:pPr>
                </w:p>
              </w:tc>
              <w:tc>
                <w:tcPr>
                  <w:tcW w:w="936" w:type="pct"/>
                  <w:noWrap w:val="0"/>
                  <w:vAlign w:val="center"/>
                </w:tcPr>
                <w:p w14:paraId="57F946E1">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破碎粉尘</w:t>
                  </w:r>
                </w:p>
              </w:tc>
              <w:tc>
                <w:tcPr>
                  <w:tcW w:w="836" w:type="pct"/>
                  <w:noWrap w:val="0"/>
                  <w:vAlign w:val="center"/>
                </w:tcPr>
                <w:p w14:paraId="67CF4E86">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颗粒物</w:t>
                  </w:r>
                </w:p>
              </w:tc>
              <w:tc>
                <w:tcPr>
                  <w:tcW w:w="496" w:type="pct"/>
                  <w:noWrap w:val="0"/>
                  <w:vAlign w:val="center"/>
                </w:tcPr>
                <w:p w14:paraId="14A177EA">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0.045</w:t>
                  </w:r>
                </w:p>
              </w:tc>
              <w:tc>
                <w:tcPr>
                  <w:tcW w:w="652" w:type="pct"/>
                  <w:vMerge w:val="continue"/>
                  <w:noWrap w:val="0"/>
                  <w:vAlign w:val="center"/>
                </w:tcPr>
                <w:p w14:paraId="2C0E21F2">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olor w:val="auto"/>
                      <w:kern w:val="0"/>
                      <w:sz w:val="21"/>
                      <w:szCs w:val="21"/>
                      <w:lang w:eastAsia="zh-CN"/>
                    </w:rPr>
                  </w:pPr>
                </w:p>
              </w:tc>
              <w:tc>
                <w:tcPr>
                  <w:tcW w:w="473" w:type="pct"/>
                  <w:noWrap w:val="0"/>
                  <w:vAlign w:val="center"/>
                </w:tcPr>
                <w:p w14:paraId="5E084287">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0.009</w:t>
                  </w:r>
                </w:p>
              </w:tc>
              <w:tc>
                <w:tcPr>
                  <w:tcW w:w="457" w:type="pct"/>
                  <w:noWrap w:val="0"/>
                  <w:vAlign w:val="center"/>
                </w:tcPr>
                <w:p w14:paraId="2DA6381C">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0.015</w:t>
                  </w:r>
                </w:p>
              </w:tc>
              <w:tc>
                <w:tcPr>
                  <w:tcW w:w="420" w:type="pct"/>
                  <w:vMerge w:val="continue"/>
                  <w:noWrap w:val="0"/>
                  <w:vAlign w:val="center"/>
                </w:tcPr>
                <w:p w14:paraId="337637AC">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b w:val="0"/>
                      <w:bCs/>
                      <w:color w:val="auto"/>
                      <w:sz w:val="21"/>
                      <w:szCs w:val="21"/>
                      <w:vertAlign w:val="baseline"/>
                      <w:lang w:val="en-US" w:eastAsia="zh-CN"/>
                    </w:rPr>
                  </w:pPr>
                </w:p>
              </w:tc>
              <w:tc>
                <w:tcPr>
                  <w:tcW w:w="385" w:type="pct"/>
                  <w:vMerge w:val="continue"/>
                  <w:noWrap w:val="0"/>
                  <w:vAlign w:val="center"/>
                </w:tcPr>
                <w:p w14:paraId="54A84266">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bl>
          <w:p w14:paraId="4E4C9E2D">
            <w:pPr>
              <w:spacing w:line="240" w:lineRule="auto"/>
              <w:jc w:val="center"/>
              <w:rPr>
                <w:rFonts w:hint="default" w:ascii="Times New Roman" w:hAnsi="Times New Roman" w:eastAsia="宋体" w:cs="Times New Roman"/>
                <w:b/>
                <w:bCs/>
                <w:color w:val="auto"/>
                <w:sz w:val="21"/>
                <w:szCs w:val="21"/>
              </w:rPr>
            </w:pPr>
          </w:p>
          <w:p w14:paraId="55D5521B">
            <w:pPr>
              <w:spacing w:line="240" w:lineRule="auto"/>
              <w:jc w:val="center"/>
              <w:rPr>
                <w:rFonts w:hint="default" w:ascii="Times New Roman" w:hAnsi="Times New Roman" w:eastAsia="宋体" w:cs="Times New Roman"/>
                <w:b/>
                <w:bCs/>
                <w:color w:val="auto"/>
                <w:sz w:val="21"/>
                <w:szCs w:val="21"/>
              </w:rPr>
            </w:pPr>
          </w:p>
          <w:p w14:paraId="3BDBC7DC">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项目废气治理设施一览表</w:t>
            </w:r>
          </w:p>
          <w:tbl>
            <w:tblPr>
              <w:tblStyle w:val="29"/>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707"/>
              <w:gridCol w:w="720"/>
              <w:gridCol w:w="1230"/>
              <w:gridCol w:w="660"/>
              <w:gridCol w:w="900"/>
              <w:gridCol w:w="885"/>
              <w:gridCol w:w="2833"/>
            </w:tblGrid>
            <w:tr w14:paraId="2E01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noWrap w:val="0"/>
                  <w:vAlign w:val="center"/>
                </w:tcPr>
                <w:p w14:paraId="28466B39">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color w:val="auto"/>
                      <w:kern w:val="0"/>
                      <w:sz w:val="21"/>
                      <w:szCs w:val="21"/>
                    </w:rPr>
                    <w:t>产</w:t>
                  </w:r>
                  <w:r>
                    <w:rPr>
                      <w:rFonts w:hint="eastAsia"/>
                      <w:color w:val="auto"/>
                      <w:kern w:val="0"/>
                      <w:sz w:val="21"/>
                      <w:szCs w:val="21"/>
                      <w:lang w:eastAsia="zh-CN"/>
                    </w:rPr>
                    <w:t>排</w:t>
                  </w:r>
                  <w:r>
                    <w:rPr>
                      <w:color w:val="auto"/>
                      <w:kern w:val="0"/>
                      <w:sz w:val="21"/>
                      <w:szCs w:val="21"/>
                    </w:rPr>
                    <w:t>污环节</w:t>
                  </w:r>
                </w:p>
              </w:tc>
              <w:tc>
                <w:tcPr>
                  <w:tcW w:w="396" w:type="pct"/>
                  <w:noWrap w:val="0"/>
                  <w:vAlign w:val="center"/>
                </w:tcPr>
                <w:p w14:paraId="5CA1A89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eastAsia="宋体"/>
                      <w:color w:val="auto"/>
                      <w:kern w:val="0"/>
                      <w:sz w:val="21"/>
                      <w:szCs w:val="21"/>
                      <w:lang w:eastAsia="zh-CN"/>
                    </w:rPr>
                    <w:t>污染物</w:t>
                  </w:r>
                </w:p>
              </w:tc>
              <w:tc>
                <w:tcPr>
                  <w:tcW w:w="403" w:type="pct"/>
                  <w:noWrap w:val="0"/>
                  <w:vAlign w:val="center"/>
                </w:tcPr>
                <w:p w14:paraId="39834021">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排气筒编号</w:t>
                  </w:r>
                </w:p>
              </w:tc>
              <w:tc>
                <w:tcPr>
                  <w:tcW w:w="689" w:type="pct"/>
                  <w:noWrap w:val="0"/>
                  <w:vAlign w:val="center"/>
                </w:tcPr>
                <w:p w14:paraId="7EF9D26A">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治理措施</w:t>
                  </w:r>
                </w:p>
              </w:tc>
              <w:tc>
                <w:tcPr>
                  <w:tcW w:w="370" w:type="pct"/>
                  <w:noWrap w:val="0"/>
                  <w:vAlign w:val="center"/>
                </w:tcPr>
                <w:p w14:paraId="30CCFB69">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收集效率%</w:t>
                  </w:r>
                </w:p>
              </w:tc>
              <w:tc>
                <w:tcPr>
                  <w:tcW w:w="504" w:type="pct"/>
                  <w:noWrap w:val="0"/>
                  <w:vAlign w:val="center"/>
                </w:tcPr>
                <w:p w14:paraId="7D69AC57">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治理工艺去除率%</w:t>
                  </w:r>
                </w:p>
              </w:tc>
              <w:tc>
                <w:tcPr>
                  <w:tcW w:w="496" w:type="pct"/>
                  <w:noWrap w:val="0"/>
                  <w:vAlign w:val="center"/>
                </w:tcPr>
                <w:p w14:paraId="3A258FB9">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是否为可行技术</w:t>
                  </w:r>
                </w:p>
              </w:tc>
              <w:tc>
                <w:tcPr>
                  <w:tcW w:w="1588" w:type="pct"/>
                  <w:noWrap w:val="0"/>
                  <w:vAlign w:val="center"/>
                </w:tcPr>
                <w:p w14:paraId="6AF77B97">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排放标准</w:t>
                  </w:r>
                </w:p>
              </w:tc>
            </w:tr>
            <w:tr w14:paraId="2FD3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noWrap w:val="0"/>
                  <w:vAlign w:val="center"/>
                </w:tcPr>
                <w:p w14:paraId="3CFEFE2B">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eastAsia="zh-CN"/>
                    </w:rPr>
                    <w:t>挤出、注塑废气</w:t>
                  </w:r>
                </w:p>
              </w:tc>
              <w:tc>
                <w:tcPr>
                  <w:tcW w:w="396" w:type="pct"/>
                  <w:noWrap w:val="0"/>
                  <w:vAlign w:val="center"/>
                </w:tcPr>
                <w:p w14:paraId="72C88D8C">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eastAsia="zh-CN"/>
                    </w:rPr>
                    <w:t>非甲烷总烃</w:t>
                  </w:r>
                </w:p>
              </w:tc>
              <w:tc>
                <w:tcPr>
                  <w:tcW w:w="403" w:type="pct"/>
                  <w:noWrap w:val="0"/>
                  <w:vAlign w:val="center"/>
                </w:tcPr>
                <w:p w14:paraId="4F97F88D">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DA001</w:t>
                  </w:r>
                </w:p>
              </w:tc>
              <w:tc>
                <w:tcPr>
                  <w:tcW w:w="689" w:type="pct"/>
                  <w:noWrap w:val="0"/>
                  <w:vAlign w:val="center"/>
                </w:tcPr>
                <w:p w14:paraId="5E2F4FD2">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val="en-US" w:eastAsia="zh-CN"/>
                    </w:rPr>
                    <w:t>二级活性炭吸附+1根20m高排气筒（DA001）</w:t>
                  </w:r>
                </w:p>
              </w:tc>
              <w:tc>
                <w:tcPr>
                  <w:tcW w:w="370" w:type="pct"/>
                  <w:noWrap w:val="0"/>
                  <w:vAlign w:val="center"/>
                </w:tcPr>
                <w:p w14:paraId="249D067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504" w:type="pct"/>
                  <w:noWrap w:val="0"/>
                  <w:vAlign w:val="center"/>
                </w:tcPr>
                <w:p w14:paraId="48C9710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90</w:t>
                  </w:r>
                </w:p>
              </w:tc>
              <w:tc>
                <w:tcPr>
                  <w:tcW w:w="496" w:type="pct"/>
                  <w:noWrap w:val="0"/>
                  <w:vAlign w:val="center"/>
                </w:tcPr>
                <w:p w14:paraId="2FCED91B">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1588" w:type="pct"/>
                  <w:noWrap w:val="0"/>
                  <w:vAlign w:val="center"/>
                </w:tcPr>
                <w:p w14:paraId="08931663">
                  <w:pPr>
                    <w:pStyle w:val="54"/>
                    <w:adjustRightInd w:val="0"/>
                    <w:snapToGrid w:val="0"/>
                    <w:spacing w:after="0"/>
                    <w:ind w:firstLine="0" w:firstLineChars="0"/>
                    <w:jc w:val="center"/>
                    <w:rPr>
                      <w:color w:val="auto"/>
                      <w:sz w:val="21"/>
                      <w:szCs w:val="21"/>
                    </w:rPr>
                  </w:pPr>
                  <w:r>
                    <w:rPr>
                      <w:rFonts w:hint="eastAsia"/>
                      <w:bCs/>
                      <w:color w:val="auto"/>
                      <w:sz w:val="21"/>
                      <w:szCs w:val="21"/>
                      <w:lang w:eastAsia="zh-CN"/>
                    </w:rPr>
                    <w:t>《</w:t>
                  </w:r>
                  <w:r>
                    <w:rPr>
                      <w:color w:val="auto"/>
                      <w:sz w:val="21"/>
                      <w:szCs w:val="21"/>
                    </w:rPr>
                    <w:t>合成树脂工业污染物排放标准》（GB31572-2015）</w:t>
                  </w:r>
                </w:p>
                <w:p w14:paraId="21F0935A">
                  <w:pPr>
                    <w:pStyle w:val="54"/>
                    <w:adjustRightInd w:val="0"/>
                    <w:snapToGrid w:val="0"/>
                    <w:spacing w:after="0"/>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bCs/>
                      <w:color w:val="auto"/>
                      <w:sz w:val="21"/>
                      <w:szCs w:val="21"/>
                      <w:lang w:eastAsia="zh-CN"/>
                    </w:rPr>
                    <w:t>《</w:t>
                  </w:r>
                  <w:r>
                    <w:rPr>
                      <w:rFonts w:hint="eastAsia"/>
                      <w:bCs/>
                      <w:color w:val="auto"/>
                      <w:sz w:val="21"/>
                      <w:szCs w:val="21"/>
                      <w:lang w:val="en-US" w:eastAsia="zh-CN"/>
                    </w:rPr>
                    <w:t>固定源挥发性有机物综合排放标准 第6部分：其他行业</w:t>
                  </w:r>
                  <w:r>
                    <w:rPr>
                      <w:rFonts w:hint="eastAsia"/>
                      <w:bCs/>
                      <w:color w:val="auto"/>
                      <w:sz w:val="21"/>
                      <w:szCs w:val="21"/>
                      <w:lang w:eastAsia="zh-CN"/>
                    </w:rPr>
                    <w:t>》（</w:t>
                  </w:r>
                  <w:r>
                    <w:rPr>
                      <w:rFonts w:hint="eastAsia"/>
                      <w:bCs/>
                      <w:color w:val="auto"/>
                      <w:sz w:val="21"/>
                      <w:szCs w:val="21"/>
                      <w:lang w:val="en-US" w:eastAsia="zh-CN"/>
                    </w:rPr>
                    <w:t>DB34/4812.6-2024)</w:t>
                  </w:r>
                </w:p>
              </w:tc>
            </w:tr>
          </w:tbl>
          <w:p w14:paraId="3F219BA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b/>
                <w:color w:val="auto"/>
                <w:kern w:val="0"/>
                <w:sz w:val="21"/>
                <w:szCs w:val="21"/>
              </w:rPr>
            </w:pPr>
          </w:p>
          <w:p w14:paraId="2D5ED5F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5 </w:t>
            </w:r>
            <w:r>
              <w:rPr>
                <w:rFonts w:hint="eastAsia"/>
                <w:b/>
                <w:color w:val="auto"/>
                <w:kern w:val="0"/>
                <w:sz w:val="21"/>
                <w:szCs w:val="21"/>
              </w:rPr>
              <w:t>排放口基本情况一览表</w:t>
            </w:r>
          </w:p>
          <w:tbl>
            <w:tblPr>
              <w:tblStyle w:val="29"/>
              <w:tblW w:w="891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07"/>
              <w:gridCol w:w="1695"/>
              <w:gridCol w:w="1260"/>
              <w:gridCol w:w="1140"/>
              <w:gridCol w:w="990"/>
              <w:gridCol w:w="945"/>
              <w:gridCol w:w="1005"/>
              <w:gridCol w:w="975"/>
            </w:tblGrid>
            <w:tr w14:paraId="102E63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Merge w:val="restart"/>
                  <w:vAlign w:val="center"/>
                </w:tcPr>
                <w:p w14:paraId="76AC127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695" w:type="dxa"/>
                  <w:vMerge w:val="restart"/>
                  <w:vAlign w:val="center"/>
                </w:tcPr>
                <w:p w14:paraId="2AC6352C">
                  <w:pPr>
                    <w:jc w:val="center"/>
                    <w:rPr>
                      <w:rFonts w:hint="eastAsia" w:ascii="Times New Roman" w:hAnsi="Times New Roman" w:eastAsia="宋体" w:cs="Times New Roman"/>
                      <w:color w:val="auto"/>
                      <w:sz w:val="21"/>
                      <w:szCs w:val="21"/>
                      <w:lang w:eastAsia="zh-CN"/>
                    </w:rPr>
                  </w:pPr>
                  <w:r>
                    <w:rPr>
                      <w:color w:val="auto"/>
                      <w:kern w:val="0"/>
                      <w:sz w:val="21"/>
                      <w:szCs w:val="21"/>
                    </w:rPr>
                    <w:t>产</w:t>
                  </w:r>
                  <w:r>
                    <w:rPr>
                      <w:rFonts w:hint="eastAsia"/>
                      <w:color w:val="auto"/>
                      <w:kern w:val="0"/>
                      <w:sz w:val="21"/>
                      <w:szCs w:val="21"/>
                      <w:lang w:eastAsia="zh-CN"/>
                    </w:rPr>
                    <w:t>排</w:t>
                  </w:r>
                  <w:r>
                    <w:rPr>
                      <w:color w:val="auto"/>
                      <w:kern w:val="0"/>
                      <w:sz w:val="21"/>
                      <w:szCs w:val="21"/>
                    </w:rPr>
                    <w:t>污环节</w:t>
                  </w:r>
                </w:p>
              </w:tc>
              <w:tc>
                <w:tcPr>
                  <w:tcW w:w="2400" w:type="dxa"/>
                  <w:gridSpan w:val="2"/>
                  <w:vAlign w:val="center"/>
                </w:tcPr>
                <w:p w14:paraId="6C8A36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排气筒底部中心坐标</w:t>
                  </w:r>
                </w:p>
              </w:tc>
              <w:tc>
                <w:tcPr>
                  <w:tcW w:w="2940" w:type="dxa"/>
                  <w:gridSpan w:val="3"/>
                  <w:tcBorders>
                    <w:right w:val="single" w:color="auto" w:sz="4" w:space="0"/>
                  </w:tcBorders>
                  <w:vAlign w:val="center"/>
                </w:tcPr>
                <w:p w14:paraId="64DDAC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排气筒参数</w:t>
                  </w:r>
                </w:p>
              </w:tc>
              <w:tc>
                <w:tcPr>
                  <w:tcW w:w="975" w:type="dxa"/>
                  <w:vMerge w:val="restart"/>
                  <w:vAlign w:val="center"/>
                </w:tcPr>
                <w:p w14:paraId="17CDC9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排放口类型</w:t>
                  </w:r>
                </w:p>
              </w:tc>
            </w:tr>
            <w:tr w14:paraId="708B1C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Merge w:val="continue"/>
                  <w:vAlign w:val="center"/>
                </w:tcPr>
                <w:p w14:paraId="41417EE9">
                  <w:pPr>
                    <w:jc w:val="center"/>
                    <w:rPr>
                      <w:rFonts w:hint="default" w:ascii="Times New Roman" w:hAnsi="Times New Roman" w:cs="Times New Roman"/>
                      <w:color w:val="auto"/>
                      <w:sz w:val="21"/>
                      <w:szCs w:val="21"/>
                    </w:rPr>
                  </w:pPr>
                </w:p>
              </w:tc>
              <w:tc>
                <w:tcPr>
                  <w:tcW w:w="1695" w:type="dxa"/>
                  <w:vMerge w:val="continue"/>
                  <w:vAlign w:val="center"/>
                </w:tcPr>
                <w:p w14:paraId="1FA693E7">
                  <w:pPr>
                    <w:jc w:val="center"/>
                    <w:rPr>
                      <w:rFonts w:hint="default" w:ascii="Times New Roman" w:hAnsi="Times New Roman" w:cs="Times New Roman"/>
                      <w:color w:val="auto"/>
                      <w:sz w:val="21"/>
                      <w:szCs w:val="21"/>
                    </w:rPr>
                  </w:pPr>
                </w:p>
              </w:tc>
              <w:tc>
                <w:tcPr>
                  <w:tcW w:w="1260" w:type="dxa"/>
                  <w:vAlign w:val="center"/>
                </w:tcPr>
                <w:p w14:paraId="545EF42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1140" w:type="dxa"/>
                  <w:vAlign w:val="center"/>
                </w:tcPr>
                <w:p w14:paraId="718FDB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990" w:type="dxa"/>
                  <w:vAlign w:val="center"/>
                </w:tcPr>
                <w:p w14:paraId="535A65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高度(m)</w:t>
                  </w:r>
                </w:p>
              </w:tc>
              <w:tc>
                <w:tcPr>
                  <w:tcW w:w="945" w:type="dxa"/>
                  <w:vAlign w:val="center"/>
                </w:tcPr>
                <w:p w14:paraId="45C21F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内径(m)</w:t>
                  </w:r>
                </w:p>
              </w:tc>
              <w:tc>
                <w:tcPr>
                  <w:tcW w:w="1005" w:type="dxa"/>
                  <w:tcBorders>
                    <w:right w:val="single" w:color="auto" w:sz="4" w:space="0"/>
                  </w:tcBorders>
                  <w:vAlign w:val="center"/>
                </w:tcPr>
                <w:p w14:paraId="669045B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w:t>
                  </w:r>
                </w:p>
              </w:tc>
              <w:tc>
                <w:tcPr>
                  <w:tcW w:w="975" w:type="dxa"/>
                  <w:vMerge w:val="continue"/>
                  <w:vAlign w:val="center"/>
                </w:tcPr>
                <w:p w14:paraId="4217B3B3">
                  <w:pPr>
                    <w:jc w:val="center"/>
                    <w:rPr>
                      <w:rFonts w:hint="default" w:ascii="Times New Roman" w:hAnsi="Times New Roman" w:cs="Times New Roman"/>
                      <w:color w:val="auto"/>
                      <w:sz w:val="21"/>
                      <w:szCs w:val="21"/>
                    </w:rPr>
                  </w:pPr>
                </w:p>
              </w:tc>
            </w:tr>
            <w:tr w14:paraId="78B1A4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Align w:val="center"/>
                </w:tcPr>
                <w:p w14:paraId="4E986F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1695" w:type="dxa"/>
                  <w:vAlign w:val="center"/>
                </w:tcPr>
                <w:p w14:paraId="628EE2FB">
                  <w:pPr>
                    <w:adjustRightInd w:val="0"/>
                    <w:spacing w:line="240" w:lineRule="auto"/>
                    <w:jc w:val="center"/>
                    <w:rPr>
                      <w:rFonts w:hint="default" w:ascii="Times New Roman" w:hAnsi="Times New Roman" w:cs="Times New Roman"/>
                      <w:color w:val="auto"/>
                      <w:sz w:val="21"/>
                      <w:szCs w:val="21"/>
                    </w:rPr>
                  </w:pPr>
                  <w:r>
                    <w:rPr>
                      <w:rFonts w:hint="eastAsia"/>
                      <w:color w:val="auto"/>
                      <w:kern w:val="0"/>
                      <w:sz w:val="21"/>
                      <w:szCs w:val="21"/>
                      <w:lang w:eastAsia="zh-CN"/>
                    </w:rPr>
                    <w:t>挤出、注塑废气</w:t>
                  </w:r>
                </w:p>
              </w:tc>
              <w:tc>
                <w:tcPr>
                  <w:tcW w:w="1260" w:type="dxa"/>
                  <w:vAlign w:val="center"/>
                </w:tcPr>
                <w:p w14:paraId="47926B7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117.</w:t>
                  </w:r>
                  <w:r>
                    <w:rPr>
                      <w:rFonts w:hint="eastAsia" w:cs="Times New Roman"/>
                      <w:color w:val="auto"/>
                      <w:sz w:val="21"/>
                      <w:szCs w:val="21"/>
                      <w:lang w:val="en-US" w:eastAsia="zh-CN"/>
                    </w:rPr>
                    <w:t>337609</w:t>
                  </w:r>
                </w:p>
              </w:tc>
              <w:tc>
                <w:tcPr>
                  <w:tcW w:w="1140" w:type="dxa"/>
                  <w:vAlign w:val="center"/>
                </w:tcPr>
                <w:p w14:paraId="25B8242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w:t>
                  </w:r>
                  <w:r>
                    <w:rPr>
                      <w:rFonts w:hint="eastAsia" w:cs="Times New Roman"/>
                      <w:color w:val="auto"/>
                      <w:sz w:val="21"/>
                      <w:szCs w:val="21"/>
                      <w:lang w:val="en-US" w:eastAsia="zh-CN"/>
                    </w:rPr>
                    <w:t>3.266571</w:t>
                  </w:r>
                </w:p>
              </w:tc>
              <w:tc>
                <w:tcPr>
                  <w:tcW w:w="990" w:type="dxa"/>
                  <w:vAlign w:val="center"/>
                </w:tcPr>
                <w:p w14:paraId="1BB3F514">
                  <w:pPr>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20</w:t>
                  </w:r>
                </w:p>
              </w:tc>
              <w:tc>
                <w:tcPr>
                  <w:tcW w:w="945" w:type="dxa"/>
                  <w:vAlign w:val="center"/>
                </w:tcPr>
                <w:p w14:paraId="6A8D431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eastAsia" w:cs="Times New Roman"/>
                      <w:color w:val="auto"/>
                      <w:sz w:val="21"/>
                      <w:szCs w:val="21"/>
                      <w:lang w:val="en-US" w:eastAsia="zh-CN"/>
                    </w:rPr>
                    <w:t>5</w:t>
                  </w:r>
                </w:p>
              </w:tc>
              <w:tc>
                <w:tcPr>
                  <w:tcW w:w="1005" w:type="dxa"/>
                  <w:vAlign w:val="center"/>
                </w:tcPr>
                <w:p w14:paraId="1C57DA4A">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常温</w:t>
                  </w:r>
                </w:p>
              </w:tc>
              <w:tc>
                <w:tcPr>
                  <w:tcW w:w="975" w:type="dxa"/>
                  <w:vAlign w:val="center"/>
                </w:tcPr>
                <w:p w14:paraId="4330374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w:t>
                  </w:r>
                  <w:r>
                    <w:rPr>
                      <w:rFonts w:hint="eastAsia" w:cs="Times New Roman"/>
                      <w:color w:val="auto"/>
                      <w:sz w:val="21"/>
                      <w:szCs w:val="21"/>
                      <w:lang w:eastAsia="zh-CN"/>
                    </w:rPr>
                    <w:t>放</w:t>
                  </w:r>
                  <w:r>
                    <w:rPr>
                      <w:rFonts w:hint="default" w:ascii="Times New Roman" w:hAnsi="Times New Roman" w:cs="Times New Roman"/>
                      <w:color w:val="auto"/>
                      <w:sz w:val="21"/>
                      <w:szCs w:val="21"/>
                    </w:rPr>
                    <w:t>口</w:t>
                  </w:r>
                </w:p>
              </w:tc>
            </w:tr>
          </w:tbl>
          <w:p w14:paraId="0A7CD829">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非正常工况下废气源强：</w:t>
            </w:r>
          </w:p>
          <w:p w14:paraId="34D32D71">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本项目非正常工况主要考虑因局部停电造成废气处理设备停止运行，污染防治设备设施损坏导致处理效率下降，而出现废气未经有效处理直接排放，环评分析最坏情况，即处理效率为0。</w:t>
            </w:r>
          </w:p>
          <w:p w14:paraId="4F5B2BDF">
            <w:pPr>
              <w:adjustRightIn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非正常工况下废气排放源强见下表。</w:t>
            </w:r>
          </w:p>
          <w:p w14:paraId="188CA28C">
            <w:pPr>
              <w:spacing w:line="240" w:lineRule="auto"/>
              <w:ind w:firstLine="78" w:firstLineChars="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rPr>
              <w:t xml:space="preserve"> 项目废气处理设施故障（无处理效率</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废气排放参数汇总</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9"/>
              <w:gridCol w:w="975"/>
              <w:gridCol w:w="1185"/>
              <w:gridCol w:w="1380"/>
              <w:gridCol w:w="1085"/>
              <w:gridCol w:w="1090"/>
              <w:gridCol w:w="1383"/>
            </w:tblGrid>
            <w:tr w14:paraId="3F28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70" w:type="pct"/>
                  <w:noWrap w:val="0"/>
                  <w:vAlign w:val="center"/>
                </w:tcPr>
                <w:p w14:paraId="55E728B5">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非正常排放原因</w:t>
                  </w:r>
                </w:p>
              </w:tc>
              <w:tc>
                <w:tcPr>
                  <w:tcW w:w="553" w:type="pct"/>
                  <w:noWrap w:val="0"/>
                  <w:vAlign w:val="center"/>
                </w:tcPr>
                <w:p w14:paraId="06C6D068">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排放源</w:t>
                  </w:r>
                </w:p>
              </w:tc>
              <w:tc>
                <w:tcPr>
                  <w:tcW w:w="672" w:type="pct"/>
                  <w:noWrap w:val="0"/>
                  <w:vAlign w:val="center"/>
                </w:tcPr>
                <w:p w14:paraId="02E0E40F">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污染物</w:t>
                  </w:r>
                </w:p>
              </w:tc>
              <w:tc>
                <w:tcPr>
                  <w:tcW w:w="783" w:type="pct"/>
                  <w:noWrap w:val="0"/>
                  <w:vAlign w:val="center"/>
                </w:tcPr>
                <w:p w14:paraId="55C6E032">
                  <w:pPr>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cs="Times New Roman"/>
                      <w:b w:val="0"/>
                      <w:bCs/>
                      <w:color w:val="auto"/>
                      <w:szCs w:val="21"/>
                    </w:rPr>
                  </w:pPr>
                  <w:r>
                    <w:rPr>
                      <w:rFonts w:hint="default" w:ascii="Times New Roman" w:hAnsi="Times New Roman" w:eastAsia="宋体" w:cs="Times New Roman"/>
                      <w:b w:val="0"/>
                      <w:bCs/>
                      <w:color w:val="auto"/>
                      <w:sz w:val="21"/>
                      <w:szCs w:val="21"/>
                      <w:lang w:eastAsia="zh-CN"/>
                    </w:rPr>
                    <w:t>非正常</w:t>
                  </w:r>
                  <w:r>
                    <w:rPr>
                      <w:rFonts w:hint="default" w:ascii="Times New Roman" w:hAnsi="Times New Roman" w:eastAsia="宋体" w:cs="Times New Roman"/>
                      <w:b w:val="0"/>
                      <w:bCs/>
                      <w:color w:val="auto"/>
                      <w:sz w:val="21"/>
                      <w:szCs w:val="21"/>
                    </w:rPr>
                    <w:t>排放</w:t>
                  </w:r>
                  <w:r>
                    <w:rPr>
                      <w:rFonts w:hint="default" w:ascii="Times New Roman" w:hAnsi="Times New Roman" w:eastAsia="宋体" w:cs="Times New Roman"/>
                      <w:b w:val="0"/>
                      <w:bCs/>
                      <w:color w:val="auto"/>
                      <w:sz w:val="21"/>
                      <w:szCs w:val="21"/>
                      <w:lang w:eastAsia="zh-CN"/>
                    </w:rPr>
                    <w:t>浓度</w:t>
                  </w:r>
                  <w:r>
                    <w:rPr>
                      <w:rFonts w:hint="default" w:ascii="Times New Roman" w:hAnsi="Times New Roman" w:eastAsia="宋体" w:cs="Times New Roman"/>
                      <w:b w:val="0"/>
                      <w:bCs/>
                      <w:color w:val="auto"/>
                      <w:sz w:val="21"/>
                      <w:szCs w:val="21"/>
                    </w:rPr>
                    <w:t>mg/m</w:t>
                  </w:r>
                  <w:r>
                    <w:rPr>
                      <w:rFonts w:hint="default" w:ascii="Times New Roman" w:hAnsi="Times New Roman" w:eastAsia="宋体" w:cs="Times New Roman"/>
                      <w:b w:val="0"/>
                      <w:bCs/>
                      <w:color w:val="auto"/>
                      <w:sz w:val="21"/>
                      <w:szCs w:val="21"/>
                      <w:vertAlign w:val="superscript"/>
                    </w:rPr>
                    <w:t>3</w:t>
                  </w:r>
                </w:p>
              </w:tc>
              <w:tc>
                <w:tcPr>
                  <w:tcW w:w="615" w:type="pct"/>
                  <w:noWrap w:val="0"/>
                  <w:vAlign w:val="center"/>
                </w:tcPr>
                <w:p w14:paraId="63EC6B83">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val="0"/>
                      <w:bCs/>
                      <w:color w:val="auto"/>
                      <w:szCs w:val="21"/>
                    </w:rPr>
                  </w:pPr>
                  <w:r>
                    <w:rPr>
                      <w:rFonts w:hint="default" w:ascii="Times New Roman" w:hAnsi="Times New Roman" w:eastAsia="宋体" w:cs="Times New Roman"/>
                      <w:b w:val="0"/>
                      <w:bCs/>
                      <w:color w:val="auto"/>
                      <w:sz w:val="21"/>
                      <w:szCs w:val="21"/>
                      <w:lang w:eastAsia="zh-CN"/>
                    </w:rPr>
                    <w:t>非正常</w:t>
                  </w:r>
                  <w:r>
                    <w:rPr>
                      <w:rFonts w:hint="default" w:ascii="Times New Roman" w:hAnsi="Times New Roman" w:eastAsia="宋体" w:cs="Times New Roman"/>
                      <w:b w:val="0"/>
                      <w:bCs/>
                      <w:color w:val="auto"/>
                      <w:sz w:val="21"/>
                      <w:szCs w:val="21"/>
                    </w:rPr>
                    <w:t>排放速率kg/h</w:t>
                  </w:r>
                </w:p>
              </w:tc>
              <w:tc>
                <w:tcPr>
                  <w:tcW w:w="618" w:type="pct"/>
                  <w:noWrap w:val="0"/>
                  <w:vAlign w:val="center"/>
                </w:tcPr>
                <w:p w14:paraId="60417FAC">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val="0"/>
                      <w:bCs/>
                      <w:color w:val="auto"/>
                      <w:szCs w:val="21"/>
                    </w:rPr>
                  </w:pPr>
                  <w:r>
                    <w:rPr>
                      <w:rFonts w:hint="default" w:ascii="Times New Roman" w:hAnsi="Times New Roman" w:eastAsia="宋体" w:cs="Times New Roman"/>
                      <w:b w:val="0"/>
                      <w:bCs/>
                      <w:color w:val="auto"/>
                      <w:sz w:val="21"/>
                      <w:szCs w:val="21"/>
                      <w:lang w:eastAsia="zh-CN"/>
                    </w:rPr>
                    <w:t>单次持续时间</w:t>
                  </w:r>
                  <w:r>
                    <w:rPr>
                      <w:rFonts w:hint="default" w:ascii="Times New Roman" w:hAnsi="Times New Roman" w:eastAsia="宋体" w:cs="Times New Roman"/>
                      <w:b w:val="0"/>
                      <w:bCs/>
                      <w:color w:val="auto"/>
                      <w:sz w:val="21"/>
                      <w:szCs w:val="21"/>
                      <w:lang w:val="en-US" w:eastAsia="zh-CN"/>
                    </w:rPr>
                    <w:t>h</w:t>
                  </w:r>
                </w:p>
              </w:tc>
              <w:tc>
                <w:tcPr>
                  <w:tcW w:w="785" w:type="pct"/>
                  <w:noWrap w:val="0"/>
                  <w:vAlign w:val="center"/>
                </w:tcPr>
                <w:p w14:paraId="06BDC0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年发生频次</w:t>
                  </w:r>
                </w:p>
                <w:p w14:paraId="4DA9EAD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Cs w:val="21"/>
                      <w:lang w:eastAsia="zh-CN"/>
                    </w:rPr>
                  </w:pPr>
                  <w:r>
                    <w:rPr>
                      <w:rFonts w:hint="default" w:ascii="Times New Roman" w:hAnsi="Times New Roman" w:eastAsia="宋体" w:cs="Times New Roman"/>
                      <w:b w:val="0"/>
                      <w:bCs/>
                      <w:color w:val="auto"/>
                      <w:sz w:val="21"/>
                      <w:szCs w:val="21"/>
                      <w:lang w:eastAsia="zh-CN"/>
                    </w:rPr>
                    <w:t>次</w:t>
                  </w:r>
                </w:p>
              </w:tc>
            </w:tr>
            <w:tr w14:paraId="0D32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970" w:type="pct"/>
                  <w:noWrap w:val="0"/>
                  <w:vAlign w:val="center"/>
                </w:tcPr>
                <w:p w14:paraId="7B9476A8">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废气处理设备故障，无处理效率</w:t>
                  </w:r>
                </w:p>
              </w:tc>
              <w:tc>
                <w:tcPr>
                  <w:tcW w:w="553" w:type="pct"/>
                  <w:noWrap w:val="0"/>
                  <w:vAlign w:val="center"/>
                </w:tcPr>
                <w:p w14:paraId="3BC293EF">
                  <w:pPr>
                    <w:pStyle w:val="61"/>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sz w:val="21"/>
                      <w:lang w:eastAsia="zh-CN"/>
                    </w:rPr>
                    <w:t>DA0</w:t>
                  </w:r>
                  <w:r>
                    <w:rPr>
                      <w:rFonts w:hint="eastAsia" w:ascii="Times New Roman" w:hAnsi="Times New Roman" w:cs="Times New Roman"/>
                      <w:color w:val="auto"/>
                      <w:sz w:val="21"/>
                      <w:lang w:val="en-US" w:eastAsia="zh-CN"/>
                    </w:rPr>
                    <w:t>01</w:t>
                  </w:r>
                </w:p>
              </w:tc>
              <w:tc>
                <w:tcPr>
                  <w:tcW w:w="672" w:type="pct"/>
                  <w:noWrap w:val="0"/>
                  <w:vAlign w:val="center"/>
                </w:tcPr>
                <w:p w14:paraId="6C9D10C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auto"/>
                      <w:kern w:val="0"/>
                      <w:sz w:val="21"/>
                      <w:szCs w:val="20"/>
                      <w:lang w:val="en-US" w:eastAsia="zh-CN" w:bidi="ar-SA"/>
                    </w:rPr>
                  </w:pPr>
                  <w:r>
                    <w:rPr>
                      <w:rFonts w:hint="eastAsia" w:cs="Times New Roman"/>
                      <w:color w:val="auto"/>
                      <w:sz w:val="21"/>
                      <w:szCs w:val="21"/>
                      <w:lang w:val="en-US" w:eastAsia="zh-CN"/>
                    </w:rPr>
                    <w:t>非甲烷总烃</w:t>
                  </w:r>
                </w:p>
              </w:tc>
              <w:tc>
                <w:tcPr>
                  <w:tcW w:w="783" w:type="pct"/>
                  <w:noWrap w:val="0"/>
                  <w:vAlign w:val="center"/>
                </w:tcPr>
                <w:p w14:paraId="700AC350">
                  <w:pPr>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rPr>
                    <w:t>52.5</w:t>
                  </w:r>
                </w:p>
              </w:tc>
              <w:tc>
                <w:tcPr>
                  <w:tcW w:w="615" w:type="pct"/>
                  <w:noWrap w:val="0"/>
                  <w:vAlign w:val="center"/>
                </w:tcPr>
                <w:p w14:paraId="0F121542">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0.63</w:t>
                  </w:r>
                </w:p>
              </w:tc>
              <w:tc>
                <w:tcPr>
                  <w:tcW w:w="618" w:type="pct"/>
                  <w:noWrap w:val="0"/>
                  <w:vAlign w:val="center"/>
                </w:tcPr>
                <w:p w14:paraId="6CCC519D">
                  <w:pPr>
                    <w:keepNext w:val="0"/>
                    <w:keepLines w:val="0"/>
                    <w:widowControl/>
                    <w:suppressLineNumbers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0.5</w:t>
                  </w:r>
                </w:p>
              </w:tc>
              <w:tc>
                <w:tcPr>
                  <w:tcW w:w="785" w:type="pct"/>
                  <w:noWrap w:val="0"/>
                  <w:vAlign w:val="center"/>
                </w:tcPr>
                <w:p w14:paraId="40820DBF">
                  <w:pPr>
                    <w:keepNext w:val="0"/>
                    <w:keepLines w:val="0"/>
                    <w:widowControl/>
                    <w:suppressLineNumbers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1次/年</w:t>
                  </w:r>
                </w:p>
              </w:tc>
            </w:tr>
          </w:tbl>
          <w:p w14:paraId="1B21629B">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1F0A431">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①安排专人负责环保设备的日常维护和管理，</w:t>
            </w:r>
            <w:r>
              <w:rPr>
                <w:rFonts w:hint="eastAsia" w:ascii="Times New Roman" w:hAnsi="Times New Roman" w:eastAsia="宋体" w:cs="Times New Roman"/>
                <w:color w:val="auto"/>
                <w:sz w:val="24"/>
                <w:lang w:eastAsia="zh-CN"/>
              </w:rPr>
              <w:t>每隔</w:t>
            </w:r>
            <w:r>
              <w:rPr>
                <w:rFonts w:hint="default" w:ascii="Times New Roman" w:hAnsi="Times New Roman" w:eastAsia="宋体" w:cs="Times New Roman"/>
                <w:color w:val="auto"/>
                <w:sz w:val="24"/>
              </w:rPr>
              <w:t xml:space="preserve">固定时间检查、汇报情况，及时发现废气处理设备的隐患，确保废气处理系统正常运行； </w:t>
            </w:r>
          </w:p>
          <w:p w14:paraId="4B1A9B1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②建立健全的环保管理机构，对环保管理人员和技术人员进行岗位培训，委托具有专业资质的环境检测单位对项目排放的各类污染物进行定期检测； </w:t>
            </w:r>
          </w:p>
          <w:p w14:paraId="02637E9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hAnsi="宋体"/>
                <w:b/>
                <w:color w:val="auto"/>
                <w:kern w:val="0"/>
                <w:sz w:val="24"/>
                <w:szCs w:val="24"/>
              </w:rPr>
            </w:pPr>
            <w:r>
              <w:rPr>
                <w:rFonts w:hint="default" w:ascii="Times New Roman" w:hAnsi="Times New Roman" w:eastAsia="宋体" w:cs="Times New Roman"/>
                <w:color w:val="auto"/>
                <w:sz w:val="24"/>
              </w:rPr>
              <w:t>③应定期维护、检修废气净化装置，以保持废气处理装置的净化能力和净化容量。</w:t>
            </w:r>
          </w:p>
          <w:p w14:paraId="702B7FA2">
            <w:pPr>
              <w:adjustRightInd w:val="0"/>
              <w:spacing w:line="360" w:lineRule="auto"/>
              <w:rPr>
                <w:rFonts w:hint="eastAsia" w:hAnsi="宋体" w:eastAsia="宋体"/>
                <w:b/>
                <w:color w:val="auto"/>
                <w:kern w:val="0"/>
                <w:sz w:val="24"/>
                <w:szCs w:val="24"/>
                <w:lang w:eastAsia="zh-CN"/>
              </w:rPr>
            </w:pPr>
            <w:r>
              <w:rPr>
                <w:rFonts w:hint="eastAsia" w:hAnsi="宋体"/>
                <w:b/>
                <w:color w:val="auto"/>
                <w:kern w:val="0"/>
                <w:sz w:val="24"/>
                <w:szCs w:val="24"/>
              </w:rPr>
              <w:t>1.2</w:t>
            </w:r>
            <w:r>
              <w:rPr>
                <w:rFonts w:hint="eastAsia" w:hAnsi="宋体"/>
                <w:b/>
                <w:color w:val="auto"/>
                <w:kern w:val="0"/>
                <w:sz w:val="24"/>
                <w:szCs w:val="24"/>
                <w:lang w:eastAsia="zh-CN"/>
              </w:rPr>
              <w:t>防治</w:t>
            </w:r>
            <w:r>
              <w:rPr>
                <w:rFonts w:hint="eastAsia" w:hAnsi="宋体"/>
                <w:b/>
                <w:color w:val="auto"/>
                <w:kern w:val="0"/>
                <w:sz w:val="24"/>
                <w:szCs w:val="24"/>
              </w:rPr>
              <w:t>措施</w:t>
            </w:r>
            <w:r>
              <w:rPr>
                <w:rFonts w:hint="eastAsia" w:hAnsi="宋体"/>
                <w:b/>
                <w:color w:val="auto"/>
                <w:kern w:val="0"/>
                <w:sz w:val="24"/>
                <w:szCs w:val="24"/>
                <w:lang w:eastAsia="zh-CN"/>
              </w:rPr>
              <w:t>可行性及达标排放分析</w:t>
            </w:r>
          </w:p>
          <w:p w14:paraId="2CDC268C">
            <w:pPr>
              <w:keepNext w:val="0"/>
              <w:keepLines w:val="0"/>
              <w:pageBreakBefore w:val="0"/>
              <w:widowControl/>
              <w:suppressLineNumbers w:val="0"/>
              <w:kinsoku/>
              <w:wordWrap/>
              <w:overflowPunct/>
              <w:topLinePunct w:val="0"/>
              <w:autoSpaceDE/>
              <w:autoSpaceDN/>
              <w:bidi w:val="0"/>
              <w:snapToGrid/>
              <w:spacing w:line="360" w:lineRule="auto"/>
              <w:ind w:firstLine="482" w:firstLineChars="200"/>
              <w:jc w:val="left"/>
              <w:textAlignment w:val="auto"/>
              <w:rPr>
                <w:rFonts w:hint="default"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（1）废气达标排放分析</w:t>
            </w:r>
          </w:p>
          <w:p w14:paraId="70537077">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本项目挤出、注塑废气</w:t>
            </w:r>
            <w:r>
              <w:rPr>
                <w:rFonts w:hint="eastAsia" w:cs="Times New Roman"/>
                <w:color w:val="auto"/>
                <w:kern w:val="0"/>
                <w:sz w:val="24"/>
                <w:lang w:eastAsia="zh-CN"/>
              </w:rPr>
              <w:t>拟</w:t>
            </w:r>
            <w:r>
              <w:rPr>
                <w:rFonts w:hint="eastAsia" w:ascii="Times New Roman" w:hAnsi="Times New Roman" w:eastAsia="宋体" w:cs="Times New Roman"/>
                <w:color w:val="auto"/>
                <w:sz w:val="24"/>
                <w:szCs w:val="24"/>
                <w:lang w:val="en-US" w:eastAsia="zh-CN"/>
              </w:rPr>
              <w:t>在设备上方设置集气罩收集废气，</w:t>
            </w:r>
            <w:r>
              <w:rPr>
                <w:rFonts w:hint="eastAsia" w:cs="Times New Roman"/>
                <w:color w:val="auto"/>
                <w:sz w:val="24"/>
                <w:szCs w:val="24"/>
                <w:lang w:val="en-US" w:eastAsia="zh-CN"/>
              </w:rPr>
              <w:t>收集后经</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kern w:val="0"/>
                <w:sz w:val="24"/>
                <w:lang w:val="en-US" w:eastAsia="zh-CN"/>
              </w:rPr>
              <w:t>二级活性炭吸附</w:t>
            </w:r>
            <w:r>
              <w:rPr>
                <w:rFonts w:hint="eastAsia" w:ascii="Times New Roman" w:hAnsi="Times New Roman" w:eastAsia="宋体" w:cs="Times New Roman"/>
                <w:color w:val="auto"/>
                <w:sz w:val="24"/>
                <w:szCs w:val="24"/>
                <w:lang w:val="en-US" w:eastAsia="zh-CN"/>
              </w:rPr>
              <w:t>”装置进行处理，</w:t>
            </w:r>
            <w:r>
              <w:rPr>
                <w:rFonts w:hint="eastAsia"/>
                <w:color w:val="auto"/>
                <w:kern w:val="0"/>
                <w:sz w:val="24"/>
                <w:szCs w:val="24"/>
                <w:lang w:val="en-US" w:eastAsia="zh-CN"/>
              </w:rPr>
              <w:t>处理后通过</w:t>
            </w:r>
            <w:r>
              <w:rPr>
                <w:color w:val="auto"/>
                <w:sz w:val="24"/>
              </w:rPr>
              <w:t>1根</w:t>
            </w:r>
            <w:r>
              <w:rPr>
                <w:rFonts w:hint="eastAsia"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m高排气筒（DA00</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）排放，收集效率按9</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%计，</w:t>
            </w:r>
            <w:r>
              <w:rPr>
                <w:rFonts w:hint="eastAsia"/>
                <w:color w:val="auto"/>
                <w:sz w:val="24"/>
                <w:szCs w:val="24"/>
                <w:lang w:eastAsia="zh-CN"/>
              </w:rPr>
              <w:t>二级活性炭</w:t>
            </w:r>
            <w:r>
              <w:rPr>
                <w:rFonts w:hint="eastAsia" w:ascii="Times New Roman" w:hAnsi="Times New Roman" w:eastAsia="宋体" w:cs="Times New Roman"/>
                <w:color w:val="auto"/>
                <w:sz w:val="24"/>
                <w:szCs w:val="24"/>
                <w:lang w:val="en-US" w:eastAsia="zh-CN"/>
              </w:rPr>
              <w:t>处理效率为9</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color w:val="auto"/>
                <w:sz w:val="24"/>
                <w:lang w:eastAsia="zh-CN"/>
              </w:rPr>
              <w:t>非甲烷总烃浓度</w:t>
            </w:r>
            <w:r>
              <w:rPr>
                <w:rFonts w:hint="eastAsia"/>
                <w:bCs/>
                <w:color w:val="auto"/>
                <w:sz w:val="24"/>
                <w:lang w:eastAsia="zh-CN"/>
              </w:rPr>
              <w:t>满足《合成树脂工业污染物排放标准》（GB31572-2015）</w:t>
            </w:r>
            <w:r>
              <w:rPr>
                <w:rFonts w:hint="eastAsia"/>
                <w:bCs/>
                <w:color w:val="auto"/>
                <w:sz w:val="24"/>
              </w:rPr>
              <w:t>中</w:t>
            </w:r>
            <w:r>
              <w:rPr>
                <w:rFonts w:hint="eastAsia"/>
                <w:bCs/>
                <w:color w:val="auto"/>
                <w:sz w:val="24"/>
                <w:lang w:eastAsia="zh-CN"/>
              </w:rPr>
              <w:t>表</w:t>
            </w:r>
            <w:r>
              <w:rPr>
                <w:rFonts w:hint="eastAsia"/>
                <w:bCs/>
                <w:color w:val="auto"/>
                <w:sz w:val="24"/>
                <w:lang w:val="en-US" w:eastAsia="zh-CN"/>
              </w:rPr>
              <w:t>5大气污染物特别排放限值以及</w:t>
            </w:r>
            <w:r>
              <w:rPr>
                <w:rFonts w:hint="eastAsia"/>
                <w:bCs/>
                <w:color w:val="auto"/>
                <w:sz w:val="24"/>
                <w:lang w:eastAsia="zh-CN"/>
              </w:rPr>
              <w:t>《</w:t>
            </w:r>
            <w:r>
              <w:rPr>
                <w:rFonts w:hint="eastAsia"/>
                <w:bCs/>
                <w:color w:val="auto"/>
                <w:sz w:val="24"/>
                <w:lang w:val="en-US" w:eastAsia="zh-CN"/>
              </w:rPr>
              <w:t>固定源挥发性有机物综合排放标准 第6部分：其他行业</w:t>
            </w:r>
            <w:r>
              <w:rPr>
                <w:rFonts w:hint="eastAsia"/>
                <w:bCs/>
                <w:color w:val="auto"/>
                <w:sz w:val="24"/>
                <w:lang w:eastAsia="zh-CN"/>
              </w:rPr>
              <w:t>》（</w:t>
            </w:r>
            <w:r>
              <w:rPr>
                <w:rFonts w:hint="eastAsia"/>
                <w:bCs/>
                <w:color w:val="auto"/>
                <w:sz w:val="24"/>
                <w:lang w:val="en-US" w:eastAsia="zh-CN"/>
              </w:rPr>
              <w:t>DB34/4812.6-2024)中表1塑料制品工业非甲烷总烃排放限值</w:t>
            </w:r>
            <w:r>
              <w:rPr>
                <w:rFonts w:hint="eastAsia" w:ascii="Times New Roman" w:hAnsi="Times New Roman" w:cs="Times New Roman"/>
                <w:b w:val="0"/>
                <w:bCs w:val="0"/>
                <w:color w:val="auto"/>
                <w:sz w:val="24"/>
                <w:szCs w:val="24"/>
                <w:lang w:val="en-US" w:eastAsia="zh-CN"/>
              </w:rPr>
              <w:t>（</w:t>
            </w:r>
            <w:r>
              <w:rPr>
                <w:rFonts w:hint="eastAsia"/>
                <w:color w:val="auto"/>
                <w:kern w:val="0"/>
                <w:sz w:val="24"/>
                <w:szCs w:val="24"/>
                <w:lang w:val="en-US" w:eastAsia="zh-CN"/>
              </w:rPr>
              <w:t>4</w:t>
            </w:r>
            <w:r>
              <w:rPr>
                <w:rFonts w:hint="eastAsia" w:ascii="Times New Roman" w:hAnsi="Times New Roman"/>
                <w:color w:val="auto"/>
                <w:kern w:val="0"/>
                <w:sz w:val="24"/>
                <w:szCs w:val="24"/>
              </w:rPr>
              <w:t>0mg/m</w:t>
            </w:r>
            <w:r>
              <w:rPr>
                <w:rFonts w:hint="eastAsia" w:ascii="Times New Roman" w:hAnsi="Times New Roman"/>
                <w:color w:val="auto"/>
                <w:kern w:val="0"/>
                <w:sz w:val="24"/>
                <w:szCs w:val="24"/>
                <w:vertAlign w:val="superscript"/>
              </w:rPr>
              <w:t>3</w:t>
            </w:r>
            <w:r>
              <w:rPr>
                <w:rFonts w:hint="eastAsia"/>
                <w:color w:val="auto"/>
                <w:kern w:val="0"/>
                <w:sz w:val="24"/>
                <w:szCs w:val="24"/>
                <w:vertAlign w:val="baseline"/>
                <w:lang w:eastAsia="zh-CN"/>
              </w:rPr>
              <w:t>、</w:t>
            </w:r>
            <w:r>
              <w:rPr>
                <w:rFonts w:hint="eastAsia"/>
                <w:color w:val="auto"/>
                <w:kern w:val="0"/>
                <w:sz w:val="24"/>
                <w:szCs w:val="24"/>
                <w:vertAlign w:val="baseline"/>
                <w:lang w:val="en-US" w:eastAsia="zh-CN"/>
              </w:rPr>
              <w:t>1.6kg/h</w:t>
            </w:r>
            <w:r>
              <w:rPr>
                <w:rFonts w:hint="eastAsia" w:ascii="Times New Roman"/>
                <w:color w:val="auto"/>
                <w:sz w:val="24"/>
                <w:szCs w:val="24"/>
              </w:rPr>
              <w:t>）</w:t>
            </w:r>
            <w:r>
              <w:rPr>
                <w:rFonts w:hint="eastAsia" w:cs="Times New Roman"/>
                <w:color w:val="auto"/>
                <w:kern w:val="0"/>
                <w:sz w:val="24"/>
                <w:szCs w:val="24"/>
                <w:lang w:val="en-US" w:eastAsia="zh-CN" w:bidi="ar"/>
              </w:rPr>
              <w:t>。</w:t>
            </w:r>
          </w:p>
          <w:p w14:paraId="67EE651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废气治理措施可行性分析</w:t>
            </w:r>
          </w:p>
          <w:p w14:paraId="15AACF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default" w:ascii="Times New Roman" w:hAnsi="Times New Roman" w:eastAsia="宋体" w:cs="Times New Roman"/>
                <w:color w:val="auto"/>
                <w:sz w:val="24"/>
                <w:szCs w:val="24"/>
              </w:rPr>
              <w:t>活性炭吸附：</w:t>
            </w:r>
            <w:r>
              <w:rPr>
                <w:color w:val="auto"/>
                <w:sz w:val="24"/>
              </w:rPr>
              <w:t>为了加大对有机气体的吸附效率，按照《吸附法工业有机废气治理工程技术规范》，项目采用二级活性炭吸附装置，即在一级吸附的基础上再加一道活性炭吸附装置。其主要工作原理是：当一级活性炭吸附趋于饱和时，原二级吸附变更为一级吸附，并且更新的吸附装置重新添加新活性炭作为二级吸附，这样可确保废气最大量的吸收，同时也降低事故排放的风险。经过二级活性炭吸附装置后，项目有机废气的吸附效率可达90%以上，本项目有机废气去除效率以90%计合理。</w:t>
            </w:r>
          </w:p>
          <w:p w14:paraId="70FC2A0D">
            <w:pPr>
              <w:autoSpaceDE w:val="0"/>
              <w:autoSpaceDN w:val="0"/>
              <w:adjustRightInd w:val="0"/>
              <w:spacing w:line="240" w:lineRule="auto"/>
              <w:ind w:firstLine="480" w:firstLineChars="200"/>
              <w:rPr>
                <w:bCs/>
                <w:color w:val="auto"/>
                <w:sz w:val="24"/>
              </w:rPr>
            </w:pPr>
            <w:r>
              <w:rPr>
                <w:bCs/>
                <w:color w:val="auto"/>
                <w:sz w:val="24"/>
              </w:rPr>
              <w:t>本项目二级活性炭吸附装置参数如下：</w:t>
            </w:r>
          </w:p>
          <w:p w14:paraId="4C72A1C2">
            <w:pPr>
              <w:jc w:val="center"/>
              <w:rPr>
                <w:rFonts w:hint="default" w:ascii="Times New Roman" w:hAnsi="Times New Roman" w:eastAsia="宋体" w:cs="Times New Roman"/>
                <w:b/>
                <w:color w:val="auto"/>
                <w:sz w:val="21"/>
                <w:szCs w:val="21"/>
              </w:rPr>
            </w:pPr>
            <w:bookmarkStart w:id="12" w:name="_Ref4764101"/>
            <w:r>
              <w:rPr>
                <w:rFonts w:hint="default" w:ascii="Times New Roman" w:hAnsi="Times New Roman" w:eastAsia="宋体" w:cs="Times New Roman"/>
                <w:b/>
                <w:color w:val="auto"/>
                <w:sz w:val="21"/>
                <w:szCs w:val="21"/>
              </w:rPr>
              <w:t>表</w:t>
            </w:r>
            <w:bookmarkEnd w:id="12"/>
            <w:r>
              <w:rPr>
                <w:rFonts w:hint="default" w:ascii="Times New Roman" w:hAnsi="Times New Roman" w:eastAsia="宋体" w:cs="Times New Roman"/>
                <w:b/>
                <w:color w:val="auto"/>
                <w:sz w:val="21"/>
                <w:szCs w:val="21"/>
              </w:rPr>
              <w:t>4-</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活性炭吸附装置主要设计参数</w:t>
            </w:r>
          </w:p>
          <w:tbl>
            <w:tblPr>
              <w:tblStyle w:val="29"/>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091"/>
              <w:gridCol w:w="1949"/>
              <w:gridCol w:w="3315"/>
            </w:tblGrid>
            <w:tr w14:paraId="4290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58" w:type="pct"/>
                  <w:noWrap w:val="0"/>
                  <w:vAlign w:val="center"/>
                </w:tcPr>
                <w:p w14:paraId="7934BC5E">
                  <w:pPr>
                    <w:adjustRightInd w:val="0"/>
                    <w:snapToGrid w:val="0"/>
                    <w:jc w:val="center"/>
                    <w:rPr>
                      <w:b w:val="0"/>
                      <w:bCs w:val="0"/>
                      <w:color w:val="auto"/>
                    </w:rPr>
                  </w:pPr>
                  <w:r>
                    <w:rPr>
                      <w:b w:val="0"/>
                      <w:bCs w:val="0"/>
                      <w:color w:val="auto"/>
                    </w:rPr>
                    <w:t>序号</w:t>
                  </w:r>
                </w:p>
              </w:tc>
              <w:tc>
                <w:tcPr>
                  <w:tcW w:w="1177" w:type="pct"/>
                  <w:noWrap w:val="0"/>
                  <w:vAlign w:val="center"/>
                </w:tcPr>
                <w:p w14:paraId="484F7F40">
                  <w:pPr>
                    <w:adjustRightInd w:val="0"/>
                    <w:snapToGrid w:val="0"/>
                    <w:jc w:val="center"/>
                    <w:rPr>
                      <w:b w:val="0"/>
                      <w:bCs w:val="0"/>
                      <w:color w:val="auto"/>
                    </w:rPr>
                  </w:pPr>
                  <w:r>
                    <w:rPr>
                      <w:b w:val="0"/>
                      <w:bCs w:val="0"/>
                      <w:color w:val="auto"/>
                    </w:rPr>
                    <w:t>项目</w:t>
                  </w:r>
                </w:p>
              </w:tc>
              <w:tc>
                <w:tcPr>
                  <w:tcW w:w="1097" w:type="pct"/>
                  <w:noWrap w:val="0"/>
                  <w:vAlign w:val="center"/>
                </w:tcPr>
                <w:p w14:paraId="257D48C0">
                  <w:pPr>
                    <w:adjustRightInd w:val="0"/>
                    <w:snapToGrid w:val="0"/>
                    <w:jc w:val="center"/>
                    <w:rPr>
                      <w:b w:val="0"/>
                      <w:bCs w:val="0"/>
                      <w:color w:val="auto"/>
                    </w:rPr>
                  </w:pPr>
                  <w:r>
                    <w:rPr>
                      <w:b w:val="0"/>
                      <w:bCs w:val="0"/>
                      <w:color w:val="auto"/>
                    </w:rPr>
                    <w:t>单位</w:t>
                  </w:r>
                </w:p>
              </w:tc>
              <w:tc>
                <w:tcPr>
                  <w:tcW w:w="1866" w:type="pct"/>
                  <w:noWrap w:val="0"/>
                  <w:vAlign w:val="center"/>
                </w:tcPr>
                <w:p w14:paraId="6E3AE007">
                  <w:pPr>
                    <w:adjustRightInd w:val="0"/>
                    <w:snapToGrid w:val="0"/>
                    <w:jc w:val="center"/>
                    <w:rPr>
                      <w:b w:val="0"/>
                      <w:bCs w:val="0"/>
                      <w:color w:val="auto"/>
                    </w:rPr>
                  </w:pPr>
                  <w:r>
                    <w:rPr>
                      <w:b w:val="0"/>
                      <w:bCs w:val="0"/>
                      <w:color w:val="auto"/>
                    </w:rPr>
                    <w:t>技术指标</w:t>
                  </w:r>
                </w:p>
              </w:tc>
            </w:tr>
            <w:tr w14:paraId="15CC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pct"/>
                  <w:noWrap w:val="0"/>
                  <w:vAlign w:val="center"/>
                </w:tcPr>
                <w:p w14:paraId="6DFA08B6">
                  <w:pPr>
                    <w:adjustRightInd w:val="0"/>
                    <w:snapToGrid w:val="0"/>
                    <w:jc w:val="center"/>
                    <w:rPr>
                      <w:rFonts w:hint="eastAsia" w:eastAsia="宋体"/>
                      <w:b w:val="0"/>
                      <w:bCs w:val="0"/>
                      <w:color w:val="auto"/>
                      <w:lang w:val="en-US" w:eastAsia="zh-CN"/>
                    </w:rPr>
                  </w:pPr>
                  <w:r>
                    <w:rPr>
                      <w:rFonts w:hint="eastAsia"/>
                      <w:b w:val="0"/>
                      <w:bCs w:val="0"/>
                      <w:color w:val="auto"/>
                      <w:lang w:val="en-US" w:eastAsia="zh-CN"/>
                    </w:rPr>
                    <w:t>1</w:t>
                  </w:r>
                </w:p>
              </w:tc>
              <w:tc>
                <w:tcPr>
                  <w:tcW w:w="1177" w:type="pct"/>
                  <w:noWrap w:val="0"/>
                  <w:vAlign w:val="center"/>
                </w:tcPr>
                <w:p w14:paraId="7BB983EE">
                  <w:pPr>
                    <w:adjustRightInd w:val="0"/>
                    <w:snapToGrid w:val="0"/>
                    <w:jc w:val="center"/>
                    <w:rPr>
                      <w:b w:val="0"/>
                      <w:bCs w:val="0"/>
                      <w:color w:val="auto"/>
                    </w:rPr>
                  </w:pPr>
                  <w:r>
                    <w:rPr>
                      <w:b w:val="0"/>
                      <w:bCs w:val="0"/>
                      <w:color w:val="auto"/>
                    </w:rPr>
                    <w:t>箱体尺寸</w:t>
                  </w:r>
                </w:p>
              </w:tc>
              <w:tc>
                <w:tcPr>
                  <w:tcW w:w="1097" w:type="pct"/>
                  <w:noWrap w:val="0"/>
                  <w:vAlign w:val="center"/>
                </w:tcPr>
                <w:p w14:paraId="1933B59F">
                  <w:pPr>
                    <w:adjustRightInd w:val="0"/>
                    <w:snapToGrid w:val="0"/>
                    <w:jc w:val="center"/>
                    <w:rPr>
                      <w:b w:val="0"/>
                      <w:bCs w:val="0"/>
                      <w:color w:val="auto"/>
                    </w:rPr>
                  </w:pPr>
                  <w:r>
                    <w:rPr>
                      <w:b w:val="0"/>
                      <w:bCs w:val="0"/>
                      <w:color w:val="auto"/>
                    </w:rPr>
                    <w:t>mm</w:t>
                  </w:r>
                </w:p>
              </w:tc>
              <w:tc>
                <w:tcPr>
                  <w:tcW w:w="1866" w:type="pct"/>
                  <w:noWrap w:val="0"/>
                  <w:vAlign w:val="center"/>
                </w:tcPr>
                <w:p w14:paraId="4E3E6435">
                  <w:pPr>
                    <w:adjustRightInd w:val="0"/>
                    <w:snapToGrid w:val="0"/>
                    <w:jc w:val="center"/>
                    <w:rPr>
                      <w:b w:val="0"/>
                      <w:bCs w:val="0"/>
                      <w:color w:val="auto"/>
                    </w:rPr>
                  </w:pPr>
                  <w:r>
                    <w:rPr>
                      <w:rFonts w:hint="eastAsia"/>
                      <w:b w:val="0"/>
                      <w:bCs w:val="0"/>
                      <w:color w:val="auto"/>
                      <w:lang w:val="en-US" w:eastAsia="zh-CN"/>
                    </w:rPr>
                    <w:t>15</w:t>
                  </w:r>
                  <w:r>
                    <w:rPr>
                      <w:b w:val="0"/>
                      <w:bCs w:val="0"/>
                      <w:color w:val="auto"/>
                    </w:rPr>
                    <w:t>00×1500×</w:t>
                  </w:r>
                  <w:r>
                    <w:rPr>
                      <w:rFonts w:hint="eastAsia"/>
                      <w:b w:val="0"/>
                      <w:bCs w:val="0"/>
                      <w:color w:val="auto"/>
                      <w:lang w:val="en-US" w:eastAsia="zh-CN"/>
                    </w:rPr>
                    <w:t>20</w:t>
                  </w:r>
                  <w:r>
                    <w:rPr>
                      <w:b w:val="0"/>
                      <w:bCs w:val="0"/>
                      <w:color w:val="auto"/>
                    </w:rPr>
                    <w:t>00</w:t>
                  </w:r>
                </w:p>
              </w:tc>
            </w:tr>
            <w:tr w14:paraId="5E37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58" w:type="pct"/>
                  <w:noWrap w:val="0"/>
                  <w:vAlign w:val="center"/>
                </w:tcPr>
                <w:p w14:paraId="61403A6C">
                  <w:pPr>
                    <w:adjustRightInd w:val="0"/>
                    <w:snapToGrid w:val="0"/>
                    <w:jc w:val="center"/>
                    <w:rPr>
                      <w:b w:val="0"/>
                      <w:bCs w:val="0"/>
                      <w:color w:val="auto"/>
                      <w:kern w:val="2"/>
                      <w:sz w:val="21"/>
                      <w:szCs w:val="24"/>
                      <w:lang w:val="en-US" w:eastAsia="zh-CN" w:bidi="ar-SA"/>
                    </w:rPr>
                  </w:pPr>
                  <w:r>
                    <w:rPr>
                      <w:b w:val="0"/>
                      <w:bCs w:val="0"/>
                      <w:color w:val="auto"/>
                    </w:rPr>
                    <w:t>2</w:t>
                  </w:r>
                </w:p>
              </w:tc>
              <w:tc>
                <w:tcPr>
                  <w:tcW w:w="1177" w:type="pct"/>
                  <w:noWrap w:val="0"/>
                  <w:vAlign w:val="center"/>
                </w:tcPr>
                <w:p w14:paraId="79CE5662">
                  <w:pPr>
                    <w:adjustRightInd w:val="0"/>
                    <w:snapToGrid w:val="0"/>
                    <w:jc w:val="center"/>
                    <w:rPr>
                      <w:b w:val="0"/>
                      <w:bCs w:val="0"/>
                      <w:color w:val="auto"/>
                    </w:rPr>
                  </w:pPr>
                  <w:r>
                    <w:rPr>
                      <w:rFonts w:hint="default" w:ascii="Times New Roman" w:hAnsi="Times New Roman" w:eastAsia="宋体" w:cs="Times New Roman"/>
                      <w:color w:val="auto"/>
                      <w:sz w:val="21"/>
                      <w:szCs w:val="21"/>
                      <w:lang w:eastAsia="zh-CN"/>
                    </w:rPr>
                    <w:t>碘值</w:t>
                  </w:r>
                </w:p>
              </w:tc>
              <w:tc>
                <w:tcPr>
                  <w:tcW w:w="1097" w:type="pct"/>
                  <w:noWrap w:val="0"/>
                  <w:vAlign w:val="center"/>
                </w:tcPr>
                <w:p w14:paraId="4E330822">
                  <w:pPr>
                    <w:adjustRightInd w:val="0"/>
                    <w:snapToGrid w:val="0"/>
                    <w:jc w:val="center"/>
                    <w:rPr>
                      <w:b w:val="0"/>
                      <w:bCs w:val="0"/>
                      <w:color w:val="auto"/>
                    </w:rPr>
                  </w:pPr>
                  <w:r>
                    <w:rPr>
                      <w:rFonts w:hint="default" w:ascii="Times New Roman" w:hAnsi="Times New Roman" w:eastAsia="宋体" w:cs="Times New Roman"/>
                      <w:color w:val="auto"/>
                      <w:sz w:val="21"/>
                      <w:szCs w:val="21"/>
                    </w:rPr>
                    <w:t>mg/g</w:t>
                  </w:r>
                </w:p>
              </w:tc>
              <w:tc>
                <w:tcPr>
                  <w:tcW w:w="1866" w:type="pct"/>
                  <w:noWrap w:val="0"/>
                  <w:vAlign w:val="center"/>
                </w:tcPr>
                <w:p w14:paraId="7C05ADFF">
                  <w:pPr>
                    <w:adjustRightInd w:val="0"/>
                    <w:snapToGrid w:val="0"/>
                    <w:jc w:val="center"/>
                    <w:rPr>
                      <w:b w:val="0"/>
                      <w:bCs w:val="0"/>
                      <w:color w:val="auto"/>
                    </w:rPr>
                  </w:pPr>
                  <w:r>
                    <w:rPr>
                      <w:rFonts w:hint="default" w:ascii="Times New Roman" w:hAnsi="Times New Roman" w:eastAsia="宋体" w:cs="Times New Roman"/>
                      <w:color w:val="auto"/>
                      <w:sz w:val="21"/>
                      <w:szCs w:val="21"/>
                    </w:rPr>
                    <w:t>≥800</w:t>
                  </w:r>
                </w:p>
              </w:tc>
            </w:tr>
            <w:tr w14:paraId="7E2A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58" w:type="pct"/>
                  <w:noWrap w:val="0"/>
                  <w:vAlign w:val="center"/>
                </w:tcPr>
                <w:p w14:paraId="68527A7E">
                  <w:pPr>
                    <w:adjustRightInd w:val="0"/>
                    <w:snapToGrid w:val="0"/>
                    <w:jc w:val="center"/>
                    <w:rPr>
                      <w:b w:val="0"/>
                      <w:bCs w:val="0"/>
                      <w:color w:val="auto"/>
                      <w:kern w:val="2"/>
                      <w:sz w:val="21"/>
                      <w:szCs w:val="24"/>
                      <w:lang w:val="en-US" w:eastAsia="zh-CN" w:bidi="ar-SA"/>
                    </w:rPr>
                  </w:pPr>
                  <w:r>
                    <w:rPr>
                      <w:b w:val="0"/>
                      <w:bCs w:val="0"/>
                      <w:color w:val="auto"/>
                    </w:rPr>
                    <w:t>3</w:t>
                  </w:r>
                </w:p>
              </w:tc>
              <w:tc>
                <w:tcPr>
                  <w:tcW w:w="1177" w:type="pct"/>
                  <w:noWrap w:val="0"/>
                  <w:vAlign w:val="center"/>
                </w:tcPr>
                <w:p w14:paraId="613B3450">
                  <w:pPr>
                    <w:adjustRightInd w:val="0"/>
                    <w:snapToGrid w:val="0"/>
                    <w:jc w:val="center"/>
                    <w:rPr>
                      <w:b w:val="0"/>
                      <w:bCs w:val="0"/>
                      <w:color w:val="auto"/>
                    </w:rPr>
                  </w:pPr>
                  <w:r>
                    <w:rPr>
                      <w:rFonts w:hint="default" w:ascii="Times New Roman" w:hAnsi="Times New Roman" w:eastAsia="宋体" w:cs="Times New Roman"/>
                      <w:color w:val="auto"/>
                      <w:sz w:val="21"/>
                      <w:szCs w:val="21"/>
                      <w:lang w:eastAsia="zh-CN"/>
                    </w:rPr>
                    <w:t>吸附温度</w:t>
                  </w:r>
                </w:p>
              </w:tc>
              <w:tc>
                <w:tcPr>
                  <w:tcW w:w="1097" w:type="pct"/>
                  <w:noWrap w:val="0"/>
                  <w:vAlign w:val="center"/>
                </w:tcPr>
                <w:p w14:paraId="033E5F31">
                  <w:pPr>
                    <w:adjustRightInd w:val="0"/>
                    <w:snapToGrid w:val="0"/>
                    <w:jc w:val="center"/>
                    <w:rPr>
                      <w:b w:val="0"/>
                      <w:bCs w:val="0"/>
                      <w:color w:val="auto"/>
                    </w:rPr>
                  </w:pPr>
                  <w:r>
                    <w:rPr>
                      <w:rFonts w:hint="default" w:ascii="Times New Roman" w:hAnsi="Times New Roman" w:eastAsia="宋体" w:cs="Times New Roman"/>
                      <w:color w:val="auto"/>
                      <w:sz w:val="21"/>
                      <w:szCs w:val="21"/>
                    </w:rPr>
                    <w:t>℃</w:t>
                  </w:r>
                </w:p>
              </w:tc>
              <w:tc>
                <w:tcPr>
                  <w:tcW w:w="1866" w:type="pct"/>
                  <w:noWrap w:val="0"/>
                  <w:vAlign w:val="center"/>
                </w:tcPr>
                <w:p w14:paraId="0B709D45">
                  <w:pPr>
                    <w:keepNext w:val="0"/>
                    <w:keepLines w:val="0"/>
                    <w:widowControl/>
                    <w:suppressLineNumbers w:val="0"/>
                    <w:jc w:val="center"/>
                    <w:rPr>
                      <w:b w:val="0"/>
                      <w:bCs w:val="0"/>
                      <w:color w:val="auto"/>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40</w:t>
                  </w:r>
                </w:p>
              </w:tc>
            </w:tr>
            <w:tr w14:paraId="70AE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58" w:type="pct"/>
                  <w:noWrap w:val="0"/>
                  <w:vAlign w:val="center"/>
                </w:tcPr>
                <w:p w14:paraId="07BC9C21">
                  <w:pPr>
                    <w:adjustRightInd w:val="0"/>
                    <w:snapToGrid w:val="0"/>
                    <w:jc w:val="center"/>
                    <w:rPr>
                      <w:rFonts w:hint="eastAsia" w:eastAsia="宋体"/>
                      <w:b w:val="0"/>
                      <w:bCs w:val="0"/>
                      <w:color w:val="auto"/>
                      <w:kern w:val="2"/>
                      <w:sz w:val="21"/>
                      <w:szCs w:val="24"/>
                      <w:lang w:val="en-US" w:eastAsia="zh-CN" w:bidi="ar-SA"/>
                    </w:rPr>
                  </w:pPr>
                  <w:r>
                    <w:rPr>
                      <w:rFonts w:hint="eastAsia"/>
                      <w:b w:val="0"/>
                      <w:bCs w:val="0"/>
                      <w:color w:val="auto"/>
                      <w:lang w:val="en-US" w:eastAsia="zh-CN"/>
                    </w:rPr>
                    <w:t>4</w:t>
                  </w:r>
                </w:p>
              </w:tc>
              <w:tc>
                <w:tcPr>
                  <w:tcW w:w="1177" w:type="pct"/>
                  <w:noWrap w:val="0"/>
                  <w:vAlign w:val="center"/>
                </w:tcPr>
                <w:p w14:paraId="4ED52BF1">
                  <w:pPr>
                    <w:adjustRightInd w:val="0"/>
                    <w:snapToGrid w:val="0"/>
                    <w:jc w:val="center"/>
                    <w:rPr>
                      <w:b w:val="0"/>
                      <w:bCs w:val="0"/>
                      <w:color w:val="auto"/>
                      <w:highlight w:val="none"/>
                    </w:rPr>
                  </w:pPr>
                  <w:r>
                    <w:rPr>
                      <w:b w:val="0"/>
                      <w:bCs w:val="0"/>
                      <w:color w:val="auto"/>
                      <w:highlight w:val="none"/>
                    </w:rPr>
                    <w:t>活性炭填充量</w:t>
                  </w:r>
                </w:p>
              </w:tc>
              <w:tc>
                <w:tcPr>
                  <w:tcW w:w="1097" w:type="pct"/>
                  <w:noWrap w:val="0"/>
                  <w:vAlign w:val="center"/>
                </w:tcPr>
                <w:p w14:paraId="47ECFBD1">
                  <w:pPr>
                    <w:adjustRightInd w:val="0"/>
                    <w:snapToGrid w:val="0"/>
                    <w:jc w:val="center"/>
                    <w:rPr>
                      <w:rFonts w:hint="eastAsia" w:eastAsia="宋体"/>
                      <w:b w:val="0"/>
                      <w:bCs w:val="0"/>
                      <w:color w:val="auto"/>
                      <w:highlight w:val="none"/>
                      <w:lang w:val="en-US" w:eastAsia="zh-CN"/>
                    </w:rPr>
                  </w:pPr>
                  <w:r>
                    <w:rPr>
                      <w:b w:val="0"/>
                      <w:bCs w:val="0"/>
                      <w:color w:val="auto"/>
                      <w:highlight w:val="none"/>
                    </w:rPr>
                    <w:t>t/次</w:t>
                  </w:r>
                  <w:r>
                    <w:rPr>
                      <w:rFonts w:hint="eastAsia"/>
                      <w:b w:val="0"/>
                      <w:bCs w:val="0"/>
                      <w:color w:val="auto"/>
                      <w:highlight w:val="none"/>
                      <w:lang w:val="en-US" w:eastAsia="zh-CN"/>
                    </w:rPr>
                    <w:t>/箱</w:t>
                  </w:r>
                </w:p>
              </w:tc>
              <w:tc>
                <w:tcPr>
                  <w:tcW w:w="1866" w:type="pct"/>
                  <w:noWrap w:val="0"/>
                  <w:vAlign w:val="center"/>
                </w:tcPr>
                <w:p w14:paraId="1F6E18C1">
                  <w:pPr>
                    <w:adjustRightInd w:val="0"/>
                    <w:snapToGrid w:val="0"/>
                    <w:jc w:val="center"/>
                    <w:rPr>
                      <w:rFonts w:hint="default" w:eastAsia="宋体"/>
                      <w:b w:val="0"/>
                      <w:bCs w:val="0"/>
                      <w:color w:val="auto"/>
                      <w:highlight w:val="none"/>
                      <w:lang w:val="en-US" w:eastAsia="zh-CN"/>
                    </w:rPr>
                  </w:pPr>
                  <w:r>
                    <w:rPr>
                      <w:rFonts w:hint="eastAsia"/>
                      <w:b w:val="0"/>
                      <w:bCs w:val="0"/>
                      <w:color w:val="auto"/>
                      <w:highlight w:val="none"/>
                      <w:lang w:val="en-US" w:eastAsia="zh-CN"/>
                    </w:rPr>
                    <w:t>2</w:t>
                  </w:r>
                </w:p>
              </w:tc>
            </w:tr>
            <w:tr w14:paraId="7633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58" w:type="pct"/>
                  <w:noWrap w:val="0"/>
                  <w:vAlign w:val="center"/>
                </w:tcPr>
                <w:p w14:paraId="0D7C7C16">
                  <w:pPr>
                    <w:adjustRightInd w:val="0"/>
                    <w:snapToGrid w:val="0"/>
                    <w:jc w:val="center"/>
                    <w:rPr>
                      <w:rFonts w:hint="eastAsia" w:eastAsia="宋体"/>
                      <w:b w:val="0"/>
                      <w:bCs w:val="0"/>
                      <w:color w:val="auto"/>
                      <w:kern w:val="2"/>
                      <w:sz w:val="21"/>
                      <w:szCs w:val="24"/>
                      <w:lang w:val="en-US" w:eastAsia="zh-CN" w:bidi="ar-SA"/>
                    </w:rPr>
                  </w:pPr>
                  <w:r>
                    <w:rPr>
                      <w:rFonts w:hint="eastAsia"/>
                      <w:b w:val="0"/>
                      <w:bCs w:val="0"/>
                      <w:color w:val="auto"/>
                      <w:lang w:val="en-US" w:eastAsia="zh-CN"/>
                    </w:rPr>
                    <w:t>5</w:t>
                  </w:r>
                </w:p>
              </w:tc>
              <w:tc>
                <w:tcPr>
                  <w:tcW w:w="1177" w:type="pct"/>
                  <w:noWrap w:val="0"/>
                  <w:vAlign w:val="center"/>
                </w:tcPr>
                <w:p w14:paraId="0675CB89">
                  <w:pPr>
                    <w:adjustRightInd w:val="0"/>
                    <w:snapToGrid w:val="0"/>
                    <w:jc w:val="center"/>
                    <w:rPr>
                      <w:b w:val="0"/>
                      <w:bCs w:val="0"/>
                      <w:color w:val="auto"/>
                    </w:rPr>
                  </w:pPr>
                  <w:r>
                    <w:rPr>
                      <w:b w:val="0"/>
                      <w:bCs w:val="0"/>
                      <w:color w:val="auto"/>
                    </w:rPr>
                    <w:t>吸附效率</w:t>
                  </w:r>
                </w:p>
              </w:tc>
              <w:tc>
                <w:tcPr>
                  <w:tcW w:w="1097" w:type="pct"/>
                  <w:noWrap w:val="0"/>
                  <w:vAlign w:val="center"/>
                </w:tcPr>
                <w:p w14:paraId="0E4F6C0D">
                  <w:pPr>
                    <w:adjustRightInd w:val="0"/>
                    <w:snapToGrid w:val="0"/>
                    <w:jc w:val="center"/>
                    <w:rPr>
                      <w:b w:val="0"/>
                      <w:bCs w:val="0"/>
                      <w:color w:val="auto"/>
                    </w:rPr>
                  </w:pPr>
                  <w:r>
                    <w:rPr>
                      <w:b w:val="0"/>
                      <w:bCs w:val="0"/>
                      <w:color w:val="auto"/>
                    </w:rPr>
                    <w:t>%</w:t>
                  </w:r>
                </w:p>
              </w:tc>
              <w:tc>
                <w:tcPr>
                  <w:tcW w:w="1866" w:type="pct"/>
                  <w:noWrap w:val="0"/>
                  <w:vAlign w:val="center"/>
                </w:tcPr>
                <w:p w14:paraId="36D7D323">
                  <w:pPr>
                    <w:adjustRightInd w:val="0"/>
                    <w:snapToGrid w:val="0"/>
                    <w:jc w:val="center"/>
                    <w:rPr>
                      <w:b w:val="0"/>
                      <w:bCs w:val="0"/>
                      <w:color w:val="auto"/>
                    </w:rPr>
                  </w:pPr>
                  <w:r>
                    <w:rPr>
                      <w:b w:val="0"/>
                      <w:bCs w:val="0"/>
                      <w:color w:val="auto"/>
                    </w:rPr>
                    <w:t>90</w:t>
                  </w:r>
                </w:p>
              </w:tc>
            </w:tr>
            <w:tr w14:paraId="2693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58" w:type="pct"/>
                  <w:noWrap w:val="0"/>
                  <w:vAlign w:val="center"/>
                </w:tcPr>
                <w:p w14:paraId="5CB4EC2B">
                  <w:pPr>
                    <w:adjustRightInd w:val="0"/>
                    <w:snapToGrid w:val="0"/>
                    <w:jc w:val="center"/>
                    <w:rPr>
                      <w:rFonts w:hint="eastAsia" w:eastAsia="宋体"/>
                      <w:b w:val="0"/>
                      <w:bCs w:val="0"/>
                      <w:color w:val="auto"/>
                      <w:kern w:val="2"/>
                      <w:sz w:val="21"/>
                      <w:szCs w:val="24"/>
                      <w:lang w:val="en-US" w:eastAsia="zh-CN" w:bidi="ar-SA"/>
                    </w:rPr>
                  </w:pPr>
                  <w:r>
                    <w:rPr>
                      <w:rFonts w:hint="eastAsia"/>
                      <w:b w:val="0"/>
                      <w:bCs w:val="0"/>
                      <w:color w:val="auto"/>
                      <w:lang w:val="en-US" w:eastAsia="zh-CN"/>
                    </w:rPr>
                    <w:t>6</w:t>
                  </w:r>
                </w:p>
              </w:tc>
              <w:tc>
                <w:tcPr>
                  <w:tcW w:w="1177" w:type="pct"/>
                  <w:noWrap w:val="0"/>
                  <w:vAlign w:val="center"/>
                </w:tcPr>
                <w:p w14:paraId="6B446967">
                  <w:pPr>
                    <w:adjustRightInd w:val="0"/>
                    <w:snapToGrid w:val="0"/>
                    <w:jc w:val="center"/>
                    <w:rPr>
                      <w:b w:val="0"/>
                      <w:bCs w:val="0"/>
                      <w:color w:val="auto"/>
                    </w:rPr>
                  </w:pPr>
                  <w:r>
                    <w:rPr>
                      <w:b w:val="0"/>
                      <w:bCs w:val="0"/>
                      <w:color w:val="auto"/>
                    </w:rPr>
                    <w:t>更换周期</w:t>
                  </w:r>
                </w:p>
              </w:tc>
              <w:tc>
                <w:tcPr>
                  <w:tcW w:w="1097" w:type="pct"/>
                  <w:noWrap w:val="0"/>
                  <w:vAlign w:val="center"/>
                </w:tcPr>
                <w:p w14:paraId="3F2F1147">
                  <w:pPr>
                    <w:adjustRightInd w:val="0"/>
                    <w:snapToGrid w:val="0"/>
                    <w:jc w:val="center"/>
                    <w:rPr>
                      <w:b w:val="0"/>
                      <w:bCs w:val="0"/>
                      <w:color w:val="auto"/>
                    </w:rPr>
                  </w:pPr>
                  <w:r>
                    <w:rPr>
                      <w:b w:val="0"/>
                      <w:bCs w:val="0"/>
                      <w:color w:val="auto"/>
                    </w:rPr>
                    <w:t>-</w:t>
                  </w:r>
                </w:p>
              </w:tc>
              <w:tc>
                <w:tcPr>
                  <w:tcW w:w="1866" w:type="pct"/>
                  <w:noWrap w:val="0"/>
                  <w:vAlign w:val="center"/>
                </w:tcPr>
                <w:p w14:paraId="52821EB7">
                  <w:pPr>
                    <w:adjustRightInd w:val="0"/>
                    <w:snapToGrid w:val="0"/>
                    <w:jc w:val="center"/>
                    <w:rPr>
                      <w:b w:val="0"/>
                      <w:bCs w:val="0"/>
                      <w:color w:val="auto"/>
                    </w:rPr>
                  </w:pPr>
                  <w:r>
                    <w:rPr>
                      <w:rFonts w:hint="eastAsia"/>
                      <w:b w:val="0"/>
                      <w:bCs w:val="0"/>
                      <w:color w:val="auto"/>
                      <w:lang w:val="en-US" w:eastAsia="zh-CN"/>
                    </w:rPr>
                    <w:t>2</w:t>
                  </w:r>
                  <w:r>
                    <w:rPr>
                      <w:b w:val="0"/>
                      <w:bCs w:val="0"/>
                      <w:color w:val="auto"/>
                    </w:rPr>
                    <w:t>个月</w:t>
                  </w:r>
                </w:p>
              </w:tc>
            </w:tr>
          </w:tbl>
          <w:p w14:paraId="674C9F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二级活性炭吸附装置利用活性碳多微孔的吸附特性吸附有机废气是一种最有效的工业处理手段。活性炭是应用最早、用途最广的一种优良吸附剂，对各种有机气体等具有较大的吸附量和较快的吸附效率，吸附可使有机废气净化效率高达90%，活性碳吸附饱和后可进行更换或送回厂家进行再生后重新投入使用。气体由风机提供动力，正压或负压进入活性炭吸附床，由于活性炭固体表面上存在着未平衡和未饱和的分子引力或化学健力，因此当此固体表面与气体接触时，就能吸引气体分子，使其浓聚并保持在固体表面，污染物质从而被吸附，废气经过滤器后，进入设备排尘系统，净化气体高空达标排放。</w:t>
            </w:r>
          </w:p>
          <w:p w14:paraId="436DBF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综上所述，本项目废气在采取各项废气净化措施后，可做到达标排放，采取的各项废气治理措施可行。</w:t>
            </w:r>
          </w:p>
          <w:p w14:paraId="7680B561">
            <w:pPr>
              <w:adjustRightInd w:val="0"/>
              <w:spacing w:line="360" w:lineRule="auto"/>
              <w:jc w:val="left"/>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1.3废气监测</w:t>
            </w:r>
          </w:p>
          <w:p w14:paraId="7153D111">
            <w:pPr>
              <w:adjustRightInd w:val="0"/>
              <w:spacing w:line="360" w:lineRule="auto"/>
              <w:ind w:firstLine="480" w:firstLineChars="200"/>
              <w:jc w:val="left"/>
              <w:rPr>
                <w:color w:val="auto"/>
                <w:kern w:val="0"/>
                <w:sz w:val="24"/>
              </w:rPr>
            </w:pPr>
            <w:r>
              <w:rPr>
                <w:rFonts w:hint="default" w:ascii="Times New Roman" w:hAnsi="Times New Roman" w:eastAsia="宋体" w:cs="Times New Roman"/>
                <w:bCs/>
                <w:color w:val="auto"/>
                <w:sz w:val="24"/>
                <w:szCs w:val="20"/>
                <w:lang w:val="en-US" w:eastAsia="zh-CN"/>
              </w:rPr>
              <w:t>参考</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sz w:val="24"/>
                <w:szCs w:val="20"/>
                <w:lang w:val="en-US" w:eastAsia="zh-CN"/>
              </w:rPr>
              <w:t>排污单位自行监测技术指南</w:t>
            </w:r>
            <w:r>
              <w:rPr>
                <w:rFonts w:hint="default" w:ascii="Times New Roman" w:hAnsi="Times New Roman" w:eastAsia="宋体" w:cs="Times New Roman"/>
                <w:color w:val="auto"/>
                <w:kern w:val="0"/>
                <w:sz w:val="24"/>
                <w:szCs w:val="24"/>
                <w:lang w:val="en-US" w:eastAsia="zh-CN"/>
              </w:rPr>
              <w:t xml:space="preserve"> 橡胶和塑料制品</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lang w:val="en-US" w:eastAsia="zh-CN"/>
              </w:rPr>
              <w:t>HJ1207-2021</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0"/>
                <w:lang w:val="en-US" w:eastAsia="zh-CN"/>
              </w:rPr>
              <w:t>，</w:t>
            </w:r>
            <w:r>
              <w:rPr>
                <w:rFonts w:hint="default" w:ascii="Times New Roman" w:hAnsi="Times New Roman" w:eastAsia="宋体" w:cs="Times New Roman"/>
                <w:color w:val="auto"/>
                <w:kern w:val="0"/>
                <w:sz w:val="24"/>
              </w:rPr>
              <w:t>项</w:t>
            </w:r>
            <w:r>
              <w:rPr>
                <w:rFonts w:hint="eastAsia"/>
                <w:color w:val="auto"/>
                <w:kern w:val="0"/>
                <w:sz w:val="24"/>
              </w:rPr>
              <w:t>目废气监测情况见下表。</w:t>
            </w:r>
          </w:p>
          <w:p w14:paraId="0C25C473">
            <w:pPr>
              <w:adjustRightInd w:val="0"/>
              <w:spacing w:line="240" w:lineRule="auto"/>
              <w:ind w:firstLine="519" w:firstLineChars="246"/>
              <w:jc w:val="center"/>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8 </w:t>
            </w:r>
            <w:r>
              <w:rPr>
                <w:rFonts w:hint="eastAsia"/>
                <w:b/>
                <w:color w:val="auto"/>
                <w:kern w:val="0"/>
                <w:sz w:val="21"/>
                <w:szCs w:val="21"/>
              </w:rPr>
              <w:t>废气监测一览表</w:t>
            </w:r>
          </w:p>
          <w:tbl>
            <w:tblPr>
              <w:tblStyle w:val="2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25"/>
              <w:gridCol w:w="1275"/>
              <w:gridCol w:w="1140"/>
              <w:gridCol w:w="4200"/>
            </w:tblGrid>
            <w:tr w14:paraId="6A1D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7" w:type="pct"/>
                  <w:vAlign w:val="center"/>
                </w:tcPr>
                <w:p w14:paraId="11E9868D">
                  <w:pPr>
                    <w:adjustRightInd w:val="0"/>
                    <w:jc w:val="center"/>
                    <w:rPr>
                      <w:color w:val="auto"/>
                      <w:kern w:val="0"/>
                      <w:szCs w:val="21"/>
                    </w:rPr>
                  </w:pPr>
                  <w:r>
                    <w:rPr>
                      <w:color w:val="auto"/>
                      <w:kern w:val="0"/>
                      <w:szCs w:val="21"/>
                    </w:rPr>
                    <w:t>监测项目</w:t>
                  </w:r>
                </w:p>
              </w:tc>
              <w:tc>
                <w:tcPr>
                  <w:tcW w:w="638" w:type="pct"/>
                  <w:vAlign w:val="center"/>
                </w:tcPr>
                <w:p w14:paraId="37F4D584">
                  <w:pPr>
                    <w:adjustRightInd w:val="0"/>
                    <w:jc w:val="center"/>
                    <w:rPr>
                      <w:color w:val="auto"/>
                      <w:kern w:val="0"/>
                      <w:szCs w:val="21"/>
                    </w:rPr>
                  </w:pPr>
                  <w:r>
                    <w:rPr>
                      <w:color w:val="auto"/>
                      <w:kern w:val="0"/>
                      <w:szCs w:val="21"/>
                    </w:rPr>
                    <w:t>监测点位</w:t>
                  </w:r>
                </w:p>
              </w:tc>
              <w:tc>
                <w:tcPr>
                  <w:tcW w:w="723" w:type="pct"/>
                  <w:vAlign w:val="center"/>
                </w:tcPr>
                <w:p w14:paraId="5313FE5F">
                  <w:pPr>
                    <w:adjustRightInd w:val="0"/>
                    <w:jc w:val="center"/>
                    <w:rPr>
                      <w:color w:val="auto"/>
                      <w:kern w:val="0"/>
                      <w:szCs w:val="21"/>
                    </w:rPr>
                  </w:pPr>
                  <w:r>
                    <w:rPr>
                      <w:color w:val="auto"/>
                      <w:kern w:val="0"/>
                      <w:szCs w:val="21"/>
                    </w:rPr>
                    <w:t>监测因子</w:t>
                  </w:r>
                </w:p>
              </w:tc>
              <w:tc>
                <w:tcPr>
                  <w:tcW w:w="646" w:type="pct"/>
                  <w:vAlign w:val="center"/>
                </w:tcPr>
                <w:p w14:paraId="14FD810C">
                  <w:pPr>
                    <w:adjustRightInd w:val="0"/>
                    <w:jc w:val="center"/>
                    <w:rPr>
                      <w:color w:val="auto"/>
                      <w:kern w:val="0"/>
                      <w:szCs w:val="21"/>
                    </w:rPr>
                  </w:pPr>
                  <w:r>
                    <w:rPr>
                      <w:color w:val="auto"/>
                      <w:kern w:val="0"/>
                      <w:szCs w:val="21"/>
                    </w:rPr>
                    <w:t>监测频次</w:t>
                  </w:r>
                </w:p>
              </w:tc>
              <w:tc>
                <w:tcPr>
                  <w:tcW w:w="2383" w:type="pct"/>
                  <w:vAlign w:val="center"/>
                </w:tcPr>
                <w:p w14:paraId="5FB76CAA">
                  <w:pPr>
                    <w:adjustRightInd w:val="0"/>
                    <w:jc w:val="center"/>
                    <w:rPr>
                      <w:color w:val="auto"/>
                      <w:kern w:val="0"/>
                      <w:szCs w:val="21"/>
                    </w:rPr>
                  </w:pPr>
                  <w:r>
                    <w:rPr>
                      <w:color w:val="auto"/>
                      <w:kern w:val="0"/>
                      <w:szCs w:val="21"/>
                    </w:rPr>
                    <w:t>排放标准</w:t>
                  </w:r>
                </w:p>
              </w:tc>
            </w:tr>
            <w:tr w14:paraId="3D32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07" w:type="pct"/>
                  <w:vMerge w:val="restart"/>
                  <w:vAlign w:val="center"/>
                </w:tcPr>
                <w:p w14:paraId="5575DA8C">
                  <w:pPr>
                    <w:adjustRightInd w:val="0"/>
                    <w:jc w:val="center"/>
                    <w:rPr>
                      <w:rFonts w:hint="eastAsia" w:eastAsia="宋体"/>
                      <w:color w:val="auto"/>
                      <w:kern w:val="0"/>
                      <w:szCs w:val="21"/>
                      <w:lang w:eastAsia="zh-CN"/>
                    </w:rPr>
                  </w:pPr>
                  <w:r>
                    <w:rPr>
                      <w:rFonts w:hint="eastAsia"/>
                      <w:color w:val="auto"/>
                      <w:kern w:val="0"/>
                      <w:szCs w:val="21"/>
                      <w:lang w:eastAsia="zh-CN"/>
                    </w:rPr>
                    <w:t>废气</w:t>
                  </w:r>
                </w:p>
              </w:tc>
              <w:tc>
                <w:tcPr>
                  <w:tcW w:w="638" w:type="pct"/>
                  <w:vAlign w:val="center"/>
                </w:tcPr>
                <w:p w14:paraId="3BC63373">
                  <w:pPr>
                    <w:pStyle w:val="61"/>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eastAsia="宋体"/>
                      <w:color w:val="auto"/>
                      <w:kern w:val="0"/>
                      <w:szCs w:val="21"/>
                      <w:lang w:eastAsia="zh-CN"/>
                    </w:rPr>
                  </w:pPr>
                  <w:r>
                    <w:rPr>
                      <w:rFonts w:hint="default" w:ascii="Times New Roman" w:hAnsi="Times New Roman" w:cs="Times New Roman"/>
                      <w:color w:val="auto"/>
                      <w:sz w:val="21"/>
                      <w:szCs w:val="21"/>
                    </w:rPr>
                    <w:t>DA001</w:t>
                  </w:r>
                </w:p>
              </w:tc>
              <w:tc>
                <w:tcPr>
                  <w:tcW w:w="723" w:type="pct"/>
                  <w:vAlign w:val="center"/>
                </w:tcPr>
                <w:p w14:paraId="5946077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auto"/>
                      <w:kern w:val="0"/>
                      <w:szCs w:val="21"/>
                    </w:rPr>
                  </w:pPr>
                  <w:r>
                    <w:rPr>
                      <w:rFonts w:hint="eastAsia" w:cs="Times New Roman"/>
                      <w:color w:val="auto"/>
                      <w:sz w:val="21"/>
                      <w:szCs w:val="21"/>
                      <w:lang w:val="en-US" w:eastAsia="zh-CN"/>
                    </w:rPr>
                    <w:t>非甲烷总烃</w:t>
                  </w:r>
                </w:p>
              </w:tc>
              <w:tc>
                <w:tcPr>
                  <w:tcW w:w="646" w:type="pct"/>
                  <w:vAlign w:val="center"/>
                </w:tcPr>
                <w:p w14:paraId="657A1EDC">
                  <w:pPr>
                    <w:adjustRightInd w:val="0"/>
                    <w:jc w:val="center"/>
                    <w:rPr>
                      <w:color w:val="auto"/>
                      <w:kern w:val="0"/>
                      <w:szCs w:val="21"/>
                    </w:rPr>
                  </w:pPr>
                  <w:r>
                    <w:rPr>
                      <w:color w:val="auto"/>
                      <w:kern w:val="0"/>
                      <w:szCs w:val="21"/>
                    </w:rPr>
                    <w:t>1次/年</w:t>
                  </w:r>
                </w:p>
              </w:tc>
              <w:tc>
                <w:tcPr>
                  <w:tcW w:w="2383" w:type="pct"/>
                  <w:vMerge w:val="restart"/>
                  <w:vAlign w:val="center"/>
                </w:tcPr>
                <w:p w14:paraId="533B9A91">
                  <w:pPr>
                    <w:pStyle w:val="54"/>
                    <w:adjustRightInd w:val="0"/>
                    <w:snapToGrid w:val="0"/>
                    <w:spacing w:after="0"/>
                    <w:ind w:firstLine="0" w:firstLineChars="0"/>
                    <w:jc w:val="center"/>
                    <w:rPr>
                      <w:color w:val="auto"/>
                      <w:sz w:val="21"/>
                      <w:szCs w:val="21"/>
                    </w:rPr>
                  </w:pPr>
                  <w:r>
                    <w:rPr>
                      <w:rFonts w:hint="eastAsia"/>
                      <w:bCs/>
                      <w:color w:val="auto"/>
                      <w:sz w:val="21"/>
                      <w:szCs w:val="21"/>
                      <w:lang w:eastAsia="zh-CN"/>
                    </w:rPr>
                    <w:t>《</w:t>
                  </w:r>
                  <w:r>
                    <w:rPr>
                      <w:color w:val="auto"/>
                      <w:sz w:val="21"/>
                      <w:szCs w:val="21"/>
                    </w:rPr>
                    <w:t>合成树脂工业污染物排放标准》（GB31572-2015）</w:t>
                  </w:r>
                </w:p>
                <w:p w14:paraId="34EEE2FA">
                  <w:pPr>
                    <w:pStyle w:val="54"/>
                    <w:adjustRightInd w:val="0"/>
                    <w:snapToGrid w:val="0"/>
                    <w:spacing w:after="0"/>
                    <w:ind w:firstLine="0" w:firstLineChars="0"/>
                    <w:jc w:val="center"/>
                    <w:rPr>
                      <w:rFonts w:hint="eastAsia"/>
                      <w:bCs/>
                      <w:color w:val="auto"/>
                      <w:szCs w:val="21"/>
                    </w:rPr>
                  </w:pPr>
                  <w:r>
                    <w:rPr>
                      <w:rFonts w:hint="eastAsia"/>
                      <w:bCs/>
                      <w:color w:val="auto"/>
                      <w:sz w:val="21"/>
                      <w:szCs w:val="21"/>
                      <w:lang w:eastAsia="zh-CN"/>
                    </w:rPr>
                    <w:t>《</w:t>
                  </w:r>
                  <w:r>
                    <w:rPr>
                      <w:rFonts w:hint="eastAsia"/>
                      <w:bCs/>
                      <w:color w:val="auto"/>
                      <w:sz w:val="21"/>
                      <w:szCs w:val="21"/>
                      <w:lang w:val="en-US" w:eastAsia="zh-CN"/>
                    </w:rPr>
                    <w:t>固定源挥发性有机物综合排放标准 第6部分：其他行业</w:t>
                  </w:r>
                  <w:r>
                    <w:rPr>
                      <w:rFonts w:hint="eastAsia"/>
                      <w:bCs/>
                      <w:color w:val="auto"/>
                      <w:sz w:val="21"/>
                      <w:szCs w:val="21"/>
                      <w:lang w:eastAsia="zh-CN"/>
                    </w:rPr>
                    <w:t>》（</w:t>
                  </w:r>
                  <w:r>
                    <w:rPr>
                      <w:rFonts w:hint="eastAsia"/>
                      <w:bCs/>
                      <w:color w:val="auto"/>
                      <w:sz w:val="21"/>
                      <w:szCs w:val="21"/>
                      <w:lang w:val="en-US" w:eastAsia="zh-CN"/>
                    </w:rPr>
                    <w:t>DB34/4812.6-2024)</w:t>
                  </w:r>
                </w:p>
              </w:tc>
            </w:tr>
            <w:tr w14:paraId="03C3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07" w:type="pct"/>
                  <w:vMerge w:val="continue"/>
                  <w:vAlign w:val="center"/>
                </w:tcPr>
                <w:p w14:paraId="02594016">
                  <w:pPr>
                    <w:adjustRightInd w:val="0"/>
                    <w:jc w:val="center"/>
                    <w:rPr>
                      <w:color w:val="auto"/>
                      <w:kern w:val="0"/>
                      <w:szCs w:val="21"/>
                    </w:rPr>
                  </w:pPr>
                </w:p>
              </w:tc>
              <w:tc>
                <w:tcPr>
                  <w:tcW w:w="638" w:type="pct"/>
                  <w:vAlign w:val="center"/>
                </w:tcPr>
                <w:p w14:paraId="6F1585EB">
                  <w:pPr>
                    <w:adjustRightInd w:val="0"/>
                    <w:jc w:val="center"/>
                    <w:rPr>
                      <w:rFonts w:hint="eastAsia" w:eastAsia="宋体"/>
                      <w:color w:val="auto"/>
                      <w:kern w:val="0"/>
                      <w:szCs w:val="21"/>
                      <w:lang w:eastAsia="zh-CN"/>
                    </w:rPr>
                  </w:pPr>
                  <w:r>
                    <w:rPr>
                      <w:rFonts w:hint="eastAsia"/>
                      <w:color w:val="auto"/>
                      <w:kern w:val="0"/>
                      <w:szCs w:val="21"/>
                      <w:lang w:eastAsia="zh-CN"/>
                    </w:rPr>
                    <w:t>厂界</w:t>
                  </w:r>
                </w:p>
              </w:tc>
              <w:tc>
                <w:tcPr>
                  <w:tcW w:w="723" w:type="pct"/>
                  <w:vAlign w:val="center"/>
                </w:tcPr>
                <w:p w14:paraId="354C0EB7">
                  <w:pPr>
                    <w:adjustRightInd w:val="0"/>
                    <w:jc w:val="center"/>
                    <w:rPr>
                      <w:rFonts w:hint="eastAsia" w:eastAsia="宋体"/>
                      <w:color w:val="auto"/>
                      <w:kern w:val="0"/>
                      <w:szCs w:val="21"/>
                      <w:vertAlign w:val="baseline"/>
                      <w:lang w:eastAsia="zh-CN"/>
                    </w:rPr>
                  </w:pPr>
                  <w:r>
                    <w:rPr>
                      <w:rFonts w:hint="eastAsia"/>
                      <w:color w:val="auto"/>
                      <w:kern w:val="0"/>
                      <w:szCs w:val="21"/>
                      <w:lang w:eastAsia="zh-CN"/>
                    </w:rPr>
                    <w:t>颗粒物、</w:t>
                  </w:r>
                  <w:r>
                    <w:rPr>
                      <w:color w:val="auto"/>
                      <w:kern w:val="0"/>
                      <w:szCs w:val="21"/>
                    </w:rPr>
                    <w:t>非甲烷总烃</w:t>
                  </w:r>
                </w:p>
              </w:tc>
              <w:tc>
                <w:tcPr>
                  <w:tcW w:w="646" w:type="pct"/>
                  <w:vAlign w:val="center"/>
                </w:tcPr>
                <w:p w14:paraId="1B304868">
                  <w:pPr>
                    <w:adjustRightInd w:val="0"/>
                    <w:jc w:val="center"/>
                    <w:rPr>
                      <w:color w:val="auto"/>
                      <w:kern w:val="0"/>
                      <w:szCs w:val="21"/>
                    </w:rPr>
                  </w:pPr>
                  <w:r>
                    <w:rPr>
                      <w:color w:val="auto"/>
                      <w:kern w:val="0"/>
                      <w:szCs w:val="21"/>
                    </w:rPr>
                    <w:t>1次/年</w:t>
                  </w:r>
                </w:p>
              </w:tc>
              <w:tc>
                <w:tcPr>
                  <w:tcW w:w="2383" w:type="pct"/>
                  <w:vMerge w:val="continue"/>
                  <w:vAlign w:val="center"/>
                </w:tcPr>
                <w:p w14:paraId="75F228BE">
                  <w:pPr>
                    <w:pStyle w:val="54"/>
                    <w:adjustRightInd w:val="0"/>
                    <w:snapToGrid w:val="0"/>
                    <w:spacing w:after="0"/>
                    <w:ind w:firstLine="0" w:firstLineChars="0"/>
                    <w:jc w:val="center"/>
                    <w:rPr>
                      <w:rFonts w:hint="eastAsia"/>
                      <w:bCs/>
                      <w:color w:val="auto"/>
                      <w:szCs w:val="21"/>
                    </w:rPr>
                  </w:pPr>
                </w:p>
              </w:tc>
            </w:tr>
            <w:tr w14:paraId="1E12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07" w:type="pct"/>
                  <w:vMerge w:val="continue"/>
                  <w:vAlign w:val="center"/>
                </w:tcPr>
                <w:p w14:paraId="467F2B30">
                  <w:pPr>
                    <w:adjustRightInd w:val="0"/>
                    <w:jc w:val="center"/>
                    <w:rPr>
                      <w:color w:val="auto"/>
                      <w:kern w:val="0"/>
                      <w:szCs w:val="21"/>
                    </w:rPr>
                  </w:pPr>
                </w:p>
              </w:tc>
              <w:tc>
                <w:tcPr>
                  <w:tcW w:w="638" w:type="pct"/>
                  <w:vAlign w:val="center"/>
                </w:tcPr>
                <w:p w14:paraId="259FA677">
                  <w:pPr>
                    <w:adjustRightInd w:val="0"/>
                    <w:jc w:val="center"/>
                    <w:rPr>
                      <w:rFonts w:hint="eastAsia"/>
                      <w:color w:val="auto"/>
                      <w:kern w:val="0"/>
                      <w:szCs w:val="21"/>
                      <w:lang w:eastAsia="zh-CN"/>
                    </w:rPr>
                  </w:pPr>
                  <w:r>
                    <w:rPr>
                      <w:rFonts w:hint="eastAsia"/>
                      <w:color w:val="auto"/>
                      <w:kern w:val="0"/>
                      <w:szCs w:val="21"/>
                      <w:lang w:eastAsia="zh-CN"/>
                    </w:rPr>
                    <w:t>厂区内</w:t>
                  </w:r>
                </w:p>
              </w:tc>
              <w:tc>
                <w:tcPr>
                  <w:tcW w:w="723" w:type="pct"/>
                  <w:vAlign w:val="center"/>
                </w:tcPr>
                <w:p w14:paraId="6635D2D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auto"/>
                      <w:kern w:val="0"/>
                      <w:szCs w:val="21"/>
                    </w:rPr>
                  </w:pPr>
                  <w:r>
                    <w:rPr>
                      <w:rFonts w:hint="eastAsia" w:cs="Times New Roman"/>
                      <w:color w:val="auto"/>
                      <w:sz w:val="21"/>
                      <w:szCs w:val="21"/>
                      <w:lang w:val="en-US" w:eastAsia="zh-CN"/>
                    </w:rPr>
                    <w:t>非甲烷总烃</w:t>
                  </w:r>
                </w:p>
              </w:tc>
              <w:tc>
                <w:tcPr>
                  <w:tcW w:w="646" w:type="pct"/>
                  <w:vAlign w:val="center"/>
                </w:tcPr>
                <w:p w14:paraId="509EF949">
                  <w:pPr>
                    <w:adjustRightInd w:val="0"/>
                    <w:jc w:val="center"/>
                    <w:rPr>
                      <w:color w:val="auto"/>
                      <w:kern w:val="0"/>
                      <w:szCs w:val="21"/>
                    </w:rPr>
                  </w:pPr>
                  <w:r>
                    <w:rPr>
                      <w:color w:val="auto"/>
                      <w:kern w:val="0"/>
                      <w:szCs w:val="21"/>
                    </w:rPr>
                    <w:t>1次/年</w:t>
                  </w:r>
                </w:p>
              </w:tc>
              <w:tc>
                <w:tcPr>
                  <w:tcW w:w="2383" w:type="pct"/>
                  <w:vMerge w:val="continue"/>
                  <w:vAlign w:val="center"/>
                </w:tcPr>
                <w:p w14:paraId="20EBB106">
                  <w:pPr>
                    <w:pStyle w:val="54"/>
                    <w:adjustRightInd w:val="0"/>
                    <w:snapToGrid w:val="0"/>
                    <w:spacing w:after="0"/>
                    <w:ind w:firstLine="0" w:firstLineChars="0"/>
                    <w:jc w:val="center"/>
                    <w:rPr>
                      <w:rFonts w:hint="eastAsia"/>
                      <w:bCs/>
                      <w:color w:val="auto"/>
                      <w:szCs w:val="21"/>
                    </w:rPr>
                  </w:pPr>
                </w:p>
              </w:tc>
            </w:tr>
          </w:tbl>
          <w:p w14:paraId="2A2AB72B">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2、废水</w:t>
            </w:r>
          </w:p>
          <w:p w14:paraId="0ED9944A">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2.1废水排放情况</w:t>
            </w:r>
          </w:p>
          <w:p w14:paraId="244E2B46">
            <w:pPr>
              <w:spacing w:line="360" w:lineRule="auto"/>
              <w:ind w:firstLine="480" w:firstLineChars="200"/>
              <w:rPr>
                <w:rFonts w:hint="eastAsia" w:eastAsia="宋体"/>
                <w:color w:val="auto"/>
                <w:sz w:val="24"/>
                <w:lang w:eastAsia="zh-CN"/>
              </w:rPr>
            </w:pPr>
            <w:r>
              <w:rPr>
                <w:color w:val="auto"/>
                <w:sz w:val="24"/>
              </w:rPr>
              <w:t>项目用水来自市政供水，本项目用水主要为</w:t>
            </w:r>
            <w:r>
              <w:rPr>
                <w:rFonts w:hint="eastAsia"/>
                <w:color w:val="auto"/>
                <w:sz w:val="24"/>
                <w:lang w:eastAsia="zh-CN"/>
              </w:rPr>
              <w:t>职工</w:t>
            </w:r>
            <w:r>
              <w:rPr>
                <w:color w:val="auto"/>
                <w:sz w:val="24"/>
              </w:rPr>
              <w:t>生活用水</w:t>
            </w:r>
            <w:r>
              <w:rPr>
                <w:rFonts w:hint="eastAsia"/>
                <w:color w:val="auto"/>
                <w:sz w:val="24"/>
                <w:lang w:eastAsia="zh-CN"/>
              </w:rPr>
              <w:t>和循环冷却用水。</w:t>
            </w:r>
            <w:r>
              <w:rPr>
                <w:color w:val="auto"/>
                <w:sz w:val="24"/>
              </w:rPr>
              <w:t>排水为职工生活污水</w:t>
            </w:r>
            <w:r>
              <w:rPr>
                <w:rFonts w:hint="eastAsia"/>
                <w:color w:val="auto"/>
                <w:sz w:val="24"/>
                <w:lang w:eastAsia="zh-CN"/>
              </w:rPr>
              <w:t>。</w:t>
            </w:r>
          </w:p>
          <w:p w14:paraId="78DABE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lang w:eastAsia="zh-CN"/>
              </w:rPr>
              <w:t>职工</w:t>
            </w:r>
            <w:r>
              <w:rPr>
                <w:rFonts w:hint="default" w:ascii="Times New Roman" w:hAnsi="Times New Roman" w:eastAsia="宋体" w:cs="Times New Roman"/>
                <w:color w:val="auto"/>
                <w:sz w:val="24"/>
                <w:szCs w:val="24"/>
              </w:rPr>
              <w:t>生活</w:t>
            </w:r>
            <w:r>
              <w:rPr>
                <w:rFonts w:hint="default" w:ascii="Times New Roman" w:hAnsi="Times New Roman" w:eastAsia="宋体" w:cs="Times New Roman"/>
                <w:color w:val="auto"/>
                <w:sz w:val="24"/>
                <w:szCs w:val="24"/>
                <w:lang w:eastAsia="zh-CN"/>
              </w:rPr>
              <w:t>用水</w:t>
            </w:r>
            <w:r>
              <w:rPr>
                <w:rFonts w:hint="default" w:ascii="Times New Roman" w:hAnsi="Times New Roman" w:eastAsia="宋体" w:cs="Times New Roman"/>
                <w:color w:val="auto"/>
                <w:sz w:val="24"/>
                <w:szCs w:val="24"/>
              </w:rPr>
              <w:t>：本项目职工</w:t>
            </w:r>
            <w:r>
              <w:rPr>
                <w:color w:val="auto"/>
                <w:sz w:val="24"/>
              </w:rPr>
              <w:t>人数为</w:t>
            </w:r>
            <w:r>
              <w:rPr>
                <w:rFonts w:hint="eastAsia"/>
                <w:color w:val="auto"/>
                <w:sz w:val="24"/>
                <w:lang w:val="en-US" w:eastAsia="zh-CN"/>
              </w:rPr>
              <w:t>50</w:t>
            </w:r>
            <w:r>
              <w:rPr>
                <w:color w:val="auto"/>
                <w:sz w:val="24"/>
                <w:szCs w:val="24"/>
              </w:rPr>
              <w:t>人，</w:t>
            </w:r>
            <w:r>
              <w:rPr>
                <w:rFonts w:hint="eastAsia"/>
                <w:color w:val="auto"/>
                <w:sz w:val="24"/>
                <w:szCs w:val="24"/>
                <w:lang w:eastAsia="zh-CN"/>
              </w:rPr>
              <w:t>不设食宿。</w:t>
            </w:r>
            <w:r>
              <w:rPr>
                <w:color w:val="auto"/>
                <w:sz w:val="24"/>
                <w:szCs w:val="24"/>
              </w:rPr>
              <w:t>根据</w:t>
            </w:r>
            <w:r>
              <w:rPr>
                <w:rFonts w:hint="eastAsia" w:cs="Times New Roman"/>
                <w:color w:val="auto"/>
                <w:kern w:val="0"/>
                <w:sz w:val="24"/>
                <w:lang w:eastAsia="zh-CN"/>
              </w:rPr>
              <w:t>蚌埠市</w:t>
            </w:r>
            <w:r>
              <w:rPr>
                <w:rFonts w:hint="default" w:ascii="Times New Roman" w:hAnsi="Times New Roman" w:eastAsia="宋体" w:cs="Times New Roman"/>
                <w:color w:val="auto"/>
                <w:kern w:val="0"/>
                <w:sz w:val="24"/>
              </w:rPr>
              <w:t>《</w:t>
            </w:r>
            <w:r>
              <w:rPr>
                <w:rFonts w:hint="eastAsia" w:cs="Times New Roman"/>
                <w:color w:val="auto"/>
                <w:kern w:val="0"/>
                <w:sz w:val="24"/>
                <w:lang w:eastAsia="zh-CN"/>
              </w:rPr>
              <w:t>城市行业</w:t>
            </w:r>
            <w:r>
              <w:rPr>
                <w:rFonts w:hint="default" w:ascii="Times New Roman" w:hAnsi="Times New Roman" w:eastAsia="宋体" w:cs="Times New Roman"/>
                <w:color w:val="auto"/>
                <w:kern w:val="0"/>
                <w:sz w:val="24"/>
              </w:rPr>
              <w:t>用水定额</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（DB34</w:t>
            </w:r>
            <w:r>
              <w:rPr>
                <w:rFonts w:hint="eastAsia" w:cs="Times New Roman"/>
                <w:color w:val="auto"/>
                <w:kern w:val="0"/>
                <w:sz w:val="24"/>
                <w:lang w:val="en-US" w:eastAsia="zh-CN"/>
              </w:rPr>
              <w:t>03</w:t>
            </w:r>
            <w:r>
              <w:rPr>
                <w:rFonts w:hint="default" w:ascii="Times New Roman" w:hAnsi="Times New Roman" w:eastAsia="宋体" w:cs="Times New Roman"/>
                <w:color w:val="auto"/>
                <w:kern w:val="0"/>
                <w:sz w:val="24"/>
              </w:rPr>
              <w:t>/T</w:t>
            </w:r>
            <w:r>
              <w:rPr>
                <w:rFonts w:hint="eastAsia" w:cs="Times New Roman"/>
                <w:color w:val="auto"/>
                <w:kern w:val="0"/>
                <w:sz w:val="24"/>
                <w:lang w:val="en-US" w:eastAsia="zh-CN"/>
              </w:rPr>
              <w:t>10</w:t>
            </w:r>
            <w:r>
              <w:rPr>
                <w:rFonts w:hint="default" w:ascii="Times New Roman" w:hAnsi="Times New Roman" w:eastAsia="宋体" w:cs="Times New Roman"/>
                <w:color w:val="auto"/>
                <w:kern w:val="0"/>
                <w:sz w:val="24"/>
              </w:rPr>
              <w:t>─20</w:t>
            </w:r>
            <w:r>
              <w:rPr>
                <w:rFonts w:hint="eastAsia" w:cs="Times New Roman"/>
                <w:color w:val="auto"/>
                <w:kern w:val="0"/>
                <w:sz w:val="24"/>
                <w:lang w:val="en-US" w:eastAsia="zh-CN"/>
              </w:rPr>
              <w:t>21</w:t>
            </w:r>
            <w:r>
              <w:rPr>
                <w:rFonts w:hint="default" w:ascii="Times New Roman" w:hAnsi="Times New Roman" w:eastAsia="宋体" w:cs="Times New Roman"/>
                <w:color w:val="auto"/>
                <w:kern w:val="0"/>
                <w:sz w:val="24"/>
              </w:rPr>
              <w:t>）</w:t>
            </w:r>
            <w:r>
              <w:rPr>
                <w:color w:val="auto"/>
                <w:sz w:val="24"/>
                <w:szCs w:val="24"/>
              </w:rPr>
              <w:t>，</w:t>
            </w:r>
            <w:r>
              <w:rPr>
                <w:rFonts w:hint="eastAsia"/>
                <w:color w:val="auto"/>
                <w:sz w:val="24"/>
                <w:lang w:eastAsia="zh-CN"/>
              </w:rPr>
              <w:t>职工</w:t>
            </w:r>
            <w:r>
              <w:rPr>
                <w:rFonts w:hint="default" w:ascii="Times New Roman" w:hAnsi="Times New Roman" w:eastAsia="宋体" w:cs="Times New Roman"/>
                <w:color w:val="auto"/>
                <w:sz w:val="24"/>
              </w:rPr>
              <w:t>生活用水量按</w:t>
            </w:r>
            <w:r>
              <w:rPr>
                <w:rFonts w:hint="eastAsia" w:cs="Times New Roman"/>
                <w:color w:val="auto"/>
                <w:sz w:val="24"/>
                <w:lang w:val="en-US" w:eastAsia="zh-CN"/>
              </w:rPr>
              <w:t>60</w:t>
            </w:r>
            <w:r>
              <w:rPr>
                <w:rFonts w:hint="default" w:ascii="Times New Roman" w:hAnsi="Times New Roman" w:eastAsia="宋体" w:cs="Times New Roman"/>
                <w:color w:val="auto"/>
                <w:sz w:val="24"/>
              </w:rPr>
              <w:t>L/人·d计</w:t>
            </w:r>
            <w:r>
              <w:rPr>
                <w:rFonts w:hint="eastAsia" w:ascii="Times New Roman" w:hAnsi="Times New Roman" w:eastAsia="宋体" w:cs="Times New Roman"/>
                <w:color w:val="auto"/>
                <w:sz w:val="24"/>
                <w:lang w:eastAsia="zh-CN"/>
              </w:rPr>
              <w:t>，</w:t>
            </w:r>
            <w:r>
              <w:rPr>
                <w:color w:val="auto"/>
                <w:sz w:val="24"/>
              </w:rPr>
              <w:t>则生活用水量约为</w:t>
            </w:r>
            <w:r>
              <w:rPr>
                <w:rFonts w:hint="eastAsia"/>
                <w:color w:val="auto"/>
                <w:sz w:val="24"/>
                <w:lang w:val="en-US" w:eastAsia="zh-CN"/>
              </w:rPr>
              <w:t>3</w:t>
            </w:r>
            <w:r>
              <w:rPr>
                <w:color w:val="auto"/>
                <w:sz w:val="24"/>
              </w:rPr>
              <w:t>t/d，年用水量约为</w:t>
            </w:r>
            <w:r>
              <w:rPr>
                <w:rFonts w:hint="eastAsia"/>
                <w:color w:val="auto"/>
                <w:sz w:val="24"/>
                <w:lang w:val="en-US" w:eastAsia="zh-CN"/>
              </w:rPr>
              <w:t>900</w:t>
            </w:r>
            <w:r>
              <w:rPr>
                <w:color w:val="auto"/>
                <w:sz w:val="24"/>
              </w:rPr>
              <w:t>t/a（全年按</w:t>
            </w:r>
            <w:r>
              <w:rPr>
                <w:rFonts w:hint="eastAsia"/>
                <w:color w:val="auto"/>
                <w:sz w:val="24"/>
                <w:lang w:val="en-US" w:eastAsia="zh-CN"/>
              </w:rPr>
              <w:t>300</w:t>
            </w:r>
            <w:r>
              <w:rPr>
                <w:color w:val="auto"/>
                <w:sz w:val="24"/>
              </w:rPr>
              <w:t>天计算）</w:t>
            </w:r>
            <w:r>
              <w:rPr>
                <w:rFonts w:hint="eastAsia"/>
                <w:color w:val="auto"/>
                <w:sz w:val="24"/>
                <w:lang w:eastAsia="zh-CN"/>
              </w:rPr>
              <w:t>。</w:t>
            </w:r>
            <w:r>
              <w:rPr>
                <w:rFonts w:ascii="Times New Roman" w:hAnsi="Times New Roman"/>
                <w:color w:val="auto"/>
                <w:sz w:val="24"/>
              </w:rPr>
              <w:t>排水系数以0.8计，则生活废水量约为</w:t>
            </w:r>
            <w:r>
              <w:rPr>
                <w:rFonts w:hint="eastAsia"/>
                <w:color w:val="auto"/>
                <w:sz w:val="24"/>
                <w:lang w:val="en-US" w:eastAsia="zh-CN"/>
              </w:rPr>
              <w:t>2.4</w:t>
            </w:r>
            <w:r>
              <w:rPr>
                <w:color w:val="auto"/>
                <w:sz w:val="24"/>
              </w:rPr>
              <w:t>t/d</w:t>
            </w:r>
            <w:r>
              <w:rPr>
                <w:rFonts w:hint="eastAsia"/>
                <w:color w:val="auto"/>
                <w:sz w:val="24"/>
              </w:rPr>
              <w:t>（</w:t>
            </w:r>
            <w:r>
              <w:rPr>
                <w:rFonts w:hint="eastAsia"/>
                <w:color w:val="auto"/>
                <w:sz w:val="24"/>
                <w:lang w:val="en-US" w:eastAsia="zh-CN"/>
              </w:rPr>
              <w:t>720</w:t>
            </w:r>
            <w:r>
              <w:rPr>
                <w:color w:val="auto"/>
                <w:sz w:val="24"/>
              </w:rPr>
              <w:t>t/a</w:t>
            </w:r>
            <w:r>
              <w:rPr>
                <w:rFonts w:hint="eastAsia"/>
                <w:color w:val="auto"/>
                <w:sz w:val="24"/>
              </w:rPr>
              <w:t>）</w:t>
            </w:r>
            <w:r>
              <w:rPr>
                <w:rFonts w:hint="eastAsia"/>
                <w:color w:val="auto"/>
                <w:sz w:val="24"/>
                <w:lang w:eastAsia="zh-CN"/>
              </w:rPr>
              <w:t>。</w:t>
            </w:r>
            <w:r>
              <w:rPr>
                <w:rFonts w:hint="eastAsia"/>
                <w:color w:val="auto"/>
                <w:sz w:val="24"/>
              </w:rPr>
              <w:t>生活污水</w:t>
            </w:r>
            <w:r>
              <w:rPr>
                <w:rFonts w:hint="eastAsia"/>
                <w:b w:val="0"/>
                <w:bCs/>
                <w:color w:val="auto"/>
                <w:sz w:val="24"/>
                <w:szCs w:val="24"/>
              </w:rPr>
              <w:t>经化粪池</w:t>
            </w:r>
            <w:r>
              <w:rPr>
                <w:rFonts w:hint="eastAsia"/>
                <w:color w:val="auto"/>
                <w:sz w:val="24"/>
                <w:szCs w:val="24"/>
                <w:lang w:eastAsia="zh-CN"/>
              </w:rPr>
              <w:t>预处理后排入园区污水管网，进入固镇经济开发区污水处理厂处理，处理达标后排入北淝河下段</w:t>
            </w:r>
            <w:r>
              <w:rPr>
                <w:rFonts w:hint="default" w:ascii="Times New Roman" w:hAnsi="Times New Roman" w:eastAsia="宋体" w:cs="Times New Roman"/>
                <w:color w:val="auto"/>
                <w:kern w:val="0"/>
                <w:sz w:val="24"/>
                <w:szCs w:val="24"/>
                <w:lang w:val="en-US" w:eastAsia="zh-CN" w:bidi="ar"/>
              </w:rPr>
              <w:t>。</w:t>
            </w:r>
          </w:p>
          <w:p w14:paraId="14A3DDD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0"/>
                <w:sz w:val="24"/>
                <w:szCs w:val="24"/>
                <w:lang w:val="en-US" w:eastAsia="zh-CN" w:bidi="ar"/>
              </w:rPr>
            </w:pPr>
            <w:r>
              <w:rPr>
                <w:rFonts w:hint="eastAsia"/>
                <w:color w:val="auto"/>
                <w:sz w:val="24"/>
                <w:lang w:eastAsia="zh-CN"/>
              </w:rPr>
              <w:t>循环冷却补充用水：本项目生产车间注塑机设备有循环冷却系统，</w:t>
            </w:r>
            <w:r>
              <w:rPr>
                <w:rFonts w:hint="eastAsia" w:ascii="Times New Roman" w:hAnsi="Times New Roman" w:cs="Times New Roman"/>
                <w:color w:val="auto"/>
                <w:spacing w:val="0"/>
                <w:position w:val="0"/>
                <w:sz w:val="24"/>
                <w:highlight w:val="none"/>
                <w:lang w:val="en-US" w:eastAsia="zh-CN"/>
              </w:rPr>
              <w:t>项目设备</w:t>
            </w:r>
            <w:r>
              <w:rPr>
                <w:rFonts w:hint="eastAsia" w:cs="Times New Roman"/>
                <w:color w:val="auto"/>
                <w:spacing w:val="0"/>
                <w:position w:val="0"/>
                <w:sz w:val="24"/>
                <w:highlight w:val="none"/>
                <w:lang w:val="en-US" w:eastAsia="zh-CN"/>
              </w:rPr>
              <w:t>冷却</w:t>
            </w:r>
            <w:r>
              <w:rPr>
                <w:rFonts w:hint="eastAsia" w:ascii="Times New Roman" w:hAnsi="Times New Roman" w:cs="Times New Roman"/>
                <w:color w:val="auto"/>
                <w:spacing w:val="0"/>
                <w:position w:val="0"/>
                <w:sz w:val="24"/>
                <w:highlight w:val="none"/>
                <w:lang w:val="en-US" w:eastAsia="zh-CN"/>
              </w:rPr>
              <w:t>系统</w:t>
            </w:r>
            <w:r>
              <w:rPr>
                <w:rFonts w:hint="eastAsia" w:cs="Times New Roman"/>
                <w:color w:val="auto"/>
                <w:spacing w:val="0"/>
                <w:position w:val="0"/>
                <w:sz w:val="24"/>
                <w:highlight w:val="none"/>
                <w:lang w:val="en-US" w:eastAsia="zh-CN"/>
              </w:rPr>
              <w:t>补充</w:t>
            </w:r>
            <w:r>
              <w:rPr>
                <w:rFonts w:hint="eastAsia" w:ascii="Times New Roman" w:hAnsi="Times New Roman" w:cs="Times New Roman"/>
                <w:color w:val="auto"/>
                <w:spacing w:val="0"/>
                <w:position w:val="0"/>
                <w:sz w:val="24"/>
                <w:highlight w:val="none"/>
                <w:lang w:val="en-US" w:eastAsia="zh-CN"/>
              </w:rPr>
              <w:t>用水量为</w:t>
            </w:r>
            <w:r>
              <w:rPr>
                <w:rFonts w:hint="eastAsia"/>
                <w:color w:val="auto"/>
                <w:sz w:val="24"/>
                <w:lang w:val="en-US" w:eastAsia="zh-CN"/>
              </w:rPr>
              <w:t>1</w:t>
            </w:r>
            <w:r>
              <w:rPr>
                <w:color w:val="auto"/>
                <w:sz w:val="24"/>
              </w:rPr>
              <w:t>t/d</w:t>
            </w:r>
            <w:r>
              <w:rPr>
                <w:rFonts w:hint="eastAsia"/>
                <w:color w:val="auto"/>
                <w:sz w:val="24"/>
              </w:rPr>
              <w:t>（</w:t>
            </w:r>
            <w:r>
              <w:rPr>
                <w:rFonts w:hint="eastAsia"/>
                <w:color w:val="auto"/>
                <w:sz w:val="24"/>
                <w:lang w:val="en-US" w:eastAsia="zh-CN"/>
              </w:rPr>
              <w:t>300</w:t>
            </w:r>
            <w:r>
              <w:rPr>
                <w:color w:val="auto"/>
                <w:sz w:val="24"/>
              </w:rPr>
              <w:t>t/a</w:t>
            </w:r>
            <w:r>
              <w:rPr>
                <w:rFonts w:hint="eastAsia"/>
                <w:color w:val="auto"/>
                <w:sz w:val="24"/>
              </w:rPr>
              <w:t>）</w:t>
            </w:r>
            <w:r>
              <w:rPr>
                <w:rFonts w:hint="eastAsia"/>
                <w:color w:val="auto"/>
                <w:sz w:val="24"/>
                <w:lang w:eastAsia="zh-CN"/>
              </w:rPr>
              <w:t>，</w:t>
            </w:r>
            <w:r>
              <w:rPr>
                <w:rFonts w:hint="eastAsia" w:cs="Times New Roman"/>
                <w:color w:val="auto"/>
                <w:spacing w:val="0"/>
                <w:position w:val="0"/>
                <w:sz w:val="24"/>
                <w:highlight w:val="none"/>
                <w:lang w:val="en-US" w:eastAsia="zh-CN"/>
              </w:rPr>
              <w:t>冷却水循环使用，</w:t>
            </w:r>
            <w:r>
              <w:rPr>
                <w:rFonts w:hint="eastAsia"/>
                <w:color w:val="auto"/>
                <w:sz w:val="24"/>
                <w:lang w:eastAsia="zh-CN"/>
              </w:rPr>
              <w:t>同时循环冷却水循环使用一定时间后由于水质无法满足冷却水水质要求，需定期外排循环水，项目冷却水池容积</w:t>
            </w:r>
            <w:r>
              <w:rPr>
                <w:rFonts w:hint="eastAsia"/>
                <w:color w:val="auto"/>
                <w:sz w:val="24"/>
                <w:lang w:val="en-US" w:eastAsia="zh-CN"/>
              </w:rPr>
              <w:t>20</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vertAlign w:val="baseline"/>
                <w:lang w:val="en-US" w:eastAsia="zh-CN"/>
              </w:rPr>
              <w:t>，</w:t>
            </w:r>
            <w:r>
              <w:rPr>
                <w:rFonts w:hint="eastAsia"/>
                <w:color w:val="auto"/>
                <w:sz w:val="24"/>
                <w:lang w:eastAsia="zh-CN"/>
              </w:rPr>
              <w:t>半年排一次，外排量</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pacing w:val="0"/>
                <w:position w:val="0"/>
                <w:sz w:val="24"/>
                <w:highlight w:val="none"/>
                <w:lang w:val="en-US" w:eastAsia="zh-CN"/>
              </w:rPr>
              <w:t>用于道路洒水</w:t>
            </w:r>
            <w:r>
              <w:rPr>
                <w:rFonts w:hint="eastAsia"/>
                <w:color w:val="auto"/>
                <w:sz w:val="24"/>
                <w:lang w:eastAsia="zh-CN"/>
              </w:rPr>
              <w:t>。</w:t>
            </w:r>
            <w:r>
              <w:rPr>
                <w:rFonts w:hint="eastAsia" w:cs="Times New Roman"/>
                <w:color w:val="auto"/>
                <w:kern w:val="0"/>
                <w:sz w:val="24"/>
                <w:szCs w:val="24"/>
                <w:lang w:val="en-US" w:eastAsia="zh-CN" w:bidi="ar"/>
              </w:rPr>
              <w:t xml:space="preserve"> </w:t>
            </w:r>
          </w:p>
          <w:p w14:paraId="0F2D4822">
            <w:pPr>
              <w:spacing w:line="240" w:lineRule="auto"/>
              <w:ind w:firstLine="78" w:firstLineChars="37"/>
              <w:jc w:val="center"/>
              <w:rPr>
                <w:b/>
                <w:bCs/>
                <w:color w:val="auto"/>
                <w:sz w:val="21"/>
                <w:szCs w:val="21"/>
              </w:rPr>
            </w:pPr>
            <w:r>
              <w:rPr>
                <w:b/>
                <w:bCs/>
                <w:color w:val="auto"/>
                <w:sz w:val="21"/>
                <w:szCs w:val="21"/>
              </w:rPr>
              <w:t>表</w:t>
            </w:r>
            <w:r>
              <w:rPr>
                <w:rFonts w:hint="eastAsia"/>
                <w:b/>
                <w:bCs/>
                <w:color w:val="auto"/>
                <w:sz w:val="21"/>
                <w:szCs w:val="21"/>
                <w:lang w:val="en-US" w:eastAsia="zh-CN"/>
              </w:rPr>
              <w:t>4</w:t>
            </w:r>
            <w:r>
              <w:rPr>
                <w:b/>
                <w:bCs/>
                <w:color w:val="auto"/>
                <w:sz w:val="21"/>
                <w:szCs w:val="21"/>
              </w:rPr>
              <w:t>-</w:t>
            </w:r>
            <w:r>
              <w:rPr>
                <w:rFonts w:hint="eastAsia"/>
                <w:b/>
                <w:bCs/>
                <w:color w:val="auto"/>
                <w:sz w:val="21"/>
                <w:szCs w:val="21"/>
                <w:lang w:val="en-US" w:eastAsia="zh-CN"/>
              </w:rPr>
              <w:t xml:space="preserve">9 </w:t>
            </w:r>
            <w:r>
              <w:rPr>
                <w:b/>
                <w:bCs/>
                <w:color w:val="auto"/>
                <w:sz w:val="21"/>
                <w:szCs w:val="21"/>
              </w:rPr>
              <w:t>项目用</w:t>
            </w:r>
            <w:r>
              <w:rPr>
                <w:rFonts w:hint="eastAsia"/>
                <w:b/>
                <w:bCs/>
                <w:color w:val="auto"/>
                <w:sz w:val="21"/>
                <w:szCs w:val="21"/>
                <w:lang w:eastAsia="zh-CN"/>
              </w:rPr>
              <w:t>水</w:t>
            </w:r>
            <w:r>
              <w:rPr>
                <w:b/>
                <w:bCs/>
                <w:color w:val="auto"/>
                <w:sz w:val="21"/>
                <w:szCs w:val="21"/>
              </w:rPr>
              <w:t>及排水量</w:t>
            </w:r>
            <w:r>
              <w:rPr>
                <w:rFonts w:hint="eastAsia"/>
                <w:b/>
                <w:bCs/>
                <w:color w:val="auto"/>
                <w:sz w:val="21"/>
                <w:szCs w:val="21"/>
                <w:lang w:eastAsia="zh-CN"/>
              </w:rPr>
              <w:t>一览</w:t>
            </w:r>
            <w:r>
              <w:rPr>
                <w:b/>
                <w:bCs/>
                <w:color w:val="auto"/>
                <w:sz w:val="21"/>
                <w:szCs w:val="21"/>
              </w:rPr>
              <w:t>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424"/>
              <w:gridCol w:w="1450"/>
              <w:gridCol w:w="1450"/>
              <w:gridCol w:w="1450"/>
              <w:gridCol w:w="1450"/>
            </w:tblGrid>
            <w:tr w14:paraId="60F5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30" w:type="pct"/>
                  <w:vMerge w:val="restart"/>
                  <w:noWrap w:val="0"/>
                  <w:vAlign w:val="center"/>
                </w:tcPr>
                <w:p w14:paraId="708CA292">
                  <w:pPr>
                    <w:spacing w:line="240" w:lineRule="auto"/>
                    <w:jc w:val="center"/>
                    <w:rPr>
                      <w:color w:val="auto"/>
                      <w:sz w:val="21"/>
                      <w:szCs w:val="21"/>
                    </w:rPr>
                  </w:pPr>
                  <w:r>
                    <w:rPr>
                      <w:color w:val="auto"/>
                      <w:sz w:val="21"/>
                      <w:szCs w:val="21"/>
                    </w:rPr>
                    <w:t>序号</w:t>
                  </w:r>
                </w:p>
              </w:tc>
              <w:tc>
                <w:tcPr>
                  <w:tcW w:w="1376" w:type="pct"/>
                  <w:vMerge w:val="restart"/>
                  <w:noWrap w:val="0"/>
                  <w:vAlign w:val="center"/>
                </w:tcPr>
                <w:p w14:paraId="29C518D7">
                  <w:pPr>
                    <w:spacing w:line="240" w:lineRule="auto"/>
                    <w:jc w:val="center"/>
                    <w:rPr>
                      <w:color w:val="auto"/>
                      <w:sz w:val="21"/>
                      <w:szCs w:val="21"/>
                    </w:rPr>
                  </w:pPr>
                  <w:r>
                    <w:rPr>
                      <w:color w:val="auto"/>
                      <w:sz w:val="21"/>
                      <w:szCs w:val="21"/>
                    </w:rPr>
                    <w:t>名称</w:t>
                  </w:r>
                </w:p>
              </w:tc>
              <w:tc>
                <w:tcPr>
                  <w:tcW w:w="1646" w:type="pct"/>
                  <w:gridSpan w:val="2"/>
                  <w:noWrap w:val="0"/>
                  <w:vAlign w:val="center"/>
                </w:tcPr>
                <w:p w14:paraId="4A870771">
                  <w:pPr>
                    <w:spacing w:line="240" w:lineRule="auto"/>
                    <w:jc w:val="center"/>
                    <w:rPr>
                      <w:color w:val="auto"/>
                      <w:sz w:val="21"/>
                      <w:szCs w:val="21"/>
                    </w:rPr>
                  </w:pPr>
                  <w:r>
                    <w:rPr>
                      <w:color w:val="auto"/>
                      <w:sz w:val="21"/>
                      <w:szCs w:val="21"/>
                    </w:rPr>
                    <w:t>用水量（t）</w:t>
                  </w:r>
                </w:p>
              </w:tc>
              <w:tc>
                <w:tcPr>
                  <w:tcW w:w="1646" w:type="pct"/>
                  <w:gridSpan w:val="2"/>
                  <w:noWrap w:val="0"/>
                  <w:vAlign w:val="center"/>
                </w:tcPr>
                <w:p w14:paraId="66CC4E44">
                  <w:pPr>
                    <w:spacing w:line="240" w:lineRule="auto"/>
                    <w:jc w:val="center"/>
                    <w:rPr>
                      <w:color w:val="auto"/>
                      <w:sz w:val="21"/>
                      <w:szCs w:val="21"/>
                    </w:rPr>
                  </w:pPr>
                  <w:r>
                    <w:rPr>
                      <w:color w:val="auto"/>
                      <w:sz w:val="21"/>
                      <w:szCs w:val="21"/>
                    </w:rPr>
                    <w:t>排水量（t）</w:t>
                  </w:r>
                </w:p>
              </w:tc>
            </w:tr>
            <w:tr w14:paraId="7CAE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30" w:type="pct"/>
                  <w:vMerge w:val="continue"/>
                  <w:noWrap w:val="0"/>
                  <w:vAlign w:val="center"/>
                </w:tcPr>
                <w:p w14:paraId="2A2B72E7">
                  <w:pPr>
                    <w:spacing w:line="240" w:lineRule="auto"/>
                    <w:jc w:val="center"/>
                    <w:rPr>
                      <w:color w:val="auto"/>
                      <w:sz w:val="21"/>
                      <w:szCs w:val="21"/>
                    </w:rPr>
                  </w:pPr>
                </w:p>
              </w:tc>
              <w:tc>
                <w:tcPr>
                  <w:tcW w:w="1376" w:type="pct"/>
                  <w:vMerge w:val="continue"/>
                  <w:noWrap w:val="0"/>
                  <w:vAlign w:val="center"/>
                </w:tcPr>
                <w:p w14:paraId="53A1A5DC">
                  <w:pPr>
                    <w:spacing w:line="240" w:lineRule="auto"/>
                    <w:jc w:val="center"/>
                    <w:rPr>
                      <w:color w:val="auto"/>
                      <w:sz w:val="21"/>
                      <w:szCs w:val="21"/>
                    </w:rPr>
                  </w:pPr>
                </w:p>
              </w:tc>
              <w:tc>
                <w:tcPr>
                  <w:tcW w:w="823" w:type="pct"/>
                  <w:noWrap w:val="0"/>
                  <w:vAlign w:val="center"/>
                </w:tcPr>
                <w:p w14:paraId="3CC0E5ED">
                  <w:pPr>
                    <w:spacing w:line="240" w:lineRule="auto"/>
                    <w:jc w:val="center"/>
                    <w:rPr>
                      <w:color w:val="auto"/>
                      <w:sz w:val="21"/>
                      <w:szCs w:val="21"/>
                    </w:rPr>
                  </w:pPr>
                  <w:r>
                    <w:rPr>
                      <w:color w:val="auto"/>
                      <w:sz w:val="21"/>
                      <w:szCs w:val="21"/>
                    </w:rPr>
                    <w:t>日用水</w:t>
                  </w:r>
                </w:p>
              </w:tc>
              <w:tc>
                <w:tcPr>
                  <w:tcW w:w="823" w:type="pct"/>
                  <w:noWrap w:val="0"/>
                  <w:vAlign w:val="center"/>
                </w:tcPr>
                <w:p w14:paraId="15179582">
                  <w:pPr>
                    <w:spacing w:line="240" w:lineRule="auto"/>
                    <w:jc w:val="center"/>
                    <w:rPr>
                      <w:color w:val="auto"/>
                      <w:sz w:val="21"/>
                      <w:szCs w:val="21"/>
                    </w:rPr>
                  </w:pPr>
                  <w:r>
                    <w:rPr>
                      <w:color w:val="auto"/>
                      <w:sz w:val="21"/>
                      <w:szCs w:val="21"/>
                    </w:rPr>
                    <w:t>年用水</w:t>
                  </w:r>
                </w:p>
              </w:tc>
              <w:tc>
                <w:tcPr>
                  <w:tcW w:w="823" w:type="pct"/>
                  <w:noWrap w:val="0"/>
                  <w:vAlign w:val="center"/>
                </w:tcPr>
                <w:p w14:paraId="08A55EC0">
                  <w:pPr>
                    <w:spacing w:line="240" w:lineRule="auto"/>
                    <w:jc w:val="center"/>
                    <w:rPr>
                      <w:color w:val="auto"/>
                      <w:sz w:val="21"/>
                      <w:szCs w:val="21"/>
                    </w:rPr>
                  </w:pPr>
                  <w:r>
                    <w:rPr>
                      <w:color w:val="auto"/>
                      <w:sz w:val="21"/>
                      <w:szCs w:val="21"/>
                    </w:rPr>
                    <w:t>日排水</w:t>
                  </w:r>
                </w:p>
              </w:tc>
              <w:tc>
                <w:tcPr>
                  <w:tcW w:w="823" w:type="pct"/>
                  <w:noWrap w:val="0"/>
                  <w:vAlign w:val="center"/>
                </w:tcPr>
                <w:p w14:paraId="44F42C1A">
                  <w:pPr>
                    <w:spacing w:line="240" w:lineRule="auto"/>
                    <w:jc w:val="center"/>
                    <w:rPr>
                      <w:color w:val="auto"/>
                      <w:sz w:val="21"/>
                      <w:szCs w:val="21"/>
                    </w:rPr>
                  </w:pPr>
                  <w:r>
                    <w:rPr>
                      <w:color w:val="auto"/>
                      <w:sz w:val="21"/>
                      <w:szCs w:val="21"/>
                    </w:rPr>
                    <w:t>年排水</w:t>
                  </w:r>
                </w:p>
              </w:tc>
            </w:tr>
            <w:tr w14:paraId="0C7C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30" w:type="pct"/>
                  <w:noWrap w:val="0"/>
                  <w:vAlign w:val="center"/>
                </w:tcPr>
                <w:p w14:paraId="01A4D376">
                  <w:pPr>
                    <w:spacing w:line="240" w:lineRule="auto"/>
                    <w:jc w:val="center"/>
                    <w:rPr>
                      <w:color w:val="auto"/>
                      <w:sz w:val="21"/>
                      <w:szCs w:val="21"/>
                    </w:rPr>
                  </w:pPr>
                  <w:r>
                    <w:rPr>
                      <w:color w:val="auto"/>
                      <w:sz w:val="21"/>
                      <w:szCs w:val="21"/>
                    </w:rPr>
                    <w:t>1</w:t>
                  </w:r>
                </w:p>
              </w:tc>
              <w:tc>
                <w:tcPr>
                  <w:tcW w:w="1376" w:type="pct"/>
                  <w:noWrap w:val="0"/>
                  <w:vAlign w:val="center"/>
                </w:tcPr>
                <w:p w14:paraId="477F5B70">
                  <w:pPr>
                    <w:spacing w:line="240" w:lineRule="auto"/>
                    <w:jc w:val="center"/>
                    <w:rPr>
                      <w:rFonts w:hint="eastAsia" w:eastAsia="宋体"/>
                      <w:color w:val="auto"/>
                      <w:sz w:val="21"/>
                      <w:szCs w:val="21"/>
                      <w:lang w:eastAsia="zh-CN"/>
                    </w:rPr>
                  </w:pPr>
                  <w:r>
                    <w:rPr>
                      <w:color w:val="auto"/>
                      <w:sz w:val="21"/>
                      <w:szCs w:val="21"/>
                    </w:rPr>
                    <w:t>生活</w:t>
                  </w:r>
                  <w:r>
                    <w:rPr>
                      <w:rFonts w:hint="eastAsia"/>
                      <w:color w:val="auto"/>
                      <w:sz w:val="21"/>
                      <w:szCs w:val="21"/>
                      <w:lang w:eastAsia="zh-CN"/>
                    </w:rPr>
                    <w:t>用水</w:t>
                  </w:r>
                </w:p>
              </w:tc>
              <w:tc>
                <w:tcPr>
                  <w:tcW w:w="823" w:type="pct"/>
                  <w:noWrap w:val="0"/>
                  <w:vAlign w:val="center"/>
                </w:tcPr>
                <w:p w14:paraId="7BD1D9EC">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3</w:t>
                  </w:r>
                </w:p>
              </w:tc>
              <w:tc>
                <w:tcPr>
                  <w:tcW w:w="823" w:type="pct"/>
                  <w:noWrap w:val="0"/>
                  <w:vAlign w:val="center"/>
                </w:tcPr>
                <w:p w14:paraId="69ADE85C">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900</w:t>
                  </w:r>
                </w:p>
              </w:tc>
              <w:tc>
                <w:tcPr>
                  <w:tcW w:w="823" w:type="pct"/>
                  <w:noWrap w:val="0"/>
                  <w:vAlign w:val="center"/>
                </w:tcPr>
                <w:p w14:paraId="5BC48BBF">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2.4</w:t>
                  </w:r>
                </w:p>
              </w:tc>
              <w:tc>
                <w:tcPr>
                  <w:tcW w:w="823" w:type="pct"/>
                  <w:noWrap w:val="0"/>
                  <w:vAlign w:val="center"/>
                </w:tcPr>
                <w:p w14:paraId="1F41F7D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720</w:t>
                  </w:r>
                </w:p>
              </w:tc>
            </w:tr>
            <w:tr w14:paraId="04A8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30" w:type="pct"/>
                  <w:noWrap w:val="0"/>
                  <w:vAlign w:val="center"/>
                </w:tcPr>
                <w:p w14:paraId="3858EC82">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2</w:t>
                  </w:r>
                </w:p>
              </w:tc>
              <w:tc>
                <w:tcPr>
                  <w:tcW w:w="1376" w:type="pct"/>
                  <w:noWrap w:val="0"/>
                  <w:vAlign w:val="center"/>
                </w:tcPr>
                <w:p w14:paraId="3B0D1236">
                  <w:pPr>
                    <w:spacing w:line="240" w:lineRule="auto"/>
                    <w:jc w:val="center"/>
                    <w:rPr>
                      <w:rFonts w:hint="eastAsia" w:eastAsia="宋体"/>
                      <w:color w:val="auto"/>
                      <w:sz w:val="21"/>
                      <w:szCs w:val="21"/>
                      <w:lang w:eastAsia="zh-CN"/>
                    </w:rPr>
                  </w:pPr>
                  <w:r>
                    <w:rPr>
                      <w:rFonts w:hint="eastAsia"/>
                      <w:color w:val="auto"/>
                      <w:sz w:val="21"/>
                      <w:szCs w:val="21"/>
                      <w:lang w:eastAsia="zh-CN"/>
                    </w:rPr>
                    <w:t>循环冷却补充用水</w:t>
                  </w:r>
                </w:p>
              </w:tc>
              <w:tc>
                <w:tcPr>
                  <w:tcW w:w="823" w:type="pct"/>
                  <w:noWrap w:val="0"/>
                  <w:vAlign w:val="center"/>
                </w:tcPr>
                <w:p w14:paraId="15B1C126">
                  <w:pPr>
                    <w:spacing w:line="240" w:lineRule="auto"/>
                    <w:jc w:val="center"/>
                    <w:rPr>
                      <w:rFonts w:hint="default"/>
                      <w:color w:val="auto"/>
                      <w:sz w:val="21"/>
                      <w:szCs w:val="21"/>
                      <w:lang w:val="en-US" w:eastAsia="zh-CN"/>
                    </w:rPr>
                  </w:pPr>
                  <w:r>
                    <w:rPr>
                      <w:rFonts w:hint="eastAsia"/>
                      <w:color w:val="auto"/>
                      <w:sz w:val="21"/>
                      <w:szCs w:val="21"/>
                      <w:lang w:val="en-US" w:eastAsia="zh-CN"/>
                    </w:rPr>
                    <w:t>1.133</w:t>
                  </w:r>
                </w:p>
              </w:tc>
              <w:tc>
                <w:tcPr>
                  <w:tcW w:w="823" w:type="pct"/>
                  <w:noWrap w:val="0"/>
                  <w:vAlign w:val="center"/>
                </w:tcPr>
                <w:p w14:paraId="3D716E95">
                  <w:pPr>
                    <w:spacing w:line="240" w:lineRule="auto"/>
                    <w:jc w:val="center"/>
                    <w:rPr>
                      <w:rFonts w:hint="default"/>
                      <w:color w:val="auto"/>
                      <w:sz w:val="21"/>
                      <w:szCs w:val="21"/>
                      <w:lang w:val="en-US" w:eastAsia="zh-CN"/>
                    </w:rPr>
                  </w:pPr>
                  <w:r>
                    <w:rPr>
                      <w:rFonts w:hint="eastAsia"/>
                      <w:color w:val="auto"/>
                      <w:sz w:val="21"/>
                      <w:szCs w:val="21"/>
                      <w:lang w:val="en-US" w:eastAsia="zh-CN"/>
                    </w:rPr>
                    <w:t>340</w:t>
                  </w:r>
                </w:p>
              </w:tc>
              <w:tc>
                <w:tcPr>
                  <w:tcW w:w="823" w:type="pct"/>
                  <w:noWrap w:val="0"/>
                  <w:vAlign w:val="center"/>
                </w:tcPr>
                <w:p w14:paraId="1363A0D8">
                  <w:pPr>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823" w:type="pct"/>
                  <w:noWrap w:val="0"/>
                  <w:vAlign w:val="center"/>
                </w:tcPr>
                <w:p w14:paraId="59B8C022">
                  <w:pPr>
                    <w:spacing w:line="240" w:lineRule="auto"/>
                    <w:jc w:val="center"/>
                    <w:rPr>
                      <w:rFonts w:hint="default"/>
                      <w:color w:val="auto"/>
                      <w:sz w:val="21"/>
                      <w:szCs w:val="21"/>
                      <w:lang w:val="en-US" w:eastAsia="zh-CN"/>
                    </w:rPr>
                  </w:pPr>
                  <w:r>
                    <w:rPr>
                      <w:rFonts w:hint="eastAsia"/>
                      <w:color w:val="auto"/>
                      <w:sz w:val="21"/>
                      <w:szCs w:val="21"/>
                      <w:lang w:val="en-US" w:eastAsia="zh-CN"/>
                    </w:rPr>
                    <w:t>/</w:t>
                  </w:r>
                </w:p>
              </w:tc>
            </w:tr>
            <w:tr w14:paraId="3269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06" w:type="pct"/>
                  <w:gridSpan w:val="2"/>
                  <w:noWrap w:val="0"/>
                  <w:vAlign w:val="center"/>
                </w:tcPr>
                <w:p w14:paraId="7560779A">
                  <w:pPr>
                    <w:spacing w:line="240" w:lineRule="auto"/>
                    <w:jc w:val="center"/>
                    <w:rPr>
                      <w:color w:val="auto"/>
                      <w:sz w:val="21"/>
                      <w:szCs w:val="21"/>
                    </w:rPr>
                  </w:pPr>
                  <w:r>
                    <w:rPr>
                      <w:color w:val="auto"/>
                      <w:sz w:val="21"/>
                      <w:szCs w:val="21"/>
                    </w:rPr>
                    <w:t>合计</w:t>
                  </w:r>
                </w:p>
              </w:tc>
              <w:tc>
                <w:tcPr>
                  <w:tcW w:w="1463" w:type="dxa"/>
                  <w:noWrap w:val="0"/>
                  <w:vAlign w:val="center"/>
                </w:tcPr>
                <w:p w14:paraId="02AC9A84">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4.133</w:t>
                  </w:r>
                </w:p>
              </w:tc>
              <w:tc>
                <w:tcPr>
                  <w:tcW w:w="1463" w:type="dxa"/>
                  <w:noWrap w:val="0"/>
                  <w:vAlign w:val="center"/>
                </w:tcPr>
                <w:p w14:paraId="60ECBFA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1240</w:t>
                  </w:r>
                </w:p>
              </w:tc>
              <w:tc>
                <w:tcPr>
                  <w:tcW w:w="1463" w:type="dxa"/>
                  <w:noWrap w:val="0"/>
                  <w:vAlign w:val="center"/>
                </w:tcPr>
                <w:p w14:paraId="199E3549">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2.4</w:t>
                  </w:r>
                </w:p>
              </w:tc>
              <w:tc>
                <w:tcPr>
                  <w:tcW w:w="1463" w:type="dxa"/>
                  <w:noWrap w:val="0"/>
                  <w:vAlign w:val="center"/>
                </w:tcPr>
                <w:p w14:paraId="6068329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720</w:t>
                  </w:r>
                </w:p>
              </w:tc>
            </w:tr>
          </w:tbl>
          <w:p w14:paraId="5AD3419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color w:val="auto"/>
                <w:sz w:val="24"/>
              </w:rPr>
              <w:t>本项目水平衡如下图所示：</w:t>
            </w:r>
            <w:r>
              <w:rPr>
                <w:rFonts w:hint="eastAsia"/>
                <w:color w:val="auto"/>
                <w:sz w:val="24"/>
                <w:lang w:val="en-US" w:eastAsia="zh-CN"/>
              </w:rPr>
              <w:t xml:space="preserve"> </w:t>
            </w:r>
          </w:p>
          <w:p w14:paraId="5EB41B4C">
            <w:pPr>
              <w:spacing w:line="240" w:lineRule="auto"/>
              <w:ind w:firstLine="480"/>
              <w:jc w:val="center"/>
              <w:rPr>
                <w:rFonts w:hint="eastAsia" w:eastAsia="宋体"/>
                <w:color w:val="auto"/>
                <w:sz w:val="24"/>
                <w:lang w:eastAsia="zh-CN"/>
              </w:rPr>
            </w:pPr>
            <w:r>
              <w:rPr>
                <w:rFonts w:hint="eastAsia" w:eastAsia="宋体"/>
                <w:color w:val="auto"/>
                <w:sz w:val="24"/>
                <w:lang w:eastAsia="zh-CN"/>
              </w:rPr>
              <w:object>
                <v:shape id="_x0000_i1030" o:spt="75" type="#_x0000_t75" style="height:110.25pt;width:381.6pt;" o:ole="t" filled="f" o:preferrelative="t" stroked="f" coordsize="21600,21600">
                  <v:path/>
                  <v:fill on="f" focussize="0,0"/>
                  <v:stroke on="f"/>
                  <v:imagedata r:id="rId9" o:title=""/>
                  <o:lock v:ext="edit" aspectratio="t"/>
                  <w10:wrap type="none"/>
                  <w10:anchorlock/>
                </v:shape>
                <o:OLEObject Type="Embed" ProgID="Visio.Drawing.11" ShapeID="_x0000_i1030" DrawAspect="Content" ObjectID="_1468075730" r:id="rId18">
                  <o:LockedField>false</o:LockedField>
                </o:OLEObject>
              </w:object>
            </w:r>
          </w:p>
          <w:p w14:paraId="0308FA7A">
            <w:pPr>
              <w:keepNext w:val="0"/>
              <w:keepLines w:val="0"/>
              <w:pageBreakBefore w:val="0"/>
              <w:kinsoku/>
              <w:wordWrap/>
              <w:overflowPunct/>
              <w:topLinePunct w:val="0"/>
              <w:autoSpaceDE/>
              <w:autoSpaceDN/>
              <w:bidi w:val="0"/>
              <w:adjustRightInd/>
              <w:snapToGrid/>
              <w:spacing w:line="360" w:lineRule="auto"/>
              <w:ind w:firstLine="422" w:firstLineChars="200"/>
              <w:jc w:val="center"/>
              <w:textAlignment w:val="auto"/>
              <w:rPr>
                <w:rFonts w:ascii="Times New Roman" w:hAnsi="Times New Roman"/>
                <w:color w:val="auto"/>
                <w:sz w:val="24"/>
              </w:rPr>
            </w:pPr>
            <w:r>
              <w:rPr>
                <w:b/>
                <w:bCs/>
                <w:color w:val="auto"/>
                <w:kern w:val="0"/>
                <w:sz w:val="21"/>
                <w:szCs w:val="21"/>
              </w:rPr>
              <w:t>图</w:t>
            </w:r>
            <w:r>
              <w:rPr>
                <w:rFonts w:hint="eastAsia"/>
                <w:b/>
                <w:bCs/>
                <w:color w:val="auto"/>
                <w:kern w:val="0"/>
                <w:sz w:val="21"/>
                <w:szCs w:val="21"/>
                <w:lang w:val="en-US" w:eastAsia="zh-CN"/>
              </w:rPr>
              <w:t>4</w:t>
            </w:r>
            <w:r>
              <w:rPr>
                <w:rFonts w:hint="eastAsia"/>
                <w:b/>
                <w:bCs/>
                <w:color w:val="auto"/>
                <w:kern w:val="0"/>
                <w:sz w:val="21"/>
                <w:szCs w:val="21"/>
              </w:rPr>
              <w:t>-1</w:t>
            </w:r>
            <w:r>
              <w:rPr>
                <w:b/>
                <w:bCs/>
                <w:color w:val="auto"/>
                <w:kern w:val="0"/>
                <w:sz w:val="21"/>
                <w:szCs w:val="21"/>
              </w:rPr>
              <w:t xml:space="preserve"> 本项目水平衡图（单位：</w:t>
            </w:r>
            <w:r>
              <w:rPr>
                <w:b/>
                <w:color w:val="auto"/>
                <w:sz w:val="21"/>
                <w:szCs w:val="21"/>
              </w:rPr>
              <w:t>m</w:t>
            </w:r>
            <w:r>
              <w:rPr>
                <w:b/>
                <w:color w:val="auto"/>
                <w:sz w:val="21"/>
                <w:szCs w:val="21"/>
                <w:vertAlign w:val="superscript"/>
              </w:rPr>
              <w:t>3</w:t>
            </w:r>
            <w:r>
              <w:rPr>
                <w:b/>
                <w:bCs/>
                <w:color w:val="auto"/>
                <w:kern w:val="0"/>
                <w:sz w:val="21"/>
                <w:szCs w:val="21"/>
              </w:rPr>
              <w:t>/</w:t>
            </w:r>
            <w:r>
              <w:rPr>
                <w:rFonts w:hint="eastAsia"/>
                <w:b/>
                <w:bCs/>
                <w:color w:val="auto"/>
                <w:kern w:val="0"/>
                <w:sz w:val="21"/>
                <w:szCs w:val="21"/>
                <w:lang w:val="en-US" w:eastAsia="zh-CN"/>
              </w:rPr>
              <w:t>d</w:t>
            </w:r>
            <w:r>
              <w:rPr>
                <w:b/>
                <w:bCs/>
                <w:color w:val="auto"/>
                <w:kern w:val="0"/>
                <w:sz w:val="21"/>
                <w:szCs w:val="21"/>
              </w:rPr>
              <w:t>）</w:t>
            </w:r>
          </w:p>
          <w:p w14:paraId="2C407B2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lang w:eastAsia="zh-CN"/>
              </w:rPr>
            </w:pPr>
            <w:r>
              <w:rPr>
                <w:rFonts w:hint="eastAsia"/>
                <w:color w:val="auto"/>
                <w:sz w:val="24"/>
                <w:lang w:eastAsia="zh-CN"/>
              </w:rPr>
              <w:t>本项目废水产排情况如下：</w:t>
            </w:r>
          </w:p>
          <w:p w14:paraId="1A26E419">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rPr>
              <w:t xml:space="preserve"> 项目废水产生及排放情况表</w:t>
            </w:r>
          </w:p>
          <w:tbl>
            <w:tblPr>
              <w:tblStyle w:val="29"/>
              <w:tblW w:w="887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714"/>
              <w:gridCol w:w="3059"/>
              <w:gridCol w:w="1000"/>
              <w:gridCol w:w="1019"/>
              <w:gridCol w:w="1107"/>
              <w:gridCol w:w="1000"/>
              <w:gridCol w:w="978"/>
            </w:tblGrid>
            <w:tr w14:paraId="137658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2125" w:type="pct"/>
                  <w:gridSpan w:val="2"/>
                  <w:noWrap w:val="0"/>
                  <w:vAlign w:val="center"/>
                </w:tcPr>
                <w:p w14:paraId="452CFC39">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污染物</w:t>
                  </w:r>
                </w:p>
              </w:tc>
              <w:tc>
                <w:tcPr>
                  <w:tcW w:w="563" w:type="pct"/>
                  <w:noWrap w:val="0"/>
                  <w:vAlign w:val="center"/>
                </w:tcPr>
                <w:p w14:paraId="45DBC66D">
                  <w:pPr>
                    <w:widowControl/>
                    <w:jc w:val="center"/>
                    <w:textAlignment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废水量</w:t>
                  </w:r>
                </w:p>
              </w:tc>
              <w:tc>
                <w:tcPr>
                  <w:tcW w:w="573" w:type="pct"/>
                  <w:noWrap w:val="0"/>
                  <w:vAlign w:val="center"/>
                </w:tcPr>
                <w:p w14:paraId="585B538E">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COD</w:t>
                  </w:r>
                </w:p>
              </w:tc>
              <w:tc>
                <w:tcPr>
                  <w:tcW w:w="623" w:type="pct"/>
                  <w:noWrap w:val="0"/>
                  <w:vAlign w:val="center"/>
                </w:tcPr>
                <w:p w14:paraId="2F7B417E">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BOD</w:t>
                  </w:r>
                  <w:r>
                    <w:rPr>
                      <w:rFonts w:hint="default" w:ascii="Times New Roman" w:hAnsi="Times New Roman" w:cs="Times New Roman"/>
                      <w:b w:val="0"/>
                      <w:bCs w:val="0"/>
                      <w:color w:val="auto"/>
                      <w:szCs w:val="21"/>
                      <w:vertAlign w:val="subscript"/>
                    </w:rPr>
                    <w:t>5</w:t>
                  </w:r>
                </w:p>
              </w:tc>
              <w:tc>
                <w:tcPr>
                  <w:tcW w:w="563" w:type="pct"/>
                  <w:noWrap w:val="0"/>
                  <w:vAlign w:val="center"/>
                </w:tcPr>
                <w:p w14:paraId="32D1D944">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SS</w:t>
                  </w:r>
                </w:p>
              </w:tc>
              <w:tc>
                <w:tcPr>
                  <w:tcW w:w="550" w:type="pct"/>
                  <w:tcBorders>
                    <w:right w:val="single" w:color="auto" w:sz="4" w:space="0"/>
                  </w:tcBorders>
                  <w:noWrap w:val="0"/>
                  <w:vAlign w:val="center"/>
                </w:tcPr>
                <w:p w14:paraId="58F05FB1">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氨氮</w:t>
                  </w:r>
                </w:p>
              </w:tc>
            </w:tr>
            <w:tr w14:paraId="5C198E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pct"/>
                  <w:vMerge w:val="restart"/>
                  <w:noWrap w:val="0"/>
                  <w:vAlign w:val="center"/>
                </w:tcPr>
                <w:p w14:paraId="5DA9A5E0">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生活污水</w:t>
                  </w:r>
                </w:p>
              </w:tc>
              <w:tc>
                <w:tcPr>
                  <w:tcW w:w="1722" w:type="pct"/>
                  <w:noWrap w:val="0"/>
                  <w:vAlign w:val="center"/>
                </w:tcPr>
                <w:p w14:paraId="695A9869">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产生浓度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mg/l</w:t>
                  </w:r>
                  <w:r>
                    <w:rPr>
                      <w:rFonts w:hint="default" w:ascii="Times New Roman" w:hAnsi="Times New Roman" w:cs="Times New Roman"/>
                      <w:b w:val="0"/>
                      <w:bCs w:val="0"/>
                      <w:color w:val="auto"/>
                      <w:szCs w:val="21"/>
                      <w:lang w:eastAsia="zh-CN"/>
                    </w:rPr>
                    <w:t>）</w:t>
                  </w:r>
                </w:p>
              </w:tc>
              <w:tc>
                <w:tcPr>
                  <w:tcW w:w="563" w:type="pct"/>
                  <w:noWrap w:val="0"/>
                  <w:vAlign w:val="center"/>
                </w:tcPr>
                <w:p w14:paraId="74C1A01D">
                  <w:pPr>
                    <w:widowControl/>
                    <w:jc w:val="center"/>
                    <w:textAlignment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val="en-US" w:eastAsia="zh-CN"/>
                    </w:rPr>
                    <w:t>/</w:t>
                  </w:r>
                </w:p>
              </w:tc>
              <w:tc>
                <w:tcPr>
                  <w:tcW w:w="573" w:type="pct"/>
                  <w:noWrap w:val="0"/>
                  <w:vAlign w:val="center"/>
                </w:tcPr>
                <w:p w14:paraId="7245CD40">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w:t>
                  </w:r>
                  <w:r>
                    <w:rPr>
                      <w:rFonts w:hint="default" w:ascii="Times New Roman" w:hAnsi="Times New Roman" w:eastAsia="宋体" w:cs="Times New Roman"/>
                      <w:b w:val="0"/>
                      <w:bCs w:val="0"/>
                      <w:color w:val="auto"/>
                      <w:kern w:val="2"/>
                      <w:sz w:val="21"/>
                      <w:szCs w:val="21"/>
                      <w:lang w:val="en-US" w:eastAsia="zh-CN" w:bidi="ar-SA"/>
                    </w:rPr>
                    <w:t>0</w:t>
                  </w:r>
                </w:p>
              </w:tc>
              <w:tc>
                <w:tcPr>
                  <w:tcW w:w="623" w:type="pct"/>
                  <w:noWrap w:val="0"/>
                  <w:vAlign w:val="center"/>
                </w:tcPr>
                <w:p w14:paraId="0500B4E6">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r>
                    <w:rPr>
                      <w:rFonts w:hint="eastAsia" w:cs="Times New Roman"/>
                      <w:b w:val="0"/>
                      <w:bCs w:val="0"/>
                      <w:color w:val="auto"/>
                      <w:kern w:val="2"/>
                      <w:sz w:val="21"/>
                      <w:szCs w:val="21"/>
                      <w:lang w:val="en-US" w:eastAsia="zh-CN" w:bidi="ar-SA"/>
                    </w:rPr>
                    <w:t>0</w:t>
                  </w:r>
                  <w:r>
                    <w:rPr>
                      <w:rFonts w:hint="default" w:ascii="Times New Roman" w:hAnsi="Times New Roman" w:eastAsia="宋体" w:cs="Times New Roman"/>
                      <w:b w:val="0"/>
                      <w:bCs w:val="0"/>
                      <w:color w:val="auto"/>
                      <w:kern w:val="2"/>
                      <w:sz w:val="21"/>
                      <w:szCs w:val="21"/>
                      <w:lang w:val="en-US" w:eastAsia="zh-CN" w:bidi="ar-SA"/>
                    </w:rPr>
                    <w:t>0</w:t>
                  </w:r>
                </w:p>
              </w:tc>
              <w:tc>
                <w:tcPr>
                  <w:tcW w:w="563" w:type="pct"/>
                  <w:noWrap w:val="0"/>
                  <w:vAlign w:val="center"/>
                </w:tcPr>
                <w:p w14:paraId="215A3F59">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200</w:t>
                  </w:r>
                </w:p>
              </w:tc>
              <w:tc>
                <w:tcPr>
                  <w:tcW w:w="550" w:type="pct"/>
                  <w:tcBorders>
                    <w:right w:val="single" w:color="auto" w:sz="4" w:space="0"/>
                  </w:tcBorders>
                  <w:noWrap w:val="0"/>
                  <w:vAlign w:val="center"/>
                </w:tcPr>
                <w:p w14:paraId="491B606F">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30</w:t>
                  </w:r>
                </w:p>
              </w:tc>
            </w:tr>
            <w:tr w14:paraId="5CE4F1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pct"/>
                  <w:vMerge w:val="continue"/>
                  <w:noWrap w:val="0"/>
                  <w:vAlign w:val="center"/>
                </w:tcPr>
                <w:p w14:paraId="3E730437">
                  <w:pPr>
                    <w:widowControl/>
                    <w:jc w:val="center"/>
                    <w:textAlignment w:val="center"/>
                    <w:rPr>
                      <w:rFonts w:hint="default" w:ascii="Times New Roman" w:hAnsi="Times New Roman" w:cs="Times New Roman"/>
                      <w:b w:val="0"/>
                      <w:bCs w:val="0"/>
                      <w:color w:val="auto"/>
                      <w:szCs w:val="21"/>
                    </w:rPr>
                  </w:pPr>
                </w:p>
              </w:tc>
              <w:tc>
                <w:tcPr>
                  <w:tcW w:w="1722" w:type="pct"/>
                  <w:noWrap w:val="0"/>
                  <w:vAlign w:val="center"/>
                </w:tcPr>
                <w:p w14:paraId="46B8DC34">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产生量（t/a）</w:t>
                  </w:r>
                </w:p>
              </w:tc>
              <w:tc>
                <w:tcPr>
                  <w:tcW w:w="563" w:type="pct"/>
                  <w:noWrap w:val="0"/>
                  <w:vAlign w:val="center"/>
                </w:tcPr>
                <w:p w14:paraId="084DFE83">
                  <w:pPr>
                    <w:widowControl/>
                    <w:jc w:val="center"/>
                    <w:textAlignment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720</w:t>
                  </w:r>
                </w:p>
              </w:tc>
              <w:tc>
                <w:tcPr>
                  <w:tcW w:w="573" w:type="pct"/>
                  <w:noWrap w:val="0"/>
                  <w:vAlign w:val="center"/>
                </w:tcPr>
                <w:p w14:paraId="369D8B5D">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0.2880</w:t>
                  </w:r>
                </w:p>
              </w:tc>
              <w:tc>
                <w:tcPr>
                  <w:tcW w:w="623" w:type="pct"/>
                  <w:noWrap w:val="0"/>
                  <w:vAlign w:val="center"/>
                </w:tcPr>
                <w:p w14:paraId="66C252A5">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0.1440</w:t>
                  </w:r>
                </w:p>
              </w:tc>
              <w:tc>
                <w:tcPr>
                  <w:tcW w:w="563" w:type="pct"/>
                  <w:noWrap w:val="0"/>
                  <w:vAlign w:val="center"/>
                </w:tcPr>
                <w:p w14:paraId="75650F86">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0.1440</w:t>
                  </w:r>
                </w:p>
              </w:tc>
              <w:tc>
                <w:tcPr>
                  <w:tcW w:w="550" w:type="pct"/>
                  <w:tcBorders>
                    <w:right w:val="single" w:color="auto" w:sz="4" w:space="0"/>
                  </w:tcBorders>
                  <w:noWrap w:val="0"/>
                  <w:vAlign w:val="center"/>
                </w:tcPr>
                <w:p w14:paraId="05530878">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.0216</w:t>
                  </w:r>
                </w:p>
              </w:tc>
            </w:tr>
            <w:tr w14:paraId="3AC12F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pct"/>
                  <w:vMerge w:val="continue"/>
                  <w:noWrap w:val="0"/>
                  <w:vAlign w:val="center"/>
                </w:tcPr>
                <w:p w14:paraId="06E40CCA">
                  <w:pPr>
                    <w:widowControl/>
                    <w:jc w:val="center"/>
                    <w:textAlignment w:val="center"/>
                    <w:rPr>
                      <w:rFonts w:hint="default" w:ascii="Times New Roman" w:hAnsi="Times New Roman" w:cs="Times New Roman"/>
                      <w:b w:val="0"/>
                      <w:bCs w:val="0"/>
                      <w:color w:val="auto"/>
                      <w:szCs w:val="21"/>
                    </w:rPr>
                  </w:pPr>
                </w:p>
              </w:tc>
              <w:tc>
                <w:tcPr>
                  <w:tcW w:w="1722" w:type="pct"/>
                  <w:noWrap w:val="0"/>
                  <w:vAlign w:val="center"/>
                </w:tcPr>
                <w:p w14:paraId="7A789FFD">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经化粪池处理后浓度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mg/l</w:t>
                  </w:r>
                  <w:r>
                    <w:rPr>
                      <w:rFonts w:hint="default" w:ascii="Times New Roman" w:hAnsi="Times New Roman" w:cs="Times New Roman"/>
                      <w:b w:val="0"/>
                      <w:bCs w:val="0"/>
                      <w:color w:val="auto"/>
                      <w:szCs w:val="21"/>
                      <w:lang w:eastAsia="zh-CN"/>
                    </w:rPr>
                    <w:t>）</w:t>
                  </w:r>
                </w:p>
              </w:tc>
              <w:tc>
                <w:tcPr>
                  <w:tcW w:w="563" w:type="pct"/>
                  <w:noWrap w:val="0"/>
                  <w:vAlign w:val="center"/>
                </w:tcPr>
                <w:p w14:paraId="3CC6EBEC">
                  <w:pPr>
                    <w:widowControl/>
                    <w:jc w:val="center"/>
                    <w:textAlignment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val="en-US" w:eastAsia="zh-CN"/>
                    </w:rPr>
                    <w:t>/</w:t>
                  </w:r>
                </w:p>
              </w:tc>
              <w:tc>
                <w:tcPr>
                  <w:tcW w:w="573" w:type="pct"/>
                  <w:noWrap w:val="0"/>
                  <w:vAlign w:val="center"/>
                </w:tcPr>
                <w:p w14:paraId="4C61818C">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32</w:t>
                  </w:r>
                  <w:r>
                    <w:rPr>
                      <w:rFonts w:hint="default" w:ascii="Times New Roman" w:hAnsi="Times New Roman" w:eastAsia="宋体" w:cs="Times New Roman"/>
                      <w:b w:val="0"/>
                      <w:bCs w:val="0"/>
                      <w:color w:val="auto"/>
                      <w:kern w:val="2"/>
                      <w:sz w:val="21"/>
                      <w:szCs w:val="21"/>
                      <w:lang w:val="en-US" w:eastAsia="zh-CN" w:bidi="ar-SA"/>
                    </w:rPr>
                    <w:t>0</w:t>
                  </w:r>
                </w:p>
              </w:tc>
              <w:tc>
                <w:tcPr>
                  <w:tcW w:w="623" w:type="pct"/>
                  <w:noWrap w:val="0"/>
                  <w:vAlign w:val="center"/>
                </w:tcPr>
                <w:p w14:paraId="63DF8482">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140</w:t>
                  </w:r>
                </w:p>
              </w:tc>
              <w:tc>
                <w:tcPr>
                  <w:tcW w:w="563" w:type="pct"/>
                  <w:noWrap w:val="0"/>
                  <w:vAlign w:val="center"/>
                </w:tcPr>
                <w:p w14:paraId="7161F0F0">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150</w:t>
                  </w:r>
                </w:p>
              </w:tc>
              <w:tc>
                <w:tcPr>
                  <w:tcW w:w="550" w:type="pct"/>
                  <w:tcBorders>
                    <w:right w:val="single" w:color="auto" w:sz="4" w:space="0"/>
                  </w:tcBorders>
                  <w:noWrap w:val="0"/>
                  <w:vAlign w:val="center"/>
                </w:tcPr>
                <w:p w14:paraId="588FABC0">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25</w:t>
                  </w:r>
                </w:p>
              </w:tc>
            </w:tr>
            <w:tr w14:paraId="02EB0B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pct"/>
                  <w:vMerge w:val="continue"/>
                  <w:noWrap w:val="0"/>
                  <w:vAlign w:val="center"/>
                </w:tcPr>
                <w:p w14:paraId="55AA73DE">
                  <w:pPr>
                    <w:widowControl/>
                    <w:jc w:val="center"/>
                    <w:textAlignment w:val="center"/>
                    <w:rPr>
                      <w:rFonts w:hint="default" w:ascii="Times New Roman" w:hAnsi="Times New Roman" w:cs="Times New Roman"/>
                      <w:b w:val="0"/>
                      <w:bCs w:val="0"/>
                      <w:color w:val="auto"/>
                      <w:szCs w:val="21"/>
                    </w:rPr>
                  </w:pPr>
                </w:p>
              </w:tc>
              <w:tc>
                <w:tcPr>
                  <w:tcW w:w="1722" w:type="pct"/>
                  <w:noWrap w:val="0"/>
                  <w:vAlign w:val="center"/>
                </w:tcPr>
                <w:p w14:paraId="7F7DA46D">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经化粪池处理后量（t/a）</w:t>
                  </w:r>
                </w:p>
              </w:tc>
              <w:tc>
                <w:tcPr>
                  <w:tcW w:w="563" w:type="pct"/>
                  <w:noWrap w:val="0"/>
                  <w:vAlign w:val="center"/>
                </w:tcPr>
                <w:p w14:paraId="519BB480">
                  <w:pPr>
                    <w:widowControl/>
                    <w:jc w:val="center"/>
                    <w:textAlignment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720</w:t>
                  </w:r>
                </w:p>
              </w:tc>
              <w:tc>
                <w:tcPr>
                  <w:tcW w:w="573" w:type="pct"/>
                  <w:noWrap w:val="0"/>
                  <w:vAlign w:val="center"/>
                </w:tcPr>
                <w:p w14:paraId="7D0FFAA2">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0.2304</w:t>
                  </w:r>
                </w:p>
              </w:tc>
              <w:tc>
                <w:tcPr>
                  <w:tcW w:w="623" w:type="pct"/>
                  <w:noWrap w:val="0"/>
                  <w:vAlign w:val="center"/>
                </w:tcPr>
                <w:p w14:paraId="05C35E4F">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1008</w:t>
                  </w:r>
                </w:p>
              </w:tc>
              <w:tc>
                <w:tcPr>
                  <w:tcW w:w="563" w:type="pct"/>
                  <w:noWrap w:val="0"/>
                  <w:vAlign w:val="center"/>
                </w:tcPr>
                <w:p w14:paraId="24D0508D">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1080</w:t>
                  </w:r>
                </w:p>
              </w:tc>
              <w:tc>
                <w:tcPr>
                  <w:tcW w:w="550" w:type="pct"/>
                  <w:tcBorders>
                    <w:right w:val="single" w:color="auto" w:sz="4" w:space="0"/>
                  </w:tcBorders>
                  <w:noWrap w:val="0"/>
                  <w:vAlign w:val="center"/>
                </w:tcPr>
                <w:p w14:paraId="6421F083">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0180</w:t>
                  </w:r>
                </w:p>
              </w:tc>
            </w:tr>
            <w:tr w14:paraId="511163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25" w:type="pct"/>
                  <w:gridSpan w:val="2"/>
                  <w:noWrap w:val="0"/>
                  <w:vAlign w:val="center"/>
                </w:tcPr>
                <w:p w14:paraId="1B234B81">
                  <w:pPr>
                    <w:jc w:val="center"/>
                    <w:rPr>
                      <w:rFonts w:hint="default" w:ascii="Times New Roman" w:hAnsi="Times New Roman" w:eastAsia="宋体" w:cs="Times New Roman"/>
                      <w:b w:val="0"/>
                      <w:bCs w:val="0"/>
                      <w:color w:val="auto"/>
                      <w:kern w:val="2"/>
                      <w:sz w:val="21"/>
                      <w:szCs w:val="24"/>
                      <w:lang w:val="en-US" w:eastAsia="zh-CN" w:bidi="ar"/>
                    </w:rPr>
                  </w:pPr>
                  <w:r>
                    <w:rPr>
                      <w:rFonts w:hint="eastAsia" w:eastAsia="宋体" w:cs="Times New Roman"/>
                      <w:b w:val="0"/>
                      <w:bCs w:val="0"/>
                      <w:color w:val="auto"/>
                      <w:kern w:val="2"/>
                      <w:sz w:val="21"/>
                      <w:szCs w:val="24"/>
                      <w:lang w:val="en-US" w:eastAsia="zh-CN" w:bidi="ar"/>
                    </w:rPr>
                    <w:t>排放去向</w:t>
                  </w:r>
                </w:p>
              </w:tc>
              <w:tc>
                <w:tcPr>
                  <w:tcW w:w="2874" w:type="pct"/>
                  <w:gridSpan w:val="5"/>
                  <w:tcBorders>
                    <w:right w:val="single" w:color="auto" w:sz="4" w:space="0"/>
                  </w:tcBorders>
                  <w:noWrap w:val="0"/>
                  <w:vAlign w:val="center"/>
                </w:tcPr>
                <w:p w14:paraId="359E4579">
                  <w:pPr>
                    <w:jc w:val="center"/>
                    <w:rPr>
                      <w:rFonts w:hint="eastAsia" w:eastAsia="宋体" w:cs="Times New Roman"/>
                      <w:b w:val="0"/>
                      <w:bCs w:val="0"/>
                      <w:color w:val="auto"/>
                      <w:kern w:val="2"/>
                      <w:sz w:val="21"/>
                      <w:szCs w:val="24"/>
                      <w:lang w:val="en-US" w:eastAsia="zh-CN" w:bidi="ar"/>
                    </w:rPr>
                  </w:pPr>
                  <w:r>
                    <w:rPr>
                      <w:rFonts w:hint="eastAsia" w:eastAsia="宋体" w:cs="Times New Roman"/>
                      <w:b w:val="0"/>
                      <w:bCs w:val="0"/>
                      <w:color w:val="auto"/>
                      <w:kern w:val="2"/>
                      <w:sz w:val="21"/>
                      <w:szCs w:val="24"/>
                      <w:lang w:val="en-US" w:eastAsia="zh-CN" w:bidi="ar"/>
                    </w:rPr>
                    <w:t>经化粪池预处理后排入园区污水管网，经</w:t>
                  </w:r>
                  <w:r>
                    <w:rPr>
                      <w:rFonts w:hint="eastAsia" w:cs="Times New Roman"/>
                      <w:b w:val="0"/>
                      <w:bCs w:val="0"/>
                      <w:color w:val="auto"/>
                      <w:kern w:val="2"/>
                      <w:sz w:val="21"/>
                      <w:szCs w:val="24"/>
                      <w:lang w:val="en-US" w:eastAsia="zh-CN" w:bidi="ar"/>
                    </w:rPr>
                    <w:t>固镇经济开发区</w:t>
                  </w:r>
                  <w:r>
                    <w:rPr>
                      <w:rFonts w:hint="eastAsia" w:eastAsia="宋体" w:cs="Times New Roman"/>
                      <w:b w:val="0"/>
                      <w:bCs w:val="0"/>
                      <w:color w:val="auto"/>
                      <w:kern w:val="2"/>
                      <w:sz w:val="21"/>
                      <w:szCs w:val="24"/>
                      <w:lang w:val="en-US" w:eastAsia="zh-CN" w:bidi="ar"/>
                    </w:rPr>
                    <w:t>污水处理厂处理达标后排放</w:t>
                  </w:r>
                </w:p>
              </w:tc>
            </w:tr>
            <w:tr w14:paraId="29FD7F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25" w:type="pct"/>
                  <w:gridSpan w:val="2"/>
                  <w:noWrap w:val="0"/>
                  <w:vAlign w:val="center"/>
                </w:tcPr>
                <w:p w14:paraId="4449D77A">
                  <w:pPr>
                    <w:jc w:val="center"/>
                    <w:rPr>
                      <w:rFonts w:hint="default" w:ascii="Times New Roman" w:hAnsi="Times New Roman" w:eastAsia="宋体" w:cs="Times New Roman"/>
                      <w:b w:val="0"/>
                      <w:bCs w:val="0"/>
                      <w:color w:val="auto"/>
                      <w:kern w:val="2"/>
                      <w:sz w:val="21"/>
                      <w:szCs w:val="24"/>
                      <w:lang w:val="en-US" w:eastAsia="zh-CN" w:bidi="ar"/>
                    </w:rPr>
                  </w:pPr>
                  <w:r>
                    <w:rPr>
                      <w:rFonts w:hint="eastAsia" w:ascii="Times New Roman" w:hAnsi="Times New Roman"/>
                      <w:color w:val="auto"/>
                      <w:szCs w:val="21"/>
                      <w:lang w:eastAsia="zh-CN"/>
                    </w:rPr>
                    <w:t>固镇经济开发区</w:t>
                  </w:r>
                  <w:r>
                    <w:rPr>
                      <w:rFonts w:ascii="Times New Roman" w:hAnsi="Times New Roman"/>
                      <w:color w:val="auto"/>
                      <w:szCs w:val="21"/>
                    </w:rPr>
                    <w:t>污水处理厂</w:t>
                  </w:r>
                  <w:r>
                    <w:rPr>
                      <w:rFonts w:hint="default" w:ascii="Times New Roman" w:hAnsi="Times New Roman" w:eastAsia="宋体" w:cs="Times New Roman"/>
                      <w:b w:val="0"/>
                      <w:bCs w:val="0"/>
                      <w:color w:val="auto"/>
                      <w:lang w:bidi="ar"/>
                    </w:rPr>
                    <w:t>接管标准</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mg/l</w:t>
                  </w:r>
                  <w:r>
                    <w:rPr>
                      <w:rFonts w:hint="default" w:ascii="Times New Roman" w:hAnsi="Times New Roman" w:cs="Times New Roman"/>
                      <w:b w:val="0"/>
                      <w:bCs w:val="0"/>
                      <w:color w:val="auto"/>
                      <w:szCs w:val="21"/>
                      <w:lang w:eastAsia="zh-CN"/>
                    </w:rPr>
                    <w:t>）</w:t>
                  </w:r>
                </w:p>
              </w:tc>
              <w:tc>
                <w:tcPr>
                  <w:tcW w:w="563" w:type="pct"/>
                  <w:noWrap w:val="0"/>
                  <w:vAlign w:val="center"/>
                </w:tcPr>
                <w:p w14:paraId="744B4C52">
                  <w:pPr>
                    <w:jc w:val="center"/>
                    <w:rPr>
                      <w:rFonts w:hint="eastAsia" w:ascii="Times New Roman" w:hAnsi="Times New Roman" w:eastAsia="宋体" w:cs="Times New Roman"/>
                      <w:b w:val="0"/>
                      <w:bCs w:val="0"/>
                      <w:color w:val="auto"/>
                      <w:kern w:val="2"/>
                      <w:sz w:val="21"/>
                      <w:szCs w:val="24"/>
                      <w:lang w:val="en-US" w:eastAsia="zh-CN" w:bidi="ar"/>
                    </w:rPr>
                  </w:pPr>
                  <w:r>
                    <w:rPr>
                      <w:rFonts w:hint="eastAsia" w:eastAsia="宋体" w:cs="Times New Roman"/>
                      <w:b w:val="0"/>
                      <w:bCs w:val="0"/>
                      <w:color w:val="auto"/>
                      <w:lang w:val="en-US" w:eastAsia="zh-CN" w:bidi="ar"/>
                    </w:rPr>
                    <w:t>/</w:t>
                  </w:r>
                </w:p>
              </w:tc>
              <w:tc>
                <w:tcPr>
                  <w:tcW w:w="573" w:type="pct"/>
                  <w:noWrap w:val="0"/>
                  <w:vAlign w:val="center"/>
                </w:tcPr>
                <w:p w14:paraId="7736EF0E">
                  <w:pPr>
                    <w:jc w:val="center"/>
                    <w:rPr>
                      <w:rFonts w:hint="default" w:ascii="Times New Roman" w:hAnsi="Times New Roman" w:eastAsia="宋体" w:cs="Times New Roman"/>
                      <w:b w:val="0"/>
                      <w:bCs w:val="0"/>
                      <w:color w:val="auto"/>
                      <w:kern w:val="2"/>
                      <w:sz w:val="21"/>
                      <w:szCs w:val="24"/>
                      <w:lang w:val="en-US" w:eastAsia="zh-CN" w:bidi="ar"/>
                    </w:rPr>
                  </w:pPr>
                  <w:r>
                    <w:rPr>
                      <w:rFonts w:hint="eastAsia" w:eastAsia="宋体" w:cs="Times New Roman"/>
                      <w:b w:val="0"/>
                      <w:bCs w:val="0"/>
                      <w:color w:val="auto"/>
                      <w:lang w:val="en-US" w:eastAsia="zh-CN" w:bidi="ar"/>
                    </w:rPr>
                    <w:t>500</w:t>
                  </w:r>
                </w:p>
              </w:tc>
              <w:tc>
                <w:tcPr>
                  <w:tcW w:w="623" w:type="pct"/>
                  <w:noWrap w:val="0"/>
                  <w:vAlign w:val="center"/>
                </w:tcPr>
                <w:p w14:paraId="267105A2">
                  <w:pPr>
                    <w:jc w:val="center"/>
                    <w:rPr>
                      <w:rFonts w:hint="default" w:ascii="Times New Roman" w:hAnsi="Times New Roman" w:eastAsia="宋体" w:cs="Times New Roman"/>
                      <w:b w:val="0"/>
                      <w:bCs w:val="0"/>
                      <w:color w:val="auto"/>
                      <w:kern w:val="2"/>
                      <w:sz w:val="21"/>
                      <w:szCs w:val="24"/>
                      <w:lang w:val="en-US" w:eastAsia="zh-CN" w:bidi="ar"/>
                    </w:rPr>
                  </w:pPr>
                  <w:r>
                    <w:rPr>
                      <w:rFonts w:hint="eastAsia" w:cs="Times New Roman"/>
                      <w:b w:val="0"/>
                      <w:bCs w:val="0"/>
                      <w:color w:val="auto"/>
                      <w:lang w:val="en-US" w:eastAsia="zh-CN" w:bidi="ar"/>
                    </w:rPr>
                    <w:t>35</w:t>
                  </w:r>
                  <w:r>
                    <w:rPr>
                      <w:rFonts w:hint="eastAsia" w:eastAsia="宋体" w:cs="Times New Roman"/>
                      <w:b w:val="0"/>
                      <w:bCs w:val="0"/>
                      <w:color w:val="auto"/>
                      <w:lang w:val="en-US" w:eastAsia="zh-CN" w:bidi="ar"/>
                    </w:rPr>
                    <w:t>0</w:t>
                  </w:r>
                </w:p>
              </w:tc>
              <w:tc>
                <w:tcPr>
                  <w:tcW w:w="563" w:type="pct"/>
                  <w:noWrap w:val="0"/>
                  <w:vAlign w:val="center"/>
                </w:tcPr>
                <w:p w14:paraId="3714F0F2">
                  <w:pPr>
                    <w:jc w:val="center"/>
                    <w:rPr>
                      <w:rFonts w:hint="default" w:ascii="Times New Roman" w:hAnsi="Times New Roman" w:eastAsia="宋体" w:cs="Times New Roman"/>
                      <w:b w:val="0"/>
                      <w:bCs w:val="0"/>
                      <w:color w:val="auto"/>
                      <w:kern w:val="2"/>
                      <w:sz w:val="21"/>
                      <w:szCs w:val="24"/>
                      <w:lang w:val="en-US" w:eastAsia="zh-CN" w:bidi="ar"/>
                    </w:rPr>
                  </w:pPr>
                  <w:r>
                    <w:rPr>
                      <w:rFonts w:hint="eastAsia" w:eastAsia="宋体" w:cs="Times New Roman"/>
                      <w:b w:val="0"/>
                      <w:bCs w:val="0"/>
                      <w:color w:val="auto"/>
                      <w:lang w:val="en-US" w:eastAsia="zh-CN" w:bidi="ar"/>
                    </w:rPr>
                    <w:t>400</w:t>
                  </w:r>
                </w:p>
              </w:tc>
              <w:tc>
                <w:tcPr>
                  <w:tcW w:w="550" w:type="pct"/>
                  <w:tcBorders>
                    <w:right w:val="single" w:color="auto" w:sz="4" w:space="0"/>
                  </w:tcBorders>
                  <w:noWrap w:val="0"/>
                  <w:vAlign w:val="center"/>
                </w:tcPr>
                <w:p w14:paraId="2C066100">
                  <w:pPr>
                    <w:jc w:val="center"/>
                    <w:rPr>
                      <w:rFonts w:hint="default" w:ascii="Times New Roman" w:hAnsi="Times New Roman" w:eastAsia="宋体" w:cs="Times New Roman"/>
                      <w:b w:val="0"/>
                      <w:bCs w:val="0"/>
                      <w:color w:val="auto"/>
                      <w:kern w:val="2"/>
                      <w:sz w:val="21"/>
                      <w:szCs w:val="24"/>
                      <w:lang w:val="en-US" w:eastAsia="zh-CN" w:bidi="ar"/>
                    </w:rPr>
                  </w:pPr>
                  <w:r>
                    <w:rPr>
                      <w:rFonts w:hint="eastAsia" w:eastAsia="宋体" w:cs="Times New Roman"/>
                      <w:b w:val="0"/>
                      <w:bCs w:val="0"/>
                      <w:color w:val="auto"/>
                      <w:lang w:val="en-US" w:eastAsia="zh-CN" w:bidi="ar"/>
                    </w:rPr>
                    <w:t>45</w:t>
                  </w:r>
                </w:p>
              </w:tc>
            </w:tr>
            <w:tr w14:paraId="30457C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25" w:type="pct"/>
                  <w:gridSpan w:val="2"/>
                  <w:noWrap w:val="0"/>
                  <w:vAlign w:val="center"/>
                </w:tcPr>
                <w:p w14:paraId="37C18289">
                  <w:pPr>
                    <w:jc w:val="center"/>
                    <w:rPr>
                      <w:rFonts w:hint="eastAsia" w:ascii="Times New Roman" w:hAnsi="Times New Roman"/>
                      <w:color w:val="auto"/>
                      <w:szCs w:val="21"/>
                      <w:lang w:eastAsia="zh-CN"/>
                    </w:rPr>
                  </w:pPr>
                  <w:r>
                    <w:rPr>
                      <w:rFonts w:ascii="Times New Roman" w:hAnsi="Times New Roman" w:eastAsia="宋体" w:cs="Times New Roman"/>
                      <w:color w:val="auto"/>
                      <w:sz w:val="21"/>
                      <w:szCs w:val="21"/>
                    </w:rPr>
                    <w:t>《污水综合排放标准》（GB8978-1996）表4中三级标准排放限值</w:t>
                  </w:r>
                </w:p>
              </w:tc>
              <w:tc>
                <w:tcPr>
                  <w:tcW w:w="563" w:type="pct"/>
                  <w:noWrap w:val="0"/>
                  <w:vAlign w:val="center"/>
                </w:tcPr>
                <w:p w14:paraId="73312E5C">
                  <w:pPr>
                    <w:jc w:val="center"/>
                    <w:rPr>
                      <w:rFonts w:hint="default" w:eastAsia="宋体" w:cs="Times New Roman"/>
                      <w:b w:val="0"/>
                      <w:bCs w:val="0"/>
                      <w:color w:val="auto"/>
                      <w:lang w:val="en-US" w:eastAsia="zh-CN" w:bidi="ar"/>
                    </w:rPr>
                  </w:pPr>
                  <w:r>
                    <w:rPr>
                      <w:rFonts w:hint="eastAsia" w:cs="Times New Roman"/>
                      <w:b w:val="0"/>
                      <w:bCs w:val="0"/>
                      <w:color w:val="auto"/>
                      <w:lang w:val="en-US" w:eastAsia="zh-CN" w:bidi="ar"/>
                    </w:rPr>
                    <w:t>/</w:t>
                  </w:r>
                </w:p>
              </w:tc>
              <w:tc>
                <w:tcPr>
                  <w:tcW w:w="573" w:type="pct"/>
                  <w:noWrap w:val="0"/>
                  <w:vAlign w:val="center"/>
                </w:tcPr>
                <w:p w14:paraId="382907C4">
                  <w:pPr>
                    <w:widowControl/>
                    <w:jc w:val="center"/>
                    <w:rPr>
                      <w:rFonts w:hint="eastAsia" w:eastAsia="宋体" w:cs="Times New Roman"/>
                      <w:b w:val="0"/>
                      <w:bCs w:val="0"/>
                      <w:color w:val="auto"/>
                      <w:lang w:val="en-US" w:eastAsia="zh-CN" w:bidi="ar"/>
                    </w:rPr>
                  </w:pPr>
                  <w:r>
                    <w:rPr>
                      <w:rFonts w:ascii="Times New Roman" w:hAnsi="Times New Roman" w:eastAsia="宋体" w:cs="Times New Roman"/>
                      <w:color w:val="auto"/>
                      <w:sz w:val="21"/>
                      <w:szCs w:val="21"/>
                    </w:rPr>
                    <w:t>500</w:t>
                  </w:r>
                </w:p>
              </w:tc>
              <w:tc>
                <w:tcPr>
                  <w:tcW w:w="623" w:type="pct"/>
                  <w:noWrap w:val="0"/>
                  <w:vAlign w:val="center"/>
                </w:tcPr>
                <w:p w14:paraId="307F70DF">
                  <w:pPr>
                    <w:widowControl/>
                    <w:jc w:val="center"/>
                    <w:rPr>
                      <w:rFonts w:hint="eastAsia" w:eastAsia="宋体" w:cs="Times New Roman"/>
                      <w:b w:val="0"/>
                      <w:bCs w:val="0"/>
                      <w:color w:val="auto"/>
                      <w:lang w:val="en-US" w:eastAsia="zh-CN" w:bidi="ar"/>
                    </w:rPr>
                  </w:pPr>
                  <w:r>
                    <w:rPr>
                      <w:rFonts w:ascii="Times New Roman" w:hAnsi="Times New Roman" w:eastAsia="宋体" w:cs="Times New Roman"/>
                      <w:color w:val="auto"/>
                      <w:sz w:val="21"/>
                      <w:szCs w:val="21"/>
                    </w:rPr>
                    <w:t>300</w:t>
                  </w:r>
                </w:p>
              </w:tc>
              <w:tc>
                <w:tcPr>
                  <w:tcW w:w="563" w:type="pct"/>
                  <w:noWrap w:val="0"/>
                  <w:vAlign w:val="center"/>
                </w:tcPr>
                <w:p w14:paraId="2E795D90">
                  <w:pPr>
                    <w:widowControl/>
                    <w:jc w:val="center"/>
                    <w:rPr>
                      <w:rFonts w:hint="eastAsia" w:eastAsia="宋体" w:cs="Times New Roman"/>
                      <w:b w:val="0"/>
                      <w:bCs w:val="0"/>
                      <w:color w:val="auto"/>
                      <w:lang w:val="en-US" w:eastAsia="zh-CN" w:bidi="ar"/>
                    </w:rPr>
                  </w:pPr>
                  <w:r>
                    <w:rPr>
                      <w:rFonts w:ascii="Times New Roman" w:hAnsi="Times New Roman" w:eastAsia="宋体" w:cs="Times New Roman"/>
                      <w:color w:val="auto"/>
                      <w:sz w:val="21"/>
                      <w:szCs w:val="21"/>
                    </w:rPr>
                    <w:t>400</w:t>
                  </w:r>
                </w:p>
              </w:tc>
              <w:tc>
                <w:tcPr>
                  <w:tcW w:w="550" w:type="pct"/>
                  <w:tcBorders>
                    <w:right w:val="single" w:color="auto" w:sz="4" w:space="0"/>
                  </w:tcBorders>
                  <w:noWrap w:val="0"/>
                  <w:vAlign w:val="center"/>
                </w:tcPr>
                <w:p w14:paraId="4FF01598">
                  <w:pPr>
                    <w:widowControl/>
                    <w:jc w:val="center"/>
                    <w:rPr>
                      <w:rFonts w:hint="eastAsia" w:eastAsia="宋体" w:cs="Times New Roman"/>
                      <w:b w:val="0"/>
                      <w:bCs w:val="0"/>
                      <w:color w:val="auto"/>
                      <w:lang w:val="en-US" w:eastAsia="zh-CN" w:bidi="ar"/>
                    </w:rPr>
                  </w:pPr>
                  <w:r>
                    <w:rPr>
                      <w:rFonts w:ascii="Times New Roman" w:hAnsi="Times New Roman" w:eastAsia="宋体" w:cs="Times New Roman"/>
                      <w:color w:val="auto"/>
                      <w:sz w:val="21"/>
                      <w:szCs w:val="21"/>
                    </w:rPr>
                    <w:t>-</w:t>
                  </w:r>
                </w:p>
              </w:tc>
            </w:tr>
            <w:tr w14:paraId="4FA489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25" w:type="pct"/>
                  <w:gridSpan w:val="2"/>
                  <w:noWrap w:val="0"/>
                  <w:vAlign w:val="center"/>
                </w:tcPr>
                <w:p w14:paraId="36A38F15">
                  <w:pPr>
                    <w:jc w:val="center"/>
                    <w:rPr>
                      <w:rFonts w:hint="eastAsia" w:eastAsia="宋体" w:cs="Times New Roman"/>
                      <w:b w:val="0"/>
                      <w:bCs w:val="0"/>
                      <w:color w:val="auto"/>
                      <w:lang w:eastAsia="zh-CN" w:bidi="ar"/>
                    </w:rPr>
                  </w:pPr>
                  <w:r>
                    <w:rPr>
                      <w:rFonts w:hint="eastAsia"/>
                      <w:b w:val="0"/>
                      <w:bCs w:val="0"/>
                      <w:color w:val="auto"/>
                      <w:szCs w:val="21"/>
                      <w:lang w:eastAsia="zh-CN"/>
                    </w:rPr>
                    <w:t>本项目执行标准</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mg/l</w:t>
                  </w:r>
                  <w:r>
                    <w:rPr>
                      <w:rFonts w:hint="default" w:ascii="Times New Roman" w:hAnsi="Times New Roman" w:cs="Times New Roman"/>
                      <w:b w:val="0"/>
                      <w:bCs w:val="0"/>
                      <w:color w:val="auto"/>
                      <w:szCs w:val="21"/>
                      <w:lang w:eastAsia="zh-CN"/>
                    </w:rPr>
                    <w:t>）</w:t>
                  </w:r>
                </w:p>
              </w:tc>
              <w:tc>
                <w:tcPr>
                  <w:tcW w:w="563" w:type="pct"/>
                  <w:noWrap w:val="0"/>
                  <w:vAlign w:val="center"/>
                </w:tcPr>
                <w:p w14:paraId="09F86EE0">
                  <w:pPr>
                    <w:jc w:val="center"/>
                    <w:rPr>
                      <w:rFonts w:hint="eastAsia" w:eastAsia="宋体" w:cs="Times New Roman"/>
                      <w:b w:val="0"/>
                      <w:bCs w:val="0"/>
                      <w:color w:val="auto"/>
                      <w:lang w:val="en-US" w:eastAsia="zh-CN" w:bidi="ar"/>
                    </w:rPr>
                  </w:pPr>
                  <w:r>
                    <w:rPr>
                      <w:rFonts w:hint="eastAsia" w:eastAsia="宋体" w:cs="Times New Roman"/>
                      <w:b w:val="0"/>
                      <w:bCs w:val="0"/>
                      <w:color w:val="auto"/>
                      <w:lang w:val="en-US" w:eastAsia="zh-CN" w:bidi="ar"/>
                    </w:rPr>
                    <w:t>/</w:t>
                  </w:r>
                </w:p>
              </w:tc>
              <w:tc>
                <w:tcPr>
                  <w:tcW w:w="573" w:type="pct"/>
                  <w:noWrap w:val="0"/>
                  <w:vAlign w:val="center"/>
                </w:tcPr>
                <w:p w14:paraId="44286FAA">
                  <w:pPr>
                    <w:jc w:val="center"/>
                    <w:rPr>
                      <w:rFonts w:hint="eastAsia" w:eastAsia="宋体" w:cs="Times New Roman"/>
                      <w:b w:val="0"/>
                      <w:bCs w:val="0"/>
                      <w:color w:val="auto"/>
                      <w:lang w:val="en-US" w:eastAsia="zh-CN" w:bidi="ar"/>
                    </w:rPr>
                  </w:pPr>
                  <w:r>
                    <w:rPr>
                      <w:rFonts w:hint="eastAsia"/>
                      <w:b w:val="0"/>
                      <w:bCs w:val="0"/>
                      <w:color w:val="auto"/>
                      <w:szCs w:val="21"/>
                      <w:lang w:val="en-US" w:eastAsia="zh-CN"/>
                    </w:rPr>
                    <w:t>500</w:t>
                  </w:r>
                </w:p>
              </w:tc>
              <w:tc>
                <w:tcPr>
                  <w:tcW w:w="623" w:type="pct"/>
                  <w:noWrap w:val="0"/>
                  <w:vAlign w:val="center"/>
                </w:tcPr>
                <w:p w14:paraId="2F7029D3">
                  <w:pPr>
                    <w:jc w:val="center"/>
                    <w:rPr>
                      <w:rFonts w:hint="eastAsia" w:eastAsia="宋体" w:cs="Times New Roman"/>
                      <w:b w:val="0"/>
                      <w:bCs w:val="0"/>
                      <w:color w:val="auto"/>
                      <w:lang w:val="en-US" w:eastAsia="zh-CN" w:bidi="ar"/>
                    </w:rPr>
                  </w:pPr>
                  <w:r>
                    <w:rPr>
                      <w:rFonts w:hint="eastAsia"/>
                      <w:b w:val="0"/>
                      <w:bCs w:val="0"/>
                      <w:color w:val="auto"/>
                      <w:szCs w:val="21"/>
                      <w:lang w:val="en-US" w:eastAsia="zh-CN"/>
                    </w:rPr>
                    <w:t>300</w:t>
                  </w:r>
                </w:p>
              </w:tc>
              <w:tc>
                <w:tcPr>
                  <w:tcW w:w="563" w:type="pct"/>
                  <w:noWrap w:val="0"/>
                  <w:vAlign w:val="center"/>
                </w:tcPr>
                <w:p w14:paraId="156BAA6F">
                  <w:pPr>
                    <w:jc w:val="center"/>
                    <w:rPr>
                      <w:rFonts w:hint="eastAsia" w:eastAsia="宋体" w:cs="Times New Roman"/>
                      <w:b w:val="0"/>
                      <w:bCs w:val="0"/>
                      <w:color w:val="auto"/>
                      <w:lang w:val="en-US" w:eastAsia="zh-CN" w:bidi="ar"/>
                    </w:rPr>
                  </w:pPr>
                  <w:r>
                    <w:rPr>
                      <w:rFonts w:hint="eastAsia"/>
                      <w:b w:val="0"/>
                      <w:bCs w:val="0"/>
                      <w:color w:val="auto"/>
                      <w:szCs w:val="21"/>
                      <w:lang w:val="en-US" w:eastAsia="zh-CN"/>
                    </w:rPr>
                    <w:t>400</w:t>
                  </w:r>
                </w:p>
              </w:tc>
              <w:tc>
                <w:tcPr>
                  <w:tcW w:w="550" w:type="pct"/>
                  <w:tcBorders>
                    <w:right w:val="single" w:color="auto" w:sz="4" w:space="0"/>
                  </w:tcBorders>
                  <w:noWrap w:val="0"/>
                  <w:vAlign w:val="center"/>
                </w:tcPr>
                <w:p w14:paraId="3762450E">
                  <w:pPr>
                    <w:jc w:val="center"/>
                    <w:rPr>
                      <w:rFonts w:hint="eastAsia" w:eastAsia="宋体" w:cs="Times New Roman"/>
                      <w:b w:val="0"/>
                      <w:bCs w:val="0"/>
                      <w:color w:val="auto"/>
                      <w:lang w:val="en-US" w:eastAsia="zh-CN" w:bidi="ar"/>
                    </w:rPr>
                  </w:pPr>
                  <w:r>
                    <w:rPr>
                      <w:rFonts w:hint="eastAsia"/>
                      <w:b w:val="0"/>
                      <w:bCs w:val="0"/>
                      <w:color w:val="auto"/>
                      <w:szCs w:val="21"/>
                      <w:lang w:val="en-US" w:eastAsia="zh-CN"/>
                    </w:rPr>
                    <w:t>45</w:t>
                  </w:r>
                </w:p>
              </w:tc>
            </w:tr>
            <w:tr w14:paraId="74D787C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25" w:type="pct"/>
                  <w:gridSpan w:val="2"/>
                  <w:noWrap w:val="0"/>
                  <w:vAlign w:val="center"/>
                </w:tcPr>
                <w:p w14:paraId="4927FBAE">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《城镇污水处理厂污染物排放标准》（GB18918-2002）</w:t>
                  </w:r>
                  <w:r>
                    <w:rPr>
                      <w:rFonts w:hint="default" w:ascii="Times New Roman" w:hAnsi="Times New Roman" w:cs="Times New Roman"/>
                      <w:b w:val="0"/>
                      <w:bCs w:val="0"/>
                      <w:color w:val="auto"/>
                      <w:szCs w:val="21"/>
                      <w:lang w:eastAsia="zh-CN"/>
                    </w:rPr>
                    <w:t>一级A</w:t>
                  </w:r>
                  <w:r>
                    <w:rPr>
                      <w:rFonts w:hint="default" w:ascii="Times New Roman" w:hAnsi="Times New Roman" w:cs="Times New Roman"/>
                      <w:b w:val="0"/>
                      <w:bCs w:val="0"/>
                      <w:color w:val="auto"/>
                      <w:szCs w:val="21"/>
                    </w:rPr>
                    <w:t>标准</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mg/l</w:t>
                  </w:r>
                  <w:r>
                    <w:rPr>
                      <w:rFonts w:hint="default" w:ascii="Times New Roman" w:hAnsi="Times New Roman" w:cs="Times New Roman"/>
                      <w:b w:val="0"/>
                      <w:bCs w:val="0"/>
                      <w:color w:val="auto"/>
                      <w:szCs w:val="21"/>
                      <w:lang w:eastAsia="zh-CN"/>
                    </w:rPr>
                    <w:t>）</w:t>
                  </w:r>
                </w:p>
              </w:tc>
              <w:tc>
                <w:tcPr>
                  <w:tcW w:w="563" w:type="pct"/>
                  <w:noWrap w:val="0"/>
                  <w:vAlign w:val="center"/>
                </w:tcPr>
                <w:p w14:paraId="443437F9">
                  <w:pPr>
                    <w:widowControl/>
                    <w:jc w:val="center"/>
                    <w:textAlignment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val="en-US" w:eastAsia="zh-CN"/>
                    </w:rPr>
                    <w:t>/</w:t>
                  </w:r>
                </w:p>
              </w:tc>
              <w:tc>
                <w:tcPr>
                  <w:tcW w:w="573" w:type="pct"/>
                  <w:noWrap w:val="0"/>
                  <w:vAlign w:val="center"/>
                </w:tcPr>
                <w:p w14:paraId="7FB63DA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50</w:t>
                  </w:r>
                </w:p>
              </w:tc>
              <w:tc>
                <w:tcPr>
                  <w:tcW w:w="623" w:type="pct"/>
                  <w:noWrap w:val="0"/>
                  <w:vAlign w:val="center"/>
                </w:tcPr>
                <w:p w14:paraId="1EF4F43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w:t>
                  </w:r>
                </w:p>
              </w:tc>
              <w:tc>
                <w:tcPr>
                  <w:tcW w:w="563" w:type="pct"/>
                  <w:noWrap w:val="0"/>
                  <w:vAlign w:val="center"/>
                </w:tcPr>
                <w:p w14:paraId="4619BFC6">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w:t>
                  </w:r>
                </w:p>
              </w:tc>
              <w:tc>
                <w:tcPr>
                  <w:tcW w:w="550" w:type="pct"/>
                  <w:tcBorders>
                    <w:right w:val="single" w:color="auto" w:sz="4" w:space="0"/>
                  </w:tcBorders>
                  <w:noWrap w:val="0"/>
                  <w:vAlign w:val="center"/>
                </w:tcPr>
                <w:p w14:paraId="779BCCFD">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w:t>
                  </w:r>
                </w:p>
              </w:tc>
            </w:tr>
            <w:tr w14:paraId="06EF3F6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25" w:type="pct"/>
                  <w:gridSpan w:val="2"/>
                  <w:noWrap w:val="0"/>
                  <w:vAlign w:val="center"/>
                </w:tcPr>
                <w:p w14:paraId="6AE4B162">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经污水处理厂处理后污染物入环境总量</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t/a</w:t>
                  </w:r>
                  <w:r>
                    <w:rPr>
                      <w:rFonts w:hint="default" w:ascii="Times New Roman" w:hAnsi="Times New Roman" w:cs="Times New Roman"/>
                      <w:b w:val="0"/>
                      <w:bCs w:val="0"/>
                      <w:color w:val="auto"/>
                      <w:szCs w:val="21"/>
                      <w:lang w:eastAsia="zh-CN"/>
                    </w:rPr>
                    <w:t>）</w:t>
                  </w:r>
                </w:p>
              </w:tc>
              <w:tc>
                <w:tcPr>
                  <w:tcW w:w="563" w:type="pct"/>
                  <w:noWrap w:val="0"/>
                  <w:vAlign w:val="center"/>
                </w:tcPr>
                <w:p w14:paraId="5C6A5C4D">
                  <w:pPr>
                    <w:widowControl/>
                    <w:jc w:val="center"/>
                    <w:textAlignment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720</w:t>
                  </w:r>
                </w:p>
              </w:tc>
              <w:tc>
                <w:tcPr>
                  <w:tcW w:w="573" w:type="pct"/>
                  <w:noWrap w:val="0"/>
                  <w:vAlign w:val="center"/>
                </w:tcPr>
                <w:p w14:paraId="7D572EA3">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0360</w:t>
                  </w:r>
                </w:p>
              </w:tc>
              <w:tc>
                <w:tcPr>
                  <w:tcW w:w="623" w:type="pct"/>
                  <w:noWrap w:val="0"/>
                  <w:vAlign w:val="center"/>
                </w:tcPr>
                <w:p w14:paraId="2860B94D">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0072</w:t>
                  </w:r>
                </w:p>
              </w:tc>
              <w:tc>
                <w:tcPr>
                  <w:tcW w:w="563" w:type="pct"/>
                  <w:noWrap w:val="0"/>
                  <w:vAlign w:val="center"/>
                </w:tcPr>
                <w:p w14:paraId="54F027DA">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w:t>
                  </w:r>
                  <w:r>
                    <w:rPr>
                      <w:rFonts w:hint="eastAsia" w:cs="Times New Roman"/>
                      <w:b w:val="0"/>
                      <w:bCs w:val="0"/>
                      <w:color w:val="auto"/>
                      <w:kern w:val="2"/>
                      <w:sz w:val="21"/>
                      <w:szCs w:val="21"/>
                      <w:lang w:val="en-US" w:eastAsia="zh-CN" w:bidi="ar-SA"/>
                    </w:rPr>
                    <w:t>072</w:t>
                  </w:r>
                </w:p>
              </w:tc>
              <w:tc>
                <w:tcPr>
                  <w:tcW w:w="550" w:type="pct"/>
                  <w:tcBorders>
                    <w:right w:val="single" w:color="auto" w:sz="4" w:space="0"/>
                  </w:tcBorders>
                  <w:noWrap w:val="0"/>
                  <w:vAlign w:val="center"/>
                </w:tcPr>
                <w:p w14:paraId="5BA7F65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0036</w:t>
                  </w:r>
                </w:p>
              </w:tc>
            </w:tr>
          </w:tbl>
          <w:p w14:paraId="4FA671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cs="Times New Roman"/>
                <w:color w:val="auto"/>
                <w:sz w:val="24"/>
                <w:szCs w:val="24"/>
                <w:lang w:eastAsia="zh-CN"/>
              </w:rPr>
              <w:t>由于</w:t>
            </w:r>
            <w:r>
              <w:rPr>
                <w:rFonts w:hint="eastAsia"/>
                <w:bCs/>
                <w:color w:val="auto"/>
                <w:sz w:val="24"/>
                <w:szCs w:val="24"/>
                <w:lang w:eastAsia="zh-CN"/>
              </w:rPr>
              <w:t>《</w:t>
            </w:r>
            <w:r>
              <w:rPr>
                <w:color w:val="auto"/>
                <w:sz w:val="24"/>
                <w:szCs w:val="24"/>
              </w:rPr>
              <w:t>合成树脂工业污染物排放标准》（GB31572-2015）</w:t>
            </w:r>
            <w:r>
              <w:rPr>
                <w:rFonts w:hint="eastAsia"/>
                <w:color w:val="auto"/>
                <w:sz w:val="24"/>
                <w:szCs w:val="24"/>
                <w:lang w:eastAsia="zh-CN"/>
              </w:rPr>
              <w:t>中废水间接排放常规因子没有执行标准值，故本项目废水执行固镇经济开发区污水处理厂</w:t>
            </w:r>
            <w:r>
              <w:rPr>
                <w:rFonts w:hint="default" w:ascii="Times New Roman" w:hAnsi="Times New Roman" w:eastAsia="宋体" w:cs="Times New Roman"/>
                <w:color w:val="auto"/>
                <w:sz w:val="24"/>
                <w:szCs w:val="24"/>
              </w:rPr>
              <w:t>接管标准</w:t>
            </w:r>
            <w:r>
              <w:rPr>
                <w:rFonts w:hint="eastAsia" w:ascii="Times New Roman" w:hAnsi="Times New Roman" w:eastAsia="宋体" w:cs="Times New Roman"/>
                <w:color w:val="auto"/>
                <w:sz w:val="24"/>
                <w:szCs w:val="24"/>
                <w:lang w:eastAsia="zh-CN"/>
              </w:rPr>
              <w:t>和</w:t>
            </w:r>
            <w:r>
              <w:rPr>
                <w:rFonts w:hint="eastAsia" w:ascii="Times New Roman" w:hAnsi="Times New Roman" w:eastAsia="宋体" w:cs="Times New Roman"/>
                <w:bCs/>
                <w:color w:val="auto"/>
                <w:sz w:val="24"/>
                <w:szCs w:val="24"/>
                <w:lang w:val="en-US" w:eastAsia="zh-CN"/>
              </w:rPr>
              <w:t>《污水综合排放标准》（GB8978-1996）。</w:t>
            </w:r>
          </w:p>
          <w:p w14:paraId="45D29B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b w:val="0"/>
                <w:bCs/>
                <w:color w:val="auto"/>
                <w:sz w:val="24"/>
                <w:szCs w:val="24"/>
                <w:lang w:val="en-US" w:eastAsia="zh-CN"/>
              </w:rPr>
            </w:pPr>
            <w:r>
              <w:rPr>
                <w:rFonts w:hint="eastAsia"/>
                <w:b w:val="0"/>
                <w:bCs/>
                <w:color w:val="auto"/>
                <w:sz w:val="24"/>
                <w:szCs w:val="24"/>
                <w:lang w:eastAsia="zh-CN"/>
              </w:rPr>
              <w:t>根据上表可知，本项目生活污水排放浓度能够满足</w:t>
            </w:r>
            <w:r>
              <w:rPr>
                <w:rFonts w:hint="eastAsia"/>
                <w:color w:val="auto"/>
                <w:sz w:val="24"/>
                <w:szCs w:val="24"/>
                <w:lang w:eastAsia="zh-CN"/>
              </w:rPr>
              <w:t>固镇经济开发区污水处理厂</w:t>
            </w:r>
            <w:r>
              <w:rPr>
                <w:rFonts w:hint="default" w:ascii="Times New Roman" w:hAnsi="Times New Roman" w:eastAsia="宋体" w:cs="Times New Roman"/>
                <w:color w:val="auto"/>
                <w:sz w:val="24"/>
                <w:szCs w:val="24"/>
              </w:rPr>
              <w:t>接管标准</w:t>
            </w:r>
            <w:r>
              <w:rPr>
                <w:rFonts w:hint="eastAsia" w:cs="Times New Roman"/>
                <w:color w:val="auto"/>
                <w:sz w:val="24"/>
                <w:szCs w:val="24"/>
                <w:lang w:eastAsia="zh-CN"/>
              </w:rPr>
              <w:t>和</w:t>
            </w:r>
            <w:r>
              <w:rPr>
                <w:rFonts w:hint="eastAsia" w:ascii="Times New Roman" w:hAnsi="Times New Roman" w:eastAsia="宋体" w:cs="Times New Roman"/>
                <w:bCs/>
                <w:color w:val="auto"/>
                <w:sz w:val="24"/>
                <w:szCs w:val="24"/>
                <w:lang w:val="en-US" w:eastAsia="zh-CN"/>
              </w:rPr>
              <w:t>《污水综合排放标准》（GB8978-1996）表4中三级标准排放限值</w:t>
            </w:r>
            <w:r>
              <w:rPr>
                <w:rFonts w:hint="eastAsia" w:cs="Times New Roman"/>
                <w:color w:val="auto"/>
                <w:sz w:val="24"/>
                <w:szCs w:val="24"/>
                <w:lang w:eastAsia="zh-CN"/>
              </w:rPr>
              <w:t>。</w:t>
            </w:r>
            <w:r>
              <w:rPr>
                <w:rFonts w:hint="eastAsia" w:cs="Times New Roman"/>
                <w:color w:val="auto"/>
                <w:sz w:val="24"/>
                <w:szCs w:val="24"/>
                <w:lang w:val="en-US" w:eastAsia="zh-CN"/>
              </w:rPr>
              <w:t xml:space="preserve"> </w:t>
            </w:r>
          </w:p>
          <w:p w14:paraId="2477D0EF">
            <w:pPr>
              <w:keepNext w:val="0"/>
              <w:keepLines w:val="0"/>
              <w:pageBreakBefore w:val="0"/>
              <w:kinsoku/>
              <w:wordWrap/>
              <w:overflowPunct/>
              <w:topLinePunct w:val="0"/>
              <w:autoSpaceDE/>
              <w:autoSpaceDN/>
              <w:bidi w:val="0"/>
              <w:adjustRightInd w:val="0"/>
              <w:snapToGrid/>
              <w:spacing w:line="360" w:lineRule="auto"/>
              <w:jc w:val="left"/>
              <w:textAlignment w:val="auto"/>
              <w:rPr>
                <w:rFonts w:hint="default" w:ascii="Times New Roman" w:hAnsi="Times New Roman" w:eastAsia="宋体" w:cs="Times New Roman"/>
                <w:b/>
                <w:bCs/>
                <w:color w:val="auto"/>
                <w:kern w:val="0"/>
                <w:sz w:val="24"/>
                <w:szCs w:val="24"/>
                <w:lang w:eastAsia="zh-CN"/>
              </w:rPr>
            </w:pPr>
            <w:r>
              <w:rPr>
                <w:rFonts w:hint="eastAsia"/>
                <w:b/>
                <w:color w:val="auto"/>
                <w:kern w:val="0"/>
                <w:sz w:val="24"/>
              </w:rPr>
              <w:t>2.2</w:t>
            </w:r>
            <w:r>
              <w:rPr>
                <w:rFonts w:hint="eastAsia" w:cs="Times New Roman"/>
                <w:b/>
                <w:bCs/>
                <w:color w:val="auto"/>
                <w:sz w:val="24"/>
                <w:szCs w:val="24"/>
                <w:highlight w:val="none"/>
                <w:lang w:val="en-US" w:eastAsia="zh-CN"/>
              </w:rPr>
              <w:t>污水处理厂依托</w:t>
            </w:r>
            <w:r>
              <w:rPr>
                <w:rFonts w:hint="default" w:ascii="Times New Roman" w:hAnsi="Times New Roman" w:eastAsia="宋体" w:cs="Times New Roman"/>
                <w:b/>
                <w:bCs/>
                <w:color w:val="auto"/>
                <w:sz w:val="24"/>
                <w:szCs w:val="24"/>
                <w:highlight w:val="none"/>
                <w:lang w:val="en-US" w:eastAsia="zh-CN"/>
              </w:rPr>
              <w:t>可行性分析</w:t>
            </w:r>
          </w:p>
          <w:p w14:paraId="7794AD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固镇经济开发区污水处理厂排水体制采用“清污分流、雨污分流”。北区范围内污废水通过固镇经济开发区污水处理厂集中处理，处理达标后，排入北淝河。 </w:t>
            </w:r>
          </w:p>
          <w:p w14:paraId="73A39F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固镇经济开发区污水处理厂位于经开区经二路与经三路之间，纬七路两侧，规划规模7万m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/d，污水处理厂已建成一期、二期、三期、四期（一期2万m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/d、二期1万m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/d、三期2万m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/d、四期2万m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固镇经开区一般污水厂（一期、二期）服务对象为固镇经济开发区北区非化工企业，污水干管沿经二路污水干管接至一、二期污水处理厂；固镇经开区化工污水厂（三期、四期）服务对象为丰原生物产业制造基地及区内其他化工企业，其中丰原生物产业制造基地污水进入丰原集团污水处理站，其他化工企业经预处理设施处理后，排入固镇经济开发区开发区污水处理厂三期、四期集中处理。其中，三期、四期进水管网与一、二期无连通。固镇经济开发区污水处理厂一期、二期的尾水（1.6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/d）排入受纳水体，三期、四期尾水一部分进入中水厂回用，一部分（0.8万m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/d）排入受纳水体。</w:t>
            </w:r>
          </w:p>
          <w:p w14:paraId="38721576">
            <w:pPr>
              <w:spacing w:line="360" w:lineRule="auto"/>
              <w:ind w:firstLine="480" w:firstLineChars="200"/>
              <w:rPr>
                <w:snapToGrid w:val="0"/>
                <w:color w:val="auto"/>
                <w:sz w:val="24"/>
              </w:rPr>
            </w:pPr>
            <w:r>
              <w:rPr>
                <w:rFonts w:hint="eastAsia"/>
                <w:snapToGrid w:val="0"/>
                <w:color w:val="auto"/>
                <w:sz w:val="24"/>
                <w:lang w:eastAsia="zh-CN"/>
              </w:rPr>
              <w:t>固镇经济开发区污水处理厂</w:t>
            </w:r>
            <w:r>
              <w:rPr>
                <w:snapToGrid w:val="0"/>
                <w:color w:val="auto"/>
                <w:sz w:val="24"/>
              </w:rPr>
              <w:t>一期、二期工程污水处理工艺相同，均</w:t>
            </w:r>
            <w:r>
              <w:rPr>
                <w:rFonts w:hint="eastAsia"/>
                <w:snapToGrid w:val="0"/>
                <w:color w:val="auto"/>
                <w:sz w:val="24"/>
              </w:rPr>
              <w:t>为</w:t>
            </w:r>
            <w:r>
              <w:rPr>
                <w:snapToGrid w:val="0"/>
                <w:color w:val="auto"/>
                <w:sz w:val="24"/>
              </w:rPr>
              <w:t>改良氧化沟工艺，工艺流程为：粗格栅—</w:t>
            </w:r>
            <w:r>
              <w:rPr>
                <w:rFonts w:hint="eastAsia"/>
                <w:snapToGrid w:val="0"/>
                <w:color w:val="auto"/>
                <w:sz w:val="24"/>
              </w:rPr>
              <w:t>细格栅</w:t>
            </w:r>
            <w:r>
              <w:rPr>
                <w:snapToGrid w:val="0"/>
                <w:color w:val="auto"/>
                <w:sz w:val="24"/>
              </w:rPr>
              <w:t>—</w:t>
            </w:r>
            <w:r>
              <w:rPr>
                <w:rFonts w:hint="eastAsia"/>
                <w:snapToGrid w:val="0"/>
                <w:color w:val="auto"/>
                <w:sz w:val="24"/>
              </w:rPr>
              <w:t>沉砂池</w:t>
            </w:r>
            <w:r>
              <w:rPr>
                <w:snapToGrid w:val="0"/>
                <w:color w:val="auto"/>
                <w:sz w:val="24"/>
              </w:rPr>
              <w:t>—</w:t>
            </w:r>
            <w:r>
              <w:rPr>
                <w:rFonts w:hint="eastAsia"/>
                <w:snapToGrid w:val="0"/>
                <w:color w:val="auto"/>
                <w:sz w:val="24"/>
              </w:rPr>
              <w:t>水解池</w:t>
            </w:r>
            <w:r>
              <w:rPr>
                <w:snapToGrid w:val="0"/>
                <w:color w:val="auto"/>
                <w:sz w:val="24"/>
              </w:rPr>
              <w:t>—</w:t>
            </w:r>
            <w:r>
              <w:rPr>
                <w:rFonts w:hint="eastAsia"/>
                <w:snapToGrid w:val="0"/>
                <w:color w:val="auto"/>
                <w:sz w:val="24"/>
              </w:rPr>
              <w:t>氧化沟</w:t>
            </w:r>
            <w:r>
              <w:rPr>
                <w:snapToGrid w:val="0"/>
                <w:color w:val="auto"/>
                <w:sz w:val="24"/>
              </w:rPr>
              <w:t>—</w:t>
            </w:r>
            <w:r>
              <w:rPr>
                <w:rFonts w:hint="eastAsia"/>
                <w:snapToGrid w:val="0"/>
                <w:color w:val="auto"/>
                <w:sz w:val="24"/>
              </w:rPr>
              <w:t>二沉池</w:t>
            </w:r>
            <w:r>
              <w:rPr>
                <w:snapToGrid w:val="0"/>
                <w:color w:val="auto"/>
                <w:sz w:val="24"/>
              </w:rPr>
              <w:t>—</w:t>
            </w:r>
            <w:r>
              <w:rPr>
                <w:rFonts w:hint="eastAsia"/>
                <w:snapToGrid w:val="0"/>
                <w:color w:val="auto"/>
                <w:sz w:val="24"/>
              </w:rPr>
              <w:t>微</w:t>
            </w:r>
            <w:r>
              <w:rPr>
                <w:snapToGrid w:val="0"/>
                <w:color w:val="auto"/>
                <w:sz w:val="24"/>
              </w:rPr>
              <w:t>絮凝</w:t>
            </w:r>
            <w:r>
              <w:rPr>
                <w:rFonts w:hint="eastAsia"/>
                <w:snapToGrid w:val="0"/>
                <w:color w:val="auto"/>
                <w:sz w:val="24"/>
              </w:rPr>
              <w:t>池</w:t>
            </w:r>
            <w:r>
              <w:rPr>
                <w:snapToGrid w:val="0"/>
                <w:color w:val="auto"/>
                <w:sz w:val="24"/>
              </w:rPr>
              <w:t>—</w:t>
            </w:r>
            <w:r>
              <w:rPr>
                <w:rFonts w:hint="eastAsia"/>
                <w:snapToGrid w:val="0"/>
                <w:color w:val="auto"/>
                <w:sz w:val="24"/>
              </w:rPr>
              <w:t>转盘</w:t>
            </w:r>
            <w:r>
              <w:rPr>
                <w:snapToGrid w:val="0"/>
                <w:color w:val="auto"/>
                <w:sz w:val="24"/>
              </w:rPr>
              <w:t>滤池—</w:t>
            </w:r>
            <w:r>
              <w:rPr>
                <w:rFonts w:hint="eastAsia"/>
                <w:snapToGrid w:val="0"/>
                <w:color w:val="auto"/>
                <w:sz w:val="24"/>
              </w:rPr>
              <w:t>紫外消毒</w:t>
            </w:r>
            <w:r>
              <w:rPr>
                <w:snapToGrid w:val="0"/>
                <w:color w:val="auto"/>
                <w:sz w:val="24"/>
              </w:rPr>
              <w:t>。</w:t>
            </w:r>
          </w:p>
          <w:p w14:paraId="2C8DD8AA">
            <w:pPr>
              <w:spacing w:line="240" w:lineRule="auto"/>
              <w:ind w:firstLine="480" w:firstLineChars="200"/>
              <w:rPr>
                <w:snapToGrid w:val="0"/>
                <w:color w:val="auto"/>
                <w:sz w:val="24"/>
              </w:rPr>
            </w:pPr>
            <w:r>
              <w:rPr>
                <w:rFonts w:hint="eastAsia"/>
                <w:snapToGrid w:val="0"/>
                <w:color w:val="auto"/>
                <w:sz w:val="24"/>
              </w:rPr>
              <w:t>具体工艺流程</w:t>
            </w:r>
            <w:r>
              <w:rPr>
                <w:snapToGrid w:val="0"/>
                <w:color w:val="auto"/>
                <w:sz w:val="24"/>
              </w:rPr>
              <w:t>见下图：</w:t>
            </w:r>
          </w:p>
          <w:p w14:paraId="72B813AA">
            <w:pPr>
              <w:spacing w:line="240" w:lineRule="auto"/>
              <w:jc w:val="center"/>
              <w:rPr>
                <w:snapToGrid w:val="0"/>
                <w:color w:val="auto"/>
                <w:sz w:val="24"/>
              </w:rPr>
            </w:pPr>
            <w:r>
              <w:rPr>
                <w:snapToGrid w:val="0"/>
                <w:color w:val="auto"/>
                <w:sz w:val="24"/>
              </w:rPr>
              <w:drawing>
                <wp:inline distT="0" distB="0" distL="114300" distR="114300">
                  <wp:extent cx="4449445" cy="2809875"/>
                  <wp:effectExtent l="0" t="0" r="8255" b="952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9"/>
                          <a:stretch>
                            <a:fillRect/>
                          </a:stretch>
                        </pic:blipFill>
                        <pic:spPr>
                          <a:xfrm>
                            <a:off x="0" y="0"/>
                            <a:ext cx="4449445" cy="2809875"/>
                          </a:xfrm>
                          <a:prstGeom prst="rect">
                            <a:avLst/>
                          </a:prstGeom>
                          <a:noFill/>
                          <a:ln>
                            <a:noFill/>
                          </a:ln>
                        </pic:spPr>
                      </pic:pic>
                    </a:graphicData>
                  </a:graphic>
                </wp:inline>
              </w:drawing>
            </w:r>
          </w:p>
          <w:p w14:paraId="0B7B0B6D">
            <w:pPr>
              <w:spacing w:line="240" w:lineRule="auto"/>
              <w:ind w:firstLine="422" w:firstLineChars="200"/>
              <w:jc w:val="center"/>
              <w:rPr>
                <w:b/>
                <w:snapToGrid w:val="0"/>
                <w:color w:val="auto"/>
                <w:sz w:val="21"/>
                <w:szCs w:val="21"/>
              </w:rPr>
            </w:pPr>
            <w:r>
              <w:rPr>
                <w:rFonts w:hint="eastAsia"/>
                <w:b/>
                <w:snapToGrid w:val="0"/>
                <w:color w:val="auto"/>
                <w:sz w:val="21"/>
                <w:szCs w:val="21"/>
              </w:rPr>
              <w:t>图</w:t>
            </w:r>
            <w:r>
              <w:rPr>
                <w:rFonts w:hint="eastAsia"/>
                <w:b/>
                <w:snapToGrid w:val="0"/>
                <w:color w:val="auto"/>
                <w:sz w:val="21"/>
                <w:szCs w:val="21"/>
                <w:lang w:val="en-US" w:eastAsia="zh-CN"/>
              </w:rPr>
              <w:t>4</w:t>
            </w:r>
            <w:r>
              <w:rPr>
                <w:b/>
                <w:snapToGrid w:val="0"/>
                <w:color w:val="auto"/>
                <w:sz w:val="21"/>
                <w:szCs w:val="21"/>
              </w:rPr>
              <w:t>-</w:t>
            </w:r>
            <w:r>
              <w:rPr>
                <w:rFonts w:hint="eastAsia"/>
                <w:b/>
                <w:snapToGrid w:val="0"/>
                <w:color w:val="auto"/>
                <w:sz w:val="21"/>
                <w:szCs w:val="21"/>
                <w:lang w:val="en-US" w:eastAsia="zh-CN"/>
              </w:rPr>
              <w:t>2</w:t>
            </w:r>
            <w:r>
              <w:rPr>
                <w:b/>
                <w:snapToGrid w:val="0"/>
                <w:color w:val="auto"/>
                <w:sz w:val="21"/>
                <w:szCs w:val="21"/>
              </w:rPr>
              <w:t xml:space="preserve"> </w:t>
            </w:r>
            <w:r>
              <w:rPr>
                <w:rFonts w:hint="eastAsia"/>
                <w:b/>
                <w:snapToGrid w:val="0"/>
                <w:color w:val="auto"/>
                <w:sz w:val="21"/>
                <w:szCs w:val="21"/>
              </w:rPr>
              <w:t>固镇经济开发区</w:t>
            </w:r>
            <w:r>
              <w:rPr>
                <w:b/>
                <w:snapToGrid w:val="0"/>
                <w:color w:val="auto"/>
                <w:sz w:val="21"/>
                <w:szCs w:val="21"/>
              </w:rPr>
              <w:t>污水处理厂工艺图</w:t>
            </w:r>
          </w:p>
          <w:p w14:paraId="0F848CC2">
            <w:pPr>
              <w:keepNext w:val="0"/>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rPr>
              <w:t>①</w:t>
            </w:r>
            <w:r>
              <w:rPr>
                <w:rFonts w:hint="default" w:ascii="Times New Roman" w:hAnsi="Times New Roman" w:eastAsia="宋体" w:cs="Times New Roman"/>
                <w:color w:val="auto"/>
                <w:spacing w:val="-1"/>
                <w:sz w:val="24"/>
                <w:szCs w:val="24"/>
                <w:lang w:eastAsia="zh-CN"/>
              </w:rPr>
              <w:t>水质接管可行性</w:t>
            </w:r>
          </w:p>
          <w:p w14:paraId="18F68F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本项目废水经污水处理站处理后能够满足</w:t>
            </w:r>
            <w:r>
              <w:rPr>
                <w:rFonts w:hint="default" w:ascii="Times New Roman" w:hAnsi="Times New Roman" w:eastAsia="宋体" w:cs="Times New Roman"/>
                <w:color w:val="auto"/>
                <w:spacing w:val="-2"/>
                <w:sz w:val="24"/>
                <w:szCs w:val="24"/>
                <w:lang w:eastAsia="zh-CN"/>
              </w:rPr>
              <w:t>固镇经济开发区</w:t>
            </w:r>
            <w:r>
              <w:rPr>
                <w:rFonts w:hint="default" w:ascii="Times New Roman" w:hAnsi="Times New Roman" w:eastAsia="宋体" w:cs="Times New Roman"/>
                <w:color w:val="auto"/>
                <w:spacing w:val="-2"/>
                <w:sz w:val="24"/>
                <w:szCs w:val="24"/>
              </w:rPr>
              <w:t>污水处理厂接管标准及《污水综合排放标准》（GB8978-1996）表4中的三级标准要求</w:t>
            </w:r>
            <w:r>
              <w:rPr>
                <w:rFonts w:hint="default" w:ascii="Times New Roman" w:hAnsi="Times New Roman" w:eastAsia="宋体" w:cs="Times New Roman"/>
                <w:color w:val="auto"/>
                <w:kern w:val="0"/>
                <w:sz w:val="24"/>
                <w:szCs w:val="24"/>
                <w:lang w:val="en-US" w:eastAsia="zh-CN" w:bidi="ar"/>
              </w:rPr>
              <w:t>，能够实现达标排放。</w:t>
            </w:r>
          </w:p>
          <w:p w14:paraId="7645542A">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rPr>
              <w:t>②</w:t>
            </w:r>
            <w:r>
              <w:rPr>
                <w:rFonts w:hint="default" w:ascii="Times New Roman" w:hAnsi="Times New Roman" w:eastAsia="宋体" w:cs="Times New Roman"/>
                <w:color w:val="auto"/>
                <w:spacing w:val="-1"/>
                <w:sz w:val="24"/>
                <w:szCs w:val="24"/>
                <w:lang w:eastAsia="zh-CN"/>
              </w:rPr>
              <w:t>水量接管可行性</w:t>
            </w:r>
          </w:p>
          <w:p w14:paraId="7F6CDFC4">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固镇经济开发区污水处理厂一期、二期总规模为3万m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/d，现状实际处理规模约1.69万m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/d，占处理负荷的56.33%；本</w:t>
            </w:r>
            <w:r>
              <w:rPr>
                <w:rFonts w:hint="default" w:ascii="Times New Roman" w:hAnsi="Times New Roman" w:eastAsia="宋体" w:cs="Times New Roman"/>
                <w:b w:val="0"/>
                <w:bCs/>
                <w:color w:val="auto"/>
                <w:sz w:val="24"/>
                <w:szCs w:val="24"/>
                <w:lang w:val="en-US"/>
              </w:rPr>
              <w:t>项目</w:t>
            </w:r>
            <w:r>
              <w:rPr>
                <w:rFonts w:hint="default" w:ascii="Times New Roman" w:hAnsi="Times New Roman" w:eastAsia="宋体" w:cs="Times New Roman"/>
                <w:b w:val="0"/>
                <w:bCs/>
                <w:color w:val="auto"/>
                <w:spacing w:val="-3"/>
                <w:sz w:val="24"/>
                <w:szCs w:val="24"/>
              </w:rPr>
              <w:t>废</w:t>
            </w:r>
            <w:r>
              <w:rPr>
                <w:rFonts w:hint="default" w:ascii="Times New Roman" w:hAnsi="Times New Roman" w:eastAsia="宋体" w:cs="Times New Roman"/>
                <w:color w:val="auto"/>
                <w:spacing w:val="-3"/>
                <w:sz w:val="24"/>
                <w:szCs w:val="24"/>
              </w:rPr>
              <w:t>水总量约为</w:t>
            </w:r>
            <w:r>
              <w:rPr>
                <w:rFonts w:hint="eastAsia" w:cs="Times New Roman"/>
                <w:color w:val="auto"/>
                <w:sz w:val="24"/>
                <w:szCs w:val="24"/>
                <w:lang w:val="en-US" w:eastAsia="zh-CN"/>
              </w:rPr>
              <w:t>2.4</w:t>
            </w:r>
            <w:r>
              <w:rPr>
                <w:rFonts w:hint="default" w:ascii="Times New Roman" w:hAnsi="Times New Roman" w:eastAsia="宋体" w:cs="Times New Roman"/>
                <w:color w:val="auto"/>
                <w:spacing w:val="-3"/>
                <w:sz w:val="24"/>
                <w:szCs w:val="24"/>
              </w:rPr>
              <w:t>t/d，</w:t>
            </w:r>
            <w:r>
              <w:rPr>
                <w:rFonts w:hint="default" w:ascii="Times New Roman" w:hAnsi="Times New Roman" w:eastAsia="宋体" w:cs="Times New Roman"/>
                <w:color w:val="auto"/>
                <w:spacing w:val="-3"/>
                <w:sz w:val="24"/>
                <w:szCs w:val="24"/>
                <w:lang w:eastAsia="zh-CN"/>
              </w:rPr>
              <w:t>尚有足够余量接纳本项目废水，不会对污水处理站负荷产生冲击，接管可行</w:t>
            </w:r>
            <w:r>
              <w:rPr>
                <w:rFonts w:hint="default" w:ascii="Times New Roman" w:hAnsi="Times New Roman" w:eastAsia="宋体" w:cs="Times New Roman"/>
                <w:color w:val="auto"/>
                <w:spacing w:val="-1"/>
                <w:sz w:val="24"/>
                <w:szCs w:val="24"/>
              </w:rPr>
              <w:t>。</w:t>
            </w:r>
          </w:p>
          <w:p w14:paraId="216ADD1F">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rPr>
              <w:t>综上，</w:t>
            </w:r>
            <w:r>
              <w:rPr>
                <w:rFonts w:hint="default" w:ascii="Times New Roman" w:hAnsi="Times New Roman" w:eastAsia="宋体" w:cs="Times New Roman"/>
                <w:snapToGrid w:val="0"/>
                <w:color w:val="auto"/>
                <w:kern w:val="0"/>
                <w:sz w:val="24"/>
                <w:lang w:eastAsia="zh-CN"/>
              </w:rPr>
              <w:t>本项目废水进入固镇经济开发区污水处理厂是可行的</w:t>
            </w:r>
            <w:r>
              <w:rPr>
                <w:rFonts w:hint="eastAsia"/>
                <w:snapToGrid w:val="0"/>
                <w:color w:val="auto"/>
                <w:kern w:val="0"/>
                <w:sz w:val="24"/>
              </w:rPr>
              <w:t>。</w:t>
            </w:r>
          </w:p>
          <w:p w14:paraId="52EFD81C">
            <w:pPr>
              <w:adjustRightInd w:val="0"/>
              <w:spacing w:line="360" w:lineRule="auto"/>
              <w:jc w:val="left"/>
              <w:rPr>
                <w:rFonts w:hint="eastAsia" w:eastAsia="宋体"/>
                <w:color w:val="auto"/>
                <w:kern w:val="0"/>
                <w:sz w:val="24"/>
                <w:szCs w:val="24"/>
                <w:lang w:eastAsia="zh-CN"/>
              </w:rPr>
            </w:pPr>
            <w:r>
              <w:rPr>
                <w:rFonts w:hint="eastAsia"/>
                <w:b/>
                <w:color w:val="auto"/>
                <w:kern w:val="0"/>
                <w:sz w:val="24"/>
                <w:szCs w:val="24"/>
              </w:rPr>
              <w:t>2.</w:t>
            </w:r>
            <w:r>
              <w:rPr>
                <w:rFonts w:hint="eastAsia"/>
                <w:b/>
                <w:color w:val="auto"/>
                <w:kern w:val="0"/>
                <w:sz w:val="24"/>
                <w:szCs w:val="24"/>
                <w:lang w:val="en-US" w:eastAsia="zh-CN"/>
              </w:rPr>
              <w:t>3</w:t>
            </w:r>
            <w:r>
              <w:rPr>
                <w:rFonts w:hint="eastAsia"/>
                <w:b/>
                <w:color w:val="auto"/>
                <w:kern w:val="0"/>
                <w:sz w:val="24"/>
                <w:szCs w:val="24"/>
              </w:rPr>
              <w:t>废水监测</w:t>
            </w:r>
            <w:r>
              <w:rPr>
                <w:rFonts w:hint="eastAsia"/>
                <w:b/>
                <w:color w:val="auto"/>
                <w:kern w:val="0"/>
                <w:sz w:val="24"/>
                <w:szCs w:val="24"/>
                <w:lang w:eastAsia="zh-CN"/>
              </w:rPr>
              <w:t>计划</w:t>
            </w:r>
          </w:p>
          <w:p w14:paraId="08A0190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left"/>
              <w:textAlignment w:val="auto"/>
              <w:rPr>
                <w:rFonts w:hint="eastAsia" w:cs="Times New Roman"/>
                <w:color w:val="auto"/>
                <w:sz w:val="24"/>
                <w:szCs w:val="24"/>
                <w:highlight w:val="none"/>
                <w:lang w:val="en-US" w:eastAsia="zh-CN"/>
              </w:rPr>
            </w:pPr>
            <w:r>
              <w:rPr>
                <w:rFonts w:hint="eastAsia"/>
                <w:color w:val="auto"/>
                <w:kern w:val="0"/>
                <w:sz w:val="24"/>
                <w:szCs w:val="24"/>
                <w:lang w:eastAsia="zh-CN"/>
              </w:rPr>
              <w:t>本</w:t>
            </w:r>
            <w:r>
              <w:rPr>
                <w:rFonts w:hint="eastAsia"/>
                <w:color w:val="auto"/>
                <w:kern w:val="0"/>
                <w:sz w:val="24"/>
                <w:szCs w:val="24"/>
              </w:rPr>
              <w:t>项目仅产生生活</w:t>
            </w:r>
            <w:r>
              <w:rPr>
                <w:rFonts w:hint="eastAsia"/>
                <w:color w:val="auto"/>
                <w:kern w:val="0"/>
                <w:sz w:val="24"/>
                <w:szCs w:val="24"/>
                <w:lang w:eastAsia="zh-CN"/>
              </w:rPr>
              <w:t>污水</w:t>
            </w:r>
            <w:r>
              <w:rPr>
                <w:rFonts w:hint="eastAsia"/>
                <w:color w:val="auto"/>
                <w:kern w:val="0"/>
                <w:sz w:val="24"/>
                <w:szCs w:val="24"/>
              </w:rPr>
              <w:t>，根据</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sz w:val="24"/>
                <w:szCs w:val="20"/>
                <w:lang w:val="en-US" w:eastAsia="zh-CN"/>
              </w:rPr>
              <w:t>排污单位自行监测技术指南</w:t>
            </w:r>
            <w:r>
              <w:rPr>
                <w:rFonts w:hint="default" w:ascii="Times New Roman" w:hAnsi="Times New Roman" w:eastAsia="宋体" w:cs="Times New Roman"/>
                <w:color w:val="auto"/>
                <w:kern w:val="0"/>
                <w:sz w:val="24"/>
                <w:szCs w:val="24"/>
                <w:lang w:val="en-US" w:eastAsia="zh-CN"/>
              </w:rPr>
              <w:t xml:space="preserve"> 橡胶和塑料制品</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lang w:val="en-US" w:eastAsia="zh-CN"/>
              </w:rPr>
              <w:t>HJ1207-2021</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w:t>
            </w:r>
            <w:r>
              <w:rPr>
                <w:rFonts w:hint="eastAsia" w:cs="Times New Roman"/>
                <w:color w:val="auto"/>
                <w:sz w:val="24"/>
                <w:szCs w:val="24"/>
                <w:highlight w:val="none"/>
                <w:lang w:val="en-US" w:eastAsia="zh-CN"/>
              </w:rPr>
              <w:t>无需进行监测。</w:t>
            </w:r>
          </w:p>
          <w:p w14:paraId="01EEC7C8">
            <w:pPr>
              <w:adjustRightInd w:val="0"/>
              <w:snapToGrid w:val="0"/>
              <w:spacing w:line="240" w:lineRule="auto"/>
              <w:jc w:val="left"/>
              <w:rPr>
                <w:rFonts w:hAnsi="宋体"/>
                <w:b/>
                <w:color w:val="auto"/>
                <w:kern w:val="0"/>
                <w:sz w:val="24"/>
                <w:szCs w:val="24"/>
              </w:rPr>
            </w:pPr>
            <w:r>
              <w:rPr>
                <w:rFonts w:hint="eastAsia" w:hAnsi="宋体"/>
                <w:b/>
                <w:color w:val="auto"/>
                <w:kern w:val="0"/>
                <w:sz w:val="24"/>
                <w:szCs w:val="24"/>
              </w:rPr>
              <w:t>3、噪声</w:t>
            </w:r>
          </w:p>
          <w:p w14:paraId="2B5BE1C8">
            <w:pPr>
              <w:tabs>
                <w:tab w:val="left" w:pos="900"/>
              </w:tabs>
              <w:spacing w:line="360" w:lineRule="auto"/>
              <w:jc w:val="left"/>
              <w:rPr>
                <w:b/>
                <w:color w:val="auto"/>
                <w:sz w:val="24"/>
                <w:szCs w:val="24"/>
              </w:rPr>
            </w:pPr>
            <w:r>
              <w:rPr>
                <w:rFonts w:hint="eastAsia"/>
                <w:b/>
                <w:color w:val="auto"/>
                <w:sz w:val="24"/>
                <w:szCs w:val="24"/>
              </w:rPr>
              <w:t>3.1噪声源强及降噪措施</w:t>
            </w:r>
          </w:p>
          <w:p w14:paraId="12338603">
            <w:pPr>
              <w:adjustRightInd w:val="0"/>
              <w:snapToGrid w:val="0"/>
              <w:spacing w:line="360" w:lineRule="auto"/>
              <w:ind w:firstLine="480" w:firstLineChars="200"/>
              <w:rPr>
                <w:rFonts w:hint="default" w:ascii="Times New Roman" w:hAnsi="Times New Roman" w:eastAsia="宋体" w:cs="Times New Roman"/>
                <w:b/>
                <w:smallCaps/>
                <w:color w:val="auto"/>
                <w:sz w:val="24"/>
                <w:lang w:eastAsia="zh-CN"/>
              </w:rPr>
            </w:pPr>
            <w:r>
              <w:rPr>
                <w:rFonts w:hint="default" w:ascii="Times New Roman" w:hAnsi="Times New Roman" w:eastAsia="宋体" w:cs="Times New Roman"/>
                <w:color w:val="auto"/>
                <w:sz w:val="24"/>
                <w:lang w:eastAsia="zh-CN"/>
              </w:rPr>
              <w:t>本项目噪声</w:t>
            </w:r>
            <w:r>
              <w:rPr>
                <w:color w:val="auto"/>
                <w:sz w:val="24"/>
              </w:rPr>
              <w:t>主要</w:t>
            </w:r>
            <w:r>
              <w:rPr>
                <w:rFonts w:hint="eastAsia"/>
                <w:color w:val="auto"/>
                <w:sz w:val="24"/>
              </w:rPr>
              <w:t>来自</w:t>
            </w:r>
            <w:r>
              <w:rPr>
                <w:color w:val="auto"/>
                <w:sz w:val="24"/>
              </w:rPr>
              <w:t>设备运行过程中产生的噪声，因此必须</w:t>
            </w:r>
            <w:r>
              <w:rPr>
                <w:rFonts w:hint="default" w:ascii="Times New Roman" w:hAnsi="Times New Roman" w:eastAsia="宋体" w:cs="Times New Roman"/>
                <w:color w:val="auto"/>
                <w:sz w:val="24"/>
              </w:rPr>
              <w:t>厂房布局、隔声、减振、降噪、设备维护等方面考虑噪声防治措施。具体噪声源见下表</w:t>
            </w:r>
            <w:r>
              <w:rPr>
                <w:rFonts w:hint="default" w:ascii="Times New Roman" w:hAnsi="Times New Roman" w:eastAsia="宋体" w:cs="Times New Roman"/>
                <w:color w:val="auto"/>
                <w:sz w:val="24"/>
                <w:lang w:eastAsia="zh-CN"/>
              </w:rPr>
              <w:t>：</w:t>
            </w:r>
          </w:p>
          <w:p w14:paraId="1FA7C877">
            <w:pPr>
              <w:keepNext w:val="0"/>
              <w:keepLines w:val="0"/>
              <w:pageBreakBefore w:val="0"/>
              <w:widowControl w:val="0"/>
              <w:tabs>
                <w:tab w:val="left" w:pos="2334"/>
                <w:tab w:val="center" w:pos="484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smallCaps/>
                <w:color w:val="auto"/>
                <w:sz w:val="21"/>
                <w:szCs w:val="21"/>
              </w:rPr>
              <w:t>表</w:t>
            </w: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 xml:space="preserve">11 </w:t>
            </w:r>
            <w:r>
              <w:rPr>
                <w:rFonts w:hint="default" w:ascii="Times New Roman" w:hAnsi="Times New Roman" w:eastAsia="宋体" w:cs="Times New Roman"/>
                <w:b/>
                <w:smallCaps/>
                <w:color w:val="auto"/>
                <w:sz w:val="21"/>
                <w:szCs w:val="21"/>
              </w:rPr>
              <w:t xml:space="preserve"> </w:t>
            </w:r>
            <w:r>
              <w:rPr>
                <w:rFonts w:hint="default" w:ascii="Times New Roman" w:hAnsi="Times New Roman" w:eastAsia="宋体" w:cs="Times New Roman"/>
                <w:b/>
                <w:smallCaps/>
                <w:color w:val="auto"/>
                <w:sz w:val="21"/>
                <w:szCs w:val="21"/>
                <w:lang w:eastAsia="zh-CN"/>
              </w:rPr>
              <w:t>项</w:t>
            </w:r>
            <w:r>
              <w:rPr>
                <w:rFonts w:hint="default" w:ascii="Times New Roman" w:hAnsi="Times New Roman" w:eastAsia="宋体" w:cs="Times New Roman"/>
                <w:b/>
                <w:smallCaps/>
                <w:color w:val="auto"/>
                <w:sz w:val="21"/>
                <w:szCs w:val="21"/>
              </w:rPr>
              <w:t>目</w:t>
            </w:r>
            <w:r>
              <w:rPr>
                <w:rFonts w:hint="default" w:ascii="Times New Roman" w:hAnsi="Times New Roman" w:eastAsia="宋体" w:cs="Times New Roman"/>
                <w:b/>
                <w:bCs/>
                <w:color w:val="auto"/>
                <w:sz w:val="21"/>
                <w:szCs w:val="21"/>
              </w:rPr>
              <w:t>噪声源调查清单（室内声源）</w:t>
            </w:r>
          </w:p>
          <w:tbl>
            <w:tblPr>
              <w:tblStyle w:val="29"/>
              <w:tblW w:w="8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565"/>
              <w:gridCol w:w="662"/>
              <w:gridCol w:w="783"/>
              <w:gridCol w:w="825"/>
              <w:gridCol w:w="540"/>
              <w:gridCol w:w="627"/>
              <w:gridCol w:w="345"/>
              <w:gridCol w:w="675"/>
              <w:gridCol w:w="705"/>
              <w:gridCol w:w="645"/>
              <w:gridCol w:w="765"/>
              <w:gridCol w:w="720"/>
              <w:gridCol w:w="636"/>
            </w:tblGrid>
            <w:tr w14:paraId="34C6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vMerge w:val="restart"/>
                  <w:noWrap w:val="0"/>
                  <w:vAlign w:val="center"/>
                </w:tcPr>
                <w:p w14:paraId="46F6137D">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565" w:type="dxa"/>
                  <w:vMerge w:val="restart"/>
                  <w:noWrap w:val="0"/>
                  <w:vAlign w:val="center"/>
                </w:tcPr>
                <w:p w14:paraId="27260170">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建筑物名称</w:t>
                  </w:r>
                </w:p>
              </w:tc>
              <w:tc>
                <w:tcPr>
                  <w:tcW w:w="662" w:type="dxa"/>
                  <w:vMerge w:val="restart"/>
                  <w:noWrap w:val="0"/>
                  <w:vAlign w:val="center"/>
                </w:tcPr>
                <w:p w14:paraId="4A84886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声源名称</w:t>
                  </w:r>
                </w:p>
              </w:tc>
              <w:tc>
                <w:tcPr>
                  <w:tcW w:w="783" w:type="dxa"/>
                  <w:noWrap w:val="0"/>
                  <w:vAlign w:val="center"/>
                </w:tcPr>
                <w:p w14:paraId="7EBF0216">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声源源强</w:t>
                  </w:r>
                </w:p>
              </w:tc>
              <w:tc>
                <w:tcPr>
                  <w:tcW w:w="825" w:type="dxa"/>
                  <w:vMerge w:val="restart"/>
                  <w:noWrap w:val="0"/>
                  <w:vAlign w:val="center"/>
                </w:tcPr>
                <w:p w14:paraId="42ADC0F1">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声源控制措施</w:t>
                  </w:r>
                </w:p>
              </w:tc>
              <w:tc>
                <w:tcPr>
                  <w:tcW w:w="1512" w:type="dxa"/>
                  <w:gridSpan w:val="3"/>
                  <w:noWrap w:val="0"/>
                  <w:vAlign w:val="center"/>
                </w:tcPr>
                <w:p w14:paraId="0D87C0C4">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空间相对位置/m</w:t>
                  </w:r>
                </w:p>
              </w:tc>
              <w:tc>
                <w:tcPr>
                  <w:tcW w:w="675" w:type="dxa"/>
                  <w:vMerge w:val="restart"/>
                  <w:noWrap w:val="0"/>
                  <w:vAlign w:val="center"/>
                </w:tcPr>
                <w:p w14:paraId="4BDE6E19">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距室内边界距离/m</w:t>
                  </w:r>
                </w:p>
              </w:tc>
              <w:tc>
                <w:tcPr>
                  <w:tcW w:w="705" w:type="dxa"/>
                  <w:vMerge w:val="restart"/>
                  <w:noWrap w:val="0"/>
                  <w:vAlign w:val="center"/>
                </w:tcPr>
                <w:p w14:paraId="1B518136">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室内边界声级/dB（A）</w:t>
                  </w:r>
                </w:p>
              </w:tc>
              <w:tc>
                <w:tcPr>
                  <w:tcW w:w="645" w:type="dxa"/>
                  <w:vMerge w:val="restart"/>
                  <w:noWrap w:val="0"/>
                  <w:vAlign w:val="center"/>
                </w:tcPr>
                <w:p w14:paraId="59B6F90A">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运行时段</w:t>
                  </w:r>
                </w:p>
              </w:tc>
              <w:tc>
                <w:tcPr>
                  <w:tcW w:w="765" w:type="dxa"/>
                  <w:vMerge w:val="restart"/>
                  <w:noWrap w:val="0"/>
                  <w:vAlign w:val="center"/>
                </w:tcPr>
                <w:p w14:paraId="6358291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建筑物插入损失/dB（A）</w:t>
                  </w:r>
                </w:p>
              </w:tc>
              <w:tc>
                <w:tcPr>
                  <w:tcW w:w="1356" w:type="dxa"/>
                  <w:gridSpan w:val="2"/>
                  <w:noWrap w:val="0"/>
                  <w:vAlign w:val="center"/>
                </w:tcPr>
                <w:p w14:paraId="7EB77A1C">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建筑物外噪声</w:t>
                  </w:r>
                </w:p>
              </w:tc>
            </w:tr>
            <w:tr w14:paraId="12DF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401" w:type="dxa"/>
                  <w:vMerge w:val="continue"/>
                  <w:noWrap w:val="0"/>
                  <w:vAlign w:val="center"/>
                </w:tcPr>
                <w:p w14:paraId="1D40FEA5">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565" w:type="dxa"/>
                  <w:vMerge w:val="continue"/>
                  <w:noWrap w:val="0"/>
                  <w:vAlign w:val="center"/>
                </w:tcPr>
                <w:p w14:paraId="44E50A5C">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662" w:type="dxa"/>
                  <w:vMerge w:val="continue"/>
                  <w:noWrap w:val="0"/>
                  <w:vAlign w:val="center"/>
                </w:tcPr>
                <w:p w14:paraId="5CC262DB">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783" w:type="dxa"/>
                  <w:noWrap w:val="0"/>
                  <w:vAlign w:val="center"/>
                </w:tcPr>
                <w:p w14:paraId="157B7D31">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声功率级/dB（A）</w:t>
                  </w:r>
                </w:p>
              </w:tc>
              <w:tc>
                <w:tcPr>
                  <w:tcW w:w="825" w:type="dxa"/>
                  <w:vMerge w:val="continue"/>
                  <w:noWrap w:val="0"/>
                  <w:vAlign w:val="center"/>
                </w:tcPr>
                <w:p w14:paraId="40085D70">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540" w:type="dxa"/>
                  <w:noWrap w:val="0"/>
                  <w:vAlign w:val="center"/>
                </w:tcPr>
                <w:p w14:paraId="21600B6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627" w:type="dxa"/>
                  <w:noWrap w:val="0"/>
                  <w:vAlign w:val="center"/>
                </w:tcPr>
                <w:p w14:paraId="0D9A6F06">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345" w:type="dxa"/>
                  <w:noWrap w:val="0"/>
                  <w:vAlign w:val="center"/>
                </w:tcPr>
                <w:p w14:paraId="6D93332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675" w:type="dxa"/>
                  <w:vMerge w:val="continue"/>
                  <w:noWrap w:val="0"/>
                  <w:vAlign w:val="center"/>
                </w:tcPr>
                <w:p w14:paraId="340786CB">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705" w:type="dxa"/>
                  <w:vMerge w:val="continue"/>
                  <w:noWrap w:val="0"/>
                  <w:vAlign w:val="center"/>
                </w:tcPr>
                <w:p w14:paraId="47BFA5DB">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645" w:type="dxa"/>
                  <w:vMerge w:val="continue"/>
                  <w:noWrap w:val="0"/>
                  <w:vAlign w:val="center"/>
                </w:tcPr>
                <w:p w14:paraId="517E607C">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765" w:type="dxa"/>
                  <w:vMerge w:val="continue"/>
                  <w:noWrap w:val="0"/>
                  <w:vAlign w:val="center"/>
                </w:tcPr>
                <w:p w14:paraId="6316399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p>
              </w:tc>
              <w:tc>
                <w:tcPr>
                  <w:tcW w:w="720" w:type="dxa"/>
                  <w:noWrap w:val="0"/>
                  <w:vAlign w:val="center"/>
                </w:tcPr>
                <w:p w14:paraId="7642317E">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声压级/dB（A）</w:t>
                  </w:r>
                </w:p>
              </w:tc>
              <w:tc>
                <w:tcPr>
                  <w:tcW w:w="636" w:type="dxa"/>
                  <w:noWrap w:val="0"/>
                  <w:vAlign w:val="center"/>
                </w:tcPr>
                <w:p w14:paraId="5A0451FE">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w:t>
                  </w:r>
                </w:p>
              </w:tc>
            </w:tr>
            <w:tr w14:paraId="22A7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497CC5C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5" w:type="dxa"/>
                  <w:vMerge w:val="restart"/>
                  <w:noWrap w:val="0"/>
                  <w:vAlign w:val="center"/>
                </w:tcPr>
                <w:p w14:paraId="3635BD5B">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生产车间</w:t>
                  </w:r>
                </w:p>
              </w:tc>
              <w:tc>
                <w:tcPr>
                  <w:tcW w:w="662" w:type="dxa"/>
                  <w:noWrap w:val="0"/>
                  <w:vAlign w:val="center"/>
                </w:tcPr>
                <w:p w14:paraId="417C7957">
                  <w:pPr>
                    <w:spacing w:line="240" w:lineRule="auto"/>
                    <w:jc w:val="center"/>
                    <w:rPr>
                      <w:rFonts w:hint="default" w:ascii="Times New Roman" w:hAnsi="Times New Roman" w:eastAsia="宋体" w:cs="Times New Roman"/>
                      <w:color w:val="auto"/>
                      <w:sz w:val="21"/>
                      <w:szCs w:val="21"/>
                      <w:lang w:val="en-US" w:eastAsia="zh-CN"/>
                    </w:rPr>
                  </w:pPr>
                  <w:r>
                    <w:rPr>
                      <w:rFonts w:hint="eastAsia"/>
                      <w:b w:val="0"/>
                      <w:bCs w:val="0"/>
                      <w:color w:val="auto"/>
                      <w:lang w:val="en-US" w:eastAsia="zh-CN"/>
                    </w:rPr>
                    <w:t>挤出机</w:t>
                  </w:r>
                </w:p>
              </w:tc>
              <w:tc>
                <w:tcPr>
                  <w:tcW w:w="783" w:type="dxa"/>
                  <w:noWrap w:val="0"/>
                  <w:vAlign w:val="center"/>
                </w:tcPr>
                <w:p w14:paraId="579481D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b w:val="0"/>
                      <w:bCs/>
                      <w:snapToGrid w:val="0"/>
                      <w:color w:val="auto"/>
                      <w:kern w:val="0"/>
                      <w:sz w:val="21"/>
                      <w:szCs w:val="21"/>
                      <w:highlight w:val="none"/>
                      <w:lang w:val="en-US" w:eastAsia="zh-CN"/>
                    </w:rPr>
                    <w:t>85</w:t>
                  </w:r>
                </w:p>
              </w:tc>
              <w:tc>
                <w:tcPr>
                  <w:tcW w:w="825" w:type="dxa"/>
                  <w:vMerge w:val="restart"/>
                  <w:noWrap w:val="0"/>
                  <w:vAlign w:val="center"/>
                </w:tcPr>
                <w:p w14:paraId="6A3E01C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厂房隔声、基础</w:t>
                  </w:r>
                  <w:r>
                    <w:rPr>
                      <w:rFonts w:hint="default" w:ascii="Times New Roman" w:hAnsi="Times New Roman" w:eastAsia="宋体" w:cs="Times New Roman"/>
                      <w:color w:val="auto"/>
                      <w:sz w:val="21"/>
                      <w:szCs w:val="21"/>
                    </w:rPr>
                    <w:t>减震</w:t>
                  </w:r>
                  <w:r>
                    <w:rPr>
                      <w:rFonts w:hint="eastAsia" w:ascii="Times New Roman" w:hAnsi="Times New Roman" w:eastAsia="宋体" w:cs="Times New Roman"/>
                      <w:color w:val="auto"/>
                      <w:sz w:val="21"/>
                      <w:szCs w:val="21"/>
                      <w:lang w:eastAsia="zh-CN"/>
                    </w:rPr>
                    <w:t>、消声</w:t>
                  </w:r>
                  <w:r>
                    <w:rPr>
                      <w:rFonts w:hint="default" w:ascii="Times New Roman" w:hAnsi="Times New Roman" w:eastAsia="宋体" w:cs="Times New Roman"/>
                      <w:color w:val="auto"/>
                      <w:sz w:val="21"/>
                      <w:szCs w:val="21"/>
                      <w:lang w:eastAsia="zh-CN"/>
                    </w:rPr>
                    <w:t>等</w:t>
                  </w:r>
                </w:p>
              </w:tc>
              <w:tc>
                <w:tcPr>
                  <w:tcW w:w="540" w:type="dxa"/>
                  <w:noWrap w:val="0"/>
                  <w:vAlign w:val="center"/>
                </w:tcPr>
                <w:p w14:paraId="3718F632">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highlight w:val="red"/>
                      <w:lang w:val="en-US" w:eastAsia="zh-CN"/>
                    </w:rPr>
                  </w:pPr>
                  <w:r>
                    <w:rPr>
                      <w:rFonts w:hint="eastAsia" w:eastAsia="宋体" w:cs="Times New Roman"/>
                      <w:color w:val="auto"/>
                      <w:sz w:val="21"/>
                      <w:szCs w:val="21"/>
                      <w:lang w:val="en-US" w:eastAsia="zh-CN"/>
                    </w:rPr>
                    <w:t>26</w:t>
                  </w:r>
                </w:p>
              </w:tc>
              <w:tc>
                <w:tcPr>
                  <w:tcW w:w="627" w:type="dxa"/>
                  <w:noWrap w:val="0"/>
                  <w:vAlign w:val="center"/>
                </w:tcPr>
                <w:p w14:paraId="47293685">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highlight w:val="red"/>
                      <w:lang w:val="en-US" w:eastAsia="zh-CN"/>
                    </w:rPr>
                  </w:pPr>
                  <w:r>
                    <w:rPr>
                      <w:rFonts w:hint="eastAsia" w:eastAsia="宋体" w:cs="Times New Roman"/>
                      <w:color w:val="auto"/>
                      <w:sz w:val="21"/>
                      <w:szCs w:val="21"/>
                      <w:lang w:val="en-US" w:eastAsia="zh-CN"/>
                    </w:rPr>
                    <w:t>70</w:t>
                  </w:r>
                </w:p>
              </w:tc>
              <w:tc>
                <w:tcPr>
                  <w:tcW w:w="345" w:type="dxa"/>
                  <w:noWrap w:val="0"/>
                  <w:vAlign w:val="center"/>
                </w:tcPr>
                <w:p w14:paraId="66AF223F">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5" w:type="dxa"/>
                  <w:noWrap w:val="0"/>
                  <w:vAlign w:val="center"/>
                </w:tcPr>
                <w:p w14:paraId="0C75C64A">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w:t>
                  </w:r>
                </w:p>
              </w:tc>
              <w:tc>
                <w:tcPr>
                  <w:tcW w:w="705" w:type="dxa"/>
                  <w:noWrap w:val="0"/>
                  <w:vAlign w:val="center"/>
                </w:tcPr>
                <w:p w14:paraId="35F8013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5</w:t>
                  </w:r>
                </w:p>
              </w:tc>
              <w:tc>
                <w:tcPr>
                  <w:tcW w:w="645" w:type="dxa"/>
                  <w:vMerge w:val="restart"/>
                  <w:noWrap w:val="0"/>
                  <w:vAlign w:val="center"/>
                </w:tcPr>
                <w:p w14:paraId="5CEAFB62">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24</w:t>
                  </w:r>
                  <w:r>
                    <w:rPr>
                      <w:rFonts w:hint="default" w:ascii="Times New Roman" w:hAnsi="Times New Roman" w:eastAsia="宋体" w:cs="Times New Roman"/>
                      <w:color w:val="auto"/>
                      <w:sz w:val="21"/>
                      <w:szCs w:val="21"/>
                    </w:rPr>
                    <w:t>h/d</w:t>
                  </w:r>
                </w:p>
              </w:tc>
              <w:tc>
                <w:tcPr>
                  <w:tcW w:w="765" w:type="dxa"/>
                  <w:noWrap w:val="0"/>
                  <w:vAlign w:val="center"/>
                </w:tcPr>
                <w:p w14:paraId="74EBB463">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5278FD1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636" w:type="dxa"/>
                  <w:noWrap w:val="0"/>
                  <w:vAlign w:val="center"/>
                </w:tcPr>
                <w:p w14:paraId="76252891">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63B3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5B00B2DD">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p>
              </w:tc>
              <w:tc>
                <w:tcPr>
                  <w:tcW w:w="565" w:type="dxa"/>
                  <w:vMerge w:val="continue"/>
                  <w:noWrap w:val="0"/>
                  <w:vAlign w:val="center"/>
                </w:tcPr>
                <w:p w14:paraId="13EA77F8">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eastAsia="宋体" w:cs="Times New Roman"/>
                      <w:color w:val="auto"/>
                      <w:sz w:val="21"/>
                      <w:szCs w:val="21"/>
                      <w:lang w:val="en-US" w:eastAsia="zh-CN"/>
                    </w:rPr>
                  </w:pPr>
                </w:p>
              </w:tc>
              <w:tc>
                <w:tcPr>
                  <w:tcW w:w="662" w:type="dxa"/>
                  <w:noWrap w:val="0"/>
                  <w:vAlign w:val="center"/>
                </w:tcPr>
                <w:p w14:paraId="29C6403C">
                  <w:pPr>
                    <w:spacing w:line="240" w:lineRule="auto"/>
                    <w:jc w:val="center"/>
                    <w:rPr>
                      <w:rFonts w:hint="eastAsia" w:cs="Times New Roman"/>
                      <w:b w:val="0"/>
                      <w:bCs w:val="0"/>
                      <w:color w:val="auto"/>
                      <w:kern w:val="0"/>
                      <w:sz w:val="21"/>
                      <w:szCs w:val="21"/>
                      <w:lang w:val="en-US" w:eastAsia="zh-CN" w:bidi="ar"/>
                    </w:rPr>
                  </w:pPr>
                  <w:r>
                    <w:rPr>
                      <w:rFonts w:hint="eastAsia"/>
                      <w:b w:val="0"/>
                      <w:bCs w:val="0"/>
                      <w:color w:val="auto"/>
                      <w:lang w:val="en-US" w:eastAsia="zh-CN"/>
                    </w:rPr>
                    <w:t>注塑机</w:t>
                  </w:r>
                </w:p>
              </w:tc>
              <w:tc>
                <w:tcPr>
                  <w:tcW w:w="783" w:type="dxa"/>
                  <w:noWrap w:val="0"/>
                  <w:vAlign w:val="center"/>
                </w:tcPr>
                <w:p w14:paraId="12BF252D">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85</w:t>
                  </w:r>
                </w:p>
              </w:tc>
              <w:tc>
                <w:tcPr>
                  <w:tcW w:w="825" w:type="dxa"/>
                  <w:vMerge w:val="continue"/>
                  <w:noWrap w:val="0"/>
                  <w:vAlign w:val="center"/>
                </w:tcPr>
                <w:p w14:paraId="48D67886">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528BE23B">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26</w:t>
                  </w:r>
                </w:p>
              </w:tc>
              <w:tc>
                <w:tcPr>
                  <w:tcW w:w="627" w:type="dxa"/>
                  <w:noWrap w:val="0"/>
                  <w:vAlign w:val="center"/>
                </w:tcPr>
                <w:p w14:paraId="704847ED">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110</w:t>
                  </w:r>
                </w:p>
              </w:tc>
              <w:tc>
                <w:tcPr>
                  <w:tcW w:w="345" w:type="dxa"/>
                  <w:noWrap w:val="0"/>
                  <w:vAlign w:val="center"/>
                </w:tcPr>
                <w:p w14:paraId="560E21A5">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75" w:type="dxa"/>
                  <w:noWrap w:val="0"/>
                  <w:vAlign w:val="center"/>
                </w:tcPr>
                <w:p w14:paraId="33B75FB2">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w:t>
                  </w:r>
                </w:p>
              </w:tc>
              <w:tc>
                <w:tcPr>
                  <w:tcW w:w="705" w:type="dxa"/>
                  <w:noWrap w:val="0"/>
                  <w:vAlign w:val="center"/>
                </w:tcPr>
                <w:p w14:paraId="2E2D6BE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65</w:t>
                  </w:r>
                </w:p>
              </w:tc>
              <w:tc>
                <w:tcPr>
                  <w:tcW w:w="645" w:type="dxa"/>
                  <w:vMerge w:val="continue"/>
                  <w:noWrap w:val="0"/>
                  <w:vAlign w:val="center"/>
                </w:tcPr>
                <w:p w14:paraId="1564A707">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eastAsia="宋体" w:cs="Times New Roman"/>
                      <w:color w:val="auto"/>
                      <w:sz w:val="21"/>
                      <w:szCs w:val="21"/>
                      <w:lang w:val="en-US" w:eastAsia="zh-CN"/>
                    </w:rPr>
                  </w:pPr>
                </w:p>
              </w:tc>
              <w:tc>
                <w:tcPr>
                  <w:tcW w:w="765" w:type="dxa"/>
                  <w:noWrap w:val="0"/>
                  <w:vAlign w:val="center"/>
                </w:tcPr>
                <w:p w14:paraId="00882DC6">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412CB80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636" w:type="dxa"/>
                  <w:noWrap w:val="0"/>
                  <w:vAlign w:val="center"/>
                </w:tcPr>
                <w:p w14:paraId="5DDDBD1D">
                  <w:pPr>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6B2F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01920087">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p>
              </w:tc>
              <w:tc>
                <w:tcPr>
                  <w:tcW w:w="565" w:type="dxa"/>
                  <w:vMerge w:val="continue"/>
                  <w:noWrap w:val="0"/>
                  <w:vAlign w:val="center"/>
                </w:tcPr>
                <w:p w14:paraId="3E628715">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eastAsia="宋体" w:cs="Times New Roman"/>
                      <w:color w:val="auto"/>
                      <w:sz w:val="21"/>
                      <w:szCs w:val="21"/>
                      <w:lang w:val="en-US" w:eastAsia="zh-CN"/>
                    </w:rPr>
                  </w:pPr>
                </w:p>
              </w:tc>
              <w:tc>
                <w:tcPr>
                  <w:tcW w:w="662" w:type="dxa"/>
                  <w:noWrap w:val="0"/>
                  <w:vAlign w:val="center"/>
                </w:tcPr>
                <w:p w14:paraId="26BB66E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kern w:val="0"/>
                      <w:sz w:val="21"/>
                      <w:szCs w:val="21"/>
                      <w:lang w:val="en-US" w:eastAsia="zh-CN" w:bidi="ar"/>
                    </w:rPr>
                  </w:pPr>
                  <w:r>
                    <w:rPr>
                      <w:rFonts w:hint="eastAsia"/>
                      <w:b w:val="0"/>
                      <w:bCs/>
                      <w:color w:val="auto"/>
                    </w:rPr>
                    <w:t>粉碎机</w:t>
                  </w:r>
                </w:p>
              </w:tc>
              <w:tc>
                <w:tcPr>
                  <w:tcW w:w="783" w:type="dxa"/>
                  <w:noWrap w:val="0"/>
                  <w:vAlign w:val="center"/>
                </w:tcPr>
                <w:p w14:paraId="2C7CAD0B">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90</w:t>
                  </w:r>
                </w:p>
              </w:tc>
              <w:tc>
                <w:tcPr>
                  <w:tcW w:w="825" w:type="dxa"/>
                  <w:vMerge w:val="continue"/>
                  <w:noWrap w:val="0"/>
                  <w:vAlign w:val="center"/>
                </w:tcPr>
                <w:p w14:paraId="3723A309">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406F9BBC">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31</w:t>
                  </w:r>
                </w:p>
              </w:tc>
              <w:tc>
                <w:tcPr>
                  <w:tcW w:w="627" w:type="dxa"/>
                  <w:noWrap w:val="0"/>
                  <w:vAlign w:val="center"/>
                </w:tcPr>
                <w:p w14:paraId="1993859C">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45</w:t>
                  </w:r>
                </w:p>
              </w:tc>
              <w:tc>
                <w:tcPr>
                  <w:tcW w:w="345" w:type="dxa"/>
                  <w:noWrap w:val="0"/>
                  <w:vAlign w:val="center"/>
                </w:tcPr>
                <w:p w14:paraId="2FA1CB36">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75" w:type="dxa"/>
                  <w:noWrap w:val="0"/>
                  <w:vAlign w:val="center"/>
                </w:tcPr>
                <w:p w14:paraId="10846F21">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25</w:t>
                  </w:r>
                </w:p>
              </w:tc>
              <w:tc>
                <w:tcPr>
                  <w:tcW w:w="705" w:type="dxa"/>
                  <w:noWrap w:val="0"/>
                  <w:vAlign w:val="center"/>
                </w:tcPr>
                <w:p w14:paraId="6A8D81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70</w:t>
                  </w:r>
                </w:p>
              </w:tc>
              <w:tc>
                <w:tcPr>
                  <w:tcW w:w="645" w:type="dxa"/>
                  <w:vMerge w:val="continue"/>
                  <w:noWrap w:val="0"/>
                  <w:vAlign w:val="center"/>
                </w:tcPr>
                <w:p w14:paraId="2E65F3B5">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eastAsia="宋体" w:cs="Times New Roman"/>
                      <w:color w:val="auto"/>
                      <w:sz w:val="21"/>
                      <w:szCs w:val="21"/>
                      <w:lang w:val="en-US" w:eastAsia="zh-CN"/>
                    </w:rPr>
                  </w:pPr>
                </w:p>
              </w:tc>
              <w:tc>
                <w:tcPr>
                  <w:tcW w:w="765" w:type="dxa"/>
                  <w:noWrap w:val="0"/>
                  <w:vAlign w:val="center"/>
                </w:tcPr>
                <w:p w14:paraId="31C276F7">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746425D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55</w:t>
                  </w:r>
                </w:p>
              </w:tc>
              <w:tc>
                <w:tcPr>
                  <w:tcW w:w="636" w:type="dxa"/>
                  <w:noWrap w:val="0"/>
                  <w:vAlign w:val="center"/>
                </w:tcPr>
                <w:p w14:paraId="5937D607">
                  <w:pPr>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46CF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5521BD8B">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w:t>
                  </w:r>
                </w:p>
              </w:tc>
              <w:tc>
                <w:tcPr>
                  <w:tcW w:w="565" w:type="dxa"/>
                  <w:vMerge w:val="continue"/>
                  <w:noWrap w:val="0"/>
                  <w:vAlign w:val="center"/>
                </w:tcPr>
                <w:p w14:paraId="4A15D259">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eastAsia="宋体" w:cs="Times New Roman"/>
                      <w:color w:val="auto"/>
                      <w:sz w:val="21"/>
                      <w:szCs w:val="21"/>
                      <w:lang w:val="en-US" w:eastAsia="zh-CN"/>
                    </w:rPr>
                  </w:pPr>
                </w:p>
              </w:tc>
              <w:tc>
                <w:tcPr>
                  <w:tcW w:w="662" w:type="dxa"/>
                  <w:noWrap w:val="0"/>
                  <w:vAlign w:val="center"/>
                </w:tcPr>
                <w:p w14:paraId="58B1549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kern w:val="0"/>
                      <w:sz w:val="21"/>
                      <w:szCs w:val="21"/>
                      <w:lang w:val="en-US" w:eastAsia="zh-CN" w:bidi="ar"/>
                    </w:rPr>
                  </w:pPr>
                  <w:r>
                    <w:rPr>
                      <w:rFonts w:hint="eastAsia"/>
                      <w:b w:val="0"/>
                      <w:bCs/>
                      <w:color w:val="auto"/>
                    </w:rPr>
                    <w:t>接板机</w:t>
                  </w:r>
                </w:p>
              </w:tc>
              <w:tc>
                <w:tcPr>
                  <w:tcW w:w="783" w:type="dxa"/>
                  <w:noWrap w:val="0"/>
                  <w:vAlign w:val="center"/>
                </w:tcPr>
                <w:p w14:paraId="7A2DB970">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85</w:t>
                  </w:r>
                </w:p>
              </w:tc>
              <w:tc>
                <w:tcPr>
                  <w:tcW w:w="825" w:type="dxa"/>
                  <w:vMerge w:val="continue"/>
                  <w:noWrap w:val="0"/>
                  <w:vAlign w:val="center"/>
                </w:tcPr>
                <w:p w14:paraId="4035380B">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61DF6551">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75</w:t>
                  </w:r>
                </w:p>
              </w:tc>
              <w:tc>
                <w:tcPr>
                  <w:tcW w:w="627" w:type="dxa"/>
                  <w:noWrap w:val="0"/>
                  <w:vAlign w:val="center"/>
                </w:tcPr>
                <w:p w14:paraId="21564BB5">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67</w:t>
                  </w:r>
                </w:p>
              </w:tc>
              <w:tc>
                <w:tcPr>
                  <w:tcW w:w="345" w:type="dxa"/>
                  <w:noWrap w:val="0"/>
                  <w:vAlign w:val="center"/>
                </w:tcPr>
                <w:p w14:paraId="03DCBD76">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75" w:type="dxa"/>
                  <w:noWrap w:val="0"/>
                  <w:vAlign w:val="center"/>
                </w:tcPr>
                <w:p w14:paraId="6AA3BA94">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53</w:t>
                  </w:r>
                </w:p>
              </w:tc>
              <w:tc>
                <w:tcPr>
                  <w:tcW w:w="705" w:type="dxa"/>
                  <w:noWrap w:val="0"/>
                  <w:vAlign w:val="center"/>
                </w:tcPr>
                <w:p w14:paraId="32FC04E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55</w:t>
                  </w:r>
                </w:p>
              </w:tc>
              <w:tc>
                <w:tcPr>
                  <w:tcW w:w="645" w:type="dxa"/>
                  <w:vMerge w:val="continue"/>
                  <w:noWrap w:val="0"/>
                  <w:vAlign w:val="center"/>
                </w:tcPr>
                <w:p w14:paraId="7D313A52">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eastAsia="宋体" w:cs="Times New Roman"/>
                      <w:color w:val="auto"/>
                      <w:sz w:val="21"/>
                      <w:szCs w:val="21"/>
                      <w:lang w:val="en-US" w:eastAsia="zh-CN"/>
                    </w:rPr>
                  </w:pPr>
                </w:p>
              </w:tc>
              <w:tc>
                <w:tcPr>
                  <w:tcW w:w="765" w:type="dxa"/>
                  <w:noWrap w:val="0"/>
                  <w:vAlign w:val="center"/>
                </w:tcPr>
                <w:p w14:paraId="6C9C389D">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598C6C7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636" w:type="dxa"/>
                  <w:noWrap w:val="0"/>
                  <w:vAlign w:val="center"/>
                </w:tcPr>
                <w:p w14:paraId="4CD5D9E9">
                  <w:pPr>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2FC9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2C4BFD91">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w:t>
                  </w:r>
                </w:p>
              </w:tc>
              <w:tc>
                <w:tcPr>
                  <w:tcW w:w="565" w:type="dxa"/>
                  <w:vMerge w:val="continue"/>
                  <w:noWrap w:val="0"/>
                  <w:vAlign w:val="center"/>
                </w:tcPr>
                <w:p w14:paraId="25D43C5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eastAsia="宋体" w:cs="Times New Roman"/>
                      <w:color w:val="auto"/>
                      <w:sz w:val="21"/>
                      <w:szCs w:val="21"/>
                      <w:lang w:val="en-US" w:eastAsia="zh-CN"/>
                    </w:rPr>
                  </w:pPr>
                </w:p>
              </w:tc>
              <w:tc>
                <w:tcPr>
                  <w:tcW w:w="662" w:type="dxa"/>
                  <w:noWrap w:val="0"/>
                  <w:vAlign w:val="center"/>
                </w:tcPr>
                <w:p w14:paraId="66B5ACB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kern w:val="0"/>
                      <w:sz w:val="21"/>
                      <w:szCs w:val="21"/>
                      <w:lang w:val="en-US" w:eastAsia="zh-CN" w:bidi="ar"/>
                    </w:rPr>
                  </w:pPr>
                  <w:r>
                    <w:rPr>
                      <w:rFonts w:hint="eastAsia"/>
                      <w:b w:val="0"/>
                      <w:bCs/>
                      <w:color w:val="auto"/>
                    </w:rPr>
                    <w:t>折板机</w:t>
                  </w:r>
                </w:p>
              </w:tc>
              <w:tc>
                <w:tcPr>
                  <w:tcW w:w="783" w:type="dxa"/>
                  <w:noWrap w:val="0"/>
                  <w:vAlign w:val="center"/>
                </w:tcPr>
                <w:p w14:paraId="22B1FF29">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85</w:t>
                  </w:r>
                </w:p>
              </w:tc>
              <w:tc>
                <w:tcPr>
                  <w:tcW w:w="825" w:type="dxa"/>
                  <w:vMerge w:val="continue"/>
                  <w:noWrap w:val="0"/>
                  <w:vAlign w:val="center"/>
                </w:tcPr>
                <w:p w14:paraId="08B4D9DD">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12A79E89">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78</w:t>
                  </w:r>
                </w:p>
              </w:tc>
              <w:tc>
                <w:tcPr>
                  <w:tcW w:w="627" w:type="dxa"/>
                  <w:noWrap w:val="0"/>
                  <w:vAlign w:val="center"/>
                </w:tcPr>
                <w:p w14:paraId="34804136">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67</w:t>
                  </w:r>
                </w:p>
              </w:tc>
              <w:tc>
                <w:tcPr>
                  <w:tcW w:w="345" w:type="dxa"/>
                  <w:noWrap w:val="0"/>
                  <w:vAlign w:val="center"/>
                </w:tcPr>
                <w:p w14:paraId="56A36F61">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75" w:type="dxa"/>
                  <w:noWrap w:val="0"/>
                  <w:vAlign w:val="center"/>
                </w:tcPr>
                <w:p w14:paraId="66B11772">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53</w:t>
                  </w:r>
                </w:p>
              </w:tc>
              <w:tc>
                <w:tcPr>
                  <w:tcW w:w="705" w:type="dxa"/>
                  <w:noWrap w:val="0"/>
                  <w:vAlign w:val="center"/>
                </w:tcPr>
                <w:p w14:paraId="5B4766B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55</w:t>
                  </w:r>
                </w:p>
              </w:tc>
              <w:tc>
                <w:tcPr>
                  <w:tcW w:w="645" w:type="dxa"/>
                  <w:vMerge w:val="continue"/>
                  <w:noWrap w:val="0"/>
                  <w:vAlign w:val="center"/>
                </w:tcPr>
                <w:p w14:paraId="414EFA24">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eastAsia="宋体" w:cs="Times New Roman"/>
                      <w:color w:val="auto"/>
                      <w:sz w:val="21"/>
                      <w:szCs w:val="21"/>
                      <w:lang w:val="en-US" w:eastAsia="zh-CN"/>
                    </w:rPr>
                  </w:pPr>
                </w:p>
              </w:tc>
              <w:tc>
                <w:tcPr>
                  <w:tcW w:w="765" w:type="dxa"/>
                  <w:noWrap w:val="0"/>
                  <w:vAlign w:val="center"/>
                </w:tcPr>
                <w:p w14:paraId="3A9F8BAA">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0360096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636" w:type="dxa"/>
                  <w:noWrap w:val="0"/>
                  <w:vAlign w:val="center"/>
                </w:tcPr>
                <w:p w14:paraId="346E1EA7">
                  <w:pPr>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2AE2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0486F9A3">
                  <w:pPr>
                    <w:keepNext w:val="0"/>
                    <w:keepLines w:val="0"/>
                    <w:pageBreakBefore w:val="0"/>
                    <w:kinsoku/>
                    <w:wordWrap/>
                    <w:overflowPunct/>
                    <w:topLinePunct w:val="0"/>
                    <w:autoSpaceDE/>
                    <w:autoSpaceDN/>
                    <w:bidi w:val="0"/>
                    <w:adjustRightInd/>
                    <w:spacing w:line="240" w:lineRule="auto"/>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w:t>
                  </w:r>
                </w:p>
              </w:tc>
              <w:tc>
                <w:tcPr>
                  <w:tcW w:w="565" w:type="dxa"/>
                  <w:vMerge w:val="continue"/>
                  <w:noWrap w:val="0"/>
                  <w:vAlign w:val="center"/>
                </w:tcPr>
                <w:p w14:paraId="6917C09F">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val="en-US" w:eastAsia="zh-CN"/>
                    </w:rPr>
                  </w:pPr>
                </w:p>
              </w:tc>
              <w:tc>
                <w:tcPr>
                  <w:tcW w:w="662" w:type="dxa"/>
                  <w:noWrap w:val="0"/>
                  <w:vAlign w:val="center"/>
                </w:tcPr>
                <w:p w14:paraId="460C29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b w:val="0"/>
                      <w:bCs/>
                      <w:color w:val="auto"/>
                    </w:rPr>
                    <w:t>雕刻机</w:t>
                  </w:r>
                </w:p>
              </w:tc>
              <w:tc>
                <w:tcPr>
                  <w:tcW w:w="783" w:type="dxa"/>
                  <w:noWrap w:val="0"/>
                  <w:vAlign w:val="center"/>
                </w:tcPr>
                <w:p w14:paraId="454DC10D">
                  <w:pPr>
                    <w:adjustRightInd w:val="0"/>
                    <w:snapToGrid w:val="0"/>
                    <w:jc w:val="center"/>
                    <w:rPr>
                      <w:rFonts w:hint="default" w:ascii="Times New Roman" w:hAnsi="Times New Roman" w:eastAsia="宋体" w:cs="Times New Roman"/>
                      <w:color w:val="auto"/>
                      <w:sz w:val="21"/>
                      <w:szCs w:val="21"/>
                      <w:lang w:val="en-US"/>
                    </w:rPr>
                  </w:pPr>
                  <w:r>
                    <w:rPr>
                      <w:rFonts w:hint="eastAsia" w:cs="Times New Roman"/>
                      <w:b w:val="0"/>
                      <w:bCs/>
                      <w:snapToGrid w:val="0"/>
                      <w:color w:val="auto"/>
                      <w:kern w:val="0"/>
                      <w:sz w:val="21"/>
                      <w:szCs w:val="21"/>
                      <w:highlight w:val="none"/>
                      <w:lang w:val="en-US" w:eastAsia="zh-CN"/>
                    </w:rPr>
                    <w:t>85</w:t>
                  </w:r>
                </w:p>
              </w:tc>
              <w:tc>
                <w:tcPr>
                  <w:tcW w:w="825" w:type="dxa"/>
                  <w:vMerge w:val="continue"/>
                  <w:noWrap w:val="0"/>
                  <w:vAlign w:val="center"/>
                </w:tcPr>
                <w:p w14:paraId="2166F71A">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2829E33F">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79</w:t>
                  </w:r>
                </w:p>
              </w:tc>
              <w:tc>
                <w:tcPr>
                  <w:tcW w:w="627" w:type="dxa"/>
                  <w:noWrap w:val="0"/>
                  <w:vAlign w:val="center"/>
                </w:tcPr>
                <w:p w14:paraId="04EA05B4">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67</w:t>
                  </w:r>
                </w:p>
              </w:tc>
              <w:tc>
                <w:tcPr>
                  <w:tcW w:w="345" w:type="dxa"/>
                  <w:noWrap w:val="0"/>
                  <w:vAlign w:val="center"/>
                </w:tcPr>
                <w:p w14:paraId="03406FD4">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75" w:type="dxa"/>
                  <w:noWrap w:val="0"/>
                  <w:vAlign w:val="center"/>
                </w:tcPr>
                <w:p w14:paraId="642D5F15">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53</w:t>
                  </w:r>
                </w:p>
              </w:tc>
              <w:tc>
                <w:tcPr>
                  <w:tcW w:w="705" w:type="dxa"/>
                  <w:noWrap w:val="0"/>
                  <w:vAlign w:val="center"/>
                </w:tcPr>
                <w:p w14:paraId="3B2264D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645" w:type="dxa"/>
                  <w:vMerge w:val="continue"/>
                  <w:noWrap w:val="0"/>
                  <w:vAlign w:val="center"/>
                </w:tcPr>
                <w:p w14:paraId="7F567B34">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c>
                <w:tcPr>
                  <w:tcW w:w="765" w:type="dxa"/>
                  <w:noWrap w:val="0"/>
                  <w:vAlign w:val="center"/>
                </w:tcPr>
                <w:p w14:paraId="77857498">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1B6608E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636" w:type="dxa"/>
                  <w:noWrap w:val="0"/>
                  <w:vAlign w:val="center"/>
                </w:tcPr>
                <w:p w14:paraId="5DCDDFCB">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440E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3817E02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7</w:t>
                  </w:r>
                </w:p>
              </w:tc>
              <w:tc>
                <w:tcPr>
                  <w:tcW w:w="565" w:type="dxa"/>
                  <w:vMerge w:val="continue"/>
                  <w:noWrap w:val="0"/>
                  <w:vAlign w:val="center"/>
                </w:tcPr>
                <w:p w14:paraId="4E0BF7AF">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val="en-US" w:eastAsia="zh-CN"/>
                    </w:rPr>
                  </w:pPr>
                </w:p>
              </w:tc>
              <w:tc>
                <w:tcPr>
                  <w:tcW w:w="662" w:type="dxa"/>
                  <w:noWrap w:val="0"/>
                  <w:vAlign w:val="center"/>
                </w:tcPr>
                <w:p w14:paraId="7E05A02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eastAsia"/>
                      <w:b w:val="0"/>
                      <w:bCs/>
                      <w:color w:val="auto"/>
                    </w:rPr>
                    <w:t>裁板机</w:t>
                  </w:r>
                </w:p>
              </w:tc>
              <w:tc>
                <w:tcPr>
                  <w:tcW w:w="783" w:type="dxa"/>
                  <w:noWrap w:val="0"/>
                  <w:vAlign w:val="center"/>
                </w:tcPr>
                <w:p w14:paraId="4489774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b w:val="0"/>
                      <w:bCs/>
                      <w:snapToGrid w:val="0"/>
                      <w:color w:val="auto"/>
                      <w:kern w:val="0"/>
                      <w:sz w:val="21"/>
                      <w:szCs w:val="21"/>
                      <w:highlight w:val="none"/>
                      <w:lang w:val="en-US" w:eastAsia="zh-CN"/>
                    </w:rPr>
                    <w:t>85</w:t>
                  </w:r>
                </w:p>
              </w:tc>
              <w:tc>
                <w:tcPr>
                  <w:tcW w:w="825" w:type="dxa"/>
                  <w:vMerge w:val="continue"/>
                  <w:noWrap w:val="0"/>
                  <w:vAlign w:val="center"/>
                </w:tcPr>
                <w:p w14:paraId="05B2CAD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5BF485A6">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82</w:t>
                  </w:r>
                </w:p>
              </w:tc>
              <w:tc>
                <w:tcPr>
                  <w:tcW w:w="627" w:type="dxa"/>
                  <w:noWrap w:val="0"/>
                  <w:vAlign w:val="center"/>
                </w:tcPr>
                <w:p w14:paraId="1D37D38A">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345" w:type="dxa"/>
                  <w:noWrap w:val="0"/>
                  <w:vAlign w:val="center"/>
                </w:tcPr>
                <w:p w14:paraId="41A1665B">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75" w:type="dxa"/>
                  <w:noWrap w:val="0"/>
                  <w:vAlign w:val="center"/>
                </w:tcPr>
                <w:p w14:paraId="2E1489F4">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52</w:t>
                  </w:r>
                </w:p>
              </w:tc>
              <w:tc>
                <w:tcPr>
                  <w:tcW w:w="705" w:type="dxa"/>
                  <w:noWrap w:val="0"/>
                  <w:vAlign w:val="center"/>
                </w:tcPr>
                <w:p w14:paraId="6C91E49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645" w:type="dxa"/>
                  <w:vMerge w:val="continue"/>
                  <w:noWrap w:val="0"/>
                  <w:vAlign w:val="center"/>
                </w:tcPr>
                <w:p w14:paraId="41A726B9">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c>
                <w:tcPr>
                  <w:tcW w:w="765" w:type="dxa"/>
                  <w:noWrap w:val="0"/>
                  <w:vAlign w:val="center"/>
                </w:tcPr>
                <w:p w14:paraId="3B6347A1">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23493BF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636" w:type="dxa"/>
                  <w:noWrap w:val="0"/>
                  <w:vAlign w:val="center"/>
                </w:tcPr>
                <w:p w14:paraId="6B443C9E">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0C80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01" w:type="dxa"/>
                  <w:noWrap w:val="0"/>
                  <w:vAlign w:val="center"/>
                </w:tcPr>
                <w:p w14:paraId="12E86449">
                  <w:pPr>
                    <w:keepNext w:val="0"/>
                    <w:keepLines w:val="0"/>
                    <w:pageBreakBefore w:val="0"/>
                    <w:kinsoku/>
                    <w:wordWrap/>
                    <w:overflowPunct/>
                    <w:topLinePunct w:val="0"/>
                    <w:autoSpaceDE/>
                    <w:autoSpaceDN/>
                    <w:bidi w:val="0"/>
                    <w:adjustRightInd/>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w:t>
                  </w:r>
                </w:p>
              </w:tc>
              <w:tc>
                <w:tcPr>
                  <w:tcW w:w="565" w:type="dxa"/>
                  <w:vMerge w:val="continue"/>
                  <w:noWrap w:val="0"/>
                  <w:vAlign w:val="center"/>
                </w:tcPr>
                <w:p w14:paraId="0F4AEE94">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val="en-US" w:eastAsia="zh-CN"/>
                    </w:rPr>
                  </w:pPr>
                </w:p>
              </w:tc>
              <w:tc>
                <w:tcPr>
                  <w:tcW w:w="662" w:type="dxa"/>
                  <w:noWrap w:val="0"/>
                  <w:vAlign w:val="center"/>
                </w:tcPr>
                <w:p w14:paraId="11DB746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color w:val="auto"/>
                      <w:lang w:eastAsia="zh-CN"/>
                    </w:rPr>
                  </w:pPr>
                  <w:r>
                    <w:rPr>
                      <w:rFonts w:hint="eastAsia"/>
                      <w:b w:val="0"/>
                      <w:bCs/>
                      <w:color w:val="auto"/>
                      <w:lang w:eastAsia="zh-CN"/>
                    </w:rPr>
                    <w:t>冷却塔</w:t>
                  </w:r>
                </w:p>
              </w:tc>
              <w:tc>
                <w:tcPr>
                  <w:tcW w:w="783" w:type="dxa"/>
                  <w:noWrap w:val="0"/>
                  <w:vAlign w:val="center"/>
                </w:tcPr>
                <w:p w14:paraId="1821DE73">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85</w:t>
                  </w:r>
                </w:p>
              </w:tc>
              <w:tc>
                <w:tcPr>
                  <w:tcW w:w="825" w:type="dxa"/>
                  <w:vMerge w:val="continue"/>
                  <w:noWrap w:val="0"/>
                  <w:vAlign w:val="center"/>
                </w:tcPr>
                <w:p w14:paraId="27AFF19D">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eastAsia" w:ascii="Times New Roman" w:hAnsi="Times New Roman" w:eastAsia="宋体" w:cs="Times New Roman"/>
                      <w:color w:val="auto"/>
                      <w:sz w:val="21"/>
                      <w:szCs w:val="21"/>
                      <w:lang w:eastAsia="zh-CN"/>
                    </w:rPr>
                  </w:pPr>
                </w:p>
              </w:tc>
              <w:tc>
                <w:tcPr>
                  <w:tcW w:w="540" w:type="dxa"/>
                  <w:noWrap w:val="0"/>
                  <w:vAlign w:val="center"/>
                </w:tcPr>
                <w:p w14:paraId="50F7AA13">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627" w:type="dxa"/>
                  <w:noWrap w:val="0"/>
                  <w:vAlign w:val="center"/>
                </w:tcPr>
                <w:p w14:paraId="7BFFE11B">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115</w:t>
                  </w:r>
                </w:p>
              </w:tc>
              <w:tc>
                <w:tcPr>
                  <w:tcW w:w="345" w:type="dxa"/>
                  <w:noWrap w:val="0"/>
                  <w:vAlign w:val="center"/>
                </w:tcPr>
                <w:p w14:paraId="21097FD7">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75" w:type="dxa"/>
                  <w:noWrap w:val="0"/>
                  <w:vAlign w:val="center"/>
                </w:tcPr>
                <w:p w14:paraId="2217CEF8">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18</w:t>
                  </w:r>
                </w:p>
              </w:tc>
              <w:tc>
                <w:tcPr>
                  <w:tcW w:w="705" w:type="dxa"/>
                  <w:noWrap w:val="0"/>
                  <w:vAlign w:val="center"/>
                </w:tcPr>
                <w:p w14:paraId="1A3124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65</w:t>
                  </w:r>
                </w:p>
              </w:tc>
              <w:tc>
                <w:tcPr>
                  <w:tcW w:w="645" w:type="dxa"/>
                  <w:vMerge w:val="continue"/>
                  <w:noWrap w:val="0"/>
                  <w:vAlign w:val="center"/>
                </w:tcPr>
                <w:p w14:paraId="5B825716">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c>
                <w:tcPr>
                  <w:tcW w:w="765" w:type="dxa"/>
                  <w:noWrap w:val="0"/>
                  <w:vAlign w:val="center"/>
                </w:tcPr>
                <w:p w14:paraId="015931E9">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w:t>
                  </w:r>
                  <w:r>
                    <w:rPr>
                      <w:rFonts w:hint="eastAsia" w:ascii="Times New Roman" w:hAnsi="Times New Roman" w:cs="Times New Roman"/>
                      <w:color w:val="auto"/>
                      <w:sz w:val="21"/>
                      <w:szCs w:val="21"/>
                      <w:lang w:val="en-US" w:eastAsia="zh-CN"/>
                    </w:rPr>
                    <w:t>15</w:t>
                  </w:r>
                </w:p>
              </w:tc>
              <w:tc>
                <w:tcPr>
                  <w:tcW w:w="720" w:type="dxa"/>
                  <w:noWrap w:val="0"/>
                  <w:vAlign w:val="center"/>
                </w:tcPr>
                <w:p w14:paraId="1DB2F6B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636" w:type="dxa"/>
                  <w:noWrap w:val="0"/>
                  <w:vAlign w:val="center"/>
                </w:tcPr>
                <w:p w14:paraId="15AF2DF9">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bl>
          <w:p w14:paraId="7A7CFC57">
            <w:pPr>
              <w:keepNext w:val="0"/>
              <w:keepLines w:val="0"/>
              <w:pageBreakBefore w:val="0"/>
              <w:widowControl w:val="0"/>
              <w:tabs>
                <w:tab w:val="left" w:pos="2334"/>
                <w:tab w:val="center" w:pos="4845"/>
              </w:tabs>
              <w:kinsoku/>
              <w:wordWrap/>
              <w:overflowPunct/>
              <w:topLinePunct w:val="0"/>
              <w:autoSpaceDE/>
              <w:autoSpaceDN/>
              <w:bidi w:val="0"/>
              <w:adjustRightInd/>
              <w:snapToGrid/>
              <w:spacing w:line="240" w:lineRule="auto"/>
              <w:ind w:firstLine="422" w:firstLineChars="200"/>
              <w:jc w:val="center"/>
              <w:textAlignment w:val="auto"/>
              <w:rPr>
                <w:rFonts w:hint="default"/>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1</w:t>
            </w:r>
            <w:r>
              <w:rPr>
                <w:rFonts w:hint="eastAsia"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本项目噪声源调查清单（室外声源）</w:t>
            </w:r>
          </w:p>
          <w:tbl>
            <w:tblPr>
              <w:tblStyle w:val="29"/>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388"/>
              <w:gridCol w:w="889"/>
              <w:gridCol w:w="913"/>
              <w:gridCol w:w="885"/>
              <w:gridCol w:w="1607"/>
              <w:gridCol w:w="1270"/>
              <w:gridCol w:w="1157"/>
            </w:tblGrid>
            <w:tr w14:paraId="125B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dxa"/>
                  <w:vMerge w:val="restart"/>
                  <w:noWrap w:val="0"/>
                  <w:vAlign w:val="center"/>
                </w:tcPr>
                <w:p w14:paraId="3C6B6499">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88" w:type="dxa"/>
                  <w:vMerge w:val="restart"/>
                  <w:noWrap w:val="0"/>
                  <w:vAlign w:val="center"/>
                </w:tcPr>
                <w:p w14:paraId="2900B36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声源名称</w:t>
                  </w:r>
                </w:p>
              </w:tc>
              <w:tc>
                <w:tcPr>
                  <w:tcW w:w="2687" w:type="dxa"/>
                  <w:gridSpan w:val="3"/>
                  <w:noWrap w:val="0"/>
                  <w:vAlign w:val="center"/>
                </w:tcPr>
                <w:p w14:paraId="44C96FC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空间相对位置/m</w:t>
                  </w:r>
                </w:p>
              </w:tc>
              <w:tc>
                <w:tcPr>
                  <w:tcW w:w="1607" w:type="dxa"/>
                  <w:noWrap w:val="0"/>
                  <w:vAlign w:val="center"/>
                </w:tcPr>
                <w:p w14:paraId="1E57765C">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声源源强</w:t>
                  </w:r>
                </w:p>
              </w:tc>
              <w:tc>
                <w:tcPr>
                  <w:tcW w:w="1270" w:type="dxa"/>
                  <w:vMerge w:val="restart"/>
                  <w:noWrap w:val="0"/>
                  <w:vAlign w:val="center"/>
                </w:tcPr>
                <w:p w14:paraId="40C422E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声源控制措施</w:t>
                  </w:r>
                </w:p>
              </w:tc>
              <w:tc>
                <w:tcPr>
                  <w:tcW w:w="1157" w:type="dxa"/>
                  <w:vMerge w:val="restart"/>
                  <w:noWrap w:val="0"/>
                  <w:vAlign w:val="center"/>
                </w:tcPr>
                <w:p w14:paraId="5E43CA57">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运行时段</w:t>
                  </w:r>
                </w:p>
              </w:tc>
            </w:tr>
            <w:tr w14:paraId="622B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dxa"/>
                  <w:vMerge w:val="continue"/>
                  <w:noWrap w:val="0"/>
                  <w:vAlign w:val="center"/>
                </w:tcPr>
                <w:p w14:paraId="262E8B41">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p>
              </w:tc>
              <w:tc>
                <w:tcPr>
                  <w:tcW w:w="1388" w:type="dxa"/>
                  <w:vMerge w:val="continue"/>
                  <w:noWrap w:val="0"/>
                  <w:vAlign w:val="center"/>
                </w:tcPr>
                <w:p w14:paraId="36A0E0C5">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p>
              </w:tc>
              <w:tc>
                <w:tcPr>
                  <w:tcW w:w="889" w:type="dxa"/>
                  <w:noWrap w:val="0"/>
                  <w:vAlign w:val="center"/>
                </w:tcPr>
                <w:p w14:paraId="7B96020D">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913" w:type="dxa"/>
                  <w:noWrap w:val="0"/>
                  <w:vAlign w:val="center"/>
                </w:tcPr>
                <w:p w14:paraId="24958772">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885" w:type="dxa"/>
                  <w:noWrap w:val="0"/>
                  <w:vAlign w:val="center"/>
                </w:tcPr>
                <w:p w14:paraId="48E6956C">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1607" w:type="dxa"/>
                  <w:noWrap w:val="0"/>
                  <w:vAlign w:val="center"/>
                </w:tcPr>
                <w:p w14:paraId="516CBF0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声功率级/dB（A）</w:t>
                  </w:r>
                </w:p>
              </w:tc>
              <w:tc>
                <w:tcPr>
                  <w:tcW w:w="1270" w:type="dxa"/>
                  <w:vMerge w:val="continue"/>
                  <w:noWrap w:val="0"/>
                  <w:vAlign w:val="center"/>
                </w:tcPr>
                <w:p w14:paraId="307277DD">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p>
              </w:tc>
              <w:tc>
                <w:tcPr>
                  <w:tcW w:w="1157" w:type="dxa"/>
                  <w:vMerge w:val="continue"/>
                  <w:noWrap w:val="0"/>
                  <w:vAlign w:val="center"/>
                </w:tcPr>
                <w:p w14:paraId="3C802526">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p>
              </w:tc>
            </w:tr>
            <w:tr w14:paraId="6F98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dxa"/>
                  <w:noWrap w:val="0"/>
                  <w:vAlign w:val="center"/>
                </w:tcPr>
                <w:p w14:paraId="2E59AAC7">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388" w:type="dxa"/>
                  <w:noWrap w:val="0"/>
                  <w:vAlign w:val="center"/>
                </w:tcPr>
                <w:p w14:paraId="11D50512">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风机</w:t>
                  </w:r>
                </w:p>
              </w:tc>
              <w:tc>
                <w:tcPr>
                  <w:tcW w:w="889" w:type="dxa"/>
                  <w:noWrap w:val="0"/>
                  <w:vAlign w:val="center"/>
                </w:tcPr>
                <w:p w14:paraId="42285532">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kern w:val="2"/>
                      <w:sz w:val="21"/>
                      <w:szCs w:val="21"/>
                      <w:highlight w:val="red"/>
                      <w:lang w:val="en-US" w:eastAsia="zh-CN" w:bidi="ar-SA"/>
                    </w:rPr>
                  </w:pPr>
                  <w:r>
                    <w:rPr>
                      <w:rFonts w:hint="eastAsia" w:eastAsia="宋体" w:cs="Times New Roman"/>
                      <w:color w:val="auto"/>
                      <w:sz w:val="21"/>
                      <w:szCs w:val="21"/>
                      <w:lang w:val="en-US" w:eastAsia="zh-CN"/>
                    </w:rPr>
                    <w:t>5</w:t>
                  </w:r>
                </w:p>
              </w:tc>
              <w:tc>
                <w:tcPr>
                  <w:tcW w:w="913" w:type="dxa"/>
                  <w:noWrap w:val="0"/>
                  <w:vAlign w:val="center"/>
                </w:tcPr>
                <w:p w14:paraId="6B6B406C">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kern w:val="2"/>
                      <w:sz w:val="21"/>
                      <w:szCs w:val="21"/>
                      <w:highlight w:val="red"/>
                      <w:lang w:val="en-US" w:eastAsia="zh-CN" w:bidi="ar-SA"/>
                    </w:rPr>
                  </w:pPr>
                  <w:r>
                    <w:rPr>
                      <w:rFonts w:hint="eastAsia" w:eastAsia="宋体" w:cs="Times New Roman"/>
                      <w:color w:val="auto"/>
                      <w:sz w:val="21"/>
                      <w:szCs w:val="21"/>
                      <w:lang w:val="en-US" w:eastAsia="zh-CN"/>
                    </w:rPr>
                    <w:t>72</w:t>
                  </w:r>
                </w:p>
              </w:tc>
              <w:tc>
                <w:tcPr>
                  <w:tcW w:w="885" w:type="dxa"/>
                  <w:noWrap w:val="0"/>
                  <w:vAlign w:val="center"/>
                </w:tcPr>
                <w:p w14:paraId="403F5635">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1.2</w:t>
                  </w:r>
                </w:p>
              </w:tc>
              <w:tc>
                <w:tcPr>
                  <w:tcW w:w="1607" w:type="dxa"/>
                  <w:noWrap w:val="0"/>
                  <w:vAlign w:val="center"/>
                </w:tcPr>
                <w:p w14:paraId="6FE3D596">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90</w:t>
                  </w:r>
                </w:p>
              </w:tc>
              <w:tc>
                <w:tcPr>
                  <w:tcW w:w="1270" w:type="dxa"/>
                  <w:noWrap w:val="0"/>
                  <w:vAlign w:val="center"/>
                </w:tcPr>
                <w:p w14:paraId="60086343">
                  <w:pPr>
                    <w:pStyle w:val="23"/>
                    <w:keepNext w:val="0"/>
                    <w:keepLines w:val="0"/>
                    <w:pageBreakBefore w:val="0"/>
                    <w:kinsoku/>
                    <w:wordWrap/>
                    <w:overflowPunct/>
                    <w:topLinePunct w:val="0"/>
                    <w:autoSpaceDE/>
                    <w:autoSpaceDN/>
                    <w:bidi w:val="0"/>
                    <w:adjustRightInd/>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减震、隔声</w:t>
                  </w:r>
                  <w:r>
                    <w:rPr>
                      <w:rFonts w:hint="default" w:ascii="Times New Roman" w:hAnsi="Times New Roman" w:cs="Times New Roman"/>
                      <w:color w:val="auto"/>
                      <w:sz w:val="21"/>
                      <w:szCs w:val="21"/>
                      <w:lang w:eastAsia="zh-CN"/>
                    </w:rPr>
                    <w:t>、消声等</w:t>
                  </w:r>
                </w:p>
              </w:tc>
              <w:tc>
                <w:tcPr>
                  <w:tcW w:w="1157" w:type="dxa"/>
                  <w:noWrap w:val="0"/>
                  <w:vAlign w:val="center"/>
                </w:tcPr>
                <w:p w14:paraId="004ABF97">
                  <w:pPr>
                    <w:pStyle w:val="23"/>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24</w:t>
                  </w:r>
                  <w:r>
                    <w:rPr>
                      <w:rFonts w:hint="default" w:ascii="Times New Roman" w:hAnsi="Times New Roman" w:cs="Times New Roman"/>
                      <w:color w:val="auto"/>
                      <w:sz w:val="21"/>
                      <w:szCs w:val="21"/>
                    </w:rPr>
                    <w:t>h/d</w:t>
                  </w:r>
                </w:p>
              </w:tc>
            </w:tr>
          </w:tbl>
          <w:p w14:paraId="2ED8CF02">
            <w:pPr>
              <w:spacing w:line="240" w:lineRule="auto"/>
              <w:jc w:val="both"/>
              <w:rPr>
                <w:rFonts w:hint="default" w:ascii="Times New Roman" w:hAnsi="Times New Roman" w:eastAsia="宋体" w:cs="Times New Roman"/>
                <w:b/>
                <w:smallCaps/>
                <w:color w:val="auto"/>
                <w:sz w:val="21"/>
                <w:szCs w:val="21"/>
              </w:rPr>
            </w:pPr>
            <w:r>
              <w:rPr>
                <w:rFonts w:hint="default" w:ascii="Times New Roman" w:hAnsi="Times New Roman" w:eastAsia="宋体" w:cs="Times New Roman"/>
                <w:color w:val="auto"/>
                <w:sz w:val="21"/>
                <w:szCs w:val="21"/>
                <w:highlight w:val="none"/>
              </w:rPr>
              <w:t>注：</w:t>
            </w:r>
            <w:r>
              <w:rPr>
                <w:rFonts w:hint="default" w:ascii="Times New Roman" w:hAnsi="Times New Roman" w:eastAsia="宋体" w:cs="Times New Roman"/>
                <w:color w:val="auto"/>
                <w:sz w:val="21"/>
                <w:szCs w:val="21"/>
                <w:highlight w:val="none"/>
                <w:lang w:val="en-US" w:eastAsia="zh-CN"/>
              </w:rPr>
              <w:t>厂界西南角坐标原点</w:t>
            </w:r>
            <w:r>
              <w:rPr>
                <w:rFonts w:hint="default" w:ascii="Times New Roman" w:hAnsi="Times New Roman" w:eastAsia="宋体" w:cs="Times New Roman"/>
                <w:color w:val="auto"/>
                <w:sz w:val="21"/>
                <w:szCs w:val="21"/>
                <w:highlight w:val="none"/>
              </w:rPr>
              <w:t>，X轴正向为正东方向，Y轴正向为正北方向。</w:t>
            </w:r>
          </w:p>
          <w:p w14:paraId="2ABA7A67">
            <w:pPr>
              <w:adjustRightInd w:val="0"/>
              <w:snapToGrid w:val="0"/>
              <w:spacing w:line="360" w:lineRule="auto"/>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3.2</w:t>
            </w:r>
            <w:r>
              <w:rPr>
                <w:rFonts w:hint="eastAsia" w:cs="Times New Roman"/>
                <w:b/>
                <w:bCs/>
                <w:color w:val="auto"/>
                <w:sz w:val="24"/>
                <w:szCs w:val="24"/>
                <w:lang w:eastAsia="zh-CN"/>
              </w:rPr>
              <w:t>噪声防治措施</w:t>
            </w:r>
          </w:p>
          <w:p w14:paraId="0240B27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项目通过选择低噪声设备，加强厂房隔音建设，</w:t>
            </w:r>
            <w:r>
              <w:rPr>
                <w:color w:val="auto"/>
                <w:sz w:val="24"/>
              </w:rPr>
              <w:t>安装设备时采取减振措施，在各设备上安装</w:t>
            </w:r>
            <w:r>
              <w:rPr>
                <w:rFonts w:hint="default" w:ascii="Times New Roman" w:hAnsi="Times New Roman" w:eastAsia="宋体" w:cs="Times New Roman"/>
                <w:color w:val="auto"/>
                <w:sz w:val="24"/>
              </w:rPr>
              <w:t>消音器，减少设备运行时的振动噪声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rPr>
              <w:t>具体措施如下：</w:t>
            </w:r>
          </w:p>
          <w:p w14:paraId="22DF1D9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①本项目应在选型上使用国内先进的低噪声设备；合理布置噪声源； </w:t>
            </w:r>
          </w:p>
          <w:p w14:paraId="00AB488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auto"/>
                <w:sz w:val="24"/>
                <w:szCs w:val="24"/>
              </w:rPr>
            </w:pPr>
            <w:r>
              <w:rPr>
                <w:rFonts w:hint="default" w:ascii="Times New Roman" w:hAnsi="Times New Roman" w:eastAsia="宋体" w:cs="Times New Roman"/>
                <w:color w:val="auto"/>
                <w:kern w:val="0"/>
                <w:sz w:val="24"/>
                <w:szCs w:val="24"/>
                <w:lang w:val="en-US" w:eastAsia="zh-CN" w:bidi="ar"/>
              </w:rPr>
              <w:t>②生产设备</w:t>
            </w:r>
            <w:r>
              <w:rPr>
                <w:rFonts w:hint="eastAsia" w:ascii="宋体" w:hAnsi="宋体" w:eastAsia="宋体" w:cs="宋体"/>
                <w:color w:val="auto"/>
                <w:kern w:val="0"/>
                <w:sz w:val="24"/>
                <w:szCs w:val="24"/>
                <w:lang w:val="en-US" w:eastAsia="zh-CN" w:bidi="ar"/>
              </w:rPr>
              <w:t xml:space="preserve">均应布置在厂房内部，进行厂房隔声，厂房加装隔声窗，高噪声设备加装隔声罩进行隔声； </w:t>
            </w:r>
          </w:p>
          <w:p w14:paraId="4942B61F">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③设备安装时采取台基减振、橡胶减震接头及减震垫等措施；项目所有风管和通风机的进出风管均应安装消声器； </w:t>
            </w:r>
          </w:p>
          <w:p w14:paraId="060F2572">
            <w:pPr>
              <w:pStyle w:val="74"/>
              <w:keepNext w:val="0"/>
              <w:keepLines w:val="0"/>
              <w:pageBreakBefore w:val="0"/>
              <w:numPr>
                <w:ilvl w:val="0"/>
                <w:numId w:val="0"/>
              </w:numPr>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④设备定期调试，定期维护等措施。</w:t>
            </w:r>
          </w:p>
          <w:p w14:paraId="2558FFC8">
            <w:pPr>
              <w:pStyle w:val="74"/>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（1）控制噪声源</w:t>
            </w:r>
          </w:p>
          <w:p w14:paraId="230BED3C">
            <w:pPr>
              <w:pStyle w:val="74"/>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在满足工艺设计的前提下，尽量选用低噪声型号的设备。</w:t>
            </w:r>
          </w:p>
          <w:p w14:paraId="5B32DB10">
            <w:pPr>
              <w:pStyle w:val="74"/>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阻隔</w:t>
            </w:r>
            <w:r>
              <w:rPr>
                <w:rFonts w:hint="default" w:ascii="Times New Roman" w:hAnsi="Times New Roman" w:eastAsia="宋体" w:cs="Times New Roman"/>
                <w:color w:val="auto"/>
                <w:sz w:val="24"/>
                <w:szCs w:val="24"/>
              </w:rPr>
              <w:t>屏蔽、吸纳作用</w:t>
            </w:r>
          </w:p>
          <w:p w14:paraId="1100AAD2">
            <w:pPr>
              <w:spacing w:line="360" w:lineRule="auto"/>
              <w:ind w:left="180" w:right="42" w:rightChars="20" w:firstLine="480" w:firstLineChars="200"/>
              <w:jc w:val="left"/>
              <w:rPr>
                <w:rFonts w:hint="eastAsia"/>
                <w:b/>
                <w:color w:val="auto"/>
                <w:sz w:val="24"/>
                <w:szCs w:val="24"/>
              </w:rPr>
            </w:pPr>
            <w:r>
              <w:rPr>
                <w:rFonts w:hint="default" w:ascii="Times New Roman" w:hAnsi="Times New Roman" w:eastAsia="宋体" w:cs="Times New Roman"/>
                <w:color w:val="auto"/>
                <w:sz w:val="24"/>
                <w:szCs w:val="24"/>
              </w:rPr>
              <w:t>在厂内总平面设计中，充分考虑地形、声源方向性及泵房噪声强弱，利用建构筑物等对噪声的屏蔽、吸纳作用，进行合理布局，以起到降低噪声影响的作用。做好厂区周围土地利用规划，不宜在厂区及卫生防护距离内建设居住区、学校、医院等敏感性建筑物。</w:t>
            </w:r>
          </w:p>
          <w:p w14:paraId="36FBA581">
            <w:pPr>
              <w:adjustRightInd w:val="0"/>
              <w:snapToGrid w:val="0"/>
              <w:spacing w:line="240" w:lineRule="auto"/>
              <w:rPr>
                <w:rFonts w:hint="default" w:ascii="Times New Roman" w:hAnsi="Times New Roman" w:eastAsia="宋体" w:cs="Times New Roman"/>
                <w:b/>
                <w:bCs/>
                <w:color w:val="auto"/>
                <w:sz w:val="24"/>
                <w:lang w:val="en-US" w:eastAsia="zh-CN"/>
              </w:rPr>
            </w:pPr>
            <w:r>
              <w:rPr>
                <w:rFonts w:hint="eastAsia"/>
                <w:b/>
                <w:color w:val="auto"/>
                <w:sz w:val="24"/>
                <w:szCs w:val="24"/>
              </w:rPr>
              <w:t>3.</w:t>
            </w:r>
            <w:r>
              <w:rPr>
                <w:rFonts w:hint="eastAsia"/>
                <w:b/>
                <w:color w:val="auto"/>
                <w:sz w:val="24"/>
                <w:szCs w:val="24"/>
                <w:lang w:val="en-US" w:eastAsia="zh-CN"/>
              </w:rPr>
              <w:t>3</w:t>
            </w:r>
            <w:r>
              <w:rPr>
                <w:rFonts w:hint="default" w:ascii="Times New Roman" w:hAnsi="Times New Roman" w:eastAsia="宋体" w:cs="Times New Roman"/>
                <w:b/>
                <w:bCs/>
                <w:color w:val="auto"/>
                <w:sz w:val="24"/>
                <w:lang w:val="en-US" w:eastAsia="zh-CN"/>
              </w:rPr>
              <w:t>厂界噪声达标预测</w:t>
            </w:r>
          </w:p>
          <w:p w14:paraId="0E91DEFC">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环境影响评价技术导则声环境》（HJ2.4－2021）中的工业噪声预测模式。工业声源有室外和室内两种声源，应分别计算。根据预测点和声源之间的距离r，根据声源发出声波的波阵面，将声源划分为点声源、线声源、面声源后进行预测。在本次预测中，将噪声源划分为点声源进行预测。项目对声环境产生影响的主要噪声源，按其辐射噪声和结构特点，安装位置的环境条件以及噪声源至预测点的距离等因素进行判断，逐一计算某一声源在预测点上产生的声压级（dB）。</w:t>
            </w:r>
          </w:p>
          <w:p w14:paraId="2C18B688">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①单个室外的点声源在预测点产生的声级计算公式</w:t>
            </w:r>
          </w:p>
          <w:p w14:paraId="4617F47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根据《环境影响评价技术导则－声环境》（HJ2.4－2021），本项目已知各声源1m处的A声级，单个声源在预测点处产生的声级值计算模式如下：</w:t>
            </w:r>
          </w:p>
          <w:p w14:paraId="73D100A0">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2400300" cy="650875"/>
                  <wp:effectExtent l="0" t="0" r="0" b="1587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0"/>
                          <a:stretch>
                            <a:fillRect/>
                          </a:stretch>
                        </pic:blipFill>
                        <pic:spPr>
                          <a:xfrm>
                            <a:off x="0" y="0"/>
                            <a:ext cx="2400300" cy="650875"/>
                          </a:xfrm>
                          <a:prstGeom prst="rect">
                            <a:avLst/>
                          </a:prstGeom>
                          <a:noFill/>
                          <a:ln>
                            <a:noFill/>
                          </a:ln>
                        </pic:spPr>
                      </pic:pic>
                    </a:graphicData>
                  </a:graphic>
                </wp:inline>
              </w:drawing>
            </w:r>
          </w:p>
          <w:p w14:paraId="55B0C2B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式中：LA（r）—各声源单独作用在预测点时产生的A声级，dB（A）；</w:t>
            </w:r>
          </w:p>
          <w:p w14:paraId="35F38BC8">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LA（r0）—参考位置r0处的A声级，dB（A）；</w:t>
            </w:r>
          </w:p>
          <w:p w14:paraId="5E8644A4">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A—A声级衰减，本次评价中选用对A声级影响最大的倍频带（中心频率为500HZ的倍频带）进行计算，dB（A）；</w:t>
            </w:r>
          </w:p>
          <w:p w14:paraId="5AFEB237">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Adiv—几何发散引起的倍频带衰减，dB；</w:t>
            </w:r>
          </w:p>
          <w:p w14:paraId="5CD9544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Aatm—大气吸收引起的倍频带衰减，dB；</w:t>
            </w:r>
          </w:p>
          <w:p w14:paraId="6811CBCA">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Abar—声屏障引起的倍频带衰减，dB；</w:t>
            </w:r>
          </w:p>
          <w:p w14:paraId="1C87BC97">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Agr—地面效应引起的倍频带衰减，dB；</w:t>
            </w:r>
          </w:p>
          <w:p w14:paraId="362B83B4">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Amisc—其他多方面效应引起的倍频带衰减，dB。</w:t>
            </w:r>
          </w:p>
          <w:p w14:paraId="67008037">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A、几何发散衰减量Adi</w:t>
            </w:r>
          </w:p>
          <w:p w14:paraId="4E9305FE">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对于无指向性点声源，几何发散衰减量公式为：</w:t>
            </w:r>
          </w:p>
          <w:p w14:paraId="1EA23250">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Adiv=20lg（r/r0）</w:t>
            </w:r>
          </w:p>
          <w:p w14:paraId="24DBDBA6">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B、声屏障引起的衰减量Abar</w:t>
            </w:r>
          </w:p>
          <w:p w14:paraId="1176E41C">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本次预测未考虑声屏障的衰减，Abar取值为 0</w:t>
            </w:r>
          </w:p>
          <w:p w14:paraId="4EF0EB77">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C、大气吸收衰减量Aatm</w:t>
            </w:r>
          </w:p>
          <w:p w14:paraId="254B749A">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Aatm=a（r-r0）/1000</w:t>
            </w:r>
          </w:p>
          <w:p w14:paraId="5FA5C3DA">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本次预测未考虑空气吸收衰减量，取值为0。</w:t>
            </w:r>
          </w:p>
          <w:p w14:paraId="2164D838">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D、其他多方面效应引起的衰减量Amisc</w:t>
            </w:r>
          </w:p>
          <w:p w14:paraId="04CA9FEB">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评价过程中取值为0。</w:t>
            </w:r>
          </w:p>
          <w:p w14:paraId="54811DAB">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②计算某个室内声源在靠近围护结构处产生的倍频带声压级：</w:t>
            </w:r>
          </w:p>
          <w:p w14:paraId="2B3B8950">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2195195" cy="507365"/>
                  <wp:effectExtent l="0" t="0" r="14605" b="698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1"/>
                          <a:stretch>
                            <a:fillRect/>
                          </a:stretch>
                        </pic:blipFill>
                        <pic:spPr>
                          <a:xfrm>
                            <a:off x="0" y="0"/>
                            <a:ext cx="2195195" cy="507365"/>
                          </a:xfrm>
                          <a:prstGeom prst="rect">
                            <a:avLst/>
                          </a:prstGeom>
                          <a:noFill/>
                          <a:ln>
                            <a:noFill/>
                          </a:ln>
                        </pic:spPr>
                      </pic:pic>
                    </a:graphicData>
                  </a:graphic>
                </wp:inline>
              </w:drawing>
            </w:r>
          </w:p>
          <w:p w14:paraId="3E121AFC">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式中：Loct,1—某个室内声源在靠近围护结构处产生的倍频带声压级，dB；</w:t>
            </w:r>
          </w:p>
          <w:p w14:paraId="12961672">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Lwoct —某个声源的倍频带声功率级，dB；</w:t>
            </w:r>
          </w:p>
          <w:p w14:paraId="064DD1F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—室内某个声源与靠近围护结构处的距离，m；</w:t>
            </w:r>
          </w:p>
          <w:p w14:paraId="2E36154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R—房间常数，m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357DB5BD">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Q—方向性因子。</w:t>
            </w:r>
          </w:p>
          <w:p w14:paraId="0413B02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③计算所有室内声源在靠近围护结构处产生的总倍频带声压级：</w:t>
            </w:r>
          </w:p>
          <w:p w14:paraId="48F671E2">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1876425" cy="457200"/>
                  <wp:effectExtent l="0" t="0" r="952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1876425" cy="457200"/>
                          </a:xfrm>
                          <a:prstGeom prst="rect">
                            <a:avLst/>
                          </a:prstGeom>
                          <a:noFill/>
                          <a:ln>
                            <a:noFill/>
                          </a:ln>
                        </pic:spPr>
                      </pic:pic>
                    </a:graphicData>
                  </a:graphic>
                </wp:inline>
              </w:drawing>
            </w:r>
          </w:p>
          <w:p w14:paraId="05C4ACE6">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④计算室外靠近围护结构处的声压级：</w:t>
            </w:r>
          </w:p>
          <w:p w14:paraId="27817FA5">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2213610" cy="371475"/>
                  <wp:effectExtent l="0" t="0" r="1524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3"/>
                          <a:stretch>
                            <a:fillRect/>
                          </a:stretch>
                        </pic:blipFill>
                        <pic:spPr>
                          <a:xfrm>
                            <a:off x="0" y="0"/>
                            <a:ext cx="2213610" cy="371475"/>
                          </a:xfrm>
                          <a:prstGeom prst="rect">
                            <a:avLst/>
                          </a:prstGeom>
                          <a:noFill/>
                          <a:ln>
                            <a:noFill/>
                          </a:ln>
                        </pic:spPr>
                      </pic:pic>
                    </a:graphicData>
                  </a:graphic>
                </wp:inline>
              </w:drawing>
            </w:r>
          </w:p>
          <w:p w14:paraId="78A324D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⑤将室外声级 Loct,1(T)和透声面积换算成等效的室外声源，计算等效声源第i个倍频带的声功率级Lwoct：</w:t>
            </w:r>
          </w:p>
          <w:p w14:paraId="41959436">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1931670" cy="353695"/>
                  <wp:effectExtent l="0" t="0" r="11430" b="825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1931670" cy="353695"/>
                          </a:xfrm>
                          <a:prstGeom prst="rect">
                            <a:avLst/>
                          </a:prstGeom>
                          <a:noFill/>
                          <a:ln>
                            <a:noFill/>
                          </a:ln>
                        </pic:spPr>
                      </pic:pic>
                    </a:graphicData>
                  </a:graphic>
                </wp:inline>
              </w:drawing>
            </w:r>
          </w:p>
          <w:p w14:paraId="2E1812C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式中：S—透声面积，m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7A13621A">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⑥等效室外声源的位置为围护结构的位置，其倍频带声功率级为Lwoct，由此按室外声源方法计算等效室外声源在预测点产生的A声级。</w:t>
            </w:r>
          </w:p>
          <w:p w14:paraId="258E733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⑦噪声贡献值计算：设第i个室外声源在预测点产生的A声级为L</w:t>
            </w:r>
            <w:r>
              <w:rPr>
                <w:rFonts w:hint="default" w:ascii="Times New Roman" w:hAnsi="Times New Roman" w:eastAsia="宋体" w:cs="Times New Roman"/>
                <w:color w:val="auto"/>
                <w:sz w:val="24"/>
                <w:szCs w:val="24"/>
                <w:vertAlign w:val="subscript"/>
              </w:rPr>
              <w:t>Ain,i</w:t>
            </w:r>
            <w:r>
              <w:rPr>
                <w:rFonts w:hint="default" w:ascii="Times New Roman" w:hAnsi="Times New Roman" w:eastAsia="宋体" w:cs="Times New Roman"/>
                <w:color w:val="auto"/>
                <w:sz w:val="24"/>
                <w:szCs w:val="24"/>
              </w:rPr>
              <w:t>，在T时间内该声源工作时间为 t</w:t>
            </w:r>
            <w:r>
              <w:rPr>
                <w:rFonts w:hint="default" w:ascii="Times New Roman" w:hAnsi="Times New Roman" w:eastAsia="宋体" w:cs="Times New Roman"/>
                <w:color w:val="auto"/>
                <w:sz w:val="24"/>
                <w:szCs w:val="24"/>
                <w:vertAlign w:val="subscript"/>
              </w:rPr>
              <w:t>in,i</w:t>
            </w:r>
            <w:r>
              <w:rPr>
                <w:rFonts w:hint="default" w:ascii="Times New Roman" w:hAnsi="Times New Roman" w:eastAsia="宋体" w:cs="Times New Roman"/>
                <w:color w:val="auto"/>
                <w:sz w:val="24"/>
                <w:szCs w:val="24"/>
              </w:rPr>
              <w:t>，第j个等效室外声源在预测点产生的A声级为L</w:t>
            </w:r>
            <w:r>
              <w:rPr>
                <w:rFonts w:hint="default" w:ascii="Times New Roman" w:hAnsi="Times New Roman" w:eastAsia="宋体" w:cs="Times New Roman"/>
                <w:color w:val="auto"/>
                <w:sz w:val="24"/>
                <w:szCs w:val="24"/>
                <w:vertAlign w:val="subscript"/>
              </w:rPr>
              <w:t>Aout,j</w:t>
            </w:r>
            <w:r>
              <w:rPr>
                <w:rFonts w:hint="default" w:ascii="Times New Roman" w:hAnsi="Times New Roman" w:eastAsia="宋体" w:cs="Times New Roman"/>
                <w:color w:val="auto"/>
                <w:sz w:val="24"/>
                <w:szCs w:val="24"/>
              </w:rPr>
              <w:t>，在T时间内该声源工作时间为t</w:t>
            </w:r>
            <w:r>
              <w:rPr>
                <w:rFonts w:hint="default" w:ascii="Times New Roman" w:hAnsi="Times New Roman" w:eastAsia="宋体" w:cs="Times New Roman"/>
                <w:color w:val="auto"/>
                <w:sz w:val="24"/>
                <w:szCs w:val="24"/>
                <w:vertAlign w:val="subscript"/>
              </w:rPr>
              <w:t>out,j</w:t>
            </w:r>
            <w:r>
              <w:rPr>
                <w:rFonts w:hint="default" w:ascii="Times New Roman" w:hAnsi="Times New Roman" w:eastAsia="宋体" w:cs="Times New Roman"/>
                <w:color w:val="auto"/>
                <w:sz w:val="24"/>
                <w:szCs w:val="24"/>
              </w:rPr>
              <w:t>，则预测点的总等效声级为：</w:t>
            </w:r>
          </w:p>
          <w:p w14:paraId="54E145B8">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3432175" cy="499745"/>
                  <wp:effectExtent l="0" t="0" r="15875" b="1460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5"/>
                          <a:stretch>
                            <a:fillRect/>
                          </a:stretch>
                        </pic:blipFill>
                        <pic:spPr>
                          <a:xfrm>
                            <a:off x="0" y="0"/>
                            <a:ext cx="3432175" cy="499745"/>
                          </a:xfrm>
                          <a:prstGeom prst="rect">
                            <a:avLst/>
                          </a:prstGeom>
                          <a:noFill/>
                          <a:ln>
                            <a:noFill/>
                          </a:ln>
                        </pic:spPr>
                      </pic:pic>
                    </a:graphicData>
                  </a:graphic>
                </wp:inline>
              </w:drawing>
            </w:r>
          </w:p>
          <w:p w14:paraId="7212708D">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式中：T—计算等效声级的时间，h；</w:t>
            </w:r>
          </w:p>
          <w:p w14:paraId="05473E5D">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N—室外声源个数；</w:t>
            </w:r>
          </w:p>
          <w:p w14:paraId="447A08E9">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M—等效室外声源个数</w:t>
            </w:r>
          </w:p>
          <w:p w14:paraId="4889B50C">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⑧影响值计算：</w:t>
            </w:r>
          </w:p>
          <w:p w14:paraId="0C8FDC98">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2628265" cy="347345"/>
                  <wp:effectExtent l="0" t="0" r="635" b="1460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6"/>
                          <a:stretch>
                            <a:fillRect/>
                          </a:stretch>
                        </pic:blipFill>
                        <pic:spPr>
                          <a:xfrm>
                            <a:off x="0" y="0"/>
                            <a:ext cx="2628265" cy="347345"/>
                          </a:xfrm>
                          <a:prstGeom prst="rect">
                            <a:avLst/>
                          </a:prstGeom>
                          <a:noFill/>
                          <a:ln>
                            <a:noFill/>
                          </a:ln>
                        </pic:spPr>
                      </pic:pic>
                    </a:graphicData>
                  </a:graphic>
                </wp:inline>
              </w:drawing>
            </w:r>
          </w:p>
          <w:p w14:paraId="5D5CC1F0">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式中Leqg——建设项目声源在预测点的等效声级贡献值，dB（A）</w:t>
            </w:r>
          </w:p>
          <w:p w14:paraId="451A84BD">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Leqb——预测点背景值，dB（A）</w:t>
            </w:r>
          </w:p>
          <w:p w14:paraId="3A157823">
            <w:pPr>
              <w:spacing w:line="360" w:lineRule="auto"/>
              <w:ind w:firstLine="482"/>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环境影响预测评价的目的就是评价项目建成后对周围环境及厂界噪声影响的程度。</w:t>
            </w:r>
            <w:r>
              <w:rPr>
                <w:rFonts w:hint="default" w:ascii="Times New Roman" w:hAnsi="Times New Roman" w:eastAsia="宋体" w:cs="Times New Roman"/>
                <w:bCs/>
                <w:color w:val="auto"/>
                <w:sz w:val="24"/>
                <w:szCs w:val="24"/>
              </w:rPr>
              <w:t>根据噪声预测模式进行计算，边界噪声的预测结果见表：</w:t>
            </w:r>
          </w:p>
          <w:p w14:paraId="7010E8F3">
            <w:pPr>
              <w:tabs>
                <w:tab w:val="left" w:pos="2125"/>
                <w:tab w:val="left" w:pos="6206"/>
              </w:tabs>
              <w:topLinePunct/>
              <w:autoSpaceDE/>
              <w:autoSpaceDN/>
              <w:adjustRightInd w:val="0"/>
              <w:snapToGrid w:val="0"/>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项目</w:t>
            </w:r>
            <w:r>
              <w:rPr>
                <w:rFonts w:hint="default" w:ascii="Times New Roman" w:hAnsi="Times New Roman" w:eastAsia="宋体" w:cs="Times New Roman"/>
                <w:b/>
                <w:bCs/>
                <w:color w:val="auto"/>
                <w:sz w:val="21"/>
                <w:szCs w:val="21"/>
                <w:lang w:eastAsia="zh-CN"/>
              </w:rPr>
              <w:t>厂界噪声预测结果</w:t>
            </w:r>
            <w:r>
              <w:rPr>
                <w:rFonts w:hint="default" w:ascii="Times New Roman" w:hAnsi="Times New Roman" w:eastAsia="宋体" w:cs="Times New Roman"/>
                <w:b/>
                <w:bCs/>
                <w:color w:val="auto"/>
                <w:sz w:val="21"/>
                <w:szCs w:val="21"/>
              </w:rPr>
              <w:t>单位dB（A）</w:t>
            </w:r>
          </w:p>
          <w:tbl>
            <w:tblPr>
              <w:tblStyle w:val="29"/>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38"/>
              <w:gridCol w:w="1663"/>
              <w:gridCol w:w="1622"/>
              <w:gridCol w:w="1807"/>
              <w:gridCol w:w="1408"/>
            </w:tblGrid>
            <w:tr w14:paraId="6E11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8" w:hRule="exact"/>
                <w:jc w:val="center"/>
              </w:trPr>
              <w:tc>
                <w:tcPr>
                  <w:tcW w:w="2338" w:type="dxa"/>
                  <w:vMerge w:val="restart"/>
                  <w:tcBorders>
                    <w:tl2br w:val="nil"/>
                    <w:tr2bl w:val="nil"/>
                  </w:tcBorders>
                  <w:shd w:val="clear" w:color="auto" w:fill="auto"/>
                  <w:vAlign w:val="center"/>
                </w:tcPr>
                <w:p w14:paraId="7B8BC9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预测方位</w:t>
                  </w:r>
                </w:p>
              </w:tc>
              <w:tc>
                <w:tcPr>
                  <w:tcW w:w="1663" w:type="dxa"/>
                  <w:vMerge w:val="restart"/>
                  <w:tcBorders>
                    <w:tl2br w:val="nil"/>
                    <w:tr2bl w:val="nil"/>
                  </w:tcBorders>
                  <w:shd w:val="clear" w:color="auto" w:fill="auto"/>
                  <w:vAlign w:val="center"/>
                </w:tcPr>
                <w:p w14:paraId="294422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时段</w:t>
                  </w:r>
                </w:p>
              </w:tc>
              <w:tc>
                <w:tcPr>
                  <w:tcW w:w="1622" w:type="dxa"/>
                  <w:vMerge w:val="restart"/>
                  <w:tcBorders>
                    <w:tl2br w:val="nil"/>
                    <w:tr2bl w:val="nil"/>
                  </w:tcBorders>
                  <w:shd w:val="clear" w:color="auto" w:fill="auto"/>
                  <w:vAlign w:val="center"/>
                </w:tcPr>
                <w:p w14:paraId="6A652D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贡献值（dB(A)）</w:t>
                  </w:r>
                </w:p>
              </w:tc>
              <w:tc>
                <w:tcPr>
                  <w:tcW w:w="1807" w:type="dxa"/>
                  <w:vMerge w:val="restart"/>
                  <w:tcBorders>
                    <w:tl2br w:val="nil"/>
                    <w:tr2bl w:val="nil"/>
                  </w:tcBorders>
                  <w:shd w:val="clear" w:color="auto" w:fill="auto"/>
                  <w:vAlign w:val="center"/>
                </w:tcPr>
                <w:p w14:paraId="0BA4A7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标准限值（dB(A)）</w:t>
                  </w:r>
                </w:p>
              </w:tc>
              <w:tc>
                <w:tcPr>
                  <w:tcW w:w="1408" w:type="dxa"/>
                  <w:vMerge w:val="restart"/>
                  <w:tcBorders>
                    <w:tl2br w:val="nil"/>
                    <w:tr2bl w:val="nil"/>
                  </w:tcBorders>
                  <w:shd w:val="clear" w:color="auto" w:fill="auto"/>
                  <w:vAlign w:val="center"/>
                </w:tcPr>
                <w:p w14:paraId="0C1D50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达标情况</w:t>
                  </w:r>
                </w:p>
              </w:tc>
            </w:tr>
            <w:tr w14:paraId="1624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38" w:type="dxa"/>
                  <w:vMerge w:val="continue"/>
                  <w:tcBorders>
                    <w:tl2br w:val="nil"/>
                    <w:tr2bl w:val="nil"/>
                  </w:tcBorders>
                  <w:shd w:val="clear" w:color="auto" w:fill="auto"/>
                  <w:vAlign w:val="center"/>
                </w:tcPr>
                <w:p w14:paraId="60B133D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663" w:type="dxa"/>
                  <w:vMerge w:val="continue"/>
                  <w:tcBorders>
                    <w:tl2br w:val="nil"/>
                    <w:tr2bl w:val="nil"/>
                  </w:tcBorders>
                  <w:shd w:val="clear" w:color="auto" w:fill="auto"/>
                  <w:vAlign w:val="center"/>
                </w:tcPr>
                <w:p w14:paraId="500140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622" w:type="dxa"/>
                  <w:vMerge w:val="continue"/>
                  <w:tcBorders>
                    <w:tl2br w:val="nil"/>
                    <w:tr2bl w:val="nil"/>
                  </w:tcBorders>
                  <w:shd w:val="clear" w:color="auto" w:fill="auto"/>
                  <w:vAlign w:val="center"/>
                </w:tcPr>
                <w:p w14:paraId="4218AB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807" w:type="dxa"/>
                  <w:vMerge w:val="continue"/>
                  <w:tcBorders>
                    <w:tl2br w:val="nil"/>
                    <w:tr2bl w:val="nil"/>
                  </w:tcBorders>
                  <w:shd w:val="clear" w:color="auto" w:fill="auto"/>
                  <w:vAlign w:val="center"/>
                </w:tcPr>
                <w:p w14:paraId="1879CDA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408" w:type="dxa"/>
                  <w:vMerge w:val="continue"/>
                  <w:tcBorders>
                    <w:tl2br w:val="nil"/>
                    <w:tr2bl w:val="nil"/>
                  </w:tcBorders>
                  <w:shd w:val="clear" w:color="auto" w:fill="auto"/>
                  <w:vAlign w:val="center"/>
                </w:tcPr>
                <w:p w14:paraId="3546B05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r>
            <w:tr w14:paraId="229E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338" w:type="dxa"/>
                  <w:vMerge w:val="restart"/>
                  <w:tcBorders>
                    <w:tl2br w:val="nil"/>
                    <w:tr2bl w:val="nil"/>
                  </w:tcBorders>
                  <w:shd w:val="clear" w:color="auto" w:fill="auto"/>
                  <w:vAlign w:val="center"/>
                </w:tcPr>
                <w:p w14:paraId="694B5BA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东厂界</w:t>
                  </w:r>
                </w:p>
              </w:tc>
              <w:tc>
                <w:tcPr>
                  <w:tcW w:w="1663" w:type="dxa"/>
                  <w:tcBorders>
                    <w:tl2br w:val="nil"/>
                    <w:tr2bl w:val="nil"/>
                  </w:tcBorders>
                  <w:shd w:val="clear" w:color="auto" w:fill="auto"/>
                  <w:vAlign w:val="center"/>
                </w:tcPr>
                <w:p w14:paraId="57D7AA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昼间</w:t>
                  </w:r>
                </w:p>
              </w:tc>
              <w:tc>
                <w:tcPr>
                  <w:tcW w:w="1622" w:type="dxa"/>
                  <w:vMerge w:val="restart"/>
                  <w:tcBorders>
                    <w:tl2br w:val="nil"/>
                    <w:tr2bl w:val="nil"/>
                  </w:tcBorders>
                  <w:shd w:val="clear" w:color="auto" w:fill="auto"/>
                  <w:vAlign w:val="center"/>
                </w:tcPr>
                <w:p w14:paraId="2E7752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46.5</w:t>
                  </w:r>
                </w:p>
              </w:tc>
              <w:tc>
                <w:tcPr>
                  <w:tcW w:w="1807" w:type="dxa"/>
                  <w:tcBorders>
                    <w:tl2br w:val="nil"/>
                    <w:tr2bl w:val="nil"/>
                  </w:tcBorders>
                  <w:shd w:val="clear" w:color="auto" w:fill="auto"/>
                  <w:vAlign w:val="center"/>
                </w:tcPr>
                <w:p w14:paraId="74710B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6</w:t>
                  </w:r>
                  <w:r>
                    <w:rPr>
                      <w:rFonts w:hint="default" w:ascii="Times New Roman" w:hAnsi="Times New Roman" w:eastAsia="宋体" w:cs="Times New Roman"/>
                      <w:b w:val="0"/>
                      <w:bCs/>
                      <w:color w:val="auto"/>
                      <w:sz w:val="21"/>
                      <w:szCs w:val="21"/>
                      <w:lang w:val="en-US" w:eastAsia="zh-CN"/>
                    </w:rPr>
                    <w:t>5</w:t>
                  </w:r>
                </w:p>
              </w:tc>
              <w:tc>
                <w:tcPr>
                  <w:tcW w:w="1408" w:type="dxa"/>
                  <w:tcBorders>
                    <w:tl2br w:val="nil"/>
                    <w:tr2bl w:val="nil"/>
                  </w:tcBorders>
                  <w:shd w:val="clear" w:color="auto" w:fill="auto"/>
                  <w:vAlign w:val="center"/>
                </w:tcPr>
                <w:p w14:paraId="4169A2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71FE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2338" w:type="dxa"/>
                  <w:vMerge w:val="continue"/>
                  <w:tcBorders>
                    <w:tl2br w:val="nil"/>
                    <w:tr2bl w:val="nil"/>
                  </w:tcBorders>
                  <w:shd w:val="clear" w:color="auto" w:fill="auto"/>
                  <w:vAlign w:val="center"/>
                </w:tcPr>
                <w:p w14:paraId="539A29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zh-CN"/>
                    </w:rPr>
                  </w:pPr>
                </w:p>
              </w:tc>
              <w:tc>
                <w:tcPr>
                  <w:tcW w:w="1663" w:type="dxa"/>
                  <w:tcBorders>
                    <w:tl2br w:val="nil"/>
                    <w:tr2bl w:val="nil"/>
                  </w:tcBorders>
                  <w:shd w:val="clear" w:color="auto" w:fill="auto"/>
                  <w:vAlign w:val="center"/>
                </w:tcPr>
                <w:p w14:paraId="7FFBE0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夜间</w:t>
                  </w:r>
                </w:p>
              </w:tc>
              <w:tc>
                <w:tcPr>
                  <w:tcW w:w="1622" w:type="dxa"/>
                  <w:vMerge w:val="continue"/>
                  <w:tcBorders>
                    <w:tl2br w:val="nil"/>
                    <w:tr2bl w:val="nil"/>
                  </w:tcBorders>
                  <w:shd w:val="clear" w:color="auto" w:fill="auto"/>
                  <w:vAlign w:val="center"/>
                </w:tcPr>
                <w:p w14:paraId="18D50F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p>
              </w:tc>
              <w:tc>
                <w:tcPr>
                  <w:tcW w:w="1807" w:type="dxa"/>
                  <w:tcBorders>
                    <w:tl2br w:val="nil"/>
                    <w:tr2bl w:val="nil"/>
                  </w:tcBorders>
                  <w:shd w:val="clear" w:color="auto" w:fill="auto"/>
                  <w:vAlign w:val="center"/>
                </w:tcPr>
                <w:p w14:paraId="09EB956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55</w:t>
                  </w:r>
                </w:p>
              </w:tc>
              <w:tc>
                <w:tcPr>
                  <w:tcW w:w="1408" w:type="dxa"/>
                  <w:tcBorders>
                    <w:tl2br w:val="nil"/>
                    <w:tr2bl w:val="nil"/>
                  </w:tcBorders>
                  <w:shd w:val="clear" w:color="auto" w:fill="auto"/>
                  <w:vAlign w:val="center"/>
                </w:tcPr>
                <w:p w14:paraId="534B43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6CB1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338" w:type="dxa"/>
                  <w:vMerge w:val="restart"/>
                  <w:tcBorders>
                    <w:tl2br w:val="nil"/>
                    <w:tr2bl w:val="nil"/>
                  </w:tcBorders>
                  <w:shd w:val="clear" w:color="auto" w:fill="auto"/>
                  <w:vAlign w:val="center"/>
                </w:tcPr>
                <w:p w14:paraId="2248083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南</w:t>
                  </w:r>
                  <w:r>
                    <w:rPr>
                      <w:rFonts w:hint="default" w:ascii="Times New Roman" w:hAnsi="Times New Roman" w:eastAsia="宋体" w:cs="Times New Roman"/>
                      <w:b w:val="0"/>
                      <w:bCs/>
                      <w:color w:val="auto"/>
                      <w:sz w:val="21"/>
                      <w:szCs w:val="21"/>
                      <w:lang w:eastAsia="zh-CN"/>
                    </w:rPr>
                    <w:t>厂界</w:t>
                  </w:r>
                </w:p>
              </w:tc>
              <w:tc>
                <w:tcPr>
                  <w:tcW w:w="1663" w:type="dxa"/>
                  <w:tcBorders>
                    <w:tl2br w:val="nil"/>
                    <w:tr2bl w:val="nil"/>
                  </w:tcBorders>
                  <w:shd w:val="clear" w:color="auto" w:fill="auto"/>
                  <w:vAlign w:val="center"/>
                </w:tcPr>
                <w:p w14:paraId="327D30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昼间</w:t>
                  </w:r>
                </w:p>
              </w:tc>
              <w:tc>
                <w:tcPr>
                  <w:tcW w:w="1622" w:type="dxa"/>
                  <w:vMerge w:val="restart"/>
                  <w:tcBorders>
                    <w:tl2br w:val="nil"/>
                    <w:tr2bl w:val="nil"/>
                  </w:tcBorders>
                  <w:shd w:val="clear" w:color="auto" w:fill="auto"/>
                  <w:vAlign w:val="center"/>
                </w:tcPr>
                <w:p w14:paraId="4B0AD30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44.5</w:t>
                  </w:r>
                </w:p>
              </w:tc>
              <w:tc>
                <w:tcPr>
                  <w:tcW w:w="1807" w:type="dxa"/>
                  <w:tcBorders>
                    <w:tl2br w:val="nil"/>
                    <w:tr2bl w:val="nil"/>
                  </w:tcBorders>
                  <w:shd w:val="clear" w:color="auto" w:fill="auto"/>
                  <w:vAlign w:val="center"/>
                </w:tcPr>
                <w:p w14:paraId="730C94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6</w:t>
                  </w:r>
                  <w:r>
                    <w:rPr>
                      <w:rFonts w:hint="default" w:ascii="Times New Roman" w:hAnsi="Times New Roman" w:eastAsia="宋体" w:cs="Times New Roman"/>
                      <w:b w:val="0"/>
                      <w:bCs/>
                      <w:color w:val="auto"/>
                      <w:sz w:val="21"/>
                      <w:szCs w:val="21"/>
                      <w:lang w:val="en-US" w:eastAsia="zh-CN"/>
                    </w:rPr>
                    <w:t>5</w:t>
                  </w:r>
                </w:p>
              </w:tc>
              <w:tc>
                <w:tcPr>
                  <w:tcW w:w="1408" w:type="dxa"/>
                  <w:tcBorders>
                    <w:tl2br w:val="nil"/>
                    <w:tr2bl w:val="nil"/>
                  </w:tcBorders>
                  <w:shd w:val="clear" w:color="auto" w:fill="auto"/>
                  <w:vAlign w:val="center"/>
                </w:tcPr>
                <w:p w14:paraId="4CDA00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6170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338" w:type="dxa"/>
                  <w:vMerge w:val="continue"/>
                  <w:tcBorders>
                    <w:tl2br w:val="nil"/>
                    <w:tr2bl w:val="nil"/>
                  </w:tcBorders>
                  <w:shd w:val="clear" w:color="auto" w:fill="auto"/>
                  <w:vAlign w:val="center"/>
                </w:tcPr>
                <w:p w14:paraId="3BE9BE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663" w:type="dxa"/>
                  <w:tcBorders>
                    <w:tl2br w:val="nil"/>
                    <w:tr2bl w:val="nil"/>
                  </w:tcBorders>
                  <w:shd w:val="clear" w:color="auto" w:fill="auto"/>
                  <w:vAlign w:val="center"/>
                </w:tcPr>
                <w:p w14:paraId="04591B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zh-CN"/>
                    </w:rPr>
                    <w:t>夜间</w:t>
                  </w:r>
                </w:p>
              </w:tc>
              <w:tc>
                <w:tcPr>
                  <w:tcW w:w="1622" w:type="dxa"/>
                  <w:vMerge w:val="continue"/>
                  <w:tcBorders>
                    <w:tl2br w:val="nil"/>
                    <w:tr2bl w:val="nil"/>
                  </w:tcBorders>
                  <w:shd w:val="clear" w:color="auto" w:fill="auto"/>
                  <w:vAlign w:val="center"/>
                </w:tcPr>
                <w:p w14:paraId="2C0CD6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p>
              </w:tc>
              <w:tc>
                <w:tcPr>
                  <w:tcW w:w="1807" w:type="dxa"/>
                  <w:tcBorders>
                    <w:tl2br w:val="nil"/>
                    <w:tr2bl w:val="nil"/>
                  </w:tcBorders>
                  <w:shd w:val="clear" w:color="auto" w:fill="auto"/>
                  <w:vAlign w:val="center"/>
                </w:tcPr>
                <w:p w14:paraId="4EBFCF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55</w:t>
                  </w:r>
                </w:p>
              </w:tc>
              <w:tc>
                <w:tcPr>
                  <w:tcW w:w="1408" w:type="dxa"/>
                  <w:tcBorders>
                    <w:tl2br w:val="nil"/>
                    <w:tr2bl w:val="nil"/>
                  </w:tcBorders>
                  <w:shd w:val="clear" w:color="auto" w:fill="auto"/>
                  <w:vAlign w:val="center"/>
                </w:tcPr>
                <w:p w14:paraId="5D3AE4F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3C7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338" w:type="dxa"/>
                  <w:vMerge w:val="restart"/>
                  <w:tcBorders>
                    <w:tl2br w:val="nil"/>
                    <w:tr2bl w:val="nil"/>
                  </w:tcBorders>
                  <w:shd w:val="clear" w:color="auto" w:fill="auto"/>
                  <w:vAlign w:val="center"/>
                </w:tcPr>
                <w:p w14:paraId="5FCA41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西</w:t>
                  </w:r>
                  <w:r>
                    <w:rPr>
                      <w:rFonts w:hint="default" w:ascii="Times New Roman" w:hAnsi="Times New Roman" w:eastAsia="宋体" w:cs="Times New Roman"/>
                      <w:b w:val="0"/>
                      <w:bCs/>
                      <w:color w:val="auto"/>
                      <w:sz w:val="21"/>
                      <w:szCs w:val="21"/>
                      <w:lang w:eastAsia="zh-CN"/>
                    </w:rPr>
                    <w:t>厂界</w:t>
                  </w:r>
                </w:p>
              </w:tc>
              <w:tc>
                <w:tcPr>
                  <w:tcW w:w="1663" w:type="dxa"/>
                  <w:tcBorders>
                    <w:tl2br w:val="nil"/>
                    <w:tr2bl w:val="nil"/>
                  </w:tcBorders>
                  <w:shd w:val="clear" w:color="auto" w:fill="auto"/>
                  <w:vAlign w:val="center"/>
                </w:tcPr>
                <w:p w14:paraId="646E02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昼间</w:t>
                  </w:r>
                </w:p>
              </w:tc>
              <w:tc>
                <w:tcPr>
                  <w:tcW w:w="1622" w:type="dxa"/>
                  <w:vMerge w:val="restart"/>
                  <w:tcBorders>
                    <w:tl2br w:val="nil"/>
                    <w:tr2bl w:val="nil"/>
                  </w:tcBorders>
                  <w:shd w:val="clear" w:color="auto" w:fill="auto"/>
                  <w:vAlign w:val="center"/>
                </w:tcPr>
                <w:p w14:paraId="76C950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53.5</w:t>
                  </w:r>
                </w:p>
              </w:tc>
              <w:tc>
                <w:tcPr>
                  <w:tcW w:w="1807" w:type="dxa"/>
                  <w:tcBorders>
                    <w:tl2br w:val="nil"/>
                    <w:tr2bl w:val="nil"/>
                  </w:tcBorders>
                  <w:shd w:val="clear" w:color="auto" w:fill="auto"/>
                  <w:vAlign w:val="center"/>
                </w:tcPr>
                <w:p w14:paraId="48CFC3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6</w:t>
                  </w:r>
                  <w:r>
                    <w:rPr>
                      <w:rFonts w:hint="default" w:ascii="Times New Roman" w:hAnsi="Times New Roman" w:eastAsia="宋体" w:cs="Times New Roman"/>
                      <w:b w:val="0"/>
                      <w:bCs/>
                      <w:color w:val="auto"/>
                      <w:sz w:val="21"/>
                      <w:szCs w:val="21"/>
                      <w:lang w:val="en-US" w:eastAsia="zh-CN"/>
                    </w:rPr>
                    <w:t>5</w:t>
                  </w:r>
                </w:p>
              </w:tc>
              <w:tc>
                <w:tcPr>
                  <w:tcW w:w="1408" w:type="dxa"/>
                  <w:tcBorders>
                    <w:tl2br w:val="nil"/>
                    <w:tr2bl w:val="nil"/>
                  </w:tcBorders>
                  <w:shd w:val="clear" w:color="auto" w:fill="auto"/>
                  <w:vAlign w:val="center"/>
                </w:tcPr>
                <w:p w14:paraId="7C6C46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52A9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338" w:type="dxa"/>
                  <w:vMerge w:val="continue"/>
                  <w:tcBorders>
                    <w:tl2br w:val="nil"/>
                    <w:tr2bl w:val="nil"/>
                  </w:tcBorders>
                  <w:shd w:val="clear" w:color="auto" w:fill="auto"/>
                  <w:vAlign w:val="center"/>
                </w:tcPr>
                <w:p w14:paraId="0BAEB8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663" w:type="dxa"/>
                  <w:tcBorders>
                    <w:tl2br w:val="nil"/>
                    <w:tr2bl w:val="nil"/>
                  </w:tcBorders>
                  <w:shd w:val="clear" w:color="auto" w:fill="auto"/>
                  <w:vAlign w:val="center"/>
                </w:tcPr>
                <w:p w14:paraId="404AE5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zh-CN"/>
                    </w:rPr>
                    <w:t>夜间</w:t>
                  </w:r>
                </w:p>
              </w:tc>
              <w:tc>
                <w:tcPr>
                  <w:tcW w:w="1622" w:type="dxa"/>
                  <w:vMerge w:val="continue"/>
                  <w:tcBorders>
                    <w:tl2br w:val="nil"/>
                    <w:tr2bl w:val="nil"/>
                  </w:tcBorders>
                  <w:shd w:val="clear" w:color="auto" w:fill="auto"/>
                  <w:vAlign w:val="center"/>
                </w:tcPr>
                <w:p w14:paraId="542A44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p>
              </w:tc>
              <w:tc>
                <w:tcPr>
                  <w:tcW w:w="1807" w:type="dxa"/>
                  <w:tcBorders>
                    <w:tl2br w:val="nil"/>
                    <w:tr2bl w:val="nil"/>
                  </w:tcBorders>
                  <w:shd w:val="clear" w:color="auto" w:fill="auto"/>
                  <w:vAlign w:val="center"/>
                </w:tcPr>
                <w:p w14:paraId="25FCF5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55</w:t>
                  </w:r>
                </w:p>
              </w:tc>
              <w:tc>
                <w:tcPr>
                  <w:tcW w:w="1408" w:type="dxa"/>
                  <w:tcBorders>
                    <w:tl2br w:val="nil"/>
                    <w:tr2bl w:val="nil"/>
                  </w:tcBorders>
                  <w:shd w:val="clear" w:color="auto" w:fill="auto"/>
                  <w:vAlign w:val="center"/>
                </w:tcPr>
                <w:p w14:paraId="3FA319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052E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2338" w:type="dxa"/>
                  <w:vMerge w:val="restart"/>
                  <w:tcBorders>
                    <w:tl2br w:val="nil"/>
                    <w:tr2bl w:val="nil"/>
                  </w:tcBorders>
                  <w:shd w:val="clear" w:color="auto" w:fill="auto"/>
                  <w:vAlign w:val="center"/>
                </w:tcPr>
                <w:p w14:paraId="2F618E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北</w:t>
                  </w:r>
                  <w:r>
                    <w:rPr>
                      <w:rFonts w:hint="default" w:ascii="Times New Roman" w:hAnsi="Times New Roman" w:eastAsia="宋体" w:cs="Times New Roman"/>
                      <w:b w:val="0"/>
                      <w:bCs/>
                      <w:color w:val="auto"/>
                      <w:sz w:val="21"/>
                      <w:szCs w:val="21"/>
                      <w:lang w:eastAsia="zh-CN"/>
                    </w:rPr>
                    <w:t>厂界</w:t>
                  </w:r>
                </w:p>
              </w:tc>
              <w:tc>
                <w:tcPr>
                  <w:tcW w:w="1663" w:type="dxa"/>
                  <w:tcBorders>
                    <w:tl2br w:val="nil"/>
                    <w:tr2bl w:val="nil"/>
                  </w:tcBorders>
                  <w:shd w:val="clear" w:color="auto" w:fill="auto"/>
                  <w:vAlign w:val="center"/>
                </w:tcPr>
                <w:p w14:paraId="4B8485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昼间</w:t>
                  </w:r>
                </w:p>
              </w:tc>
              <w:tc>
                <w:tcPr>
                  <w:tcW w:w="1622" w:type="dxa"/>
                  <w:vMerge w:val="restart"/>
                  <w:tcBorders>
                    <w:tl2br w:val="nil"/>
                    <w:tr2bl w:val="nil"/>
                  </w:tcBorders>
                  <w:shd w:val="clear" w:color="auto" w:fill="auto"/>
                  <w:vAlign w:val="center"/>
                </w:tcPr>
                <w:p w14:paraId="5C9FFC7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48.3</w:t>
                  </w:r>
                </w:p>
              </w:tc>
              <w:tc>
                <w:tcPr>
                  <w:tcW w:w="1807" w:type="dxa"/>
                  <w:tcBorders>
                    <w:tl2br w:val="nil"/>
                    <w:tr2bl w:val="nil"/>
                  </w:tcBorders>
                  <w:shd w:val="clear" w:color="auto" w:fill="auto"/>
                  <w:vAlign w:val="center"/>
                </w:tcPr>
                <w:p w14:paraId="56A5E8A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6</w:t>
                  </w:r>
                  <w:r>
                    <w:rPr>
                      <w:rFonts w:hint="default" w:ascii="Times New Roman" w:hAnsi="Times New Roman" w:eastAsia="宋体" w:cs="Times New Roman"/>
                      <w:b w:val="0"/>
                      <w:bCs/>
                      <w:color w:val="auto"/>
                      <w:sz w:val="21"/>
                      <w:szCs w:val="21"/>
                      <w:lang w:val="en-US" w:eastAsia="zh-CN"/>
                    </w:rPr>
                    <w:t>5</w:t>
                  </w:r>
                </w:p>
              </w:tc>
              <w:tc>
                <w:tcPr>
                  <w:tcW w:w="1408" w:type="dxa"/>
                  <w:tcBorders>
                    <w:tl2br w:val="nil"/>
                    <w:tr2bl w:val="nil"/>
                  </w:tcBorders>
                  <w:shd w:val="clear" w:color="auto" w:fill="auto"/>
                  <w:vAlign w:val="center"/>
                </w:tcPr>
                <w:p w14:paraId="2BC46A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r w14:paraId="325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2338" w:type="dxa"/>
                  <w:vMerge w:val="continue"/>
                  <w:tcBorders>
                    <w:tl2br w:val="nil"/>
                    <w:tr2bl w:val="nil"/>
                  </w:tcBorders>
                  <w:shd w:val="clear" w:color="auto" w:fill="auto"/>
                  <w:vAlign w:val="center"/>
                </w:tcPr>
                <w:p w14:paraId="2EEB4F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663" w:type="dxa"/>
                  <w:tcBorders>
                    <w:tl2br w:val="nil"/>
                    <w:tr2bl w:val="nil"/>
                  </w:tcBorders>
                  <w:shd w:val="clear" w:color="auto" w:fill="auto"/>
                  <w:vAlign w:val="center"/>
                </w:tcPr>
                <w:p w14:paraId="5DF6EE5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zh-CN"/>
                    </w:rPr>
                    <w:t>夜间</w:t>
                  </w:r>
                </w:p>
              </w:tc>
              <w:tc>
                <w:tcPr>
                  <w:tcW w:w="1622" w:type="dxa"/>
                  <w:vMerge w:val="continue"/>
                  <w:tcBorders>
                    <w:tl2br w:val="nil"/>
                    <w:tr2bl w:val="nil"/>
                  </w:tcBorders>
                  <w:shd w:val="clear" w:color="auto" w:fill="auto"/>
                  <w:vAlign w:val="center"/>
                </w:tcPr>
                <w:p w14:paraId="1B7F4DF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p>
              </w:tc>
              <w:tc>
                <w:tcPr>
                  <w:tcW w:w="1807" w:type="dxa"/>
                  <w:tcBorders>
                    <w:tl2br w:val="nil"/>
                    <w:tr2bl w:val="nil"/>
                  </w:tcBorders>
                  <w:shd w:val="clear" w:color="auto" w:fill="auto"/>
                  <w:vAlign w:val="center"/>
                </w:tcPr>
                <w:p w14:paraId="7E4FF7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55</w:t>
                  </w:r>
                </w:p>
              </w:tc>
              <w:tc>
                <w:tcPr>
                  <w:tcW w:w="1408" w:type="dxa"/>
                  <w:tcBorders>
                    <w:tl2br w:val="nil"/>
                    <w:tr2bl w:val="nil"/>
                  </w:tcBorders>
                  <w:shd w:val="clear" w:color="auto" w:fill="auto"/>
                  <w:vAlign w:val="center"/>
                </w:tcPr>
                <w:p w14:paraId="3E1E94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lang w:eastAsia="en-US"/>
                    </w:rPr>
                  </w:pPr>
                  <w:r>
                    <w:rPr>
                      <w:rFonts w:hint="default" w:ascii="Times New Roman" w:hAnsi="Times New Roman" w:eastAsia="宋体" w:cs="Times New Roman"/>
                      <w:b w:val="0"/>
                      <w:bCs/>
                      <w:color w:val="auto"/>
                      <w:sz w:val="21"/>
                      <w:szCs w:val="21"/>
                      <w:lang w:eastAsia="en-US"/>
                    </w:rPr>
                    <w:t>达标</w:t>
                  </w:r>
                </w:p>
              </w:tc>
            </w:tr>
          </w:tbl>
          <w:p w14:paraId="2A608B6D">
            <w:pPr>
              <w:autoSpaceDE w:val="0"/>
              <w:autoSpaceDN w:val="0"/>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从上表可知，项目运营后噪声厂界</w:t>
            </w:r>
            <w:r>
              <w:rPr>
                <w:rFonts w:hint="default" w:ascii="Times New Roman" w:hAnsi="Times New Roman" w:eastAsia="宋体" w:cs="Times New Roman"/>
                <w:color w:val="auto"/>
                <w:sz w:val="24"/>
              </w:rPr>
              <w:t>贡献</w:t>
            </w:r>
            <w:r>
              <w:rPr>
                <w:rFonts w:hint="default" w:ascii="Times New Roman" w:hAnsi="Times New Roman" w:eastAsia="宋体" w:cs="Times New Roman"/>
                <w:color w:val="auto"/>
                <w:sz w:val="24"/>
                <w:lang w:val="zh-CN"/>
              </w:rPr>
              <w:t>值较小，本项目建成运营期间厂界噪声预测值可以达到《工业企业厂界环境噪声排放标准》（GB12348-2008）中</w:t>
            </w:r>
            <w:r>
              <w:rPr>
                <w:rFonts w:hint="eastAsia" w:cs="Times New Roman"/>
                <w:color w:val="auto"/>
                <w:sz w:val="24"/>
                <w:lang w:val="en-US" w:eastAsia="zh-CN"/>
              </w:rPr>
              <w:t>3</w:t>
            </w:r>
            <w:r>
              <w:rPr>
                <w:rFonts w:hint="default" w:ascii="Times New Roman" w:hAnsi="Times New Roman" w:eastAsia="宋体" w:cs="Times New Roman"/>
                <w:color w:val="auto"/>
                <w:sz w:val="24"/>
                <w:lang w:val="zh-CN"/>
              </w:rPr>
              <w:t>类标准，即昼间≤6</w:t>
            </w:r>
            <w:r>
              <w:rPr>
                <w:rFonts w:hint="eastAsia" w:cs="Times New Roman"/>
                <w:color w:val="auto"/>
                <w:sz w:val="24"/>
                <w:lang w:val="en-US" w:eastAsia="zh-CN"/>
              </w:rPr>
              <w:t>5</w:t>
            </w:r>
            <w:r>
              <w:rPr>
                <w:rFonts w:hint="default" w:ascii="Times New Roman" w:hAnsi="Times New Roman" w:eastAsia="宋体" w:cs="Times New Roman"/>
                <w:color w:val="auto"/>
                <w:sz w:val="24"/>
                <w:lang w:val="zh-CN"/>
              </w:rPr>
              <w:t>dB（A）。</w:t>
            </w:r>
          </w:p>
          <w:p w14:paraId="7094C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color w:val="auto"/>
                <w:sz w:val="24"/>
                <w:lang w:val="zh-CN"/>
              </w:rPr>
              <w:t>综上所述，建设项目噪声排放对周外环境影响较小，噪声防治措施可行。企业必须重视设备噪声、减震工程的设计及施工质量，确保达标，不得影响周边环境。项目在认真落实上述噪声治理措施后，厂界噪声满足《工业企业厂界环境噪声排放标准》（GB12348-2008</w:t>
            </w:r>
            <w:r>
              <w:rPr>
                <w:rFonts w:hint="default" w:ascii="Times New Roman" w:hAnsi="Times New Roman" w:eastAsia="宋体" w:cs="Times New Roman"/>
                <w:color w:val="auto"/>
                <w:sz w:val="24"/>
                <w:lang w:val="zh-CN" w:eastAsia="zh-CN"/>
              </w:rPr>
              <w:t>）</w:t>
            </w:r>
            <w:r>
              <w:rPr>
                <w:rFonts w:hint="default" w:ascii="Times New Roman" w:hAnsi="Times New Roman" w:eastAsia="宋体" w:cs="Times New Roman"/>
                <w:color w:val="auto"/>
                <w:sz w:val="24"/>
                <w:lang w:val="zh-CN"/>
              </w:rPr>
              <w:t>中规定的3类区排放限值。</w:t>
            </w:r>
          </w:p>
          <w:p w14:paraId="219E1FA3">
            <w:pPr>
              <w:spacing w:line="360" w:lineRule="auto"/>
              <w:rPr>
                <w:b/>
                <w:color w:val="auto"/>
                <w:sz w:val="24"/>
                <w:szCs w:val="24"/>
              </w:rPr>
            </w:pPr>
            <w:r>
              <w:rPr>
                <w:rFonts w:hint="eastAsia"/>
                <w:b/>
                <w:color w:val="auto"/>
                <w:sz w:val="24"/>
                <w:szCs w:val="24"/>
              </w:rPr>
              <w:t>3.</w:t>
            </w:r>
            <w:r>
              <w:rPr>
                <w:rFonts w:hint="eastAsia"/>
                <w:b/>
                <w:color w:val="auto"/>
                <w:sz w:val="24"/>
                <w:szCs w:val="24"/>
                <w:lang w:val="en-US" w:eastAsia="zh-CN"/>
              </w:rPr>
              <w:t>4</w:t>
            </w:r>
            <w:r>
              <w:rPr>
                <w:rFonts w:hint="eastAsia"/>
                <w:b/>
                <w:color w:val="auto"/>
                <w:sz w:val="24"/>
                <w:szCs w:val="24"/>
              </w:rPr>
              <w:t>噪声监测</w:t>
            </w:r>
          </w:p>
          <w:p w14:paraId="6367A853">
            <w:pPr>
              <w:adjustRightInd w:val="0"/>
              <w:snapToGrid w:val="0"/>
              <w:spacing w:line="360" w:lineRule="auto"/>
              <w:ind w:firstLine="480" w:firstLineChars="200"/>
              <w:rPr>
                <w:color w:val="auto"/>
                <w:sz w:val="24"/>
                <w:szCs w:val="24"/>
              </w:rPr>
            </w:pPr>
            <w:r>
              <w:rPr>
                <w:color w:val="auto"/>
                <w:sz w:val="24"/>
              </w:rPr>
              <w:t>本项目</w:t>
            </w:r>
            <w:r>
              <w:rPr>
                <w:rFonts w:hint="eastAsia"/>
                <w:color w:val="auto"/>
                <w:sz w:val="24"/>
              </w:rPr>
              <w:t>噪声</w:t>
            </w:r>
            <w:r>
              <w:rPr>
                <w:color w:val="auto"/>
                <w:sz w:val="24"/>
              </w:rPr>
              <w:t>监测参照</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sz w:val="24"/>
                <w:szCs w:val="20"/>
                <w:lang w:val="en-US" w:eastAsia="zh-CN"/>
              </w:rPr>
              <w:t>排污单位自行监测技术指南</w:t>
            </w:r>
            <w:r>
              <w:rPr>
                <w:rFonts w:hint="default" w:ascii="Times New Roman" w:hAnsi="Times New Roman" w:eastAsia="宋体" w:cs="Times New Roman"/>
                <w:color w:val="auto"/>
                <w:kern w:val="0"/>
                <w:sz w:val="24"/>
                <w:szCs w:val="24"/>
                <w:lang w:val="en-US" w:eastAsia="zh-CN"/>
              </w:rPr>
              <w:t xml:space="preserve"> 橡胶和塑料制品</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lang w:val="en-US" w:eastAsia="zh-CN"/>
              </w:rPr>
              <w:t>HJ1207-2021</w:t>
            </w:r>
            <w:r>
              <w:rPr>
                <w:rFonts w:hint="default" w:ascii="Times New Roman" w:hAnsi="Times New Roman" w:eastAsia="宋体" w:cs="Times New Roman"/>
                <w:color w:val="auto"/>
                <w:sz w:val="24"/>
                <w:szCs w:val="24"/>
              </w:rPr>
              <w:t>）</w:t>
            </w:r>
            <w:r>
              <w:rPr>
                <w:color w:val="auto"/>
                <w:sz w:val="24"/>
                <w:szCs w:val="24"/>
              </w:rPr>
              <w:t>，</w:t>
            </w:r>
            <w:r>
              <w:rPr>
                <w:color w:val="auto"/>
                <w:kern w:val="0"/>
                <w:sz w:val="24"/>
              </w:rPr>
              <w:t>根</w:t>
            </w:r>
            <w:r>
              <w:rPr>
                <w:color w:val="auto"/>
                <w:sz w:val="24"/>
              </w:rPr>
              <w:t>据本项目污染特征制定营运期的环境监测计划见下表</w:t>
            </w:r>
            <w:r>
              <w:rPr>
                <w:color w:val="auto"/>
                <w:sz w:val="24"/>
                <w:szCs w:val="24"/>
              </w:rPr>
              <w:t>：</w:t>
            </w:r>
          </w:p>
          <w:p w14:paraId="7711BE41">
            <w:pPr>
              <w:adjustRightInd w:val="0"/>
              <w:spacing w:line="240" w:lineRule="auto"/>
              <w:ind w:firstLine="519" w:firstLineChars="246"/>
              <w:jc w:val="center"/>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14 </w:t>
            </w:r>
            <w:r>
              <w:rPr>
                <w:rFonts w:hint="eastAsia"/>
                <w:b/>
                <w:color w:val="auto"/>
                <w:kern w:val="0"/>
                <w:sz w:val="21"/>
                <w:szCs w:val="21"/>
              </w:rPr>
              <w:t>噪声监测一览表</w:t>
            </w:r>
          </w:p>
          <w:tbl>
            <w:tblPr>
              <w:tblStyle w:val="2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58"/>
              <w:gridCol w:w="1205"/>
              <w:gridCol w:w="1498"/>
              <w:gridCol w:w="3530"/>
            </w:tblGrid>
            <w:tr w14:paraId="33FA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8" w:type="pct"/>
                  <w:vAlign w:val="center"/>
                </w:tcPr>
                <w:p w14:paraId="6AA419BB">
                  <w:pPr>
                    <w:adjustRightInd w:val="0"/>
                    <w:rPr>
                      <w:color w:val="auto"/>
                      <w:kern w:val="0"/>
                      <w:szCs w:val="21"/>
                    </w:rPr>
                  </w:pPr>
                  <w:r>
                    <w:rPr>
                      <w:color w:val="auto"/>
                      <w:kern w:val="0"/>
                      <w:szCs w:val="21"/>
                    </w:rPr>
                    <w:t>监测项目</w:t>
                  </w:r>
                </w:p>
              </w:tc>
              <w:tc>
                <w:tcPr>
                  <w:tcW w:w="714" w:type="pct"/>
                  <w:vAlign w:val="center"/>
                </w:tcPr>
                <w:p w14:paraId="120208FA">
                  <w:pPr>
                    <w:adjustRightInd w:val="0"/>
                    <w:jc w:val="center"/>
                    <w:rPr>
                      <w:color w:val="auto"/>
                      <w:kern w:val="0"/>
                      <w:szCs w:val="21"/>
                    </w:rPr>
                  </w:pPr>
                  <w:r>
                    <w:rPr>
                      <w:color w:val="auto"/>
                      <w:kern w:val="0"/>
                      <w:szCs w:val="21"/>
                    </w:rPr>
                    <w:t>监测点位</w:t>
                  </w:r>
                </w:p>
              </w:tc>
              <w:tc>
                <w:tcPr>
                  <w:tcW w:w="683" w:type="pct"/>
                  <w:vAlign w:val="center"/>
                </w:tcPr>
                <w:p w14:paraId="67C6F9B3">
                  <w:pPr>
                    <w:adjustRightInd w:val="0"/>
                    <w:jc w:val="center"/>
                    <w:rPr>
                      <w:color w:val="auto"/>
                      <w:kern w:val="0"/>
                      <w:szCs w:val="21"/>
                    </w:rPr>
                  </w:pPr>
                  <w:r>
                    <w:rPr>
                      <w:color w:val="auto"/>
                      <w:kern w:val="0"/>
                      <w:szCs w:val="21"/>
                    </w:rPr>
                    <w:t>监测因子</w:t>
                  </w:r>
                </w:p>
              </w:tc>
              <w:tc>
                <w:tcPr>
                  <w:tcW w:w="850" w:type="pct"/>
                  <w:vAlign w:val="center"/>
                </w:tcPr>
                <w:p w14:paraId="04BAAD57">
                  <w:pPr>
                    <w:adjustRightInd w:val="0"/>
                    <w:jc w:val="center"/>
                    <w:rPr>
                      <w:color w:val="auto"/>
                      <w:kern w:val="0"/>
                      <w:szCs w:val="21"/>
                    </w:rPr>
                  </w:pPr>
                  <w:r>
                    <w:rPr>
                      <w:color w:val="auto"/>
                      <w:kern w:val="0"/>
                      <w:szCs w:val="21"/>
                    </w:rPr>
                    <w:t>监测频次</w:t>
                  </w:r>
                </w:p>
              </w:tc>
              <w:tc>
                <w:tcPr>
                  <w:tcW w:w="2003" w:type="pct"/>
                  <w:vAlign w:val="center"/>
                </w:tcPr>
                <w:p w14:paraId="1E3AF114">
                  <w:pPr>
                    <w:adjustRightInd w:val="0"/>
                    <w:jc w:val="center"/>
                    <w:rPr>
                      <w:color w:val="auto"/>
                      <w:kern w:val="0"/>
                      <w:szCs w:val="21"/>
                    </w:rPr>
                  </w:pPr>
                  <w:r>
                    <w:rPr>
                      <w:color w:val="auto"/>
                      <w:kern w:val="0"/>
                      <w:szCs w:val="21"/>
                    </w:rPr>
                    <w:t>排放标准</w:t>
                  </w:r>
                </w:p>
              </w:tc>
            </w:tr>
            <w:tr w14:paraId="3473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8" w:type="pct"/>
                  <w:vAlign w:val="center"/>
                </w:tcPr>
                <w:p w14:paraId="36393B53">
                  <w:pPr>
                    <w:adjustRightInd w:val="0"/>
                    <w:jc w:val="center"/>
                    <w:rPr>
                      <w:color w:val="auto"/>
                      <w:kern w:val="0"/>
                      <w:szCs w:val="21"/>
                    </w:rPr>
                  </w:pPr>
                  <w:r>
                    <w:rPr>
                      <w:rFonts w:hint="eastAsia"/>
                      <w:color w:val="auto"/>
                      <w:kern w:val="0"/>
                      <w:szCs w:val="21"/>
                    </w:rPr>
                    <w:t>噪声</w:t>
                  </w:r>
                </w:p>
              </w:tc>
              <w:tc>
                <w:tcPr>
                  <w:tcW w:w="714" w:type="pct"/>
                  <w:vAlign w:val="center"/>
                </w:tcPr>
                <w:p w14:paraId="260B400C">
                  <w:pPr>
                    <w:adjustRightInd w:val="0"/>
                    <w:jc w:val="center"/>
                    <w:rPr>
                      <w:color w:val="auto"/>
                      <w:kern w:val="0"/>
                      <w:szCs w:val="21"/>
                    </w:rPr>
                  </w:pPr>
                  <w:r>
                    <w:rPr>
                      <w:color w:val="auto"/>
                      <w:kern w:val="0"/>
                      <w:szCs w:val="21"/>
                    </w:rPr>
                    <w:t>厂界</w:t>
                  </w:r>
                </w:p>
              </w:tc>
              <w:tc>
                <w:tcPr>
                  <w:tcW w:w="683" w:type="pct"/>
                  <w:vAlign w:val="center"/>
                </w:tcPr>
                <w:p w14:paraId="195E3D4C">
                  <w:pPr>
                    <w:adjustRightInd w:val="0"/>
                    <w:jc w:val="center"/>
                    <w:rPr>
                      <w:color w:val="auto"/>
                      <w:kern w:val="0"/>
                      <w:szCs w:val="21"/>
                    </w:rPr>
                  </w:pPr>
                  <w:r>
                    <w:rPr>
                      <w:bCs/>
                      <w:color w:val="auto"/>
                      <w:szCs w:val="21"/>
                    </w:rPr>
                    <w:t>等效连续A声级</w:t>
                  </w:r>
                </w:p>
              </w:tc>
              <w:tc>
                <w:tcPr>
                  <w:tcW w:w="850" w:type="pct"/>
                  <w:vAlign w:val="center"/>
                </w:tcPr>
                <w:p w14:paraId="4EED6217">
                  <w:pPr>
                    <w:adjustRightInd w:val="0"/>
                    <w:jc w:val="center"/>
                    <w:rPr>
                      <w:color w:val="auto"/>
                      <w:kern w:val="0"/>
                      <w:szCs w:val="21"/>
                    </w:rPr>
                  </w:pPr>
                  <w:r>
                    <w:rPr>
                      <w:color w:val="auto"/>
                      <w:kern w:val="0"/>
                      <w:szCs w:val="21"/>
                    </w:rPr>
                    <w:t>1次/</w:t>
                  </w:r>
                  <w:r>
                    <w:rPr>
                      <w:rFonts w:hint="eastAsia"/>
                      <w:color w:val="auto"/>
                      <w:kern w:val="0"/>
                      <w:szCs w:val="21"/>
                    </w:rPr>
                    <w:t>季度</w:t>
                  </w:r>
                </w:p>
              </w:tc>
              <w:tc>
                <w:tcPr>
                  <w:tcW w:w="2003" w:type="pct"/>
                  <w:vAlign w:val="center"/>
                </w:tcPr>
                <w:p w14:paraId="139F8755">
                  <w:pPr>
                    <w:adjustRightInd w:val="0"/>
                    <w:jc w:val="center"/>
                    <w:rPr>
                      <w:color w:val="auto"/>
                      <w:kern w:val="0"/>
                      <w:szCs w:val="21"/>
                    </w:rPr>
                  </w:pPr>
                  <w:r>
                    <w:rPr>
                      <w:color w:val="auto"/>
                      <w:kern w:val="0"/>
                      <w:szCs w:val="21"/>
                    </w:rPr>
                    <w:t>《工业企业厂界环境噪声排放标准》（GB12348-2008）中的</w:t>
                  </w:r>
                  <w:r>
                    <w:rPr>
                      <w:rFonts w:hint="eastAsia"/>
                      <w:color w:val="auto"/>
                      <w:kern w:val="0"/>
                      <w:szCs w:val="21"/>
                    </w:rPr>
                    <w:t>3</w:t>
                  </w:r>
                  <w:r>
                    <w:rPr>
                      <w:color w:val="auto"/>
                      <w:kern w:val="0"/>
                      <w:szCs w:val="21"/>
                    </w:rPr>
                    <w:fldChar w:fldCharType="begin"/>
                  </w:r>
                  <w:r>
                    <w:rPr>
                      <w:color w:val="auto"/>
                      <w:kern w:val="0"/>
                      <w:szCs w:val="21"/>
                    </w:rPr>
                    <w:instrText xml:space="preserve"> = 3 \* ROMAN </w:instrText>
                  </w:r>
                  <w:r>
                    <w:rPr>
                      <w:color w:val="auto"/>
                      <w:kern w:val="0"/>
                      <w:szCs w:val="21"/>
                    </w:rPr>
                    <w:fldChar w:fldCharType="end"/>
                  </w:r>
                  <w:r>
                    <w:rPr>
                      <w:color w:val="auto"/>
                      <w:kern w:val="0"/>
                      <w:szCs w:val="21"/>
                    </w:rPr>
                    <w:t>类标准</w:t>
                  </w:r>
                </w:p>
              </w:tc>
            </w:tr>
          </w:tbl>
          <w:p w14:paraId="06904784">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4、固体废物</w:t>
            </w:r>
          </w:p>
          <w:p w14:paraId="274D85E7">
            <w:pPr>
              <w:spacing w:line="360" w:lineRule="auto"/>
              <w:ind w:firstLine="480"/>
              <w:rPr>
                <w:bCs/>
                <w:color w:val="auto"/>
                <w:sz w:val="24"/>
                <w:szCs w:val="24"/>
              </w:rPr>
            </w:pPr>
            <w:r>
              <w:rPr>
                <w:rFonts w:hint="eastAsia"/>
                <w:b/>
                <w:bCs/>
                <w:color w:val="auto"/>
                <w:sz w:val="24"/>
                <w:szCs w:val="24"/>
              </w:rPr>
              <w:t>生活垃圾：</w:t>
            </w:r>
            <w:r>
              <w:rPr>
                <w:bCs/>
                <w:color w:val="auto"/>
                <w:sz w:val="24"/>
                <w:szCs w:val="24"/>
              </w:rPr>
              <w:t>本项目工作人员</w:t>
            </w:r>
            <w:r>
              <w:rPr>
                <w:rFonts w:hint="eastAsia"/>
                <w:bCs/>
                <w:color w:val="auto"/>
                <w:sz w:val="24"/>
                <w:szCs w:val="24"/>
                <w:lang w:val="en-US" w:eastAsia="zh-CN"/>
              </w:rPr>
              <w:t>50</w:t>
            </w:r>
            <w:r>
              <w:rPr>
                <w:bCs/>
                <w:color w:val="auto"/>
                <w:sz w:val="24"/>
                <w:szCs w:val="24"/>
              </w:rPr>
              <w:t>人，生活垃圾每人每天产生量按0.</w:t>
            </w:r>
            <w:r>
              <w:rPr>
                <w:rFonts w:hint="eastAsia"/>
                <w:bCs/>
                <w:color w:val="auto"/>
                <w:sz w:val="24"/>
                <w:szCs w:val="24"/>
                <w:lang w:val="en-US" w:eastAsia="zh-CN"/>
              </w:rPr>
              <w:t>5</w:t>
            </w:r>
            <w:r>
              <w:rPr>
                <w:bCs/>
                <w:color w:val="auto"/>
                <w:sz w:val="24"/>
                <w:szCs w:val="24"/>
              </w:rPr>
              <w:t>kg计算，则生活垃圾产生量约</w:t>
            </w:r>
            <w:r>
              <w:rPr>
                <w:rFonts w:hint="eastAsia"/>
                <w:bCs/>
                <w:color w:val="auto"/>
                <w:sz w:val="24"/>
                <w:szCs w:val="24"/>
                <w:lang w:val="en-US" w:eastAsia="zh-CN"/>
              </w:rPr>
              <w:t>7.5</w:t>
            </w:r>
            <w:r>
              <w:rPr>
                <w:bCs/>
                <w:color w:val="auto"/>
                <w:sz w:val="24"/>
                <w:szCs w:val="24"/>
              </w:rPr>
              <w:t>t/a</w:t>
            </w:r>
            <w:r>
              <w:rPr>
                <w:rFonts w:hint="eastAsia"/>
                <w:bCs/>
                <w:color w:val="auto"/>
                <w:sz w:val="24"/>
                <w:szCs w:val="24"/>
              </w:rPr>
              <w:t>，委托环卫部门统一清运处理；</w:t>
            </w:r>
          </w:p>
          <w:p w14:paraId="5397AF60">
            <w:pPr>
              <w:spacing w:line="360" w:lineRule="auto"/>
              <w:ind w:firstLine="480"/>
              <w:rPr>
                <w:rFonts w:hint="eastAsia"/>
                <w:bCs/>
                <w:color w:val="auto"/>
                <w:sz w:val="24"/>
                <w:szCs w:val="24"/>
                <w:lang w:eastAsia="zh-CN"/>
              </w:rPr>
            </w:pPr>
            <w:r>
              <w:rPr>
                <w:rFonts w:hint="eastAsia"/>
                <w:b/>
                <w:bCs/>
                <w:color w:val="auto"/>
                <w:sz w:val="24"/>
                <w:szCs w:val="24"/>
              </w:rPr>
              <w:t>一般工业固废：</w:t>
            </w:r>
          </w:p>
          <w:p w14:paraId="2A8EFA0C">
            <w:pPr>
              <w:spacing w:line="360" w:lineRule="auto"/>
              <w:ind w:firstLine="480"/>
              <w:rPr>
                <w:rFonts w:hint="eastAsia"/>
                <w:bCs/>
                <w:color w:val="auto"/>
                <w:sz w:val="24"/>
                <w:szCs w:val="24"/>
                <w:lang w:val="en-US" w:eastAsia="zh-CN"/>
              </w:rPr>
            </w:pPr>
            <w:r>
              <w:rPr>
                <w:rFonts w:hint="eastAsia"/>
                <w:bCs/>
                <w:color w:val="auto"/>
                <w:sz w:val="24"/>
                <w:szCs w:val="24"/>
                <w:lang w:eastAsia="zh-CN"/>
              </w:rPr>
              <w:t>边角料及不良品：项目边角料及不良品破碎后回用于生产，</w:t>
            </w:r>
            <w:r>
              <w:rPr>
                <w:rFonts w:hint="eastAsia" w:ascii="Times New Roman" w:hAnsi="Times New Roman" w:eastAsia="宋体" w:cs="Times New Roman"/>
                <w:color w:val="auto"/>
                <w:kern w:val="0"/>
                <w:sz w:val="24"/>
                <w:szCs w:val="24"/>
                <w:lang w:val="en-US" w:eastAsia="zh-CN" w:bidi="ar"/>
              </w:rPr>
              <w:t>根据</w:t>
            </w:r>
            <w:r>
              <w:rPr>
                <w:bCs/>
                <w:color w:val="auto"/>
                <w:sz w:val="24"/>
                <w:szCs w:val="24"/>
                <w:lang w:val="en-US" w:eastAsia="zh-CN"/>
              </w:rPr>
              <w:t>《</w:t>
            </w:r>
            <w:r>
              <w:rPr>
                <w:rFonts w:hint="eastAsia"/>
                <w:bCs/>
                <w:color w:val="auto"/>
                <w:sz w:val="24"/>
                <w:szCs w:val="24"/>
                <w:lang w:val="en-US" w:eastAsia="zh-CN"/>
              </w:rPr>
              <w:t>固体废物鉴别标准 通则</w:t>
            </w:r>
            <w:r>
              <w:rPr>
                <w:bCs/>
                <w:color w:val="auto"/>
                <w:sz w:val="24"/>
                <w:szCs w:val="24"/>
                <w:lang w:val="en-US" w:eastAsia="zh-CN"/>
              </w:rPr>
              <w:t>》（</w:t>
            </w:r>
            <w:r>
              <w:rPr>
                <w:rFonts w:hint="eastAsia"/>
                <w:bCs/>
                <w:color w:val="auto"/>
                <w:sz w:val="24"/>
                <w:szCs w:val="24"/>
                <w:lang w:val="en-US" w:eastAsia="zh-CN"/>
              </w:rPr>
              <w:t>GB34330</w:t>
            </w:r>
            <w:r>
              <w:rPr>
                <w:bCs/>
                <w:color w:val="auto"/>
                <w:sz w:val="24"/>
                <w:szCs w:val="24"/>
                <w:lang w:val="en-US" w:eastAsia="zh-CN"/>
              </w:rPr>
              <w:t>-2017）</w:t>
            </w:r>
            <w:r>
              <w:rPr>
                <w:rFonts w:hint="eastAsia"/>
                <w:bCs/>
                <w:color w:val="auto"/>
                <w:sz w:val="24"/>
                <w:szCs w:val="24"/>
                <w:lang w:val="en-US" w:eastAsia="zh-CN"/>
              </w:rPr>
              <w:t>中相关规定，可不作为固体废物进行管理。</w:t>
            </w:r>
          </w:p>
          <w:p w14:paraId="16D4C9A8">
            <w:pPr>
              <w:spacing w:line="360" w:lineRule="auto"/>
              <w:ind w:firstLine="480"/>
              <w:rPr>
                <w:rFonts w:hint="default" w:eastAsia="宋体"/>
                <w:bCs/>
                <w:color w:val="auto"/>
                <w:sz w:val="24"/>
                <w:szCs w:val="24"/>
                <w:lang w:val="en-US" w:eastAsia="zh-CN"/>
              </w:rPr>
            </w:pPr>
            <w:r>
              <w:rPr>
                <w:rFonts w:hint="eastAsia"/>
                <w:bCs/>
                <w:color w:val="auto"/>
                <w:sz w:val="24"/>
                <w:szCs w:val="24"/>
                <w:lang w:val="en-US" w:eastAsia="zh-CN"/>
              </w:rPr>
              <w:t>废包装袋：项目原辅料拆包过程会产生少量废包装袋约1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r>
              <w:rPr>
                <w:rFonts w:hint="eastAsia"/>
                <w:bCs/>
                <w:color w:val="auto"/>
                <w:sz w:val="24"/>
                <w:szCs w:val="24"/>
                <w:lang w:eastAsia="zh-CN"/>
              </w:rPr>
              <w:t>收集后由物资公司回收利用。</w:t>
            </w:r>
          </w:p>
          <w:p w14:paraId="3741467E">
            <w:pPr>
              <w:spacing w:line="360" w:lineRule="auto"/>
              <w:ind w:firstLine="480"/>
              <w:rPr>
                <w:color w:val="auto"/>
                <w:sz w:val="24"/>
                <w:szCs w:val="24"/>
              </w:rPr>
            </w:pPr>
            <w:r>
              <w:rPr>
                <w:rFonts w:hint="eastAsia"/>
                <w:b/>
                <w:bCs/>
                <w:color w:val="auto"/>
                <w:sz w:val="24"/>
                <w:szCs w:val="24"/>
              </w:rPr>
              <w:t>危险废物：</w:t>
            </w:r>
          </w:p>
          <w:p w14:paraId="0C4640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Cs/>
                <w:color w:val="auto"/>
                <w:sz w:val="24"/>
                <w:lang w:eastAsia="zh-CN"/>
              </w:rPr>
            </w:pPr>
            <w:r>
              <w:rPr>
                <w:rFonts w:hint="default" w:ascii="Times New Roman" w:hAnsi="Times New Roman" w:eastAsia="宋体" w:cs="Times New Roman"/>
                <w:bCs/>
                <w:color w:val="auto"/>
                <w:sz w:val="24"/>
                <w:szCs w:val="24"/>
              </w:rPr>
              <w:t>废活性炭：</w:t>
            </w:r>
            <w:r>
              <w:rPr>
                <w:rFonts w:hint="default" w:ascii="Times New Roman" w:hAnsi="Times New Roman" w:eastAsia="宋体" w:cs="Times New Roman"/>
                <w:bCs/>
                <w:color w:val="auto"/>
                <w:sz w:val="24"/>
                <w:szCs w:val="24"/>
                <w:lang w:eastAsia="zh-CN"/>
              </w:rPr>
              <w:t>本项目活性炭吸附的有机废气量</w:t>
            </w:r>
            <w:r>
              <w:rPr>
                <w:rFonts w:hint="eastAsia" w:cs="Times New Roman"/>
                <w:bCs/>
                <w:color w:val="auto"/>
                <w:sz w:val="24"/>
                <w:szCs w:val="24"/>
                <w:lang w:eastAsia="zh-CN"/>
              </w:rPr>
              <w:t>约</w:t>
            </w:r>
            <w:r>
              <w:rPr>
                <w:rFonts w:hint="default" w:ascii="Times New Roman" w:hAnsi="Times New Roman" w:eastAsia="宋体" w:cs="Times New Roman"/>
                <w:bCs/>
                <w:color w:val="auto"/>
                <w:sz w:val="24"/>
                <w:szCs w:val="24"/>
                <w:lang w:eastAsia="zh-CN"/>
              </w:rPr>
              <w:t>为</w:t>
            </w:r>
            <w:r>
              <w:rPr>
                <w:rFonts w:hint="eastAsia" w:cs="Times New Roman"/>
                <w:bCs/>
                <w:color w:val="auto"/>
                <w:sz w:val="24"/>
                <w:szCs w:val="24"/>
                <w:lang w:val="en-US" w:eastAsia="zh-CN"/>
              </w:rPr>
              <w:t>4.08</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kern w:val="0"/>
                <w:sz w:val="24"/>
                <w:szCs w:val="24"/>
                <w:lang w:val="en-US" w:eastAsia="zh-CN" w:bidi="ar"/>
              </w:rPr>
              <w:t>根据《</w:t>
            </w:r>
            <w:r>
              <w:rPr>
                <w:rFonts w:hint="eastAsia" w:cs="Times New Roman"/>
                <w:color w:val="auto"/>
                <w:kern w:val="0"/>
                <w:sz w:val="24"/>
                <w:szCs w:val="24"/>
                <w:lang w:val="en-US" w:eastAsia="zh-CN" w:bidi="ar"/>
              </w:rPr>
              <w:t>简明通风设计手册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每千克活性炭</w:t>
            </w:r>
            <w:r>
              <w:rPr>
                <w:rFonts w:hint="eastAsia" w:cs="Times New Roman"/>
                <w:color w:val="auto"/>
                <w:kern w:val="0"/>
                <w:sz w:val="24"/>
                <w:szCs w:val="24"/>
                <w:lang w:val="en-US" w:eastAsia="zh-CN" w:bidi="ar"/>
              </w:rPr>
              <w:t>可以</w:t>
            </w:r>
            <w:r>
              <w:rPr>
                <w:rFonts w:hint="default" w:ascii="Times New Roman" w:hAnsi="Times New Roman" w:eastAsia="宋体" w:cs="Times New Roman"/>
                <w:color w:val="auto"/>
                <w:kern w:val="0"/>
                <w:sz w:val="24"/>
                <w:szCs w:val="24"/>
                <w:lang w:val="en-US" w:eastAsia="zh-CN" w:bidi="ar"/>
              </w:rPr>
              <w:t>吸附0.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千克有机废气计算，则活性炭使用量为</w:t>
            </w:r>
            <w:r>
              <w:rPr>
                <w:rFonts w:hint="eastAsia" w:cs="Times New Roman"/>
                <w:color w:val="auto"/>
                <w:kern w:val="0"/>
                <w:sz w:val="24"/>
                <w:szCs w:val="24"/>
                <w:lang w:val="en-US" w:eastAsia="zh-CN" w:bidi="ar"/>
              </w:rPr>
              <w:t>13.6</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废活性炭产生量为</w:t>
            </w:r>
            <w:r>
              <w:rPr>
                <w:rFonts w:hint="eastAsia" w:cs="Times New Roman"/>
                <w:color w:val="auto"/>
                <w:kern w:val="0"/>
                <w:sz w:val="24"/>
                <w:szCs w:val="24"/>
                <w:lang w:val="en-US" w:eastAsia="zh-CN" w:bidi="ar"/>
              </w:rPr>
              <w:t>17.68</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cs="Times New Roman"/>
                <w:bCs/>
                <w:color w:val="auto"/>
                <w:sz w:val="24"/>
                <w:szCs w:val="24"/>
              </w:rPr>
              <w:t>根据《国家危险废物名录》（202</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版），</w:t>
            </w:r>
            <w:r>
              <w:rPr>
                <w:rFonts w:hint="default" w:ascii="Times New Roman" w:hAnsi="Times New Roman" w:cs="Times New Roman"/>
                <w:bCs/>
                <w:color w:val="auto"/>
                <w:sz w:val="24"/>
                <w:szCs w:val="24"/>
                <w:highlight w:val="none"/>
                <w:lang w:eastAsia="zh-CN"/>
              </w:rPr>
              <w:t>废物类别为</w:t>
            </w:r>
            <w:r>
              <w:rPr>
                <w:rFonts w:hint="default" w:ascii="Times New Roman" w:hAnsi="Times New Roman" w:cs="Times New Roman"/>
                <w:bCs/>
                <w:color w:val="auto"/>
                <w:sz w:val="24"/>
                <w:szCs w:val="24"/>
                <w:highlight w:val="none"/>
                <w:lang w:val="en-US" w:eastAsia="zh-CN"/>
              </w:rPr>
              <w:t>HW49，</w:t>
            </w:r>
            <w:r>
              <w:rPr>
                <w:rFonts w:hint="default" w:ascii="Times New Roman" w:hAnsi="Times New Roman" w:cs="Times New Roman"/>
                <w:bCs/>
                <w:color w:val="auto"/>
                <w:sz w:val="24"/>
                <w:szCs w:val="24"/>
                <w:highlight w:val="none"/>
              </w:rPr>
              <w:t>废物代码为900-0</w:t>
            </w:r>
            <w:r>
              <w:rPr>
                <w:rFonts w:hint="default" w:ascii="Times New Roman" w:hAnsi="Times New Roman" w:cs="Times New Roman"/>
                <w:bCs/>
                <w:color w:val="auto"/>
                <w:sz w:val="24"/>
                <w:szCs w:val="24"/>
                <w:highlight w:val="none"/>
                <w:lang w:val="en-US" w:eastAsia="zh-CN"/>
              </w:rPr>
              <w:t>39</w:t>
            </w:r>
            <w:r>
              <w:rPr>
                <w:rFonts w:hint="default" w:ascii="Times New Roman" w:hAnsi="Times New Roman" w:cs="Times New Roman"/>
                <w:bCs/>
                <w:color w:val="auto"/>
                <w:sz w:val="24"/>
                <w:szCs w:val="24"/>
                <w:highlight w:val="none"/>
              </w:rPr>
              <w:t>-49，</w:t>
            </w:r>
            <w:r>
              <w:rPr>
                <w:rFonts w:hint="eastAsia" w:cs="Times New Roman"/>
                <w:bCs/>
                <w:color w:val="auto"/>
                <w:sz w:val="24"/>
                <w:szCs w:val="24"/>
                <w:highlight w:val="none"/>
                <w:lang w:eastAsia="zh-CN"/>
              </w:rPr>
              <w:t>收集后</w:t>
            </w:r>
            <w:r>
              <w:rPr>
                <w:rFonts w:hint="default" w:ascii="Times New Roman" w:hAnsi="Times New Roman" w:cs="Times New Roman"/>
                <w:color w:val="auto"/>
                <w:sz w:val="24"/>
                <w:szCs w:val="24"/>
              </w:rPr>
              <w:t>暂存于公司危废间，定期交由</w:t>
            </w:r>
            <w:r>
              <w:rPr>
                <w:rFonts w:hint="eastAsia" w:cs="Times New Roman"/>
                <w:bCs/>
                <w:color w:val="auto"/>
                <w:sz w:val="24"/>
                <w:lang w:eastAsia="zh-CN"/>
              </w:rPr>
              <w:t>资质</w:t>
            </w:r>
            <w:r>
              <w:rPr>
                <w:rFonts w:hint="default" w:ascii="Times New Roman" w:hAnsi="Times New Roman" w:cs="Times New Roman"/>
                <w:bCs/>
                <w:color w:val="auto"/>
                <w:sz w:val="24"/>
              </w:rPr>
              <w:t>单位</w:t>
            </w:r>
            <w:r>
              <w:rPr>
                <w:rFonts w:hint="eastAsia" w:cs="Times New Roman"/>
                <w:bCs/>
                <w:color w:val="auto"/>
                <w:sz w:val="24"/>
                <w:lang w:eastAsia="zh-CN"/>
              </w:rPr>
              <w:t>处理。</w:t>
            </w:r>
          </w:p>
          <w:p w14:paraId="1619B8C3">
            <w:pPr>
              <w:keepNext w:val="0"/>
              <w:keepLines w:val="0"/>
              <w:pageBreakBefore w:val="0"/>
              <w:kinsoku/>
              <w:wordWrap/>
              <w:overflowPunct/>
              <w:topLinePunct w:val="0"/>
              <w:bidi w:val="0"/>
              <w:spacing w:line="360" w:lineRule="auto"/>
              <w:ind w:left="0" w:firstLine="480" w:firstLineChars="200"/>
              <w:textAlignment w:val="auto"/>
              <w:outlineLvl w:val="9"/>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rPr>
              <w:t>废</w:t>
            </w:r>
            <w:r>
              <w:rPr>
                <w:rFonts w:hint="eastAsia" w:ascii="Times New Roman" w:hAnsi="Times New Roman"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lang w:eastAsia="zh-CN"/>
              </w:rPr>
              <w:t>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废</w:t>
            </w:r>
            <w:r>
              <w:rPr>
                <w:rFonts w:hint="eastAsia" w:cs="Times New Roman"/>
                <w:color w:val="auto"/>
                <w:sz w:val="24"/>
                <w:szCs w:val="24"/>
                <w:lang w:eastAsia="zh-CN"/>
              </w:rPr>
              <w:t>机</w:t>
            </w:r>
            <w:r>
              <w:rPr>
                <w:rFonts w:hint="default" w:ascii="Times New Roman" w:hAnsi="Times New Roman" w:eastAsia="宋体" w:cs="Times New Roman"/>
                <w:color w:val="auto"/>
                <w:sz w:val="24"/>
                <w:szCs w:val="24"/>
                <w:lang w:eastAsia="zh-CN"/>
              </w:rPr>
              <w:t>油</w:t>
            </w:r>
            <w:r>
              <w:rPr>
                <w:rFonts w:hint="default" w:ascii="Times New Roman" w:hAnsi="Times New Roman" w:eastAsia="宋体" w:cs="Times New Roman"/>
                <w:color w:val="auto"/>
                <w:sz w:val="24"/>
                <w:szCs w:val="24"/>
              </w:rPr>
              <w:t>桶</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bidi="zh-CN"/>
              </w:rPr>
              <w:t>项目设备检修过程中会产生废机油</w:t>
            </w:r>
            <w:r>
              <w:rPr>
                <w:rFonts w:hint="eastAsia" w:ascii="Times New Roman" w:hAnsi="Times New Roman" w:eastAsia="宋体" w:cs="Times New Roman"/>
                <w:color w:val="auto"/>
                <w:sz w:val="24"/>
                <w:szCs w:val="24"/>
                <w:highlight w:val="none"/>
                <w:lang w:val="en-US" w:bidi="zh-CN"/>
              </w:rPr>
              <w:t>和</w:t>
            </w:r>
            <w:r>
              <w:rPr>
                <w:rFonts w:hint="default" w:ascii="Times New Roman" w:hAnsi="Times New Roman" w:eastAsia="宋体" w:cs="Times New Roman"/>
                <w:color w:val="auto"/>
                <w:sz w:val="24"/>
                <w:szCs w:val="24"/>
              </w:rPr>
              <w:t>废</w:t>
            </w:r>
            <w:r>
              <w:rPr>
                <w:rFonts w:hint="eastAsia" w:cs="Times New Roman"/>
                <w:color w:val="auto"/>
                <w:sz w:val="24"/>
                <w:szCs w:val="24"/>
                <w:lang w:eastAsia="zh-CN"/>
              </w:rPr>
              <w:t>机</w:t>
            </w:r>
            <w:r>
              <w:rPr>
                <w:rFonts w:hint="default" w:ascii="Times New Roman" w:hAnsi="Times New Roman" w:eastAsia="宋体" w:cs="Times New Roman"/>
                <w:color w:val="auto"/>
                <w:sz w:val="24"/>
                <w:szCs w:val="24"/>
                <w:lang w:eastAsia="zh-CN"/>
              </w:rPr>
              <w:t>油</w:t>
            </w:r>
            <w:r>
              <w:rPr>
                <w:rFonts w:hint="default" w:ascii="Times New Roman" w:hAnsi="Times New Roman" w:eastAsia="宋体" w:cs="Times New Roman"/>
                <w:color w:val="auto"/>
                <w:sz w:val="24"/>
                <w:szCs w:val="24"/>
              </w:rPr>
              <w:t>桶</w:t>
            </w:r>
            <w:r>
              <w:rPr>
                <w:rFonts w:hint="default" w:ascii="Times New Roman" w:hAnsi="Times New Roman" w:eastAsia="宋体" w:cs="Times New Roman"/>
                <w:color w:val="auto"/>
                <w:sz w:val="24"/>
                <w:szCs w:val="24"/>
                <w:highlight w:val="none"/>
                <w:lang w:val="en-US" w:bidi="zh-CN"/>
              </w:rPr>
              <w:t>，</w:t>
            </w:r>
            <w:r>
              <w:rPr>
                <w:rFonts w:hint="default" w:ascii="Times New Roman" w:hAnsi="Times New Roman" w:eastAsia="宋体" w:cs="Times New Roman"/>
                <w:color w:val="auto"/>
                <w:sz w:val="24"/>
                <w:szCs w:val="24"/>
                <w:highlight w:val="none"/>
                <w:lang w:bidi="zh-CN"/>
              </w:rPr>
              <w:t>废</w:t>
            </w:r>
            <w:r>
              <w:rPr>
                <w:rFonts w:hint="eastAsia" w:ascii="Times New Roman" w:hAnsi="Times New Roman" w:eastAsia="宋体" w:cs="Times New Roman"/>
                <w:color w:val="auto"/>
                <w:sz w:val="24"/>
                <w:szCs w:val="24"/>
                <w:highlight w:val="none"/>
                <w:lang w:bidi="zh-CN"/>
              </w:rPr>
              <w:t>机</w:t>
            </w:r>
            <w:r>
              <w:rPr>
                <w:rFonts w:hint="default" w:ascii="Times New Roman" w:hAnsi="Times New Roman" w:eastAsia="宋体" w:cs="Times New Roman"/>
                <w:color w:val="auto"/>
                <w:sz w:val="24"/>
                <w:szCs w:val="24"/>
                <w:highlight w:val="none"/>
                <w:lang w:bidi="zh-CN"/>
              </w:rPr>
              <w:t>油</w:t>
            </w:r>
            <w:r>
              <w:rPr>
                <w:rFonts w:hint="default" w:ascii="Times New Roman" w:hAnsi="Times New Roman" w:eastAsia="宋体" w:cs="Times New Roman"/>
                <w:color w:val="auto"/>
                <w:sz w:val="24"/>
                <w:szCs w:val="24"/>
                <w:lang w:eastAsia="zh-CN"/>
              </w:rPr>
              <w:t>产生量</w:t>
            </w:r>
            <w:r>
              <w:rPr>
                <w:rFonts w:hint="default" w:ascii="Times New Roman" w:hAnsi="Times New Roman" w:eastAsia="宋体" w:cs="Times New Roman"/>
                <w:color w:val="auto"/>
                <w:sz w:val="24"/>
                <w:szCs w:val="24"/>
                <w:highlight w:val="none"/>
                <w:lang w:bidi="zh-CN"/>
              </w:rPr>
              <w:t>约</w:t>
            </w:r>
            <w:r>
              <w:rPr>
                <w:rFonts w:hint="default" w:ascii="Times New Roman" w:hAnsi="Times New Roman" w:eastAsia="宋体" w:cs="Times New Roman"/>
                <w:color w:val="auto"/>
                <w:sz w:val="24"/>
                <w:szCs w:val="24"/>
                <w:highlight w:val="none"/>
                <w:lang w:val="en-US" w:bidi="zh-CN"/>
              </w:rPr>
              <w:t>0.</w:t>
            </w:r>
            <w:r>
              <w:rPr>
                <w:rFonts w:hint="eastAsia" w:ascii="Times New Roman" w:hAnsi="Times New Roman" w:eastAsia="宋体" w:cs="Times New Roman"/>
                <w:color w:val="auto"/>
                <w:sz w:val="24"/>
                <w:szCs w:val="24"/>
                <w:highlight w:val="none"/>
                <w:lang w:val="en-US" w:bidi="zh-CN"/>
              </w:rPr>
              <w:t>09</w:t>
            </w:r>
            <w:r>
              <w:rPr>
                <w:rFonts w:hint="default" w:ascii="Times New Roman" w:hAnsi="Times New Roman" w:eastAsia="宋体" w:cs="Times New Roman"/>
                <w:color w:val="auto"/>
                <w:sz w:val="24"/>
                <w:szCs w:val="24"/>
                <w:highlight w:val="none"/>
                <w:lang w:bidi="zh-CN"/>
              </w:rPr>
              <w:t>t/a，</w:t>
            </w:r>
            <w:r>
              <w:rPr>
                <w:rFonts w:hint="default" w:ascii="Times New Roman" w:hAnsi="Times New Roman" w:eastAsia="宋体" w:cs="Times New Roman"/>
                <w:bCs/>
                <w:color w:val="auto"/>
                <w:sz w:val="24"/>
                <w:szCs w:val="24"/>
                <w:lang w:val="en-US" w:eastAsia="zh-CN"/>
              </w:rPr>
              <w:t>废机油</w:t>
            </w:r>
            <w:r>
              <w:rPr>
                <w:rFonts w:hint="default" w:ascii="Times New Roman" w:hAnsi="Times New Roman" w:eastAsia="宋体" w:cs="Times New Roman"/>
                <w:color w:val="auto"/>
                <w:sz w:val="24"/>
                <w:szCs w:val="24"/>
                <w:lang w:eastAsia="zh-CN"/>
              </w:rPr>
              <w:t>桶产生量为</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t/a。</w:t>
            </w:r>
            <w:r>
              <w:rPr>
                <w:rFonts w:hint="default" w:ascii="Times New Roman" w:hAnsi="Times New Roman" w:cs="Times New Roman"/>
                <w:bCs/>
                <w:color w:val="auto"/>
                <w:sz w:val="24"/>
                <w:szCs w:val="24"/>
              </w:rPr>
              <w:t>根据《国家危险废物名录》（202</w:t>
            </w:r>
            <w:r>
              <w:rPr>
                <w:rFonts w:hint="eastAsia"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版），</w:t>
            </w:r>
            <w:r>
              <w:rPr>
                <w:rFonts w:hint="default" w:ascii="Times New Roman" w:hAnsi="Times New Roman" w:eastAsia="宋体" w:cs="Times New Roman"/>
                <w:color w:val="auto"/>
                <w:sz w:val="24"/>
                <w:szCs w:val="24"/>
                <w:highlight w:val="none"/>
                <w:lang w:bidi="zh-CN"/>
              </w:rPr>
              <w:t>废机油</w:t>
            </w:r>
            <w:r>
              <w:rPr>
                <w:rFonts w:hint="default" w:ascii="Times New Roman" w:hAnsi="Times New Roman" w:eastAsia="宋体" w:cs="Times New Roman"/>
                <w:color w:val="auto"/>
                <w:sz w:val="24"/>
                <w:szCs w:val="24"/>
                <w:highlight w:val="none"/>
              </w:rPr>
              <w:t>危废编号</w:t>
            </w:r>
            <w:r>
              <w:rPr>
                <w:rFonts w:hint="eastAsia"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rPr>
              <w:t>HW08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900-214-08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kern w:val="2"/>
                <w:sz w:val="24"/>
                <w:szCs w:val="24"/>
                <w:lang w:val="en-US" w:eastAsia="zh-CN"/>
              </w:rPr>
              <w:t>废</w:t>
            </w:r>
            <w:r>
              <w:rPr>
                <w:rFonts w:hint="default" w:ascii="Times New Roman" w:hAnsi="Times New Roman" w:eastAsia="宋体" w:cs="Times New Roman"/>
                <w:color w:val="auto"/>
                <w:sz w:val="24"/>
                <w:szCs w:val="24"/>
                <w:lang w:eastAsia="zh-CN"/>
              </w:rPr>
              <w:t>机</w:t>
            </w:r>
            <w:r>
              <w:rPr>
                <w:rFonts w:hint="default" w:ascii="Times New Roman" w:hAnsi="Times New Roman" w:eastAsia="宋体" w:cs="Times New Roman"/>
                <w:color w:val="auto"/>
                <w:sz w:val="24"/>
                <w:szCs w:val="24"/>
              </w:rPr>
              <w:t>油</w:t>
            </w:r>
            <w:r>
              <w:rPr>
                <w:rFonts w:hint="default" w:ascii="Times New Roman" w:hAnsi="Times New Roman" w:eastAsia="宋体" w:cs="Times New Roman"/>
                <w:bCs/>
                <w:color w:val="auto"/>
                <w:kern w:val="2"/>
                <w:sz w:val="24"/>
                <w:szCs w:val="24"/>
                <w:lang w:val="en-US" w:eastAsia="zh-CN"/>
              </w:rPr>
              <w:t>桶</w:t>
            </w:r>
            <w:r>
              <w:rPr>
                <w:rFonts w:hint="eastAsia" w:ascii="Times New Roman" w:hAnsi="Times New Roman" w:eastAsia="宋体" w:cs="Times New Roman"/>
                <w:bCs/>
                <w:color w:val="auto"/>
                <w:kern w:val="2"/>
                <w:sz w:val="24"/>
                <w:szCs w:val="24"/>
                <w:lang w:val="en-US" w:eastAsia="zh-CN"/>
              </w:rPr>
              <w:t>危废编号</w:t>
            </w:r>
            <w:r>
              <w:rPr>
                <w:rFonts w:hint="default" w:ascii="Times New Roman" w:hAnsi="Times New Roman" w:eastAsia="宋体" w:cs="Times New Roman"/>
                <w:bCs/>
                <w:color w:val="auto"/>
                <w:kern w:val="2"/>
                <w:sz w:val="24"/>
                <w:szCs w:val="24"/>
                <w:lang w:val="en-US" w:eastAsia="zh-CN"/>
              </w:rPr>
              <w:t>为</w:t>
            </w:r>
            <w:r>
              <w:rPr>
                <w:rFonts w:hint="default" w:ascii="Times New Roman" w:hAnsi="Times New Roman" w:eastAsia="宋体" w:cs="Times New Roman"/>
                <w:color w:val="auto"/>
                <w:sz w:val="24"/>
                <w:szCs w:val="24"/>
                <w:highlight w:val="none"/>
              </w:rPr>
              <w:t>HW08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kern w:val="2"/>
                <w:sz w:val="24"/>
                <w:szCs w:val="24"/>
                <w:lang w:val="en-US" w:eastAsia="zh-CN"/>
              </w:rPr>
              <w:t>900-249-08）。</w:t>
            </w:r>
            <w:r>
              <w:rPr>
                <w:rFonts w:hint="default" w:ascii="Times New Roman" w:hAnsi="Times New Roman" w:eastAsia="宋体" w:cs="Times New Roman"/>
                <w:bCs/>
                <w:color w:val="auto"/>
                <w:sz w:val="24"/>
                <w:szCs w:val="24"/>
                <w:lang w:val="en-US" w:eastAsia="zh-CN"/>
              </w:rPr>
              <w:t>集中收集后暂存于危废暂存间内，定期委托有资质单位处理</w:t>
            </w:r>
            <w:r>
              <w:rPr>
                <w:rFonts w:hint="default" w:ascii="Times New Roman" w:hAnsi="Times New Roman" w:eastAsia="宋体" w:cs="Times New Roman"/>
                <w:bCs/>
                <w:color w:val="auto"/>
                <w:kern w:val="2"/>
                <w:sz w:val="24"/>
                <w:szCs w:val="24"/>
                <w:lang w:val="en-US" w:eastAsia="zh-CN"/>
              </w:rPr>
              <w:t>。</w:t>
            </w:r>
          </w:p>
          <w:p w14:paraId="6FDB5DD4">
            <w:pPr>
              <w:pStyle w:val="20"/>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bCs/>
                <w:color w:val="auto"/>
                <w:kern w:val="2"/>
                <w:sz w:val="24"/>
                <w:szCs w:val="24"/>
                <w:lang w:val="en-US" w:eastAsia="zh-CN"/>
              </w:rPr>
            </w:pPr>
            <w:r>
              <w:rPr>
                <w:rFonts w:hint="eastAsia" w:ascii="Times New Roman" w:hAnsi="Times New Roman" w:eastAsia="宋体" w:cs="Times New Roman"/>
                <w:color w:val="auto"/>
                <w:sz w:val="24"/>
                <w:szCs w:val="24"/>
                <w:lang w:eastAsia="zh-CN"/>
              </w:rPr>
              <w:t>含油抹布和手套：</w:t>
            </w:r>
            <w:r>
              <w:rPr>
                <w:rFonts w:hint="eastAsia" w:ascii="Times New Roman" w:hAnsi="Times New Roman" w:eastAsia="宋体" w:cs="Times New Roman"/>
                <w:bCs/>
                <w:color w:val="auto"/>
                <w:kern w:val="2"/>
                <w:sz w:val="24"/>
                <w:szCs w:val="24"/>
                <w:lang w:val="en-US" w:eastAsia="zh-CN"/>
              </w:rPr>
              <w:t>项目会</w:t>
            </w:r>
            <w:r>
              <w:rPr>
                <w:rFonts w:hint="default" w:ascii="Times New Roman" w:hAnsi="Times New Roman" w:eastAsia="宋体" w:cs="Times New Roman"/>
                <w:bCs/>
                <w:color w:val="auto"/>
                <w:kern w:val="2"/>
                <w:sz w:val="24"/>
                <w:szCs w:val="24"/>
                <w:lang w:val="en-US" w:eastAsia="zh-CN"/>
              </w:rPr>
              <w:t>产生少量</w:t>
            </w:r>
            <w:r>
              <w:rPr>
                <w:rFonts w:hint="eastAsia" w:ascii="Times New Roman" w:hAnsi="Times New Roman" w:eastAsia="宋体" w:cs="Times New Roman"/>
                <w:color w:val="auto"/>
                <w:sz w:val="24"/>
                <w:szCs w:val="24"/>
                <w:lang w:eastAsia="zh-CN"/>
              </w:rPr>
              <w:t>含油抹布和手套</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color w:val="auto"/>
                <w:sz w:val="24"/>
                <w:szCs w:val="24"/>
                <w:lang w:eastAsia="zh-CN"/>
              </w:rPr>
              <w:t>产生量</w:t>
            </w:r>
            <w:r>
              <w:rPr>
                <w:rFonts w:hint="eastAsia" w:ascii="Times New Roman" w:hAnsi="Times New Roman" w:eastAsia="宋体" w:cs="Times New Roman"/>
                <w:color w:val="auto"/>
                <w:sz w:val="24"/>
                <w:szCs w:val="24"/>
                <w:lang w:eastAsia="zh-CN"/>
              </w:rPr>
              <w:t>约</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含油抹布和手套</w:t>
            </w:r>
            <w:r>
              <w:rPr>
                <w:rFonts w:hint="default" w:ascii="Times New Roman" w:hAnsi="Times New Roman" w:eastAsia="宋体" w:cs="Times New Roman"/>
                <w:bCs/>
                <w:color w:val="auto"/>
                <w:kern w:val="2"/>
                <w:sz w:val="24"/>
                <w:szCs w:val="24"/>
                <w:lang w:val="en-US" w:eastAsia="zh-CN"/>
              </w:rPr>
              <w:t>属于危险废物，废物代码为</w:t>
            </w:r>
            <w:r>
              <w:rPr>
                <w:rFonts w:hint="default" w:ascii="Times New Roman" w:hAnsi="Times New Roman" w:eastAsia="宋体" w:cs="Times New Roman"/>
                <w:color w:val="auto"/>
                <w:sz w:val="24"/>
                <w:szCs w:val="24"/>
                <w:highlight w:val="none"/>
              </w:rPr>
              <w:t>HW</w:t>
            </w:r>
            <w:r>
              <w:rPr>
                <w:rFonts w:hint="eastAsia" w:ascii="Times New Roman" w:hAnsi="Times New Roman" w:eastAsia="宋体"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kern w:val="2"/>
                <w:sz w:val="24"/>
                <w:szCs w:val="24"/>
                <w:lang w:val="en-US" w:eastAsia="zh-CN"/>
              </w:rPr>
              <w:t>900-</w:t>
            </w:r>
            <w:r>
              <w:rPr>
                <w:rFonts w:hint="eastAsia" w:ascii="Times New Roman" w:hAnsi="Times New Roman" w:eastAsia="宋体" w:cs="Times New Roman"/>
                <w:bCs/>
                <w:color w:val="auto"/>
                <w:kern w:val="2"/>
                <w:sz w:val="24"/>
                <w:szCs w:val="24"/>
                <w:lang w:val="en-US" w:eastAsia="zh-CN"/>
              </w:rPr>
              <w:t>041</w:t>
            </w:r>
            <w:r>
              <w:rPr>
                <w:rFonts w:hint="default" w:ascii="Times New Roman" w:hAnsi="Times New Roman" w:eastAsia="宋体" w:cs="Times New Roman"/>
                <w:bCs/>
                <w:color w:val="auto"/>
                <w:kern w:val="2"/>
                <w:sz w:val="24"/>
                <w:szCs w:val="24"/>
                <w:lang w:val="en-US" w:eastAsia="zh-CN"/>
              </w:rPr>
              <w:t>-</w:t>
            </w:r>
            <w:r>
              <w:rPr>
                <w:rFonts w:hint="eastAsia" w:ascii="Times New Roman" w:hAnsi="Times New Roman" w:eastAsia="宋体" w:cs="Times New Roman"/>
                <w:bCs/>
                <w:color w:val="auto"/>
                <w:kern w:val="2"/>
                <w:sz w:val="24"/>
                <w:szCs w:val="24"/>
                <w:lang w:val="en-US" w:eastAsia="zh-CN"/>
              </w:rPr>
              <w:t>49</w:t>
            </w:r>
            <w:r>
              <w:rPr>
                <w:rFonts w:hint="default" w:ascii="Times New Roman" w:hAnsi="Times New Roman" w:eastAsia="宋体" w:cs="Times New Roman"/>
                <w:bCs/>
                <w:color w:val="auto"/>
                <w:kern w:val="2"/>
                <w:sz w:val="24"/>
                <w:szCs w:val="24"/>
                <w:lang w:val="en-US" w:eastAsia="zh-CN"/>
              </w:rPr>
              <w:t>）</w:t>
            </w:r>
            <w:r>
              <w:rPr>
                <w:rFonts w:hint="eastAsia" w:ascii="Times New Roman" w:hAnsi="Times New Roman" w:eastAsia="宋体" w:cs="Times New Roman"/>
                <w:bCs/>
                <w:color w:val="auto"/>
                <w:kern w:val="2"/>
                <w:sz w:val="24"/>
                <w:szCs w:val="24"/>
                <w:lang w:val="en-US" w:eastAsia="zh-CN"/>
              </w:rPr>
              <w:t>。</w:t>
            </w:r>
            <w:r>
              <w:rPr>
                <w:rFonts w:hint="default" w:ascii="Times New Roman" w:hAnsi="Times New Roman" w:eastAsia="宋体" w:cs="Times New Roman"/>
                <w:bCs/>
                <w:color w:val="auto"/>
                <w:sz w:val="24"/>
                <w:szCs w:val="24"/>
                <w:lang w:val="en-US" w:eastAsia="zh-CN"/>
              </w:rPr>
              <w:t>集中收集后暂存于危废暂存间内，定期委托有资质单位处理</w:t>
            </w:r>
            <w:r>
              <w:rPr>
                <w:rFonts w:hint="eastAsia"/>
                <w:bCs/>
                <w:color w:val="auto"/>
                <w:sz w:val="24"/>
                <w:szCs w:val="24"/>
                <w:lang w:eastAsia="zh-CN"/>
              </w:rPr>
              <w:t>。</w:t>
            </w:r>
          </w:p>
          <w:p w14:paraId="7CF49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Ansi="宋体"/>
                <w:b/>
                <w:snapToGrid w:val="0"/>
                <w:color w:val="auto"/>
                <w:kern w:val="24"/>
                <w:sz w:val="21"/>
                <w:szCs w:val="21"/>
              </w:rPr>
            </w:pPr>
            <w:r>
              <w:rPr>
                <w:rFonts w:hint="eastAsia" w:hAnsi="宋体"/>
                <w:b/>
                <w:snapToGrid w:val="0"/>
                <w:color w:val="auto"/>
                <w:kern w:val="24"/>
                <w:sz w:val="21"/>
                <w:szCs w:val="21"/>
              </w:rPr>
              <w:t>表4-</w:t>
            </w:r>
            <w:r>
              <w:rPr>
                <w:rFonts w:hint="eastAsia" w:hAnsi="宋体"/>
                <w:b/>
                <w:snapToGrid w:val="0"/>
                <w:color w:val="auto"/>
                <w:kern w:val="24"/>
                <w:sz w:val="21"/>
                <w:szCs w:val="21"/>
                <w:lang w:val="en-US" w:eastAsia="zh-CN"/>
              </w:rPr>
              <w:t xml:space="preserve">15 </w:t>
            </w:r>
            <w:r>
              <w:rPr>
                <w:rFonts w:hint="eastAsia" w:hAnsi="宋体"/>
                <w:b/>
                <w:snapToGrid w:val="0"/>
                <w:color w:val="auto"/>
                <w:kern w:val="24"/>
                <w:sz w:val="21"/>
                <w:szCs w:val="21"/>
              </w:rPr>
              <w:t>项目固废产生情况一览表</w:t>
            </w:r>
          </w:p>
          <w:tbl>
            <w:tblPr>
              <w:tblStyle w:val="29"/>
              <w:tblW w:w="88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25"/>
              <w:gridCol w:w="585"/>
              <w:gridCol w:w="1080"/>
              <w:gridCol w:w="975"/>
              <w:gridCol w:w="615"/>
              <w:gridCol w:w="600"/>
              <w:gridCol w:w="825"/>
              <w:gridCol w:w="675"/>
              <w:gridCol w:w="719"/>
              <w:gridCol w:w="763"/>
            </w:tblGrid>
            <w:tr w14:paraId="62C1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 w:type="dxa"/>
                  <w:vAlign w:val="center"/>
                </w:tcPr>
                <w:p w14:paraId="053FD3D9">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产生环节</w:t>
                  </w:r>
                </w:p>
              </w:tc>
              <w:tc>
                <w:tcPr>
                  <w:tcW w:w="1125" w:type="dxa"/>
                  <w:vAlign w:val="center"/>
                </w:tcPr>
                <w:p w14:paraId="28BC19B2">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固废名称</w:t>
                  </w:r>
                </w:p>
              </w:tc>
              <w:tc>
                <w:tcPr>
                  <w:tcW w:w="585" w:type="dxa"/>
                  <w:vAlign w:val="center"/>
                </w:tcPr>
                <w:p w14:paraId="60E70ED2">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固废类型</w:t>
                  </w:r>
                </w:p>
              </w:tc>
              <w:tc>
                <w:tcPr>
                  <w:tcW w:w="1080" w:type="dxa"/>
                  <w:vAlign w:val="center"/>
                </w:tcPr>
                <w:p w14:paraId="1BAD905C">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废物代码</w:t>
                  </w:r>
                </w:p>
              </w:tc>
              <w:tc>
                <w:tcPr>
                  <w:tcW w:w="975" w:type="dxa"/>
                  <w:vAlign w:val="center"/>
                </w:tcPr>
                <w:p w14:paraId="50E8EA1F">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主要有毒有害物质</w:t>
                  </w:r>
                </w:p>
              </w:tc>
              <w:tc>
                <w:tcPr>
                  <w:tcW w:w="615" w:type="dxa"/>
                  <w:vAlign w:val="center"/>
                </w:tcPr>
                <w:p w14:paraId="456E762B">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物理性状</w:t>
                  </w:r>
                </w:p>
              </w:tc>
              <w:tc>
                <w:tcPr>
                  <w:tcW w:w="600" w:type="dxa"/>
                  <w:vAlign w:val="center"/>
                </w:tcPr>
                <w:p w14:paraId="422FCE39">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危险特性</w:t>
                  </w:r>
                </w:p>
              </w:tc>
              <w:tc>
                <w:tcPr>
                  <w:tcW w:w="825" w:type="dxa"/>
                  <w:vAlign w:val="center"/>
                </w:tcPr>
                <w:p w14:paraId="23922AC5">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产生量t/a</w:t>
                  </w:r>
                </w:p>
              </w:tc>
              <w:tc>
                <w:tcPr>
                  <w:tcW w:w="675" w:type="dxa"/>
                  <w:vAlign w:val="center"/>
                </w:tcPr>
                <w:p w14:paraId="3096EBAC">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rPr>
                    <w:t>贮存方式</w:t>
                  </w:r>
                </w:p>
              </w:tc>
              <w:tc>
                <w:tcPr>
                  <w:tcW w:w="719" w:type="dxa"/>
                  <w:vAlign w:val="center"/>
                </w:tcPr>
                <w:p w14:paraId="6678A05E">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处置方式</w:t>
                  </w:r>
                </w:p>
              </w:tc>
              <w:tc>
                <w:tcPr>
                  <w:tcW w:w="763" w:type="dxa"/>
                  <w:vAlign w:val="center"/>
                </w:tcPr>
                <w:p w14:paraId="44C2F9E1">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rPr>
                    <w:t>处置量</w:t>
                  </w:r>
                  <w:r>
                    <w:rPr>
                      <w:snapToGrid w:val="0"/>
                      <w:color w:val="auto"/>
                      <w:kern w:val="24"/>
                      <w:szCs w:val="21"/>
                    </w:rPr>
                    <w:t>t/a</w:t>
                  </w:r>
                </w:p>
              </w:tc>
            </w:tr>
            <w:tr w14:paraId="5BF4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 w:type="dxa"/>
                  <w:vAlign w:val="center"/>
                </w:tcPr>
                <w:p w14:paraId="49DDC155">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办公生活</w:t>
                  </w:r>
                </w:p>
              </w:tc>
              <w:tc>
                <w:tcPr>
                  <w:tcW w:w="1125" w:type="dxa"/>
                  <w:tcBorders>
                    <w:bottom w:val="single" w:color="auto" w:sz="4" w:space="0"/>
                  </w:tcBorders>
                  <w:vAlign w:val="center"/>
                </w:tcPr>
                <w:p w14:paraId="083CDEA1">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生活垃圾</w:t>
                  </w:r>
                </w:p>
              </w:tc>
              <w:tc>
                <w:tcPr>
                  <w:tcW w:w="585" w:type="dxa"/>
                  <w:vMerge w:val="restart"/>
                  <w:vAlign w:val="center"/>
                </w:tcPr>
                <w:p w14:paraId="7C848D96">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r>
                    <w:rPr>
                      <w:snapToGrid w:val="0"/>
                      <w:color w:val="auto"/>
                      <w:kern w:val="24"/>
                      <w:szCs w:val="21"/>
                    </w:rPr>
                    <w:t>一般固废</w:t>
                  </w:r>
                </w:p>
              </w:tc>
              <w:tc>
                <w:tcPr>
                  <w:tcW w:w="1080" w:type="dxa"/>
                  <w:vAlign w:val="center"/>
                </w:tcPr>
                <w:p w14:paraId="048F4BFB">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default" w:ascii="Times New Roman" w:hAnsi="Times New Roman" w:eastAsia="宋体" w:cs="Times New Roman"/>
                      <w:color w:val="auto"/>
                      <w:szCs w:val="21"/>
                      <w:lang w:val="en-US" w:eastAsia="zh-CN"/>
                    </w:rPr>
                    <w:t>900-999-99</w:t>
                  </w:r>
                </w:p>
              </w:tc>
              <w:tc>
                <w:tcPr>
                  <w:tcW w:w="975" w:type="dxa"/>
                  <w:vAlign w:val="center"/>
                </w:tcPr>
                <w:p w14:paraId="7F52899A">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w:t>
                  </w:r>
                </w:p>
              </w:tc>
              <w:tc>
                <w:tcPr>
                  <w:tcW w:w="615" w:type="dxa"/>
                  <w:vAlign w:val="center"/>
                </w:tcPr>
                <w:p w14:paraId="027776AB">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w:t>
                  </w:r>
                </w:p>
              </w:tc>
              <w:tc>
                <w:tcPr>
                  <w:tcW w:w="600" w:type="dxa"/>
                  <w:vAlign w:val="center"/>
                </w:tcPr>
                <w:p w14:paraId="4C53C022">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w:t>
                  </w:r>
                </w:p>
              </w:tc>
              <w:tc>
                <w:tcPr>
                  <w:tcW w:w="825" w:type="dxa"/>
                  <w:vAlign w:val="center"/>
                </w:tcPr>
                <w:p w14:paraId="2335BF5C">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rFonts w:hint="eastAsia"/>
                      <w:snapToGrid w:val="0"/>
                      <w:color w:val="auto"/>
                      <w:kern w:val="24"/>
                      <w:szCs w:val="21"/>
                      <w:lang w:val="en-US" w:eastAsia="zh-CN"/>
                    </w:rPr>
                    <w:t>7.5</w:t>
                  </w:r>
                </w:p>
              </w:tc>
              <w:tc>
                <w:tcPr>
                  <w:tcW w:w="675" w:type="dxa"/>
                  <w:vAlign w:val="center"/>
                </w:tcPr>
                <w:p w14:paraId="7C5C7184">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rPr>
                    <w:t>垃圾桶</w:t>
                  </w:r>
                </w:p>
              </w:tc>
              <w:tc>
                <w:tcPr>
                  <w:tcW w:w="719" w:type="dxa"/>
                  <w:vAlign w:val="center"/>
                </w:tcPr>
                <w:p w14:paraId="29777545">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rPr>
                    <w:t>环卫清运</w:t>
                  </w:r>
                </w:p>
              </w:tc>
              <w:tc>
                <w:tcPr>
                  <w:tcW w:w="763" w:type="dxa"/>
                  <w:vAlign w:val="center"/>
                </w:tcPr>
                <w:p w14:paraId="5A7CABA5">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snapToGrid w:val="0"/>
                      <w:color w:val="auto"/>
                      <w:kern w:val="24"/>
                      <w:sz w:val="21"/>
                      <w:szCs w:val="21"/>
                      <w:lang w:val="en-US" w:eastAsia="zh-CN" w:bidi="ar-SA"/>
                    </w:rPr>
                  </w:pPr>
                  <w:r>
                    <w:rPr>
                      <w:rFonts w:hint="eastAsia"/>
                      <w:snapToGrid w:val="0"/>
                      <w:color w:val="auto"/>
                      <w:kern w:val="24"/>
                      <w:szCs w:val="21"/>
                      <w:lang w:val="en-US" w:eastAsia="zh-CN"/>
                    </w:rPr>
                    <w:t>8.4</w:t>
                  </w:r>
                </w:p>
              </w:tc>
            </w:tr>
            <w:tr w14:paraId="3307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92" w:type="dxa"/>
                  <w:vAlign w:val="center"/>
                </w:tcPr>
                <w:p w14:paraId="072891AB">
                  <w:pPr>
                    <w:keepNext w:val="0"/>
                    <w:keepLines w:val="0"/>
                    <w:pageBreakBefore w:val="0"/>
                    <w:widowControl w:val="0"/>
                    <w:kinsoku/>
                    <w:wordWrap/>
                    <w:overflowPunct/>
                    <w:topLinePunct w:val="0"/>
                    <w:bidi w:val="0"/>
                    <w:snapToGrid/>
                    <w:ind w:left="-105" w:leftChars="-50" w:right="-105" w:rightChars="-50"/>
                    <w:jc w:val="center"/>
                    <w:textAlignment w:val="auto"/>
                    <w:rPr>
                      <w:rFonts w:hint="eastAsia"/>
                      <w:color w:val="auto"/>
                      <w:kern w:val="2"/>
                      <w:lang w:eastAsia="zh-CN"/>
                    </w:rPr>
                  </w:pPr>
                  <w:r>
                    <w:rPr>
                      <w:rFonts w:hint="eastAsia"/>
                      <w:snapToGrid w:val="0"/>
                      <w:color w:val="auto"/>
                      <w:kern w:val="24"/>
                      <w:szCs w:val="21"/>
                      <w:lang w:eastAsia="zh-CN"/>
                    </w:rPr>
                    <w:t>包装</w:t>
                  </w:r>
                </w:p>
              </w:tc>
              <w:tc>
                <w:tcPr>
                  <w:tcW w:w="1125" w:type="dxa"/>
                  <w:tcBorders>
                    <w:top w:val="single" w:color="auto" w:sz="4" w:space="0"/>
                    <w:bottom w:val="single" w:color="auto" w:sz="4" w:space="0"/>
                  </w:tcBorders>
                  <w:vAlign w:val="center"/>
                </w:tcPr>
                <w:p w14:paraId="107F552E">
                  <w:pPr>
                    <w:keepNext w:val="0"/>
                    <w:keepLines w:val="0"/>
                    <w:pageBreakBefore w:val="0"/>
                    <w:widowControl w:val="0"/>
                    <w:kinsoku/>
                    <w:wordWrap/>
                    <w:overflowPunct/>
                    <w:topLinePunct w:val="0"/>
                    <w:bidi w:val="0"/>
                    <w:snapToGrid/>
                    <w:ind w:left="-105" w:leftChars="-50" w:right="-105" w:rightChars="-50"/>
                    <w:jc w:val="center"/>
                    <w:textAlignment w:val="auto"/>
                    <w:rPr>
                      <w:color w:val="auto"/>
                    </w:rPr>
                  </w:pPr>
                  <w:r>
                    <w:rPr>
                      <w:rFonts w:hint="eastAsia"/>
                      <w:snapToGrid w:val="0"/>
                      <w:color w:val="auto"/>
                      <w:kern w:val="24"/>
                      <w:szCs w:val="21"/>
                      <w:lang w:eastAsia="zh-CN"/>
                    </w:rPr>
                    <w:t>废包装袋</w:t>
                  </w:r>
                </w:p>
              </w:tc>
              <w:tc>
                <w:tcPr>
                  <w:tcW w:w="585" w:type="dxa"/>
                  <w:vMerge w:val="continue"/>
                  <w:vAlign w:val="center"/>
                </w:tcPr>
                <w:p w14:paraId="1B3BB1A6">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p>
              </w:tc>
              <w:tc>
                <w:tcPr>
                  <w:tcW w:w="1080" w:type="dxa"/>
                  <w:vAlign w:val="center"/>
                </w:tcPr>
                <w:p w14:paraId="29163745">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900-999-99</w:t>
                  </w:r>
                </w:p>
              </w:tc>
              <w:tc>
                <w:tcPr>
                  <w:tcW w:w="975" w:type="dxa"/>
                  <w:vAlign w:val="center"/>
                </w:tcPr>
                <w:p w14:paraId="77DFFF66">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w:t>
                  </w:r>
                </w:p>
              </w:tc>
              <w:tc>
                <w:tcPr>
                  <w:tcW w:w="615" w:type="dxa"/>
                  <w:vAlign w:val="center"/>
                </w:tcPr>
                <w:p w14:paraId="23767D11">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w:t>
                  </w:r>
                </w:p>
              </w:tc>
              <w:tc>
                <w:tcPr>
                  <w:tcW w:w="600" w:type="dxa"/>
                  <w:vAlign w:val="center"/>
                </w:tcPr>
                <w:p w14:paraId="164A8D95">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w:t>
                  </w:r>
                </w:p>
              </w:tc>
              <w:tc>
                <w:tcPr>
                  <w:tcW w:w="825" w:type="dxa"/>
                  <w:vAlign w:val="center"/>
                </w:tcPr>
                <w:p w14:paraId="4834520E">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1</w:t>
                  </w:r>
                </w:p>
              </w:tc>
              <w:tc>
                <w:tcPr>
                  <w:tcW w:w="675" w:type="dxa"/>
                  <w:vAlign w:val="center"/>
                </w:tcPr>
                <w:p w14:paraId="14932A38">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rPr>
                  </w:pPr>
                  <w:r>
                    <w:rPr>
                      <w:rFonts w:hint="eastAsia"/>
                      <w:snapToGrid w:val="0"/>
                      <w:color w:val="auto"/>
                      <w:kern w:val="24"/>
                      <w:szCs w:val="21"/>
                    </w:rPr>
                    <w:t>一般固废暂存间</w:t>
                  </w:r>
                </w:p>
              </w:tc>
              <w:tc>
                <w:tcPr>
                  <w:tcW w:w="719" w:type="dxa"/>
                  <w:vAlign w:val="center"/>
                </w:tcPr>
                <w:p w14:paraId="6F736098">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rPr>
                  </w:pPr>
                  <w:r>
                    <w:rPr>
                      <w:rFonts w:hint="eastAsia"/>
                      <w:snapToGrid w:val="0"/>
                      <w:color w:val="auto"/>
                      <w:kern w:val="24"/>
                      <w:szCs w:val="21"/>
                    </w:rPr>
                    <w:t>由物资公司回收利用</w:t>
                  </w:r>
                </w:p>
              </w:tc>
              <w:tc>
                <w:tcPr>
                  <w:tcW w:w="763" w:type="dxa"/>
                  <w:vAlign w:val="center"/>
                </w:tcPr>
                <w:p w14:paraId="5124E0D3">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1</w:t>
                  </w:r>
                </w:p>
              </w:tc>
            </w:tr>
            <w:tr w14:paraId="0999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 w:type="dxa"/>
                  <w:vAlign w:val="center"/>
                </w:tcPr>
                <w:p w14:paraId="6546CA4C">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r>
                    <w:rPr>
                      <w:rFonts w:hint="eastAsia"/>
                      <w:snapToGrid w:val="0"/>
                      <w:color w:val="auto"/>
                      <w:kern w:val="24"/>
                      <w:szCs w:val="21"/>
                      <w:lang w:eastAsia="zh-CN"/>
                    </w:rPr>
                    <w:t>废气治理</w:t>
                  </w:r>
                </w:p>
              </w:tc>
              <w:tc>
                <w:tcPr>
                  <w:tcW w:w="1125" w:type="dxa"/>
                  <w:tcBorders>
                    <w:top w:val="single" w:color="auto" w:sz="4" w:space="0"/>
                    <w:bottom w:val="single" w:color="auto" w:sz="4" w:space="0"/>
                  </w:tcBorders>
                  <w:vAlign w:val="center"/>
                </w:tcPr>
                <w:p w14:paraId="79871EB8">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color w:val="auto"/>
                      <w:kern w:val="24"/>
                      <w:szCs w:val="21"/>
                      <w:lang w:eastAsia="zh-CN"/>
                    </w:rPr>
                  </w:pPr>
                  <w:r>
                    <w:rPr>
                      <w:snapToGrid w:val="0"/>
                      <w:color w:val="auto"/>
                      <w:kern w:val="24"/>
                      <w:szCs w:val="21"/>
                    </w:rPr>
                    <w:t>废活性炭</w:t>
                  </w:r>
                </w:p>
              </w:tc>
              <w:tc>
                <w:tcPr>
                  <w:tcW w:w="585" w:type="dxa"/>
                  <w:vMerge w:val="restart"/>
                  <w:vAlign w:val="center"/>
                </w:tcPr>
                <w:p w14:paraId="4C3705E4">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color w:val="auto"/>
                      <w:kern w:val="24"/>
                      <w:szCs w:val="21"/>
                      <w:lang w:eastAsia="zh-CN"/>
                    </w:rPr>
                  </w:pPr>
                  <w:r>
                    <w:rPr>
                      <w:rFonts w:hint="eastAsia"/>
                      <w:snapToGrid w:val="0"/>
                      <w:color w:val="auto"/>
                      <w:kern w:val="24"/>
                      <w:szCs w:val="21"/>
                    </w:rPr>
                    <w:t>危险废物</w:t>
                  </w:r>
                </w:p>
              </w:tc>
              <w:tc>
                <w:tcPr>
                  <w:tcW w:w="1080" w:type="dxa"/>
                  <w:vAlign w:val="center"/>
                </w:tcPr>
                <w:p w14:paraId="2A483D80">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snapToGrid w:val="0"/>
                      <w:color w:val="auto"/>
                      <w:kern w:val="24"/>
                      <w:szCs w:val="21"/>
                    </w:rPr>
                  </w:pPr>
                  <w:r>
                    <w:rPr>
                      <w:snapToGrid w:val="0"/>
                      <w:color w:val="auto"/>
                      <w:kern w:val="24"/>
                      <w:szCs w:val="21"/>
                    </w:rPr>
                    <w:t>HW49</w:t>
                  </w:r>
                </w:p>
                <w:p w14:paraId="30279496">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snapToGrid w:val="0"/>
                      <w:color w:val="auto"/>
                      <w:kern w:val="24"/>
                      <w:szCs w:val="21"/>
                    </w:rPr>
                  </w:pPr>
                  <w:r>
                    <w:rPr>
                      <w:snapToGrid w:val="0"/>
                      <w:color w:val="auto"/>
                      <w:kern w:val="24"/>
                      <w:szCs w:val="21"/>
                    </w:rPr>
                    <w:t>900-039-49</w:t>
                  </w:r>
                </w:p>
              </w:tc>
              <w:tc>
                <w:tcPr>
                  <w:tcW w:w="975" w:type="dxa"/>
                  <w:vAlign w:val="center"/>
                </w:tcPr>
                <w:p w14:paraId="671434B4">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rFonts w:hint="eastAsia"/>
                      <w:snapToGrid w:val="0"/>
                      <w:color w:val="auto"/>
                      <w:kern w:val="24"/>
                      <w:szCs w:val="21"/>
                      <w:lang w:val="en-US" w:eastAsia="zh-CN"/>
                    </w:rPr>
                    <w:t>有机物</w:t>
                  </w:r>
                </w:p>
              </w:tc>
              <w:tc>
                <w:tcPr>
                  <w:tcW w:w="615" w:type="dxa"/>
                  <w:vAlign w:val="center"/>
                </w:tcPr>
                <w:p w14:paraId="408CD987">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w:t>
                  </w:r>
                </w:p>
              </w:tc>
              <w:tc>
                <w:tcPr>
                  <w:tcW w:w="600" w:type="dxa"/>
                  <w:vAlign w:val="center"/>
                </w:tcPr>
                <w:p w14:paraId="3FCC3C34">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bCs/>
                      <w:color w:val="auto"/>
                      <w:spacing w:val="-8"/>
                      <w:szCs w:val="21"/>
                    </w:rPr>
                    <w:t>T</w:t>
                  </w:r>
                </w:p>
              </w:tc>
              <w:tc>
                <w:tcPr>
                  <w:tcW w:w="825" w:type="dxa"/>
                  <w:tcBorders>
                    <w:top w:val="single" w:color="auto" w:sz="4" w:space="0"/>
                    <w:bottom w:val="single" w:color="auto" w:sz="4" w:space="0"/>
                  </w:tcBorders>
                  <w:vAlign w:val="center"/>
                </w:tcPr>
                <w:p w14:paraId="01F5F554">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rFonts w:hint="eastAsia"/>
                      <w:snapToGrid w:val="0"/>
                      <w:color w:val="auto"/>
                      <w:kern w:val="24"/>
                      <w:szCs w:val="21"/>
                      <w:lang w:val="en-US" w:eastAsia="zh-CN"/>
                    </w:rPr>
                    <w:t>17.68</w:t>
                  </w:r>
                </w:p>
              </w:tc>
              <w:tc>
                <w:tcPr>
                  <w:tcW w:w="675" w:type="dxa"/>
                  <w:vMerge w:val="restart"/>
                  <w:tcBorders>
                    <w:top w:val="single" w:color="auto" w:sz="4" w:space="0"/>
                  </w:tcBorders>
                  <w:vAlign w:val="center"/>
                </w:tcPr>
                <w:p w14:paraId="215CD2D0">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color w:val="auto"/>
                      <w:kern w:val="24"/>
                      <w:szCs w:val="21"/>
                      <w:lang w:eastAsia="zh-CN"/>
                    </w:rPr>
                  </w:pPr>
                  <w:r>
                    <w:rPr>
                      <w:rFonts w:hint="eastAsia"/>
                      <w:snapToGrid w:val="0"/>
                      <w:color w:val="auto"/>
                      <w:kern w:val="24"/>
                      <w:szCs w:val="21"/>
                      <w:lang w:eastAsia="zh-CN"/>
                    </w:rPr>
                    <w:t>危废暂存间</w:t>
                  </w:r>
                </w:p>
              </w:tc>
              <w:tc>
                <w:tcPr>
                  <w:tcW w:w="719" w:type="dxa"/>
                  <w:vMerge w:val="restart"/>
                  <w:tcBorders>
                    <w:top w:val="single" w:color="auto" w:sz="4" w:space="0"/>
                  </w:tcBorders>
                  <w:vAlign w:val="center"/>
                </w:tcPr>
                <w:p w14:paraId="45AEADC5">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color w:val="auto"/>
                      <w:kern w:val="24"/>
                      <w:sz w:val="21"/>
                      <w:szCs w:val="21"/>
                      <w:lang w:val="en-US" w:eastAsia="zh-CN"/>
                    </w:rPr>
                  </w:pPr>
                  <w:r>
                    <w:rPr>
                      <w:rFonts w:hint="default" w:ascii="Times New Roman" w:hAnsi="Times New Roman" w:cs="Times New Roman"/>
                      <w:color w:val="auto"/>
                      <w:sz w:val="21"/>
                      <w:szCs w:val="21"/>
                    </w:rPr>
                    <w:t>定期交由</w:t>
                  </w:r>
                  <w:r>
                    <w:rPr>
                      <w:rFonts w:hint="eastAsia" w:cs="Times New Roman"/>
                      <w:bCs/>
                      <w:color w:val="auto"/>
                      <w:sz w:val="21"/>
                      <w:szCs w:val="21"/>
                      <w:lang w:eastAsia="zh-CN"/>
                    </w:rPr>
                    <w:t>资质</w:t>
                  </w:r>
                  <w:r>
                    <w:rPr>
                      <w:rFonts w:hint="default" w:ascii="Times New Roman" w:hAnsi="Times New Roman" w:cs="Times New Roman"/>
                      <w:bCs/>
                      <w:color w:val="auto"/>
                      <w:sz w:val="21"/>
                      <w:szCs w:val="21"/>
                    </w:rPr>
                    <w:t>单位</w:t>
                  </w:r>
                  <w:r>
                    <w:rPr>
                      <w:rFonts w:hint="eastAsia" w:cs="Times New Roman"/>
                      <w:bCs/>
                      <w:color w:val="auto"/>
                      <w:sz w:val="21"/>
                      <w:szCs w:val="21"/>
                      <w:lang w:eastAsia="zh-CN"/>
                    </w:rPr>
                    <w:t>处理</w:t>
                  </w:r>
                </w:p>
              </w:tc>
              <w:tc>
                <w:tcPr>
                  <w:tcW w:w="763" w:type="dxa"/>
                  <w:vAlign w:val="center"/>
                </w:tcPr>
                <w:p w14:paraId="5C692294">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snapToGrid w:val="0"/>
                      <w:color w:val="auto"/>
                      <w:kern w:val="24"/>
                      <w:sz w:val="21"/>
                      <w:szCs w:val="21"/>
                      <w:lang w:val="en-US" w:eastAsia="zh-CN" w:bidi="ar-SA"/>
                    </w:rPr>
                  </w:pPr>
                  <w:r>
                    <w:rPr>
                      <w:rFonts w:hint="eastAsia"/>
                      <w:snapToGrid w:val="0"/>
                      <w:color w:val="auto"/>
                      <w:kern w:val="24"/>
                      <w:szCs w:val="21"/>
                      <w:lang w:val="en-US" w:eastAsia="zh-CN"/>
                    </w:rPr>
                    <w:t>17.68</w:t>
                  </w:r>
                </w:p>
              </w:tc>
            </w:tr>
            <w:tr w14:paraId="5C3C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 w:type="dxa"/>
                  <w:vMerge w:val="restart"/>
                  <w:vAlign w:val="center"/>
                </w:tcPr>
                <w:p w14:paraId="5ECE5CCE">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r>
                    <w:rPr>
                      <w:rFonts w:hint="default" w:ascii="Times New Roman" w:hAnsi="Times New Roman" w:eastAsia="宋体" w:cs="Times New Roman"/>
                      <w:b w:val="0"/>
                      <w:bCs w:val="0"/>
                      <w:color w:val="auto"/>
                      <w:sz w:val="21"/>
                      <w:szCs w:val="21"/>
                    </w:rPr>
                    <w:t>设备保养维护</w:t>
                  </w:r>
                </w:p>
              </w:tc>
              <w:tc>
                <w:tcPr>
                  <w:tcW w:w="1125" w:type="dxa"/>
                  <w:tcBorders>
                    <w:top w:val="single" w:color="auto" w:sz="4" w:space="0"/>
                    <w:bottom w:val="single" w:color="auto" w:sz="4" w:space="0"/>
                  </w:tcBorders>
                  <w:vAlign w:val="center"/>
                </w:tcPr>
                <w:p w14:paraId="7C6A0E52">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snapToGrid w:val="0"/>
                      <w:color w:val="auto"/>
                      <w:kern w:val="24"/>
                      <w:szCs w:val="21"/>
                    </w:rPr>
                  </w:pPr>
                  <w:r>
                    <w:rPr>
                      <w:rFonts w:hint="default" w:ascii="Times New Roman" w:hAnsi="Times New Roman" w:eastAsia="宋体" w:cs="Times New Roman"/>
                      <w:b w:val="0"/>
                      <w:bCs w:val="0"/>
                      <w:color w:val="auto"/>
                      <w:sz w:val="21"/>
                      <w:szCs w:val="21"/>
                    </w:rPr>
                    <w:t>废</w:t>
                  </w:r>
                  <w:r>
                    <w:rPr>
                      <w:rFonts w:hint="default" w:ascii="Times New Roman" w:hAnsi="Times New Roman" w:eastAsia="宋体" w:cs="Times New Roman"/>
                      <w:b w:val="0"/>
                      <w:bCs w:val="0"/>
                      <w:color w:val="auto"/>
                      <w:sz w:val="21"/>
                      <w:szCs w:val="21"/>
                      <w:lang w:eastAsia="zh-CN"/>
                    </w:rPr>
                    <w:t>机</w:t>
                  </w:r>
                  <w:r>
                    <w:rPr>
                      <w:rFonts w:hint="default" w:ascii="Times New Roman" w:hAnsi="Times New Roman" w:eastAsia="宋体" w:cs="Times New Roman"/>
                      <w:b w:val="0"/>
                      <w:bCs w:val="0"/>
                      <w:color w:val="auto"/>
                      <w:sz w:val="21"/>
                      <w:szCs w:val="21"/>
                    </w:rPr>
                    <w:t>油</w:t>
                  </w:r>
                </w:p>
              </w:tc>
              <w:tc>
                <w:tcPr>
                  <w:tcW w:w="585" w:type="dxa"/>
                  <w:vMerge w:val="continue"/>
                  <w:vAlign w:val="center"/>
                </w:tcPr>
                <w:p w14:paraId="11A56741">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rPr>
                  </w:pPr>
                </w:p>
              </w:tc>
              <w:tc>
                <w:tcPr>
                  <w:tcW w:w="1080" w:type="dxa"/>
                  <w:vAlign w:val="center"/>
                </w:tcPr>
                <w:p w14:paraId="2E4FF8C4">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rFonts w:hint="default" w:eastAsia="宋体"/>
                      <w:snapToGrid w:val="0"/>
                      <w:color w:val="auto"/>
                      <w:kern w:val="24"/>
                      <w:szCs w:val="21"/>
                      <w:lang w:val="en-US" w:eastAsia="zh-CN"/>
                    </w:rPr>
                  </w:pPr>
                  <w:r>
                    <w:rPr>
                      <w:snapToGrid w:val="0"/>
                      <w:color w:val="auto"/>
                      <w:kern w:val="24"/>
                      <w:szCs w:val="21"/>
                    </w:rPr>
                    <w:t>HW</w:t>
                  </w:r>
                  <w:r>
                    <w:rPr>
                      <w:rFonts w:hint="eastAsia"/>
                      <w:snapToGrid w:val="0"/>
                      <w:color w:val="auto"/>
                      <w:kern w:val="24"/>
                      <w:szCs w:val="21"/>
                      <w:lang w:val="en-US" w:eastAsia="zh-CN"/>
                    </w:rPr>
                    <w:t>08</w:t>
                  </w:r>
                </w:p>
                <w:p w14:paraId="500A4260">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rFonts w:hint="default" w:eastAsia="宋体"/>
                      <w:snapToGrid w:val="0"/>
                      <w:color w:val="auto"/>
                      <w:kern w:val="24"/>
                      <w:szCs w:val="21"/>
                      <w:lang w:val="en-US" w:eastAsia="zh-CN"/>
                    </w:rPr>
                  </w:pPr>
                  <w:r>
                    <w:rPr>
                      <w:snapToGrid w:val="0"/>
                      <w:color w:val="auto"/>
                      <w:kern w:val="24"/>
                      <w:szCs w:val="21"/>
                    </w:rPr>
                    <w:t>900-</w:t>
                  </w:r>
                  <w:r>
                    <w:rPr>
                      <w:rFonts w:hint="eastAsia"/>
                      <w:snapToGrid w:val="0"/>
                      <w:color w:val="auto"/>
                      <w:kern w:val="24"/>
                      <w:szCs w:val="21"/>
                      <w:lang w:val="en-US" w:eastAsia="zh-CN"/>
                    </w:rPr>
                    <w:t>214</w:t>
                  </w:r>
                  <w:r>
                    <w:rPr>
                      <w:snapToGrid w:val="0"/>
                      <w:color w:val="auto"/>
                      <w:kern w:val="24"/>
                      <w:szCs w:val="21"/>
                    </w:rPr>
                    <w:t>-</w:t>
                  </w:r>
                  <w:r>
                    <w:rPr>
                      <w:rFonts w:hint="eastAsia"/>
                      <w:snapToGrid w:val="0"/>
                      <w:color w:val="auto"/>
                      <w:kern w:val="24"/>
                      <w:szCs w:val="21"/>
                      <w:lang w:val="en-US" w:eastAsia="zh-CN"/>
                    </w:rPr>
                    <w:t>08</w:t>
                  </w:r>
                </w:p>
              </w:tc>
              <w:tc>
                <w:tcPr>
                  <w:tcW w:w="975" w:type="dxa"/>
                  <w:vAlign w:val="center"/>
                </w:tcPr>
                <w:p w14:paraId="2A3C8420">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机油</w:t>
                  </w:r>
                </w:p>
              </w:tc>
              <w:tc>
                <w:tcPr>
                  <w:tcW w:w="615" w:type="dxa"/>
                  <w:vAlign w:val="center"/>
                </w:tcPr>
                <w:p w14:paraId="3CE2E1D4">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color w:val="auto"/>
                      <w:kern w:val="24"/>
                      <w:szCs w:val="21"/>
                      <w:lang w:eastAsia="zh-CN"/>
                    </w:rPr>
                  </w:pPr>
                  <w:r>
                    <w:rPr>
                      <w:rFonts w:hint="eastAsia"/>
                      <w:snapToGrid w:val="0"/>
                      <w:color w:val="auto"/>
                      <w:kern w:val="24"/>
                      <w:szCs w:val="21"/>
                      <w:lang w:eastAsia="zh-CN"/>
                    </w:rPr>
                    <w:t>液</w:t>
                  </w:r>
                </w:p>
              </w:tc>
              <w:tc>
                <w:tcPr>
                  <w:tcW w:w="600" w:type="dxa"/>
                  <w:vAlign w:val="center"/>
                </w:tcPr>
                <w:p w14:paraId="79159FD5">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bCs/>
                      <w:color w:val="auto"/>
                      <w:spacing w:val="-8"/>
                      <w:szCs w:val="21"/>
                    </w:rPr>
                  </w:pPr>
                  <w:r>
                    <w:rPr>
                      <w:rFonts w:hint="default" w:ascii="Times New Roman" w:hAnsi="Times New Roman" w:eastAsia="宋体" w:cs="Times New Roman"/>
                      <w:b w:val="0"/>
                      <w:bCs w:val="0"/>
                      <w:color w:val="auto"/>
                      <w:sz w:val="21"/>
                      <w:szCs w:val="21"/>
                    </w:rPr>
                    <w:t>T，I</w:t>
                  </w:r>
                </w:p>
              </w:tc>
              <w:tc>
                <w:tcPr>
                  <w:tcW w:w="825" w:type="dxa"/>
                  <w:tcBorders>
                    <w:top w:val="single" w:color="auto" w:sz="4" w:space="0"/>
                    <w:bottom w:val="single" w:color="auto" w:sz="4" w:space="0"/>
                  </w:tcBorders>
                  <w:vAlign w:val="center"/>
                </w:tcPr>
                <w:p w14:paraId="77FC26D1">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0.09</w:t>
                  </w:r>
                </w:p>
              </w:tc>
              <w:tc>
                <w:tcPr>
                  <w:tcW w:w="675" w:type="dxa"/>
                  <w:vMerge w:val="continue"/>
                  <w:vAlign w:val="center"/>
                </w:tcPr>
                <w:p w14:paraId="13DAD84C">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p>
              </w:tc>
              <w:tc>
                <w:tcPr>
                  <w:tcW w:w="719" w:type="dxa"/>
                  <w:vMerge w:val="continue"/>
                  <w:vAlign w:val="center"/>
                </w:tcPr>
                <w:p w14:paraId="42C996B1">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cs="Times New Roman"/>
                      <w:color w:val="auto"/>
                      <w:sz w:val="21"/>
                      <w:szCs w:val="21"/>
                    </w:rPr>
                  </w:pPr>
                </w:p>
              </w:tc>
              <w:tc>
                <w:tcPr>
                  <w:tcW w:w="763" w:type="dxa"/>
                  <w:vAlign w:val="center"/>
                </w:tcPr>
                <w:p w14:paraId="14B8BDAB">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0.09</w:t>
                  </w:r>
                </w:p>
              </w:tc>
            </w:tr>
            <w:tr w14:paraId="2EC0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 w:type="dxa"/>
                  <w:vMerge w:val="continue"/>
                  <w:vAlign w:val="center"/>
                </w:tcPr>
                <w:p w14:paraId="3445A131">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p>
              </w:tc>
              <w:tc>
                <w:tcPr>
                  <w:tcW w:w="1125" w:type="dxa"/>
                  <w:tcBorders>
                    <w:top w:val="single" w:color="auto" w:sz="4" w:space="0"/>
                    <w:bottom w:val="single" w:color="auto" w:sz="4" w:space="0"/>
                  </w:tcBorders>
                  <w:vAlign w:val="center"/>
                </w:tcPr>
                <w:p w14:paraId="05A42888">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snapToGrid w:val="0"/>
                      <w:color w:val="auto"/>
                      <w:kern w:val="24"/>
                      <w:szCs w:val="21"/>
                    </w:rPr>
                  </w:pPr>
                  <w:r>
                    <w:rPr>
                      <w:rFonts w:hint="default" w:ascii="Times New Roman" w:hAnsi="Times New Roman" w:eastAsia="宋体" w:cs="Times New Roman"/>
                      <w:b w:val="0"/>
                      <w:bCs w:val="0"/>
                      <w:color w:val="auto"/>
                      <w:sz w:val="21"/>
                      <w:szCs w:val="21"/>
                    </w:rPr>
                    <w:t>废</w:t>
                  </w:r>
                  <w:r>
                    <w:rPr>
                      <w:rFonts w:hint="default" w:ascii="Times New Roman" w:hAnsi="Times New Roman" w:eastAsia="宋体" w:cs="Times New Roman"/>
                      <w:b w:val="0"/>
                      <w:bCs w:val="0"/>
                      <w:color w:val="auto"/>
                      <w:sz w:val="21"/>
                      <w:szCs w:val="21"/>
                      <w:lang w:eastAsia="zh-CN"/>
                    </w:rPr>
                    <w:t>机</w:t>
                  </w:r>
                  <w:r>
                    <w:rPr>
                      <w:rFonts w:hint="default" w:ascii="Times New Roman" w:hAnsi="Times New Roman" w:eastAsia="宋体" w:cs="Times New Roman"/>
                      <w:b w:val="0"/>
                      <w:bCs w:val="0"/>
                      <w:color w:val="auto"/>
                      <w:sz w:val="21"/>
                      <w:szCs w:val="21"/>
                    </w:rPr>
                    <w:t>油</w:t>
                  </w:r>
                  <w:r>
                    <w:rPr>
                      <w:rFonts w:hint="default" w:ascii="Times New Roman" w:hAnsi="Times New Roman" w:eastAsia="宋体" w:cs="Times New Roman"/>
                      <w:b w:val="0"/>
                      <w:bCs w:val="0"/>
                      <w:color w:val="auto"/>
                      <w:sz w:val="21"/>
                      <w:szCs w:val="21"/>
                      <w:lang w:eastAsia="zh-CN"/>
                    </w:rPr>
                    <w:t>桶</w:t>
                  </w:r>
                </w:p>
              </w:tc>
              <w:tc>
                <w:tcPr>
                  <w:tcW w:w="585" w:type="dxa"/>
                  <w:vMerge w:val="continue"/>
                  <w:vAlign w:val="center"/>
                </w:tcPr>
                <w:p w14:paraId="58DD6722">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rPr>
                  </w:pPr>
                </w:p>
              </w:tc>
              <w:tc>
                <w:tcPr>
                  <w:tcW w:w="1080" w:type="dxa"/>
                  <w:vAlign w:val="center"/>
                </w:tcPr>
                <w:p w14:paraId="2B956461">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rFonts w:hint="default" w:eastAsia="宋体"/>
                      <w:snapToGrid w:val="0"/>
                      <w:color w:val="auto"/>
                      <w:kern w:val="24"/>
                      <w:szCs w:val="21"/>
                      <w:lang w:val="en-US" w:eastAsia="zh-CN"/>
                    </w:rPr>
                  </w:pPr>
                  <w:r>
                    <w:rPr>
                      <w:snapToGrid w:val="0"/>
                      <w:color w:val="auto"/>
                      <w:kern w:val="24"/>
                      <w:szCs w:val="21"/>
                    </w:rPr>
                    <w:t>HW</w:t>
                  </w:r>
                  <w:r>
                    <w:rPr>
                      <w:rFonts w:hint="eastAsia"/>
                      <w:snapToGrid w:val="0"/>
                      <w:color w:val="auto"/>
                      <w:kern w:val="24"/>
                      <w:szCs w:val="21"/>
                      <w:lang w:val="en-US" w:eastAsia="zh-CN"/>
                    </w:rPr>
                    <w:t>08</w:t>
                  </w:r>
                </w:p>
                <w:p w14:paraId="26F28004">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snapToGrid w:val="0"/>
                      <w:color w:val="auto"/>
                      <w:kern w:val="24"/>
                      <w:szCs w:val="21"/>
                    </w:rPr>
                  </w:pPr>
                  <w:r>
                    <w:rPr>
                      <w:snapToGrid w:val="0"/>
                      <w:color w:val="auto"/>
                      <w:kern w:val="24"/>
                      <w:szCs w:val="21"/>
                    </w:rPr>
                    <w:t>900-</w:t>
                  </w:r>
                  <w:r>
                    <w:rPr>
                      <w:rFonts w:hint="eastAsia"/>
                      <w:snapToGrid w:val="0"/>
                      <w:color w:val="auto"/>
                      <w:kern w:val="24"/>
                      <w:szCs w:val="21"/>
                      <w:lang w:val="en-US" w:eastAsia="zh-CN"/>
                    </w:rPr>
                    <w:t>249</w:t>
                  </w:r>
                  <w:r>
                    <w:rPr>
                      <w:snapToGrid w:val="0"/>
                      <w:color w:val="auto"/>
                      <w:kern w:val="24"/>
                      <w:szCs w:val="21"/>
                    </w:rPr>
                    <w:t>-</w:t>
                  </w:r>
                  <w:r>
                    <w:rPr>
                      <w:rFonts w:hint="eastAsia"/>
                      <w:snapToGrid w:val="0"/>
                      <w:color w:val="auto"/>
                      <w:kern w:val="24"/>
                      <w:szCs w:val="21"/>
                      <w:lang w:val="en-US" w:eastAsia="zh-CN"/>
                    </w:rPr>
                    <w:t>08</w:t>
                  </w:r>
                </w:p>
              </w:tc>
              <w:tc>
                <w:tcPr>
                  <w:tcW w:w="975" w:type="dxa"/>
                  <w:vAlign w:val="center"/>
                </w:tcPr>
                <w:p w14:paraId="6E26DDC6">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机油</w:t>
                  </w:r>
                </w:p>
              </w:tc>
              <w:tc>
                <w:tcPr>
                  <w:tcW w:w="615" w:type="dxa"/>
                  <w:vAlign w:val="center"/>
                </w:tcPr>
                <w:p w14:paraId="2F5C1A8D">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w:t>
                  </w:r>
                </w:p>
              </w:tc>
              <w:tc>
                <w:tcPr>
                  <w:tcW w:w="600" w:type="dxa"/>
                  <w:vAlign w:val="center"/>
                </w:tcPr>
                <w:p w14:paraId="47B2BFCF">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bCs/>
                      <w:color w:val="auto"/>
                      <w:spacing w:val="-8"/>
                      <w:szCs w:val="21"/>
                    </w:rPr>
                  </w:pPr>
                  <w:r>
                    <w:rPr>
                      <w:rFonts w:hint="default" w:ascii="Times New Roman" w:hAnsi="Times New Roman" w:eastAsia="宋体" w:cs="Times New Roman"/>
                      <w:b w:val="0"/>
                      <w:bCs w:val="0"/>
                      <w:color w:val="auto"/>
                      <w:sz w:val="21"/>
                      <w:szCs w:val="21"/>
                    </w:rPr>
                    <w:t>T，I</w:t>
                  </w:r>
                </w:p>
              </w:tc>
              <w:tc>
                <w:tcPr>
                  <w:tcW w:w="825" w:type="dxa"/>
                  <w:tcBorders>
                    <w:top w:val="single" w:color="auto" w:sz="4" w:space="0"/>
                    <w:bottom w:val="single" w:color="auto" w:sz="4" w:space="0"/>
                  </w:tcBorders>
                  <w:vAlign w:val="center"/>
                </w:tcPr>
                <w:p w14:paraId="446BBA02">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0.01</w:t>
                  </w:r>
                </w:p>
              </w:tc>
              <w:tc>
                <w:tcPr>
                  <w:tcW w:w="675" w:type="dxa"/>
                  <w:vMerge w:val="continue"/>
                  <w:vAlign w:val="center"/>
                </w:tcPr>
                <w:p w14:paraId="4108B6BA">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p>
              </w:tc>
              <w:tc>
                <w:tcPr>
                  <w:tcW w:w="719" w:type="dxa"/>
                  <w:vMerge w:val="continue"/>
                  <w:vAlign w:val="center"/>
                </w:tcPr>
                <w:p w14:paraId="524F9667">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cs="Times New Roman"/>
                      <w:color w:val="auto"/>
                      <w:sz w:val="21"/>
                      <w:szCs w:val="21"/>
                    </w:rPr>
                  </w:pPr>
                </w:p>
              </w:tc>
              <w:tc>
                <w:tcPr>
                  <w:tcW w:w="763" w:type="dxa"/>
                  <w:vAlign w:val="center"/>
                </w:tcPr>
                <w:p w14:paraId="34812032">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0.01</w:t>
                  </w:r>
                </w:p>
              </w:tc>
            </w:tr>
            <w:tr w14:paraId="5A46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 w:type="dxa"/>
                  <w:vMerge w:val="continue"/>
                  <w:vAlign w:val="center"/>
                </w:tcPr>
                <w:p w14:paraId="608A58B1">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p>
              </w:tc>
              <w:tc>
                <w:tcPr>
                  <w:tcW w:w="1125" w:type="dxa"/>
                  <w:tcBorders>
                    <w:top w:val="single" w:color="auto" w:sz="4" w:space="0"/>
                  </w:tcBorders>
                  <w:vAlign w:val="center"/>
                </w:tcPr>
                <w:p w14:paraId="651F2CE6">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snapToGrid w:val="0"/>
                      <w:color w:val="auto"/>
                      <w:kern w:val="24"/>
                      <w:szCs w:val="21"/>
                    </w:rPr>
                  </w:pPr>
                  <w:r>
                    <w:rPr>
                      <w:rFonts w:hint="eastAsia" w:ascii="Times New Roman" w:hAnsi="Times New Roman" w:cs="Times New Roman"/>
                      <w:b w:val="0"/>
                      <w:bCs w:val="0"/>
                      <w:color w:val="auto"/>
                      <w:sz w:val="21"/>
                      <w:szCs w:val="21"/>
                      <w:lang w:eastAsia="zh-CN"/>
                    </w:rPr>
                    <w:t>含油抹布和手套</w:t>
                  </w:r>
                </w:p>
              </w:tc>
              <w:tc>
                <w:tcPr>
                  <w:tcW w:w="585" w:type="dxa"/>
                  <w:vMerge w:val="continue"/>
                  <w:vAlign w:val="center"/>
                </w:tcPr>
                <w:p w14:paraId="46A97008">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rPr>
                  </w:pPr>
                </w:p>
              </w:tc>
              <w:tc>
                <w:tcPr>
                  <w:tcW w:w="1080" w:type="dxa"/>
                  <w:vAlign w:val="center"/>
                </w:tcPr>
                <w:p w14:paraId="4B644BE6">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rFonts w:hint="default" w:eastAsia="宋体"/>
                      <w:snapToGrid w:val="0"/>
                      <w:color w:val="auto"/>
                      <w:kern w:val="24"/>
                      <w:szCs w:val="21"/>
                      <w:lang w:val="en-US" w:eastAsia="zh-CN"/>
                    </w:rPr>
                  </w:pPr>
                  <w:r>
                    <w:rPr>
                      <w:snapToGrid w:val="0"/>
                      <w:color w:val="auto"/>
                      <w:kern w:val="24"/>
                      <w:szCs w:val="21"/>
                    </w:rPr>
                    <w:t>HW</w:t>
                  </w:r>
                  <w:r>
                    <w:rPr>
                      <w:rFonts w:hint="eastAsia"/>
                      <w:snapToGrid w:val="0"/>
                      <w:color w:val="auto"/>
                      <w:kern w:val="24"/>
                      <w:szCs w:val="21"/>
                      <w:lang w:val="en-US" w:eastAsia="zh-CN"/>
                    </w:rPr>
                    <w:t>49</w:t>
                  </w:r>
                </w:p>
                <w:p w14:paraId="5F73FA4A">
                  <w:pPr>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rFonts w:hint="default"/>
                      <w:snapToGrid w:val="0"/>
                      <w:color w:val="auto"/>
                      <w:kern w:val="24"/>
                      <w:szCs w:val="21"/>
                      <w:lang w:val="en-US"/>
                    </w:rPr>
                  </w:pPr>
                  <w:r>
                    <w:rPr>
                      <w:snapToGrid w:val="0"/>
                      <w:color w:val="auto"/>
                      <w:kern w:val="24"/>
                      <w:szCs w:val="21"/>
                    </w:rPr>
                    <w:t>900-</w:t>
                  </w:r>
                  <w:r>
                    <w:rPr>
                      <w:rFonts w:hint="eastAsia"/>
                      <w:snapToGrid w:val="0"/>
                      <w:color w:val="auto"/>
                      <w:kern w:val="24"/>
                      <w:szCs w:val="21"/>
                      <w:lang w:val="en-US" w:eastAsia="zh-CN"/>
                    </w:rPr>
                    <w:t>041</w:t>
                  </w:r>
                  <w:r>
                    <w:rPr>
                      <w:snapToGrid w:val="0"/>
                      <w:color w:val="auto"/>
                      <w:kern w:val="24"/>
                      <w:szCs w:val="21"/>
                    </w:rPr>
                    <w:t>-</w:t>
                  </w:r>
                  <w:r>
                    <w:rPr>
                      <w:rFonts w:hint="eastAsia"/>
                      <w:snapToGrid w:val="0"/>
                      <w:color w:val="auto"/>
                      <w:kern w:val="24"/>
                      <w:szCs w:val="21"/>
                      <w:lang w:val="en-US" w:eastAsia="zh-CN"/>
                    </w:rPr>
                    <w:t>49</w:t>
                  </w:r>
                </w:p>
              </w:tc>
              <w:tc>
                <w:tcPr>
                  <w:tcW w:w="975" w:type="dxa"/>
                  <w:vAlign w:val="center"/>
                </w:tcPr>
                <w:p w14:paraId="350C604E">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机油</w:t>
                  </w:r>
                </w:p>
              </w:tc>
              <w:tc>
                <w:tcPr>
                  <w:tcW w:w="615" w:type="dxa"/>
                  <w:vAlign w:val="center"/>
                </w:tcPr>
                <w:p w14:paraId="3780B56D">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w:t>
                  </w:r>
                </w:p>
              </w:tc>
              <w:tc>
                <w:tcPr>
                  <w:tcW w:w="600" w:type="dxa"/>
                  <w:vAlign w:val="center"/>
                </w:tcPr>
                <w:p w14:paraId="3C5CB852">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bCs/>
                      <w:color w:val="auto"/>
                      <w:spacing w:val="-8"/>
                      <w:szCs w:val="21"/>
                    </w:rPr>
                  </w:pPr>
                  <w:r>
                    <w:rPr>
                      <w:rFonts w:hint="default" w:ascii="Times New Roman" w:hAnsi="Times New Roman" w:eastAsia="宋体" w:cs="Times New Roman"/>
                      <w:b w:val="0"/>
                      <w:bCs w:val="0"/>
                      <w:color w:val="auto"/>
                      <w:sz w:val="21"/>
                      <w:szCs w:val="21"/>
                    </w:rPr>
                    <w:t>T</w:t>
                  </w:r>
                  <w:r>
                    <w:rPr>
                      <w:rFonts w:hint="eastAsia" w:ascii="Times New Roman" w:hAnsi="Times New Roman" w:cs="Times New Roman"/>
                      <w:b w:val="0"/>
                      <w:bCs w:val="0"/>
                      <w:color w:val="auto"/>
                      <w:sz w:val="21"/>
                      <w:szCs w:val="21"/>
                      <w:lang w:val="en-US" w:eastAsia="zh-CN"/>
                    </w:rPr>
                    <w:t>/In</w:t>
                  </w:r>
                </w:p>
              </w:tc>
              <w:tc>
                <w:tcPr>
                  <w:tcW w:w="825" w:type="dxa"/>
                  <w:tcBorders>
                    <w:top w:val="single" w:color="auto" w:sz="4" w:space="0"/>
                  </w:tcBorders>
                  <w:vAlign w:val="center"/>
                </w:tcPr>
                <w:p w14:paraId="2BBA88A6">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0.02</w:t>
                  </w:r>
                </w:p>
              </w:tc>
              <w:tc>
                <w:tcPr>
                  <w:tcW w:w="675" w:type="dxa"/>
                  <w:vMerge w:val="continue"/>
                  <w:vAlign w:val="center"/>
                </w:tcPr>
                <w:p w14:paraId="59DB51C4">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p>
              </w:tc>
              <w:tc>
                <w:tcPr>
                  <w:tcW w:w="719" w:type="dxa"/>
                  <w:vMerge w:val="continue"/>
                  <w:vAlign w:val="center"/>
                </w:tcPr>
                <w:p w14:paraId="38090EC0">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cs="Times New Roman"/>
                      <w:color w:val="auto"/>
                      <w:sz w:val="21"/>
                      <w:szCs w:val="21"/>
                    </w:rPr>
                  </w:pPr>
                </w:p>
              </w:tc>
              <w:tc>
                <w:tcPr>
                  <w:tcW w:w="763" w:type="dxa"/>
                  <w:vAlign w:val="center"/>
                </w:tcPr>
                <w:p w14:paraId="27F0865E">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0.02</w:t>
                  </w:r>
                </w:p>
              </w:tc>
            </w:tr>
          </w:tbl>
          <w:p w14:paraId="04E7301B">
            <w:pPr>
              <w:pStyle w:val="35"/>
              <w:spacing w:line="240" w:lineRule="auto"/>
              <w:jc w:val="center"/>
              <w:rPr>
                <w:rFonts w:ascii="Times New Roman" w:hAnsi="Times New Roman" w:eastAsia="宋体" w:cs="Times New Roman"/>
                <w:b/>
                <w:bCs/>
                <w:color w:val="auto"/>
                <w:sz w:val="21"/>
                <w:szCs w:val="21"/>
              </w:rPr>
            </w:pPr>
          </w:p>
          <w:p w14:paraId="45ECCD19">
            <w:pPr>
              <w:pStyle w:val="35"/>
              <w:spacing w:line="240" w:lineRule="auto"/>
              <w:jc w:val="center"/>
              <w:rPr>
                <w:rFonts w:hint="eastAsia"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w:t>
            </w:r>
            <w:r>
              <w:rPr>
                <w:rFonts w:hint="eastAsia" w:ascii="Times New Roman" w:cs="Times New Roman"/>
                <w:b/>
                <w:bCs/>
                <w:color w:val="auto"/>
                <w:sz w:val="21"/>
                <w:szCs w:val="21"/>
                <w:lang w:val="en-US" w:eastAsia="zh-CN"/>
              </w:rPr>
              <w:t>16</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本项目</w:t>
            </w:r>
            <w:r>
              <w:rPr>
                <w:rFonts w:hint="eastAsia" w:ascii="Times New Roman" w:hAnsi="Times New Roman" w:eastAsia="宋体" w:cs="Times New Roman"/>
                <w:b/>
                <w:bCs/>
                <w:color w:val="auto"/>
                <w:sz w:val="21"/>
                <w:szCs w:val="21"/>
                <w:lang w:val="en-US" w:eastAsia="zh-CN"/>
              </w:rPr>
              <w:t>危险废物贮存场所（设施）基本情况表</w:t>
            </w:r>
          </w:p>
          <w:tbl>
            <w:tblPr>
              <w:tblStyle w:val="30"/>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76"/>
              <w:gridCol w:w="1560"/>
              <w:gridCol w:w="1155"/>
              <w:gridCol w:w="1335"/>
              <w:gridCol w:w="1080"/>
              <w:gridCol w:w="750"/>
              <w:gridCol w:w="643"/>
              <w:gridCol w:w="894"/>
            </w:tblGrid>
            <w:tr w14:paraId="28F8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745CC008">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876" w:type="dxa"/>
                  <w:tcBorders>
                    <w:tl2br w:val="nil"/>
                    <w:tr2bl w:val="nil"/>
                  </w:tcBorders>
                  <w:vAlign w:val="center"/>
                </w:tcPr>
                <w:p w14:paraId="5F25B1D3">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贮存场所名称</w:t>
                  </w:r>
                </w:p>
              </w:tc>
              <w:tc>
                <w:tcPr>
                  <w:tcW w:w="1560" w:type="dxa"/>
                  <w:tcBorders>
                    <w:tl2br w:val="nil"/>
                    <w:tr2bl w:val="nil"/>
                  </w:tcBorders>
                  <w:vAlign w:val="center"/>
                </w:tcPr>
                <w:p w14:paraId="4A39FC4C">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危险废物名称</w:t>
                  </w:r>
                </w:p>
              </w:tc>
              <w:tc>
                <w:tcPr>
                  <w:tcW w:w="1155" w:type="dxa"/>
                  <w:tcBorders>
                    <w:tl2br w:val="nil"/>
                    <w:tr2bl w:val="nil"/>
                  </w:tcBorders>
                  <w:vAlign w:val="center"/>
                </w:tcPr>
                <w:p w14:paraId="319A22F2">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危险废物类别</w:t>
                  </w:r>
                </w:p>
              </w:tc>
              <w:tc>
                <w:tcPr>
                  <w:tcW w:w="1335" w:type="dxa"/>
                  <w:tcBorders>
                    <w:tl2br w:val="nil"/>
                    <w:tr2bl w:val="nil"/>
                  </w:tcBorders>
                  <w:vAlign w:val="center"/>
                </w:tcPr>
                <w:p w14:paraId="76E95062">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危险废物代码</w:t>
                  </w:r>
                </w:p>
              </w:tc>
              <w:tc>
                <w:tcPr>
                  <w:tcW w:w="1080" w:type="dxa"/>
                  <w:tcBorders>
                    <w:tl2br w:val="nil"/>
                    <w:tr2bl w:val="nil"/>
                  </w:tcBorders>
                  <w:vAlign w:val="center"/>
                </w:tcPr>
                <w:p w14:paraId="1A2A15F7">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位置</w:t>
                  </w:r>
                </w:p>
              </w:tc>
              <w:tc>
                <w:tcPr>
                  <w:tcW w:w="750" w:type="dxa"/>
                  <w:tcBorders>
                    <w:tl2br w:val="nil"/>
                    <w:tr2bl w:val="nil"/>
                  </w:tcBorders>
                  <w:vAlign w:val="center"/>
                </w:tcPr>
                <w:p w14:paraId="7385C354">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建筑</w:t>
                  </w:r>
                  <w:r>
                    <w:rPr>
                      <w:rFonts w:hint="default" w:ascii="Times New Roman" w:hAnsi="Times New Roman" w:eastAsia="宋体" w:cs="Times New Roman"/>
                      <w:b w:val="0"/>
                      <w:bCs w:val="0"/>
                      <w:color w:val="auto"/>
                      <w:sz w:val="21"/>
                      <w:szCs w:val="21"/>
                      <w:vertAlign w:val="baseline"/>
                      <w:lang w:val="en-US" w:eastAsia="zh-CN"/>
                    </w:rPr>
                    <w:t>面积</w:t>
                  </w:r>
                </w:p>
              </w:tc>
              <w:tc>
                <w:tcPr>
                  <w:tcW w:w="643" w:type="dxa"/>
                  <w:tcBorders>
                    <w:tl2br w:val="nil"/>
                    <w:tr2bl w:val="nil"/>
                  </w:tcBorders>
                  <w:vAlign w:val="center"/>
                </w:tcPr>
                <w:p w14:paraId="01EB9482">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贮存能力</w:t>
                  </w:r>
                </w:p>
              </w:tc>
              <w:tc>
                <w:tcPr>
                  <w:tcW w:w="894" w:type="dxa"/>
                  <w:tcBorders>
                    <w:tl2br w:val="nil"/>
                    <w:tr2bl w:val="nil"/>
                  </w:tcBorders>
                  <w:vAlign w:val="center"/>
                </w:tcPr>
                <w:p w14:paraId="47419804">
                  <w:pPr>
                    <w:pStyle w:val="35"/>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贮存周期</w:t>
                  </w:r>
                </w:p>
              </w:tc>
            </w:tr>
            <w:tr w14:paraId="19F4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589D95DA">
                  <w:pPr>
                    <w:pStyle w:val="35"/>
                    <w:spacing w:line="240" w:lineRule="auto"/>
                    <w:ind w:firstLine="0" w:firstLineChars="0"/>
                    <w:jc w:val="center"/>
                    <w:rPr>
                      <w:rFonts w:hint="eastAsia"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1</w:t>
                  </w:r>
                </w:p>
              </w:tc>
              <w:tc>
                <w:tcPr>
                  <w:tcW w:w="876" w:type="dxa"/>
                  <w:vMerge w:val="restart"/>
                  <w:tcBorders>
                    <w:tl2br w:val="nil"/>
                    <w:tr2bl w:val="nil"/>
                  </w:tcBorders>
                  <w:vAlign w:val="center"/>
                </w:tcPr>
                <w:p w14:paraId="175E6E51">
                  <w:pPr>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eastAsia"/>
                      <w:color w:val="auto"/>
                      <w:lang w:eastAsia="zh-CN"/>
                    </w:rPr>
                    <w:t>危废暂存间</w:t>
                  </w:r>
                </w:p>
              </w:tc>
              <w:tc>
                <w:tcPr>
                  <w:tcW w:w="1560" w:type="dxa"/>
                  <w:tcBorders>
                    <w:tl2br w:val="nil"/>
                    <w:tr2bl w:val="nil"/>
                  </w:tcBorders>
                  <w:vAlign w:val="center"/>
                </w:tcPr>
                <w:p w14:paraId="17F9F467">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废活性炭</w:t>
                  </w:r>
                </w:p>
              </w:tc>
              <w:tc>
                <w:tcPr>
                  <w:tcW w:w="1155" w:type="dxa"/>
                  <w:tcBorders>
                    <w:tl2br w:val="nil"/>
                    <w:tr2bl w:val="nil"/>
                  </w:tcBorders>
                  <w:vAlign w:val="center"/>
                </w:tcPr>
                <w:p w14:paraId="00D8BBD3">
                  <w:pPr>
                    <w:adjustRightInd w:val="0"/>
                    <w:snapToGrid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w:t>
                  </w:r>
                  <w:r>
                    <w:rPr>
                      <w:rFonts w:hint="eastAsia" w:ascii="Times New Roman" w:hAnsi="Times New Roman" w:cs="Times New Roman"/>
                      <w:b w:val="0"/>
                      <w:bCs w:val="0"/>
                      <w:color w:val="auto"/>
                      <w:kern w:val="2"/>
                      <w:sz w:val="21"/>
                      <w:szCs w:val="21"/>
                      <w:lang w:val="en-US" w:eastAsia="zh-CN" w:bidi="ar-SA"/>
                    </w:rPr>
                    <w:t>49</w:t>
                  </w:r>
                </w:p>
              </w:tc>
              <w:tc>
                <w:tcPr>
                  <w:tcW w:w="1335" w:type="dxa"/>
                  <w:tcBorders>
                    <w:tl2br w:val="nil"/>
                    <w:tr2bl w:val="nil"/>
                  </w:tcBorders>
                  <w:vAlign w:val="center"/>
                </w:tcPr>
                <w:p w14:paraId="4D5944C3">
                  <w:pPr>
                    <w:pStyle w:val="35"/>
                    <w:spacing w:line="240" w:lineRule="auto"/>
                    <w:ind w:firstLine="0" w:firstLineChars="0"/>
                    <w:jc w:val="center"/>
                    <w:rPr>
                      <w:rFonts w:hint="default" w:ascii="Times New Roman" w:hAnsi="Times New Roman" w:eastAsia="宋体" w:cs="Times New Roman"/>
                      <w:b w:val="0"/>
                      <w:bCs w:val="0"/>
                      <w:color w:val="auto"/>
                      <w:spacing w:val="0"/>
                      <w:position w:val="0"/>
                      <w:sz w:val="21"/>
                      <w:szCs w:val="21"/>
                      <w:highlight w:val="none"/>
                      <w:lang w:eastAsia="zh-CN"/>
                    </w:rPr>
                  </w:pPr>
                  <w:r>
                    <w:rPr>
                      <w:rFonts w:hint="default" w:ascii="Times New Roman" w:hAnsi="Times New Roman" w:eastAsia="宋体" w:cs="Times New Roman"/>
                      <w:b w:val="0"/>
                      <w:bCs w:val="0"/>
                      <w:color w:val="auto"/>
                      <w:spacing w:val="0"/>
                      <w:position w:val="0"/>
                      <w:sz w:val="21"/>
                      <w:szCs w:val="21"/>
                      <w:highlight w:val="none"/>
                      <w:lang w:eastAsia="zh-CN"/>
                    </w:rPr>
                    <w:t>900-</w:t>
                  </w:r>
                  <w:r>
                    <w:rPr>
                      <w:rFonts w:hint="eastAsia" w:ascii="Times New Roman" w:hAnsi="Times New Roman" w:cs="Times New Roman"/>
                      <w:b w:val="0"/>
                      <w:bCs w:val="0"/>
                      <w:color w:val="auto"/>
                      <w:spacing w:val="0"/>
                      <w:position w:val="0"/>
                      <w:sz w:val="21"/>
                      <w:szCs w:val="21"/>
                      <w:highlight w:val="none"/>
                      <w:lang w:val="en-US" w:eastAsia="zh-CN"/>
                    </w:rPr>
                    <w:t>039</w:t>
                  </w:r>
                  <w:r>
                    <w:rPr>
                      <w:rFonts w:hint="default" w:ascii="Times New Roman" w:hAnsi="Times New Roman" w:eastAsia="宋体" w:cs="Times New Roman"/>
                      <w:b w:val="0"/>
                      <w:bCs w:val="0"/>
                      <w:color w:val="auto"/>
                      <w:spacing w:val="0"/>
                      <w:position w:val="0"/>
                      <w:sz w:val="21"/>
                      <w:szCs w:val="21"/>
                      <w:highlight w:val="none"/>
                      <w:lang w:eastAsia="zh-CN"/>
                    </w:rPr>
                    <w:t>-</w:t>
                  </w:r>
                  <w:r>
                    <w:rPr>
                      <w:rFonts w:hint="eastAsia" w:ascii="Times New Roman" w:hAnsi="Times New Roman" w:cs="Times New Roman"/>
                      <w:b w:val="0"/>
                      <w:bCs w:val="0"/>
                      <w:color w:val="auto"/>
                      <w:spacing w:val="0"/>
                      <w:position w:val="0"/>
                      <w:sz w:val="21"/>
                      <w:szCs w:val="21"/>
                      <w:highlight w:val="none"/>
                      <w:lang w:val="en-US" w:eastAsia="zh-CN"/>
                    </w:rPr>
                    <w:t>49</w:t>
                  </w:r>
                </w:p>
              </w:tc>
              <w:tc>
                <w:tcPr>
                  <w:tcW w:w="1080" w:type="dxa"/>
                  <w:vMerge w:val="restart"/>
                  <w:tcBorders>
                    <w:tl2br w:val="nil"/>
                    <w:tr2bl w:val="nil"/>
                  </w:tcBorders>
                  <w:vAlign w:val="center"/>
                </w:tcPr>
                <w:p w14:paraId="096FA2DF">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b w:val="0"/>
                      <w:bCs/>
                      <w:color w:val="auto"/>
                      <w:sz w:val="21"/>
                      <w:szCs w:val="21"/>
                      <w:lang w:eastAsia="zh-CN"/>
                    </w:rPr>
                    <w:t>生产车间</w:t>
                  </w:r>
                  <w:r>
                    <w:rPr>
                      <w:rFonts w:hint="eastAsia"/>
                      <w:color w:val="auto"/>
                      <w:sz w:val="21"/>
                      <w:szCs w:val="21"/>
                      <w:lang w:eastAsia="zh-CN"/>
                    </w:rPr>
                    <w:t>西南角</w:t>
                  </w:r>
                </w:p>
              </w:tc>
              <w:tc>
                <w:tcPr>
                  <w:tcW w:w="750" w:type="dxa"/>
                  <w:vMerge w:val="restart"/>
                  <w:tcBorders>
                    <w:tl2br w:val="nil"/>
                    <w:tr2bl w:val="nil"/>
                  </w:tcBorders>
                  <w:vAlign w:val="center"/>
                </w:tcPr>
                <w:p w14:paraId="18115507">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w:t>
                  </w:r>
                  <w:r>
                    <w:rPr>
                      <w:rFonts w:ascii="Times New Roman" w:hAnsi="Times New Roman"/>
                      <w:color w:val="auto"/>
                      <w:kern w:val="2"/>
                      <w:sz w:val="24"/>
                      <w:szCs w:val="24"/>
                    </w:rPr>
                    <w:t>m</w:t>
                  </w:r>
                  <w:r>
                    <w:rPr>
                      <w:rFonts w:ascii="Times New Roman" w:hAnsi="Times New Roman"/>
                      <w:color w:val="auto"/>
                      <w:kern w:val="2"/>
                      <w:sz w:val="24"/>
                      <w:szCs w:val="24"/>
                      <w:vertAlign w:val="superscript"/>
                    </w:rPr>
                    <w:t>2</w:t>
                  </w:r>
                </w:p>
              </w:tc>
              <w:tc>
                <w:tcPr>
                  <w:tcW w:w="643" w:type="dxa"/>
                  <w:vMerge w:val="restart"/>
                  <w:tcBorders>
                    <w:tl2br w:val="nil"/>
                    <w:tr2bl w:val="nil"/>
                  </w:tcBorders>
                  <w:vAlign w:val="center"/>
                </w:tcPr>
                <w:p w14:paraId="1CFAA4D4">
                  <w:pPr>
                    <w:jc w:val="center"/>
                    <w:rPr>
                      <w:rFonts w:hint="default"/>
                      <w:snapToGrid w:val="0"/>
                      <w:color w:val="auto"/>
                      <w:kern w:val="24"/>
                      <w:szCs w:val="21"/>
                      <w:lang w:val="en-US" w:eastAsia="zh-CN"/>
                    </w:rPr>
                  </w:pPr>
                  <w:r>
                    <w:rPr>
                      <w:rFonts w:hint="eastAsia"/>
                      <w:snapToGrid w:val="0"/>
                      <w:color w:val="auto"/>
                      <w:kern w:val="24"/>
                      <w:szCs w:val="21"/>
                      <w:lang w:val="en-US" w:eastAsia="zh-CN"/>
                    </w:rPr>
                    <w:t>10t</w:t>
                  </w:r>
                </w:p>
              </w:tc>
              <w:tc>
                <w:tcPr>
                  <w:tcW w:w="894" w:type="dxa"/>
                  <w:vMerge w:val="restart"/>
                  <w:tcBorders>
                    <w:tl2br w:val="nil"/>
                    <w:tr2bl w:val="nil"/>
                  </w:tcBorders>
                  <w:vAlign w:val="center"/>
                </w:tcPr>
                <w:p w14:paraId="015376BF">
                  <w:pPr>
                    <w:jc w:val="center"/>
                    <w:rPr>
                      <w:rFonts w:hint="eastAsia"/>
                      <w:snapToGrid w:val="0"/>
                      <w:color w:val="auto"/>
                      <w:kern w:val="24"/>
                      <w:szCs w:val="21"/>
                      <w:lang w:val="en-US" w:eastAsia="zh-CN"/>
                    </w:rPr>
                  </w:pPr>
                  <w:r>
                    <w:rPr>
                      <w:rFonts w:hint="eastAsia"/>
                      <w:snapToGrid w:val="0"/>
                      <w:color w:val="auto"/>
                      <w:kern w:val="24"/>
                      <w:szCs w:val="21"/>
                      <w:lang w:val="en-US" w:eastAsia="zh-CN"/>
                    </w:rPr>
                    <w:t>半年</w:t>
                  </w:r>
                </w:p>
              </w:tc>
            </w:tr>
            <w:tr w14:paraId="6CD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7F034636">
                  <w:pPr>
                    <w:pStyle w:val="35"/>
                    <w:spacing w:line="240" w:lineRule="auto"/>
                    <w:ind w:firstLine="0" w:firstLineChars="0"/>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2</w:t>
                  </w:r>
                </w:p>
              </w:tc>
              <w:tc>
                <w:tcPr>
                  <w:tcW w:w="876" w:type="dxa"/>
                  <w:vMerge w:val="continue"/>
                  <w:tcBorders>
                    <w:tl2br w:val="nil"/>
                    <w:tr2bl w:val="nil"/>
                  </w:tcBorders>
                  <w:vAlign w:val="center"/>
                </w:tcPr>
                <w:p w14:paraId="52077E4E">
                  <w:pPr>
                    <w:spacing w:line="240" w:lineRule="auto"/>
                    <w:jc w:val="center"/>
                    <w:rPr>
                      <w:rFonts w:hint="eastAsia"/>
                      <w:color w:val="auto"/>
                      <w:lang w:eastAsia="zh-CN"/>
                    </w:rPr>
                  </w:pPr>
                </w:p>
              </w:tc>
              <w:tc>
                <w:tcPr>
                  <w:tcW w:w="1560" w:type="dxa"/>
                  <w:tcBorders>
                    <w:tl2br w:val="nil"/>
                    <w:tr2bl w:val="nil"/>
                  </w:tcBorders>
                  <w:vAlign w:val="center"/>
                </w:tcPr>
                <w:p w14:paraId="04EE7A56">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snapToGrid w:val="0"/>
                      <w:color w:val="auto"/>
                      <w:kern w:val="24"/>
                      <w:szCs w:val="21"/>
                    </w:rPr>
                  </w:pPr>
                  <w:r>
                    <w:rPr>
                      <w:rFonts w:hint="default" w:ascii="Times New Roman" w:hAnsi="Times New Roman" w:eastAsia="宋体" w:cs="Times New Roman"/>
                      <w:b w:val="0"/>
                      <w:bCs w:val="0"/>
                      <w:color w:val="auto"/>
                      <w:sz w:val="21"/>
                      <w:szCs w:val="21"/>
                    </w:rPr>
                    <w:t>废</w:t>
                  </w:r>
                  <w:r>
                    <w:rPr>
                      <w:rFonts w:hint="default" w:ascii="Times New Roman" w:hAnsi="Times New Roman" w:eastAsia="宋体" w:cs="Times New Roman"/>
                      <w:b w:val="0"/>
                      <w:bCs w:val="0"/>
                      <w:color w:val="auto"/>
                      <w:sz w:val="21"/>
                      <w:szCs w:val="21"/>
                      <w:lang w:eastAsia="zh-CN"/>
                    </w:rPr>
                    <w:t>机</w:t>
                  </w:r>
                  <w:r>
                    <w:rPr>
                      <w:rFonts w:hint="default" w:ascii="Times New Roman" w:hAnsi="Times New Roman" w:eastAsia="宋体" w:cs="Times New Roman"/>
                      <w:b w:val="0"/>
                      <w:bCs w:val="0"/>
                      <w:color w:val="auto"/>
                      <w:sz w:val="21"/>
                      <w:szCs w:val="21"/>
                    </w:rPr>
                    <w:t>油</w:t>
                  </w:r>
                </w:p>
              </w:tc>
              <w:tc>
                <w:tcPr>
                  <w:tcW w:w="1155" w:type="dxa"/>
                  <w:tcBorders>
                    <w:tl2br w:val="nil"/>
                    <w:tr2bl w:val="nil"/>
                  </w:tcBorders>
                  <w:vAlign w:val="center"/>
                </w:tcPr>
                <w:p w14:paraId="2EA87139">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HW08</w:t>
                  </w:r>
                </w:p>
              </w:tc>
              <w:tc>
                <w:tcPr>
                  <w:tcW w:w="1335" w:type="dxa"/>
                  <w:tcBorders>
                    <w:tl2br w:val="nil"/>
                    <w:tr2bl w:val="nil"/>
                  </w:tcBorders>
                  <w:vAlign w:val="center"/>
                </w:tcPr>
                <w:p w14:paraId="260C30DC">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lang w:eastAsia="zh-CN"/>
                    </w:rPr>
                  </w:pPr>
                  <w:r>
                    <w:rPr>
                      <w:rFonts w:hint="default" w:ascii="Times New Roman" w:hAnsi="Times New Roman" w:eastAsia="宋体" w:cs="Times New Roman"/>
                      <w:b w:val="0"/>
                      <w:bCs w:val="0"/>
                      <w:color w:val="auto"/>
                      <w:sz w:val="21"/>
                      <w:szCs w:val="21"/>
                    </w:rPr>
                    <w:t>900-21</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-08</w:t>
                  </w:r>
                </w:p>
              </w:tc>
              <w:tc>
                <w:tcPr>
                  <w:tcW w:w="1080" w:type="dxa"/>
                  <w:vMerge w:val="continue"/>
                  <w:tcBorders>
                    <w:tl2br w:val="nil"/>
                    <w:tr2bl w:val="nil"/>
                  </w:tcBorders>
                  <w:vAlign w:val="center"/>
                </w:tcPr>
                <w:p w14:paraId="01242AE7">
                  <w:pPr>
                    <w:spacing w:line="240" w:lineRule="auto"/>
                    <w:jc w:val="center"/>
                    <w:rPr>
                      <w:rFonts w:hint="eastAsia"/>
                      <w:b w:val="0"/>
                      <w:bCs/>
                      <w:color w:val="auto"/>
                      <w:sz w:val="21"/>
                      <w:szCs w:val="21"/>
                      <w:lang w:eastAsia="zh-CN"/>
                    </w:rPr>
                  </w:pPr>
                </w:p>
              </w:tc>
              <w:tc>
                <w:tcPr>
                  <w:tcW w:w="750" w:type="dxa"/>
                  <w:vMerge w:val="continue"/>
                  <w:tcBorders>
                    <w:tl2br w:val="nil"/>
                    <w:tr2bl w:val="nil"/>
                  </w:tcBorders>
                  <w:vAlign w:val="center"/>
                </w:tcPr>
                <w:p w14:paraId="328938ED">
                  <w:pPr>
                    <w:spacing w:line="240" w:lineRule="auto"/>
                    <w:jc w:val="center"/>
                    <w:rPr>
                      <w:rFonts w:hint="eastAsia" w:cs="Times New Roman"/>
                      <w:b w:val="0"/>
                      <w:bCs w:val="0"/>
                      <w:color w:val="auto"/>
                      <w:sz w:val="21"/>
                      <w:szCs w:val="21"/>
                      <w:vertAlign w:val="baseline"/>
                      <w:lang w:val="en-US" w:eastAsia="zh-CN"/>
                    </w:rPr>
                  </w:pPr>
                </w:p>
              </w:tc>
              <w:tc>
                <w:tcPr>
                  <w:tcW w:w="643" w:type="dxa"/>
                  <w:vMerge w:val="continue"/>
                  <w:tcBorders>
                    <w:tl2br w:val="nil"/>
                    <w:tr2bl w:val="nil"/>
                  </w:tcBorders>
                  <w:vAlign w:val="center"/>
                </w:tcPr>
                <w:p w14:paraId="7C2089C5">
                  <w:pPr>
                    <w:jc w:val="center"/>
                    <w:rPr>
                      <w:rFonts w:hint="eastAsia"/>
                      <w:snapToGrid w:val="0"/>
                      <w:color w:val="auto"/>
                      <w:kern w:val="24"/>
                      <w:szCs w:val="21"/>
                      <w:lang w:val="en-US" w:eastAsia="zh-CN"/>
                    </w:rPr>
                  </w:pPr>
                </w:p>
              </w:tc>
              <w:tc>
                <w:tcPr>
                  <w:tcW w:w="894" w:type="dxa"/>
                  <w:vMerge w:val="continue"/>
                  <w:tcBorders>
                    <w:tl2br w:val="nil"/>
                    <w:tr2bl w:val="nil"/>
                  </w:tcBorders>
                  <w:vAlign w:val="center"/>
                </w:tcPr>
                <w:p w14:paraId="7E84D600">
                  <w:pPr>
                    <w:jc w:val="center"/>
                    <w:rPr>
                      <w:rFonts w:hint="eastAsia"/>
                      <w:snapToGrid w:val="0"/>
                      <w:color w:val="auto"/>
                      <w:kern w:val="24"/>
                      <w:szCs w:val="21"/>
                      <w:lang w:val="en-US" w:eastAsia="zh-CN"/>
                    </w:rPr>
                  </w:pPr>
                </w:p>
              </w:tc>
            </w:tr>
            <w:tr w14:paraId="3E8B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38FB75F0">
                  <w:pPr>
                    <w:pStyle w:val="35"/>
                    <w:spacing w:line="240" w:lineRule="auto"/>
                    <w:ind w:firstLine="0" w:firstLineChars="0"/>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3</w:t>
                  </w:r>
                </w:p>
              </w:tc>
              <w:tc>
                <w:tcPr>
                  <w:tcW w:w="876" w:type="dxa"/>
                  <w:vMerge w:val="continue"/>
                  <w:tcBorders>
                    <w:tl2br w:val="nil"/>
                    <w:tr2bl w:val="nil"/>
                  </w:tcBorders>
                  <w:vAlign w:val="center"/>
                </w:tcPr>
                <w:p w14:paraId="73E7DE5E">
                  <w:pPr>
                    <w:spacing w:line="240" w:lineRule="auto"/>
                    <w:jc w:val="center"/>
                    <w:rPr>
                      <w:rFonts w:hint="eastAsia"/>
                      <w:color w:val="auto"/>
                      <w:lang w:eastAsia="zh-CN"/>
                    </w:rPr>
                  </w:pPr>
                </w:p>
              </w:tc>
              <w:tc>
                <w:tcPr>
                  <w:tcW w:w="1560" w:type="dxa"/>
                  <w:tcBorders>
                    <w:tl2br w:val="nil"/>
                    <w:tr2bl w:val="nil"/>
                  </w:tcBorders>
                  <w:vAlign w:val="center"/>
                </w:tcPr>
                <w:p w14:paraId="15F8E17A">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snapToGrid w:val="0"/>
                      <w:color w:val="auto"/>
                      <w:kern w:val="24"/>
                      <w:szCs w:val="21"/>
                    </w:rPr>
                  </w:pPr>
                  <w:r>
                    <w:rPr>
                      <w:rFonts w:hint="default" w:ascii="Times New Roman" w:hAnsi="Times New Roman" w:eastAsia="宋体" w:cs="Times New Roman"/>
                      <w:b w:val="0"/>
                      <w:bCs w:val="0"/>
                      <w:color w:val="auto"/>
                      <w:sz w:val="21"/>
                      <w:szCs w:val="21"/>
                    </w:rPr>
                    <w:t>废</w:t>
                  </w:r>
                  <w:r>
                    <w:rPr>
                      <w:rFonts w:hint="default" w:ascii="Times New Roman" w:hAnsi="Times New Roman" w:eastAsia="宋体" w:cs="Times New Roman"/>
                      <w:b w:val="0"/>
                      <w:bCs w:val="0"/>
                      <w:color w:val="auto"/>
                      <w:sz w:val="21"/>
                      <w:szCs w:val="21"/>
                      <w:lang w:eastAsia="zh-CN"/>
                    </w:rPr>
                    <w:t>机</w:t>
                  </w:r>
                  <w:r>
                    <w:rPr>
                      <w:rFonts w:hint="default" w:ascii="Times New Roman" w:hAnsi="Times New Roman" w:eastAsia="宋体" w:cs="Times New Roman"/>
                      <w:b w:val="0"/>
                      <w:bCs w:val="0"/>
                      <w:color w:val="auto"/>
                      <w:sz w:val="21"/>
                      <w:szCs w:val="21"/>
                    </w:rPr>
                    <w:t>油</w:t>
                  </w:r>
                  <w:r>
                    <w:rPr>
                      <w:rFonts w:hint="default" w:ascii="Times New Roman" w:hAnsi="Times New Roman" w:eastAsia="宋体" w:cs="Times New Roman"/>
                      <w:b w:val="0"/>
                      <w:bCs w:val="0"/>
                      <w:color w:val="auto"/>
                      <w:sz w:val="21"/>
                      <w:szCs w:val="21"/>
                      <w:lang w:eastAsia="zh-CN"/>
                    </w:rPr>
                    <w:t>桶</w:t>
                  </w:r>
                </w:p>
              </w:tc>
              <w:tc>
                <w:tcPr>
                  <w:tcW w:w="1155" w:type="dxa"/>
                  <w:tcBorders>
                    <w:tl2br w:val="nil"/>
                    <w:tr2bl w:val="nil"/>
                  </w:tcBorders>
                  <w:vAlign w:val="center"/>
                </w:tcPr>
                <w:p w14:paraId="1E94961A">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HW08</w:t>
                  </w:r>
                </w:p>
              </w:tc>
              <w:tc>
                <w:tcPr>
                  <w:tcW w:w="1335" w:type="dxa"/>
                  <w:tcBorders>
                    <w:tl2br w:val="nil"/>
                    <w:tr2bl w:val="nil"/>
                  </w:tcBorders>
                  <w:vAlign w:val="center"/>
                </w:tcPr>
                <w:p w14:paraId="47BD0806">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lang w:eastAsia="zh-CN"/>
                    </w:rPr>
                  </w:pPr>
                  <w:r>
                    <w:rPr>
                      <w:rFonts w:hint="default" w:ascii="Times New Roman" w:hAnsi="Times New Roman" w:eastAsia="宋体" w:cs="Times New Roman"/>
                      <w:b w:val="0"/>
                      <w:bCs w:val="0"/>
                      <w:color w:val="auto"/>
                      <w:sz w:val="21"/>
                      <w:szCs w:val="21"/>
                    </w:rPr>
                    <w:t>900-</w:t>
                  </w:r>
                  <w:r>
                    <w:rPr>
                      <w:rFonts w:hint="default" w:ascii="Times New Roman" w:hAnsi="Times New Roman" w:eastAsia="宋体" w:cs="Times New Roman"/>
                      <w:b w:val="0"/>
                      <w:bCs w:val="0"/>
                      <w:color w:val="auto"/>
                      <w:kern w:val="2"/>
                      <w:sz w:val="21"/>
                      <w:szCs w:val="21"/>
                      <w:lang w:val="en-US" w:eastAsia="zh-CN"/>
                    </w:rPr>
                    <w:t>249-08</w:t>
                  </w:r>
                </w:p>
              </w:tc>
              <w:tc>
                <w:tcPr>
                  <w:tcW w:w="1080" w:type="dxa"/>
                  <w:vMerge w:val="continue"/>
                  <w:tcBorders>
                    <w:tl2br w:val="nil"/>
                    <w:tr2bl w:val="nil"/>
                  </w:tcBorders>
                  <w:vAlign w:val="center"/>
                </w:tcPr>
                <w:p w14:paraId="5C263806">
                  <w:pPr>
                    <w:spacing w:line="240" w:lineRule="auto"/>
                    <w:jc w:val="center"/>
                    <w:rPr>
                      <w:rFonts w:hint="eastAsia"/>
                      <w:b w:val="0"/>
                      <w:bCs/>
                      <w:color w:val="auto"/>
                      <w:sz w:val="21"/>
                      <w:szCs w:val="21"/>
                      <w:lang w:eastAsia="zh-CN"/>
                    </w:rPr>
                  </w:pPr>
                </w:p>
              </w:tc>
              <w:tc>
                <w:tcPr>
                  <w:tcW w:w="750" w:type="dxa"/>
                  <w:vMerge w:val="continue"/>
                  <w:tcBorders>
                    <w:tl2br w:val="nil"/>
                    <w:tr2bl w:val="nil"/>
                  </w:tcBorders>
                  <w:vAlign w:val="center"/>
                </w:tcPr>
                <w:p w14:paraId="24F7E1AA">
                  <w:pPr>
                    <w:spacing w:line="240" w:lineRule="auto"/>
                    <w:jc w:val="center"/>
                    <w:rPr>
                      <w:rFonts w:hint="eastAsia" w:cs="Times New Roman"/>
                      <w:b w:val="0"/>
                      <w:bCs w:val="0"/>
                      <w:color w:val="auto"/>
                      <w:sz w:val="21"/>
                      <w:szCs w:val="21"/>
                      <w:vertAlign w:val="baseline"/>
                      <w:lang w:val="en-US" w:eastAsia="zh-CN"/>
                    </w:rPr>
                  </w:pPr>
                </w:p>
              </w:tc>
              <w:tc>
                <w:tcPr>
                  <w:tcW w:w="643" w:type="dxa"/>
                  <w:vMerge w:val="continue"/>
                  <w:tcBorders>
                    <w:tl2br w:val="nil"/>
                    <w:tr2bl w:val="nil"/>
                  </w:tcBorders>
                  <w:vAlign w:val="center"/>
                </w:tcPr>
                <w:p w14:paraId="74DC62E0">
                  <w:pPr>
                    <w:jc w:val="center"/>
                    <w:rPr>
                      <w:rFonts w:hint="eastAsia"/>
                      <w:snapToGrid w:val="0"/>
                      <w:color w:val="auto"/>
                      <w:kern w:val="24"/>
                      <w:szCs w:val="21"/>
                      <w:lang w:val="en-US" w:eastAsia="zh-CN"/>
                    </w:rPr>
                  </w:pPr>
                </w:p>
              </w:tc>
              <w:tc>
                <w:tcPr>
                  <w:tcW w:w="894" w:type="dxa"/>
                  <w:vMerge w:val="continue"/>
                  <w:tcBorders>
                    <w:tl2br w:val="nil"/>
                    <w:tr2bl w:val="nil"/>
                  </w:tcBorders>
                  <w:vAlign w:val="center"/>
                </w:tcPr>
                <w:p w14:paraId="22ECC651">
                  <w:pPr>
                    <w:jc w:val="center"/>
                    <w:rPr>
                      <w:rFonts w:hint="eastAsia"/>
                      <w:snapToGrid w:val="0"/>
                      <w:color w:val="auto"/>
                      <w:kern w:val="24"/>
                      <w:szCs w:val="21"/>
                      <w:lang w:val="en-US" w:eastAsia="zh-CN"/>
                    </w:rPr>
                  </w:pPr>
                </w:p>
              </w:tc>
            </w:tr>
            <w:tr w14:paraId="79A2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70646302">
                  <w:pPr>
                    <w:pStyle w:val="35"/>
                    <w:spacing w:line="240" w:lineRule="auto"/>
                    <w:ind w:firstLine="0" w:firstLineChars="0"/>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4</w:t>
                  </w:r>
                </w:p>
              </w:tc>
              <w:tc>
                <w:tcPr>
                  <w:tcW w:w="876" w:type="dxa"/>
                  <w:vMerge w:val="continue"/>
                  <w:tcBorders>
                    <w:tl2br w:val="nil"/>
                    <w:tr2bl w:val="nil"/>
                  </w:tcBorders>
                  <w:vAlign w:val="center"/>
                </w:tcPr>
                <w:p w14:paraId="1BDCFA3F">
                  <w:pPr>
                    <w:spacing w:line="240" w:lineRule="auto"/>
                    <w:jc w:val="center"/>
                    <w:rPr>
                      <w:rFonts w:hint="eastAsia"/>
                      <w:color w:val="auto"/>
                      <w:lang w:eastAsia="zh-CN"/>
                    </w:rPr>
                  </w:pPr>
                </w:p>
              </w:tc>
              <w:tc>
                <w:tcPr>
                  <w:tcW w:w="1560" w:type="dxa"/>
                  <w:tcBorders>
                    <w:tl2br w:val="nil"/>
                    <w:tr2bl w:val="nil"/>
                  </w:tcBorders>
                  <w:vAlign w:val="center"/>
                </w:tcPr>
                <w:p w14:paraId="4CC27D7D">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snapToGrid w:val="0"/>
                      <w:color w:val="auto"/>
                      <w:kern w:val="24"/>
                      <w:szCs w:val="21"/>
                    </w:rPr>
                  </w:pPr>
                  <w:r>
                    <w:rPr>
                      <w:rFonts w:hint="eastAsia" w:ascii="Times New Roman" w:hAnsi="Times New Roman" w:cs="Times New Roman"/>
                      <w:b w:val="0"/>
                      <w:bCs w:val="0"/>
                      <w:color w:val="auto"/>
                      <w:sz w:val="21"/>
                      <w:szCs w:val="21"/>
                      <w:lang w:eastAsia="zh-CN"/>
                    </w:rPr>
                    <w:t>含油抹布和手套</w:t>
                  </w:r>
                </w:p>
              </w:tc>
              <w:tc>
                <w:tcPr>
                  <w:tcW w:w="1155" w:type="dxa"/>
                  <w:tcBorders>
                    <w:tl2br w:val="nil"/>
                    <w:tr2bl w:val="nil"/>
                  </w:tcBorders>
                  <w:vAlign w:val="center"/>
                </w:tcPr>
                <w:p w14:paraId="7CA1C327">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HW</w:t>
                  </w:r>
                  <w:r>
                    <w:rPr>
                      <w:rFonts w:hint="eastAsia" w:ascii="Times New Roman" w:hAnsi="Times New Roman" w:cs="Times New Roman"/>
                      <w:b w:val="0"/>
                      <w:bCs w:val="0"/>
                      <w:color w:val="auto"/>
                      <w:sz w:val="21"/>
                      <w:szCs w:val="21"/>
                      <w:lang w:val="en-US" w:eastAsia="zh-CN"/>
                    </w:rPr>
                    <w:t>49</w:t>
                  </w:r>
                </w:p>
              </w:tc>
              <w:tc>
                <w:tcPr>
                  <w:tcW w:w="1335" w:type="dxa"/>
                  <w:tcBorders>
                    <w:tl2br w:val="nil"/>
                    <w:tr2bl w:val="nil"/>
                  </w:tcBorders>
                  <w:vAlign w:val="center"/>
                </w:tcPr>
                <w:p w14:paraId="1D842B7B">
                  <w:pPr>
                    <w:pStyle w:val="6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lang w:eastAsia="zh-CN"/>
                    </w:rPr>
                  </w:pPr>
                  <w:r>
                    <w:rPr>
                      <w:rFonts w:hint="default" w:ascii="Times New Roman" w:hAnsi="Times New Roman" w:eastAsia="宋体" w:cs="Times New Roman"/>
                      <w:b w:val="0"/>
                      <w:bCs w:val="0"/>
                      <w:color w:val="auto"/>
                      <w:sz w:val="21"/>
                      <w:szCs w:val="21"/>
                    </w:rPr>
                    <w:t>900-</w:t>
                  </w:r>
                  <w:r>
                    <w:rPr>
                      <w:rFonts w:hint="eastAsia" w:ascii="Times New Roman" w:hAnsi="Times New Roman" w:cs="Times New Roman"/>
                      <w:b w:val="0"/>
                      <w:bCs w:val="0"/>
                      <w:color w:val="auto"/>
                      <w:kern w:val="2"/>
                      <w:sz w:val="21"/>
                      <w:szCs w:val="21"/>
                      <w:lang w:val="en-US" w:eastAsia="zh-CN"/>
                    </w:rPr>
                    <w:t>041</w:t>
                  </w:r>
                  <w:r>
                    <w:rPr>
                      <w:rFonts w:hint="default" w:ascii="Times New Roman" w:hAnsi="Times New Roman" w:eastAsia="宋体" w:cs="Times New Roman"/>
                      <w:b w:val="0"/>
                      <w:bCs w:val="0"/>
                      <w:color w:val="auto"/>
                      <w:kern w:val="2"/>
                      <w:sz w:val="21"/>
                      <w:szCs w:val="21"/>
                      <w:lang w:val="en-US" w:eastAsia="zh-CN"/>
                    </w:rPr>
                    <w:t>-</w:t>
                  </w:r>
                  <w:r>
                    <w:rPr>
                      <w:rFonts w:hint="eastAsia" w:ascii="Times New Roman" w:hAnsi="Times New Roman" w:cs="Times New Roman"/>
                      <w:b w:val="0"/>
                      <w:bCs w:val="0"/>
                      <w:color w:val="auto"/>
                      <w:kern w:val="2"/>
                      <w:sz w:val="21"/>
                      <w:szCs w:val="21"/>
                      <w:lang w:val="en-US" w:eastAsia="zh-CN"/>
                    </w:rPr>
                    <w:t>49</w:t>
                  </w:r>
                </w:p>
              </w:tc>
              <w:tc>
                <w:tcPr>
                  <w:tcW w:w="1080" w:type="dxa"/>
                  <w:vMerge w:val="continue"/>
                  <w:tcBorders>
                    <w:tl2br w:val="nil"/>
                    <w:tr2bl w:val="nil"/>
                  </w:tcBorders>
                  <w:vAlign w:val="center"/>
                </w:tcPr>
                <w:p w14:paraId="21AB5CBA">
                  <w:pPr>
                    <w:spacing w:line="240" w:lineRule="auto"/>
                    <w:jc w:val="center"/>
                    <w:rPr>
                      <w:rFonts w:hint="eastAsia"/>
                      <w:b w:val="0"/>
                      <w:bCs/>
                      <w:color w:val="auto"/>
                      <w:sz w:val="21"/>
                      <w:szCs w:val="21"/>
                      <w:lang w:eastAsia="zh-CN"/>
                    </w:rPr>
                  </w:pPr>
                </w:p>
              </w:tc>
              <w:tc>
                <w:tcPr>
                  <w:tcW w:w="750" w:type="dxa"/>
                  <w:vMerge w:val="continue"/>
                  <w:tcBorders>
                    <w:tl2br w:val="nil"/>
                    <w:tr2bl w:val="nil"/>
                  </w:tcBorders>
                  <w:vAlign w:val="center"/>
                </w:tcPr>
                <w:p w14:paraId="18DBFF21">
                  <w:pPr>
                    <w:spacing w:line="240" w:lineRule="auto"/>
                    <w:jc w:val="center"/>
                    <w:rPr>
                      <w:rFonts w:hint="eastAsia" w:cs="Times New Roman"/>
                      <w:b w:val="0"/>
                      <w:bCs w:val="0"/>
                      <w:color w:val="auto"/>
                      <w:sz w:val="21"/>
                      <w:szCs w:val="21"/>
                      <w:vertAlign w:val="baseline"/>
                      <w:lang w:val="en-US" w:eastAsia="zh-CN"/>
                    </w:rPr>
                  </w:pPr>
                </w:p>
              </w:tc>
              <w:tc>
                <w:tcPr>
                  <w:tcW w:w="643" w:type="dxa"/>
                  <w:vMerge w:val="continue"/>
                  <w:tcBorders>
                    <w:tl2br w:val="nil"/>
                    <w:tr2bl w:val="nil"/>
                  </w:tcBorders>
                  <w:vAlign w:val="center"/>
                </w:tcPr>
                <w:p w14:paraId="651FA444">
                  <w:pPr>
                    <w:jc w:val="center"/>
                    <w:rPr>
                      <w:rFonts w:hint="eastAsia"/>
                      <w:snapToGrid w:val="0"/>
                      <w:color w:val="auto"/>
                      <w:kern w:val="24"/>
                      <w:szCs w:val="21"/>
                      <w:lang w:val="en-US" w:eastAsia="zh-CN"/>
                    </w:rPr>
                  </w:pPr>
                </w:p>
              </w:tc>
              <w:tc>
                <w:tcPr>
                  <w:tcW w:w="894" w:type="dxa"/>
                  <w:vMerge w:val="continue"/>
                  <w:tcBorders>
                    <w:tl2br w:val="nil"/>
                    <w:tr2bl w:val="nil"/>
                  </w:tcBorders>
                  <w:vAlign w:val="center"/>
                </w:tcPr>
                <w:p w14:paraId="480230C1">
                  <w:pPr>
                    <w:jc w:val="center"/>
                    <w:rPr>
                      <w:rFonts w:hint="eastAsia"/>
                      <w:snapToGrid w:val="0"/>
                      <w:color w:val="auto"/>
                      <w:kern w:val="24"/>
                      <w:szCs w:val="21"/>
                      <w:lang w:val="en-US" w:eastAsia="zh-CN"/>
                    </w:rPr>
                  </w:pPr>
                </w:p>
              </w:tc>
            </w:tr>
          </w:tbl>
          <w:p w14:paraId="525EE09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（1）一般固体废物管理要求</w:t>
            </w:r>
          </w:p>
          <w:p w14:paraId="6D9DFF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rPr>
              <w:t>企业拟设置</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的一般固废暂存间用来暂存产生的一般固废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pacing w:val="0"/>
                <w:sz w:val="24"/>
                <w:szCs w:val="24"/>
                <w:lang w:val="en-US" w:eastAsia="zh-CN"/>
              </w:rPr>
              <w:t>根据《一般工业固体废物贮存、填埋场污染控制标准》（GB18599-2020）要求，企业应按照</w:t>
            </w:r>
            <w:r>
              <w:rPr>
                <w:rFonts w:hint="default" w:ascii="Times New Roman" w:hAnsi="Times New Roman" w:eastAsia="宋体" w:cs="Times New Roman"/>
                <w:bCs/>
                <w:color w:val="auto"/>
                <w:sz w:val="24"/>
                <w:szCs w:val="24"/>
                <w:lang w:val="en-US" w:eastAsia="zh-CN"/>
              </w:rPr>
              <w:t>《安徽省实施〈中华人民共和国</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 HYPERLINK "https://huanbao.bjx.com.cn/topics/gutifeiwuwuran/" \t "https://huanbao.bjx.com.cn/news/20210602/_blank" </w:instrText>
            </w:r>
            <w:r>
              <w:rPr>
                <w:rFonts w:hint="default" w:ascii="Times New Roman" w:hAnsi="Times New Roman" w:eastAsia="宋体" w:cs="Times New Roman"/>
                <w:bCs/>
                <w:color w:val="auto"/>
                <w:sz w:val="24"/>
                <w:szCs w:val="24"/>
                <w:lang w:val="en-US" w:eastAsia="zh-CN"/>
              </w:rPr>
              <w:fldChar w:fldCharType="separate"/>
            </w:r>
            <w:r>
              <w:rPr>
                <w:rFonts w:hint="default" w:ascii="Times New Roman" w:hAnsi="Times New Roman" w:eastAsia="宋体" w:cs="Times New Roman"/>
                <w:bCs/>
                <w:color w:val="auto"/>
                <w:sz w:val="24"/>
                <w:szCs w:val="24"/>
                <w:lang w:val="en-US" w:eastAsia="zh-CN"/>
              </w:rPr>
              <w:t>固体废物污染</w:t>
            </w:r>
            <w:r>
              <w:rPr>
                <w:rFonts w:hint="default" w:ascii="Times New Roman" w:hAnsi="Times New Roman" w:eastAsia="宋体" w:cs="Times New Roman"/>
                <w:bCs/>
                <w:color w:val="auto"/>
                <w:sz w:val="24"/>
                <w:szCs w:val="24"/>
                <w:lang w:val="en-US" w:eastAsia="zh-CN"/>
              </w:rPr>
              <w:fldChar w:fldCharType="end"/>
            </w:r>
            <w:r>
              <w:rPr>
                <w:rFonts w:hint="default" w:ascii="Times New Roman" w:hAnsi="Times New Roman" w:eastAsia="宋体" w:cs="Times New Roman"/>
                <w:bCs/>
                <w:color w:val="auto"/>
                <w:sz w:val="24"/>
                <w:szCs w:val="24"/>
                <w:lang w:val="en-US" w:eastAsia="zh-CN"/>
              </w:rPr>
              <w:t>环境防治法〉办法》（2021年5月31日修订）</w:t>
            </w:r>
            <w:r>
              <w:rPr>
                <w:rFonts w:hint="default" w:ascii="Times New Roman" w:hAnsi="Times New Roman" w:eastAsia="宋体" w:cs="Times New Roman"/>
                <w:bCs/>
                <w:color w:val="auto"/>
                <w:spacing w:val="0"/>
                <w:sz w:val="24"/>
                <w:szCs w:val="24"/>
                <w:lang w:val="en-US" w:eastAsia="zh-CN"/>
              </w:rPr>
              <w:t>等相关法律法规要求，对工业固体废物采用防扬散、防流失、防渗漏或者其他防止污染环境的措施，不得擅自倾倒、堆放、丢弃、遗撒工业固体废物。</w:t>
            </w:r>
            <w:r>
              <w:rPr>
                <w:rFonts w:hint="default" w:ascii="Times New Roman" w:hAnsi="Times New Roman" w:eastAsia="宋体" w:cs="Times New Roman"/>
                <w:bCs/>
                <w:color w:val="auto"/>
                <w:sz w:val="24"/>
                <w:szCs w:val="24"/>
                <w:lang w:val="en-US" w:eastAsia="zh-CN"/>
              </w:rPr>
              <w:t>企业应建立工业固体废物管理台账，如实记录工业固体废物的种类、数量、流向、贮存、利用、处置等信息，一般工业固体废物管理台账保存期限不少于5年。</w:t>
            </w:r>
          </w:p>
          <w:p w14:paraId="56F57543">
            <w:pPr>
              <w:pageBreakBefore w:val="0"/>
              <w:widowControl w:val="0"/>
              <w:kinsoku/>
              <w:wordWrap/>
              <w:overflowPunct/>
              <w:topLinePunct w:val="0"/>
              <w:autoSpaceDE/>
              <w:autoSpaceDN/>
              <w:bidi w:val="0"/>
              <w:adjustRightInd w:val="0"/>
              <w:snapToGrid/>
              <w:spacing w:line="360" w:lineRule="auto"/>
              <w:ind w:firstLine="482"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eastAsia="zh-CN"/>
              </w:rPr>
              <w:t>）</w:t>
            </w:r>
            <w:r>
              <w:rPr>
                <w:rFonts w:hint="default" w:ascii="Times New Roman" w:hAnsi="Times New Roman" w:eastAsia="宋体" w:cs="Times New Roman"/>
                <w:b/>
                <w:bCs/>
                <w:color w:val="auto"/>
                <w:kern w:val="2"/>
                <w:sz w:val="24"/>
                <w:szCs w:val="24"/>
              </w:rPr>
              <w:t>生活垃圾处置要求</w:t>
            </w:r>
          </w:p>
          <w:p w14:paraId="42E66FF2">
            <w:pPr>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按照《安徽省实施〈中华人民共和国固体废物污染环境防治法〉办法》</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2021年5月31日修订）有关规定设置暂存场所，具体处置要求如下：</w:t>
            </w:r>
          </w:p>
          <w:p w14:paraId="401759D5">
            <w:pPr>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第四十九条 产生生活垃圾的单位、家庭和个人应当依法履行生活垃圾源头减量和分类投放义务，承担生活垃圾产生者责任。 </w:t>
            </w:r>
          </w:p>
          <w:p w14:paraId="5167C26B">
            <w:pPr>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任何单位和个人都应当依法在指定的地点分类投放生活垃圾。禁止随意倾倒、抛洒、堆放或者焚烧生活垃圾。</w:t>
            </w:r>
          </w:p>
          <w:p w14:paraId="63B84038">
            <w:pPr>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已经分类投放的生活垃圾，应当按照规定分类收集、分类运输、分类处理。 </w:t>
            </w:r>
          </w:p>
          <w:p w14:paraId="13C472A8">
            <w:pPr>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第五十条 清扫、收集、运输、处理城乡生活垃圾，应当遵守国家有关环境保护和环境卫生管理的规定，防止污染环境。 </w:t>
            </w:r>
          </w:p>
          <w:p w14:paraId="5CAE023F">
            <w:pPr>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从生活垃圾中分类并集中收集的有害垃圾，属于危险废物的，应当按照危险废物管理。</w:t>
            </w:r>
          </w:p>
          <w:p w14:paraId="70B8C50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color w:val="auto"/>
                <w:kern w:val="2"/>
                <w:sz w:val="24"/>
                <w:szCs w:val="24"/>
                <w:lang w:eastAsia="zh-CN"/>
              </w:rPr>
              <w:t>（</w:t>
            </w:r>
            <w:r>
              <w:rPr>
                <w:rFonts w:hint="default" w:ascii="Times New Roman" w:hAnsi="Times New Roman" w:eastAsia="宋体" w:cs="Times New Roman"/>
                <w:b/>
                <w:color w:val="auto"/>
                <w:kern w:val="2"/>
                <w:sz w:val="24"/>
                <w:szCs w:val="24"/>
                <w:lang w:val="en-US" w:eastAsia="zh-CN"/>
              </w:rPr>
              <w:t>3</w:t>
            </w:r>
            <w:r>
              <w:rPr>
                <w:rFonts w:hint="default" w:ascii="Times New Roman" w:hAnsi="Times New Roman" w:eastAsia="宋体" w:cs="Times New Roman"/>
                <w:b/>
                <w:color w:val="auto"/>
                <w:kern w:val="2"/>
                <w:sz w:val="24"/>
                <w:szCs w:val="24"/>
                <w:lang w:eastAsia="zh-CN"/>
              </w:rPr>
              <w:t>）</w:t>
            </w:r>
            <w:r>
              <w:rPr>
                <w:rFonts w:hint="default" w:ascii="Times New Roman" w:hAnsi="Times New Roman" w:eastAsia="宋体" w:cs="Times New Roman"/>
                <w:b/>
                <w:color w:val="auto"/>
                <w:kern w:val="2"/>
                <w:sz w:val="24"/>
                <w:szCs w:val="24"/>
              </w:rPr>
              <w:t>危</w:t>
            </w:r>
            <w:r>
              <w:rPr>
                <w:rFonts w:hint="default" w:ascii="Times New Roman" w:hAnsi="Times New Roman" w:eastAsia="宋体" w:cs="Times New Roman"/>
                <w:b/>
                <w:bCs/>
                <w:color w:val="auto"/>
                <w:kern w:val="2"/>
                <w:sz w:val="24"/>
                <w:szCs w:val="24"/>
                <w:lang w:val="en-US" w:eastAsia="zh-CN" w:bidi="ar-SA"/>
              </w:rPr>
              <w:t>险废物管理要求</w:t>
            </w:r>
          </w:p>
          <w:p w14:paraId="2C446D98">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本项目危险废物主要有废</w:t>
            </w:r>
            <w:r>
              <w:rPr>
                <w:rFonts w:hint="eastAsia" w:ascii="Times New Roman" w:hAnsi="Times New Roman" w:eastAsia="宋体" w:cs="Times New Roman"/>
                <w:color w:val="auto"/>
                <w:kern w:val="0"/>
                <w:sz w:val="24"/>
                <w:szCs w:val="24"/>
                <w:lang w:val="en-US" w:eastAsia="zh-CN" w:bidi="ar"/>
              </w:rPr>
              <w:t>活性炭</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废机油</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废机油桶</w:t>
            </w:r>
            <w:r>
              <w:rPr>
                <w:rFonts w:hint="eastAsia" w:ascii="Times New Roman" w:hAnsi="Times New Roman" w:eastAsia="宋体" w:cs="Times New Roman"/>
                <w:color w:val="auto"/>
                <w:kern w:val="0"/>
                <w:sz w:val="24"/>
                <w:szCs w:val="24"/>
                <w:lang w:val="en-US" w:eastAsia="zh-CN" w:bidi="ar"/>
              </w:rPr>
              <w:t>、含油抹布和手套</w:t>
            </w:r>
            <w:r>
              <w:rPr>
                <w:rFonts w:hint="default" w:ascii="Times New Roman" w:hAnsi="Times New Roman" w:eastAsia="宋体" w:cs="Times New Roman"/>
                <w:color w:val="auto"/>
                <w:kern w:val="0"/>
                <w:sz w:val="24"/>
                <w:szCs w:val="24"/>
                <w:lang w:val="en-US" w:eastAsia="zh-CN" w:bidi="ar"/>
              </w:rPr>
              <w:t>等，企业设有一座</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的危废暂存设施，位于</w:t>
            </w:r>
            <w:r>
              <w:rPr>
                <w:rFonts w:hint="eastAsia"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车间西</w:t>
            </w:r>
            <w:r>
              <w:rPr>
                <w:rFonts w:hint="eastAsia" w:ascii="Times New Roman" w:hAnsi="Times New Roman" w:eastAsia="宋体" w:cs="Times New Roman"/>
                <w:color w:val="auto"/>
                <w:sz w:val="24"/>
                <w:szCs w:val="24"/>
                <w:lang w:val="en-US" w:eastAsia="zh-CN"/>
              </w:rPr>
              <w:t>南角</w:t>
            </w:r>
            <w:r>
              <w:rPr>
                <w:rFonts w:hint="default" w:ascii="Times New Roman" w:hAnsi="Times New Roman" w:eastAsia="宋体" w:cs="Times New Roman"/>
                <w:color w:val="auto"/>
                <w:kern w:val="0"/>
                <w:sz w:val="24"/>
                <w:szCs w:val="24"/>
                <w:lang w:val="en-US" w:eastAsia="zh-CN" w:bidi="ar"/>
              </w:rPr>
              <w:t xml:space="preserve">。 </w:t>
            </w:r>
          </w:p>
          <w:p w14:paraId="27270F1F">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危废暂存场所采取重点防腐防渗措施，设置满足《危险废物贮存污染控制标准》（GB18597-2023）中有关要求，废物贮存设施必须按《危险废物识别标识设置技术规范》（HJ1276-2022）的规定设置警示标志，废物贮存设施应配备通讯设备、照明设施、安全防护服装及工具，并设有应急防护设施，废物贮存设施内清理出来的泄漏物，一律按危险废物处理。项目所处理的危险废物采用专门的车辆，密闭运输，严格禁止抛洒滴漏，杜绝在运输过程中造成环境的二次污染。在危险废物的运输中执行《危险废物转移联单管理办法》中有关的规定和要求。</w:t>
            </w:r>
          </w:p>
          <w:p w14:paraId="326E49F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bookmarkStart w:id="13" w:name="_Toc9661"/>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危废暂存间</w:t>
            </w:r>
            <w:r>
              <w:rPr>
                <w:rFonts w:hint="default" w:ascii="Times New Roman" w:hAnsi="Times New Roman" w:eastAsia="宋体" w:cs="Times New Roman"/>
                <w:color w:val="auto"/>
                <w:sz w:val="24"/>
                <w:szCs w:val="24"/>
                <w:lang w:eastAsia="zh-CN"/>
              </w:rPr>
              <w:t>建设要求</w:t>
            </w:r>
            <w:r>
              <w:rPr>
                <w:rFonts w:hint="default" w:ascii="Times New Roman" w:hAnsi="Times New Roman" w:eastAsia="宋体" w:cs="Times New Roman"/>
                <w:color w:val="auto"/>
                <w:sz w:val="24"/>
                <w:szCs w:val="24"/>
              </w:rPr>
              <w:t>：</w:t>
            </w:r>
            <w:bookmarkEnd w:id="13"/>
          </w:p>
          <w:p w14:paraId="7C0C7D55">
            <w:pPr>
              <w:keepNext w:val="0"/>
              <w:keepLines w:val="0"/>
              <w:pageBreakBefore w:val="0"/>
              <w:widowControl/>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position w:val="0"/>
                <w:sz w:val="24"/>
                <w:szCs w:val="24"/>
              </w:rPr>
              <w:t>①应根据危险废物的形态、物理化学性质、包装形式和污染物迁移途径，采取必</w:t>
            </w:r>
            <w:r>
              <w:rPr>
                <w:rFonts w:hint="default" w:ascii="Times New Roman" w:hAnsi="Times New Roman" w:eastAsia="宋体" w:cs="Times New Roman"/>
                <w:color w:val="auto"/>
                <w:spacing w:val="0"/>
                <w:sz w:val="24"/>
                <w:szCs w:val="24"/>
              </w:rPr>
              <w:t>要的防风、防晒、防雨、防漏、防渗、防腐以及其他环境污染防治措施，不应露天堆放危险废物。</w:t>
            </w:r>
          </w:p>
          <w:p w14:paraId="7B040259">
            <w:pPr>
              <w:keepNext w:val="0"/>
              <w:keepLines w:val="0"/>
              <w:pageBreakBefore w:val="0"/>
              <w:widowControl/>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sz w:val="24"/>
                <w:szCs w:val="24"/>
              </w:rPr>
              <w:t>②应根据危险废物的类别、数量、形态、物理化学性质和污染防治等要求设置必</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0"/>
                <w:sz w:val="24"/>
                <w:szCs w:val="24"/>
              </w:rPr>
              <w:t>要的贮存分区，避免不相容的危险废物接触、混合，不同贮存分区之间应采取隔离措施。</w:t>
            </w:r>
          </w:p>
          <w:p w14:paraId="70CCF044">
            <w:pPr>
              <w:keepNext w:val="0"/>
              <w:keepLines w:val="0"/>
              <w:pageBreakBefore w:val="0"/>
              <w:widowControl/>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position w:val="0"/>
                <w:sz w:val="24"/>
                <w:szCs w:val="24"/>
              </w:rPr>
              <w:t>③贮存设施或贮存分区内地面、墙面裙脚、堵截泄漏的围堰、接触危险废物的隔</w:t>
            </w:r>
            <w:r>
              <w:rPr>
                <w:rFonts w:hint="default" w:ascii="Times New Roman" w:hAnsi="Times New Roman" w:eastAsia="宋体" w:cs="Times New Roman"/>
                <w:color w:val="auto"/>
                <w:spacing w:val="0"/>
                <w:sz w:val="24"/>
                <w:szCs w:val="24"/>
              </w:rPr>
              <w:t>板和墙体等应采用坚固的材料建造，表面无裂缝。</w:t>
            </w:r>
          </w:p>
          <w:p w14:paraId="7945E5A8">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position w:val="0"/>
                <w:sz w:val="24"/>
                <w:szCs w:val="24"/>
              </w:rPr>
              <w:t>④贮存设施地面与裙脚应采取表面防渗措施，在贮存库内或通过贮存分区方式贮</w:t>
            </w:r>
            <w:r>
              <w:rPr>
                <w:rFonts w:hint="default" w:ascii="Times New Roman" w:hAnsi="Times New Roman" w:eastAsia="宋体" w:cs="Times New Roman"/>
                <w:color w:val="auto"/>
                <w:spacing w:val="0"/>
                <w:sz w:val="24"/>
                <w:szCs w:val="24"/>
              </w:rPr>
              <w:t>存液态危险废物的，应具有液体泄漏堵截设施。</w:t>
            </w:r>
          </w:p>
          <w:p w14:paraId="43274439">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⑤同一贮存设施宜采用相同的防渗、防腐工艺（包括防</w:t>
            </w:r>
            <w:r>
              <w:rPr>
                <w:rFonts w:hint="default" w:ascii="Times New Roman" w:hAnsi="Times New Roman" w:eastAsia="宋体" w:cs="Times New Roman"/>
                <w:color w:val="auto"/>
                <w:spacing w:val="0"/>
                <w:sz w:val="24"/>
                <w:szCs w:val="24"/>
              </w:rPr>
              <w:t>渗、防腐结构或材料），</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0"/>
                <w:sz w:val="24"/>
                <w:szCs w:val="24"/>
              </w:rPr>
              <w:t>防渗、防腐材料应覆盖所有可能与废物及其渗滤液、渗漏液等接触的构筑物表面；采用不同防渗、防腐工艺应分别建设贮存分区。</w:t>
            </w:r>
          </w:p>
          <w:p w14:paraId="57FB759E">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position w:val="0"/>
                <w:sz w:val="24"/>
                <w:szCs w:val="24"/>
              </w:rPr>
              <w:t>⑥</w:t>
            </w:r>
            <w:r>
              <w:rPr>
                <w:rFonts w:hint="default" w:ascii="Times New Roman" w:hAnsi="Times New Roman" w:eastAsia="宋体" w:cs="Times New Roman"/>
                <w:color w:val="auto"/>
                <w:spacing w:val="0"/>
                <w:sz w:val="24"/>
                <w:szCs w:val="24"/>
              </w:rPr>
              <w:t>在常温常压下不易水解、不易挥发的固态危险废物可分类堆放贮存，其他固态危险废物应装入容器或包装物内贮存，易产生VOCs、有毒有害大气污染物和刺激性气味气体的危险废物应装入闭口容器或包装物内贮存等。</w:t>
            </w:r>
          </w:p>
          <w:p w14:paraId="0A7123E5">
            <w:pPr>
              <w:pStyle w:val="84"/>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危废暂存间管理要求：</w:t>
            </w:r>
          </w:p>
          <w:p w14:paraId="233C28BB">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①危险废物储存间应当</w:t>
            </w:r>
            <w:r>
              <w:rPr>
                <w:rFonts w:hint="default" w:ascii="Times New Roman" w:hAnsi="Times New Roman" w:eastAsia="宋体" w:cs="Times New Roman"/>
                <w:color w:val="auto"/>
                <w:sz w:val="24"/>
                <w:szCs w:val="24"/>
                <w:lang w:eastAsia="zh-CN"/>
              </w:rPr>
              <w:t>按</w:t>
            </w:r>
            <w:r>
              <w:rPr>
                <w:rFonts w:hint="default" w:ascii="Times New Roman" w:hAnsi="Times New Roman" w:eastAsia="宋体" w:cs="Times New Roman"/>
                <w:color w:val="auto"/>
                <w:sz w:val="24"/>
                <w:szCs w:val="24"/>
              </w:rPr>
              <w:t>照《危险废物贮存污染控制标准》（</w:t>
            </w:r>
            <w:r>
              <w:rPr>
                <w:rFonts w:hint="default" w:ascii="Times New Roman" w:hAnsi="Times New Roman" w:eastAsia="宋体" w:cs="Times New Roman"/>
                <w:color w:val="auto"/>
                <w:kern w:val="0"/>
                <w:sz w:val="24"/>
                <w:szCs w:val="24"/>
                <w:lang w:val="en-US" w:eastAsia="zh-CN" w:bidi="ar"/>
              </w:rPr>
              <w:t>GB 18597—2023</w:t>
            </w:r>
            <w:r>
              <w:rPr>
                <w:rFonts w:hint="default" w:ascii="Times New Roman" w:hAnsi="Times New Roman" w:eastAsia="宋体" w:cs="Times New Roman"/>
                <w:color w:val="auto"/>
                <w:sz w:val="24"/>
                <w:szCs w:val="24"/>
              </w:rPr>
              <w:t>）建设，地面及储存间裙角采区防渗处理，防渗系数小于1×10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cm/s；危废</w:t>
            </w:r>
            <w:r>
              <w:rPr>
                <w:rFonts w:hint="default" w:ascii="Times New Roman" w:hAnsi="Times New Roman" w:eastAsia="宋体" w:cs="Times New Roman"/>
                <w:color w:val="auto"/>
                <w:sz w:val="24"/>
                <w:szCs w:val="24"/>
                <w:lang w:eastAsia="zh-CN"/>
              </w:rPr>
              <w:t>暂存</w:t>
            </w:r>
            <w:r>
              <w:rPr>
                <w:rFonts w:hint="default" w:ascii="Times New Roman" w:hAnsi="Times New Roman" w:eastAsia="宋体" w:cs="Times New Roman"/>
                <w:color w:val="auto"/>
                <w:sz w:val="24"/>
                <w:szCs w:val="24"/>
              </w:rPr>
              <w:t>间设不同分区，并粘贴危险废物名称、性质</w:t>
            </w:r>
            <w:r>
              <w:rPr>
                <w:rFonts w:hint="default" w:ascii="Times New Roman" w:hAnsi="Times New Roman" w:eastAsia="宋体" w:cs="Times New Roman"/>
                <w:color w:val="auto"/>
                <w:sz w:val="24"/>
                <w:szCs w:val="24"/>
                <w:lang w:eastAsia="zh-CN"/>
              </w:rPr>
              <w:t>。</w:t>
            </w:r>
          </w:p>
          <w:p w14:paraId="36F02578">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②危废</w:t>
            </w:r>
            <w:r>
              <w:rPr>
                <w:rFonts w:hint="default" w:ascii="Times New Roman" w:hAnsi="Times New Roman" w:eastAsia="宋体" w:cs="Times New Roman"/>
                <w:color w:val="auto"/>
                <w:sz w:val="24"/>
                <w:szCs w:val="24"/>
                <w:lang w:eastAsia="zh-CN"/>
              </w:rPr>
              <w:t>暂存</w:t>
            </w:r>
            <w:r>
              <w:rPr>
                <w:rFonts w:hint="default" w:ascii="Times New Roman" w:hAnsi="Times New Roman" w:eastAsia="宋体" w:cs="Times New Roman"/>
                <w:color w:val="auto"/>
                <w:sz w:val="24"/>
                <w:szCs w:val="24"/>
              </w:rPr>
              <w:t>间应设置</w:t>
            </w:r>
            <w:r>
              <w:rPr>
                <w:rFonts w:hint="default" w:ascii="Times New Roman" w:hAnsi="Times New Roman" w:eastAsia="宋体" w:cs="Times New Roman"/>
                <w:color w:val="auto"/>
                <w:sz w:val="24"/>
                <w:szCs w:val="24"/>
                <w:lang w:eastAsia="zh-CN"/>
              </w:rPr>
              <w:t>配备通信</w:t>
            </w:r>
            <w:r>
              <w:rPr>
                <w:rFonts w:hint="default" w:ascii="Times New Roman" w:hAnsi="Times New Roman" w:eastAsia="宋体" w:cs="Times New Roman"/>
                <w:color w:val="auto"/>
                <w:sz w:val="24"/>
                <w:szCs w:val="24"/>
              </w:rPr>
              <w:t>装置、照明设施、安全防护服装及工具，并设应急防护设施，地面与裙脚所围建的容积不低于最大容器的最大储量或总储量的五分之一，并设置警示标志。</w:t>
            </w:r>
          </w:p>
          <w:p w14:paraId="79A89D66">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③由专人进行管理，做好危险废物排放量及处置记录，并在危险废物转移管理过程中严格执行《危险废物转移联单管理办法》，委托有资质单位处理。</w:t>
            </w:r>
          </w:p>
          <w:p w14:paraId="26449C13">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危险废物贮存</w:t>
            </w:r>
            <w:r>
              <w:rPr>
                <w:rFonts w:hint="default" w:ascii="Times New Roman" w:hAnsi="Times New Roman" w:eastAsia="宋体" w:cs="Times New Roman"/>
                <w:color w:val="auto"/>
                <w:sz w:val="24"/>
                <w:szCs w:val="24"/>
                <w:lang w:eastAsia="zh-CN"/>
              </w:rPr>
              <w:t>暂存、运输、处置</w:t>
            </w:r>
            <w:r>
              <w:rPr>
                <w:rFonts w:hint="default" w:ascii="Times New Roman" w:hAnsi="Times New Roman" w:eastAsia="宋体" w:cs="Times New Roman"/>
                <w:color w:val="auto"/>
                <w:sz w:val="24"/>
                <w:szCs w:val="24"/>
              </w:rPr>
              <w:t>要求：</w:t>
            </w:r>
          </w:p>
          <w:p w14:paraId="4515B147">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依照《中华人民共和国固体废物污染环境防治法》，对危险废物提出以下要求</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rPr>
              <w:t>危险废物贮存按《危险废物贮存污染控制标准》（</w:t>
            </w:r>
            <w:r>
              <w:rPr>
                <w:rFonts w:hint="default" w:ascii="Times New Roman" w:hAnsi="Times New Roman" w:eastAsia="宋体" w:cs="Times New Roman"/>
                <w:color w:val="auto"/>
                <w:kern w:val="0"/>
                <w:sz w:val="24"/>
                <w:szCs w:val="24"/>
                <w:lang w:val="en-US" w:eastAsia="zh-CN" w:bidi="ar"/>
              </w:rPr>
              <w:t>GB 18597—2023</w:t>
            </w:r>
            <w:r>
              <w:rPr>
                <w:rFonts w:hint="default" w:ascii="Times New Roman" w:hAnsi="Times New Roman" w:eastAsia="宋体" w:cs="Times New Roman"/>
                <w:color w:val="auto"/>
                <w:sz w:val="24"/>
                <w:szCs w:val="24"/>
              </w:rPr>
              <w:t>）规定进行：</w:t>
            </w:r>
          </w:p>
          <w:p w14:paraId="0397A6E5">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①必须将危险废物装入容器内，装载危险废物的容器内须留足够空间。</w:t>
            </w:r>
          </w:p>
          <w:p w14:paraId="7A4DF8E9">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②盛装危险废物的容器上必须粘贴符合标准要求的标签。</w:t>
            </w:r>
          </w:p>
          <w:p w14:paraId="64AF6621">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③装载危险废物的容器及材质要满足相应的强度要求，装载危险废物的容器必须完好无损。</w:t>
            </w:r>
          </w:p>
          <w:p w14:paraId="17D6E80A">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lang w:eastAsia="zh-CN"/>
              </w:rPr>
              <w:t>做好</w:t>
            </w:r>
            <w:r>
              <w:rPr>
                <w:rFonts w:hint="default" w:ascii="Times New Roman" w:hAnsi="Times New Roman" w:eastAsia="宋体" w:cs="Times New Roman"/>
                <w:color w:val="auto"/>
                <w:sz w:val="24"/>
                <w:szCs w:val="24"/>
              </w:rPr>
              <w:t>危险废物情况的记录，记录上须注明危险废物的名称、来源、数量、特性和包装容器的类别、入库日期、存放库位、废物出库日期及接收单位名称。</w:t>
            </w:r>
          </w:p>
          <w:p w14:paraId="5D16CE41">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⑤根据</w:t>
            </w:r>
            <w:r>
              <w:rPr>
                <w:rFonts w:hint="default" w:ascii="Times New Roman" w:hAnsi="Times New Roman" w:eastAsia="宋体" w:cs="Times New Roman"/>
                <w:color w:val="auto"/>
                <w:sz w:val="24"/>
                <w:szCs w:val="24"/>
                <w:lang w:eastAsia="zh-CN"/>
              </w:rPr>
              <w:t>危险</w:t>
            </w:r>
            <w:r>
              <w:rPr>
                <w:rFonts w:hint="default" w:ascii="Times New Roman" w:hAnsi="Times New Roman" w:eastAsia="宋体" w:cs="Times New Roman"/>
                <w:color w:val="auto"/>
                <w:sz w:val="24"/>
                <w:szCs w:val="24"/>
              </w:rPr>
              <w:t>废物性质不同，不相容的危险废物分别贮存。</w:t>
            </w:r>
          </w:p>
          <w:p w14:paraId="39430731">
            <w:pPr>
              <w:pStyle w:val="8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⑥必须定期对所贮存的危险废物包装容器及贮存设施进行检查，发现破损，应及时采取措施清理更换。</w:t>
            </w:r>
          </w:p>
          <w:p w14:paraId="640EDA0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bookmarkStart w:id="14" w:name="_Toc15792"/>
            <w:bookmarkStart w:id="15" w:name="_Toc25896"/>
            <w:r>
              <w:rPr>
                <w:rFonts w:hint="default" w:ascii="Times New Roman" w:hAnsi="Times New Roman" w:eastAsia="宋体" w:cs="Times New Roman"/>
                <w:color w:val="auto"/>
                <w:sz w:val="24"/>
                <w:szCs w:val="24"/>
              </w:rPr>
              <w:t>⑤危险废物外运管理要求按照《危险废物转移管理办法》（</w:t>
            </w:r>
            <w:r>
              <w:rPr>
                <w:rFonts w:hint="default" w:ascii="Times New Roman" w:hAnsi="Times New Roman" w:eastAsia="宋体" w:cs="Times New Roman"/>
                <w:color w:val="auto"/>
                <w:sz w:val="24"/>
                <w:szCs w:val="24"/>
                <w:lang w:eastAsia="zh-CN"/>
              </w:rPr>
              <w:t>生态环境部、交通部、公安部</w:t>
            </w:r>
            <w:r>
              <w:rPr>
                <w:rFonts w:hint="default" w:ascii="Times New Roman" w:hAnsi="Times New Roman" w:eastAsia="宋体" w:cs="Times New Roman"/>
                <w:color w:val="auto"/>
                <w:sz w:val="24"/>
                <w:szCs w:val="24"/>
              </w:rPr>
              <w:t>令</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年第</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号）的规定执行。</w:t>
            </w:r>
            <w:bookmarkEnd w:id="14"/>
            <w:bookmarkEnd w:id="15"/>
          </w:p>
          <w:p w14:paraId="17A5CF4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bookmarkStart w:id="16" w:name="_Toc3040"/>
            <w:bookmarkStart w:id="17" w:name="_Toc4204"/>
            <w:r>
              <w:rPr>
                <w:rFonts w:hint="default" w:ascii="Times New Roman" w:hAnsi="Times New Roman" w:eastAsia="宋体" w:cs="Times New Roman"/>
                <w:color w:val="auto"/>
                <w:sz w:val="24"/>
                <w:szCs w:val="24"/>
              </w:rPr>
              <w:t>⑥危险废物接收、运输可行性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目前，</w:t>
            </w:r>
            <w:r>
              <w:rPr>
                <w:rFonts w:hint="default" w:ascii="Times New Roman" w:hAnsi="Times New Roman" w:eastAsia="宋体" w:cs="Times New Roman"/>
                <w:color w:val="auto"/>
                <w:sz w:val="24"/>
                <w:szCs w:val="24"/>
                <w:lang w:eastAsia="zh-CN"/>
              </w:rPr>
              <w:t>蚌埠</w:t>
            </w:r>
            <w:r>
              <w:rPr>
                <w:rFonts w:hint="default" w:ascii="Times New Roman" w:hAnsi="Times New Roman" w:eastAsia="宋体" w:cs="Times New Roman"/>
                <w:color w:val="auto"/>
                <w:sz w:val="24"/>
                <w:szCs w:val="24"/>
              </w:rPr>
              <w:t>市危险废物经营单位较多，可接收</w:t>
            </w:r>
            <w:r>
              <w:rPr>
                <w:rFonts w:hint="default" w:ascii="Times New Roman" w:hAnsi="Times New Roman" w:eastAsia="宋体" w:cs="Times New Roman"/>
                <w:b w:val="0"/>
                <w:bCs/>
                <w:color w:val="auto"/>
                <w:sz w:val="24"/>
                <w:szCs w:val="24"/>
                <w:lang w:val="en-US"/>
              </w:rPr>
              <w:t>项目</w:t>
            </w:r>
            <w:r>
              <w:rPr>
                <w:rFonts w:hint="default" w:ascii="Times New Roman" w:hAnsi="Times New Roman" w:eastAsia="宋体" w:cs="Times New Roman"/>
                <w:color w:val="auto"/>
                <w:sz w:val="24"/>
                <w:szCs w:val="24"/>
              </w:rPr>
              <w:t>产生的危险废物，且运输距离较短，运输风险较低。因此，</w:t>
            </w:r>
            <w:r>
              <w:rPr>
                <w:rFonts w:hint="default" w:ascii="Times New Roman" w:hAnsi="Times New Roman" w:eastAsia="宋体" w:cs="Times New Roman"/>
                <w:b w:val="0"/>
                <w:bCs/>
                <w:color w:val="auto"/>
                <w:sz w:val="24"/>
                <w:szCs w:val="24"/>
                <w:lang w:val="en-US"/>
              </w:rPr>
              <w:t>项目</w:t>
            </w:r>
            <w:r>
              <w:rPr>
                <w:rFonts w:hint="default" w:ascii="Times New Roman" w:hAnsi="Times New Roman" w:eastAsia="宋体" w:cs="Times New Roman"/>
                <w:color w:val="auto"/>
                <w:sz w:val="24"/>
                <w:szCs w:val="24"/>
              </w:rPr>
              <w:t>危险废物</w:t>
            </w:r>
            <w:r>
              <w:rPr>
                <w:rFonts w:hint="default" w:ascii="Times New Roman" w:hAnsi="Times New Roman" w:eastAsia="宋体" w:cs="Times New Roman"/>
                <w:color w:val="auto"/>
                <w:sz w:val="24"/>
                <w:szCs w:val="24"/>
                <w:lang w:eastAsia="zh-CN"/>
              </w:rPr>
              <w:t>交由</w:t>
            </w:r>
            <w:r>
              <w:rPr>
                <w:rFonts w:hint="default" w:ascii="Times New Roman" w:hAnsi="Times New Roman" w:eastAsia="宋体" w:cs="Times New Roman"/>
                <w:color w:val="auto"/>
                <w:sz w:val="24"/>
                <w:szCs w:val="24"/>
              </w:rPr>
              <w:t>资质单位处理可行。</w:t>
            </w:r>
            <w:bookmarkEnd w:id="16"/>
            <w:bookmarkEnd w:id="17"/>
          </w:p>
          <w:p w14:paraId="414626E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rPr>
            </w:pPr>
            <w:bookmarkStart w:id="18" w:name="_Toc5611"/>
            <w:bookmarkStart w:id="19" w:name="_Toc13839"/>
            <w:r>
              <w:rPr>
                <w:rFonts w:hint="default" w:ascii="Times New Roman" w:hAnsi="Times New Roman" w:eastAsia="宋体" w:cs="Times New Roman"/>
                <w:color w:val="auto"/>
                <w:sz w:val="24"/>
                <w:szCs w:val="24"/>
              </w:rPr>
              <w:t>综上所述，项目危废暂存间选址可行，满足</w:t>
            </w:r>
            <w:r>
              <w:rPr>
                <w:rFonts w:hint="default" w:ascii="Times New Roman" w:hAnsi="Times New Roman" w:eastAsia="宋体" w:cs="Times New Roman"/>
                <w:b w:val="0"/>
                <w:bCs/>
                <w:color w:val="auto"/>
                <w:sz w:val="24"/>
                <w:szCs w:val="24"/>
                <w:lang w:val="en-US"/>
              </w:rPr>
              <w:t>项目</w:t>
            </w:r>
            <w:r>
              <w:rPr>
                <w:rFonts w:hint="default" w:ascii="Times New Roman" w:hAnsi="Times New Roman" w:eastAsia="宋体" w:cs="Times New Roman"/>
                <w:color w:val="auto"/>
                <w:sz w:val="24"/>
                <w:szCs w:val="24"/>
                <w:lang w:eastAsia="zh-CN"/>
              </w:rPr>
              <w:t>危险废物</w:t>
            </w:r>
            <w:r>
              <w:rPr>
                <w:rFonts w:hint="default" w:ascii="Times New Roman" w:hAnsi="Times New Roman" w:eastAsia="宋体" w:cs="Times New Roman"/>
                <w:color w:val="auto"/>
                <w:sz w:val="24"/>
                <w:szCs w:val="24"/>
              </w:rPr>
              <w:t>的储存，且危废</w:t>
            </w:r>
            <w:r>
              <w:rPr>
                <w:rFonts w:hint="default" w:ascii="Times New Roman" w:hAnsi="Times New Roman" w:eastAsia="宋体" w:cs="Times New Roman"/>
                <w:color w:val="auto"/>
                <w:sz w:val="24"/>
                <w:szCs w:val="24"/>
                <w:lang w:eastAsia="zh-CN"/>
              </w:rPr>
              <w:t>暂存</w:t>
            </w:r>
            <w:r>
              <w:rPr>
                <w:rFonts w:hint="default" w:ascii="Times New Roman" w:hAnsi="Times New Roman" w:eastAsia="宋体" w:cs="Times New Roman"/>
                <w:color w:val="auto"/>
                <w:sz w:val="24"/>
                <w:szCs w:val="24"/>
              </w:rPr>
              <w:t>间采取了相应的防渗措施</w:t>
            </w:r>
            <w:r>
              <w:rPr>
                <w:rFonts w:hint="default"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rPr>
              <w:t>，暂存、运输、处置</w:t>
            </w:r>
            <w:r>
              <w:rPr>
                <w:rFonts w:hint="default" w:ascii="Times New Roman" w:hAnsi="Times New Roman" w:eastAsia="宋体" w:cs="Times New Roman"/>
                <w:color w:val="auto"/>
                <w:sz w:val="24"/>
                <w:szCs w:val="24"/>
                <w:lang w:eastAsia="zh-CN"/>
              </w:rPr>
              <w:t>过程不会对环境造成影响</w:t>
            </w:r>
            <w:r>
              <w:rPr>
                <w:rFonts w:hint="default" w:ascii="Times New Roman" w:hAnsi="Times New Roman" w:eastAsia="宋体" w:cs="Times New Roman"/>
                <w:color w:val="auto"/>
                <w:sz w:val="24"/>
                <w:szCs w:val="24"/>
              </w:rPr>
              <w:t>。</w:t>
            </w:r>
            <w:bookmarkEnd w:id="18"/>
            <w:bookmarkEnd w:id="19"/>
          </w:p>
          <w:p w14:paraId="2E002F59">
            <w:pPr>
              <w:pStyle w:val="20"/>
              <w:snapToGrid w:val="0"/>
              <w:spacing w:after="0" w:line="360" w:lineRule="auto"/>
              <w:ind w:left="0" w:leftChars="0" w:firstLine="480"/>
              <w:rPr>
                <w:rFonts w:hint="default" w:ascii="Times New Roman" w:hAnsi="Times New Roman" w:eastAsia="宋体" w:cs="Times New Roman"/>
                <w:color w:val="auto"/>
                <w:sz w:val="24"/>
              </w:rPr>
            </w:pPr>
            <w:r>
              <w:rPr>
                <w:rFonts w:hint="default" w:ascii="Times New Roman" w:hAnsi="Times New Roman" w:eastAsia="宋体" w:cs="Times New Roman"/>
                <w:b w:val="0"/>
                <w:bCs/>
                <w:color w:val="auto"/>
                <w:sz w:val="24"/>
                <w:szCs w:val="24"/>
                <w:lang w:val="en-US"/>
              </w:rPr>
              <w:t>项目</w:t>
            </w:r>
            <w:r>
              <w:rPr>
                <w:rFonts w:hint="default" w:ascii="Times New Roman" w:hAnsi="Times New Roman" w:eastAsia="宋体" w:cs="Times New Roman"/>
                <w:color w:val="auto"/>
                <w:sz w:val="24"/>
                <w:szCs w:val="24"/>
              </w:rPr>
              <w:t>所有固废均得到妥善处置或综合利用，不会对周围环境产生影响</w:t>
            </w:r>
            <w:r>
              <w:rPr>
                <w:rFonts w:hint="default" w:ascii="Times New Roman" w:hAnsi="Times New Roman" w:eastAsia="宋体" w:cs="Times New Roman"/>
                <w:color w:val="auto"/>
                <w:sz w:val="24"/>
              </w:rPr>
              <w:t>。</w:t>
            </w:r>
          </w:p>
          <w:p w14:paraId="718BEB2A">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5、地下水、土壤</w:t>
            </w:r>
          </w:p>
          <w:p w14:paraId="0464FA7A">
            <w:pPr>
              <w:spacing w:line="360" w:lineRule="auto"/>
              <w:ind w:firstLine="480" w:firstLineChars="200"/>
              <w:rPr>
                <w:rFonts w:hint="eastAsia" w:ascii="Times New Roman" w:hAnsi="Times New Roman" w:eastAsia="宋体" w:cs="Times New Roman"/>
                <w:color w:val="auto"/>
                <w:spacing w:val="0"/>
                <w:position w:val="0"/>
                <w:sz w:val="24"/>
                <w:highlight w:val="none"/>
                <w:lang w:eastAsia="zh-CN"/>
              </w:rPr>
            </w:pPr>
            <w:r>
              <w:rPr>
                <w:rFonts w:hint="eastAsia" w:ascii="Times New Roman" w:hAnsi="Times New Roman" w:eastAsia="宋体" w:cs="Times New Roman"/>
                <w:color w:val="auto"/>
                <w:spacing w:val="0"/>
                <w:position w:val="0"/>
                <w:sz w:val="24"/>
                <w:highlight w:val="none"/>
                <w:lang w:eastAsia="zh-CN"/>
              </w:rPr>
              <w:t>（</w:t>
            </w:r>
            <w:r>
              <w:rPr>
                <w:rFonts w:hint="eastAsia" w:ascii="Times New Roman" w:hAnsi="Times New Roman" w:eastAsia="宋体" w:cs="Times New Roman"/>
                <w:color w:val="auto"/>
                <w:spacing w:val="0"/>
                <w:position w:val="0"/>
                <w:sz w:val="24"/>
                <w:highlight w:val="none"/>
                <w:lang w:val="en-US" w:eastAsia="zh-CN"/>
              </w:rPr>
              <w:t>1</w:t>
            </w:r>
            <w:r>
              <w:rPr>
                <w:rFonts w:hint="eastAsia"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eastAsia="zh-CN"/>
              </w:rPr>
              <w:t>污染源及污染途径分析</w:t>
            </w:r>
          </w:p>
          <w:p w14:paraId="2718EAB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lang w:eastAsia="zh-CN"/>
              </w:rPr>
            </w:pPr>
            <w:r>
              <w:rPr>
                <w:rFonts w:hint="default" w:ascii="Times New Roman" w:hAnsi="Times New Roman" w:eastAsia="宋体" w:cs="Times New Roman"/>
                <w:color w:val="auto"/>
                <w:spacing w:val="0"/>
                <w:position w:val="0"/>
                <w:sz w:val="24"/>
                <w:highlight w:val="none"/>
              </w:rPr>
              <w:t>根据对项目生产过程及存储方式等进行分析，本项目对地下水</w:t>
            </w:r>
            <w:r>
              <w:rPr>
                <w:rFonts w:hint="eastAsia" w:ascii="Times New Roman" w:hAnsi="Times New Roman" w:eastAsia="宋体" w:cs="Times New Roman"/>
                <w:color w:val="auto"/>
                <w:spacing w:val="0"/>
                <w:position w:val="0"/>
                <w:sz w:val="24"/>
                <w:highlight w:val="none"/>
              </w:rPr>
              <w:t>及土壤环境</w:t>
            </w:r>
            <w:r>
              <w:rPr>
                <w:rFonts w:hint="default" w:ascii="Times New Roman" w:hAnsi="Times New Roman" w:eastAsia="宋体" w:cs="Times New Roman"/>
                <w:color w:val="auto"/>
                <w:spacing w:val="0"/>
                <w:position w:val="0"/>
                <w:sz w:val="24"/>
                <w:highlight w:val="none"/>
              </w:rPr>
              <w:t>影响的污染源有：</w:t>
            </w:r>
            <w:r>
              <w:rPr>
                <w:rFonts w:hint="eastAsia" w:ascii="Times New Roman" w:hAnsi="Times New Roman" w:eastAsia="宋体" w:cs="Times New Roman"/>
                <w:color w:val="auto"/>
                <w:spacing w:val="0"/>
                <w:position w:val="0"/>
                <w:sz w:val="24"/>
                <w:highlight w:val="none"/>
                <w:lang w:val="en-US" w:eastAsia="zh-CN"/>
              </w:rPr>
              <w:t>危废暂存间</w:t>
            </w:r>
            <w:r>
              <w:rPr>
                <w:rFonts w:hint="default" w:ascii="Times New Roman" w:hAnsi="Times New Roman" w:eastAsia="宋体" w:cs="Times New Roman"/>
                <w:color w:val="auto"/>
                <w:spacing w:val="0"/>
                <w:position w:val="0"/>
                <w:sz w:val="24"/>
                <w:highlight w:val="none"/>
              </w:rPr>
              <w:t>，主要污染物为危险废物</w:t>
            </w:r>
            <w:r>
              <w:rPr>
                <w:rFonts w:hint="eastAsia" w:ascii="Times New Roman" w:hAnsi="Times New Roman" w:eastAsia="宋体" w:cs="Times New Roman"/>
                <w:color w:val="auto"/>
                <w:spacing w:val="0"/>
                <w:position w:val="0"/>
                <w:sz w:val="24"/>
                <w:highlight w:val="none"/>
                <w:lang w:eastAsia="zh-CN"/>
              </w:rPr>
              <w:t>，主要污染途径为地面下渗污染。</w:t>
            </w:r>
          </w:p>
          <w:p w14:paraId="6BC5ADF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lang w:eastAsia="zh-CN"/>
              </w:rPr>
              <w:t>）污染防治措施</w:t>
            </w:r>
          </w:p>
          <w:p w14:paraId="3FC1CA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为确保项目生产运行不会对周围地下水、土壤产生污染，评价建议建设单位应采取分区防治措施，将厂区内按各功能单元所处位置划分为一般防渗区、简单防渗区和重点防渗区。 </w:t>
            </w:r>
          </w:p>
          <w:p w14:paraId="7975439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sz w:val="24"/>
                <w:szCs w:val="24"/>
                <w:highlight w:val="none"/>
                <w:u w:val="none"/>
              </w:rPr>
              <w:t>重点防渗区指对地下水环境有污染的物料或污染物泄漏后，不能及时发现和处理的区域或部位。根据项目特点，结合水文地质条件，项目重点防渗区</w:t>
            </w:r>
            <w:r>
              <w:rPr>
                <w:rFonts w:hint="default" w:ascii="Times New Roman" w:hAnsi="Times New Roman" w:eastAsia="宋体" w:cs="Times New Roman"/>
                <w:color w:val="auto"/>
                <w:sz w:val="24"/>
                <w:szCs w:val="24"/>
                <w:highlight w:val="none"/>
                <w:u w:val="none"/>
                <w:lang w:eastAsia="zh-CN"/>
              </w:rPr>
              <w:t>为</w:t>
            </w:r>
            <w:r>
              <w:rPr>
                <w:rFonts w:hint="default" w:ascii="Times New Roman" w:hAnsi="Times New Roman" w:eastAsia="宋体" w:cs="Times New Roman"/>
                <w:color w:val="auto"/>
                <w:sz w:val="24"/>
                <w:szCs w:val="24"/>
                <w:highlight w:val="none"/>
                <w:u w:val="none"/>
              </w:rPr>
              <w:t>危废</w:t>
            </w:r>
            <w:r>
              <w:rPr>
                <w:rFonts w:hint="default" w:ascii="Times New Roman" w:hAnsi="Times New Roman" w:eastAsia="宋体" w:cs="Times New Roman"/>
                <w:color w:val="auto"/>
                <w:sz w:val="24"/>
                <w:szCs w:val="24"/>
                <w:highlight w:val="none"/>
                <w:u w:val="none"/>
                <w:lang w:eastAsia="zh-CN"/>
              </w:rPr>
              <w:t>暂存间</w:t>
            </w:r>
            <w:r>
              <w:rPr>
                <w:rFonts w:hint="default" w:ascii="Times New Roman" w:hAnsi="Times New Roman" w:eastAsia="宋体" w:cs="Times New Roman"/>
                <w:color w:val="auto"/>
                <w:sz w:val="24"/>
                <w:szCs w:val="24"/>
                <w:highlight w:val="none"/>
                <w:u w:val="none"/>
              </w:rPr>
              <w:t>。</w:t>
            </w:r>
          </w:p>
          <w:p w14:paraId="585955B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2）一般防渗区对地下水环境有污染物料或污染物泄漏后，可及时发现和处理的区域或部位。根据项目特点，结合水文地质条件，项目一般防渗区包括</w:t>
            </w:r>
            <w:r>
              <w:rPr>
                <w:rFonts w:hint="eastAsia" w:ascii="Times New Roman" w:hAnsi="Times New Roman" w:eastAsia="宋体" w:cs="Times New Roman"/>
                <w:color w:val="auto"/>
                <w:sz w:val="24"/>
                <w:szCs w:val="24"/>
                <w:highlight w:val="none"/>
                <w:u w:val="none"/>
                <w:lang w:val="en-US" w:eastAsia="zh-CN"/>
              </w:rPr>
              <w:t>生产车间其他区域</w:t>
            </w:r>
            <w:r>
              <w:rPr>
                <w:rFonts w:hint="default" w:ascii="Times New Roman" w:hAnsi="Times New Roman" w:eastAsia="宋体" w:cs="Times New Roman"/>
                <w:color w:val="auto"/>
                <w:sz w:val="24"/>
                <w:szCs w:val="24"/>
                <w:highlight w:val="none"/>
                <w:u w:val="none"/>
                <w:lang w:val="en-US" w:eastAsia="zh-CN"/>
              </w:rPr>
              <w:t>、一般固废暂存间、化粪池等</w:t>
            </w:r>
            <w:r>
              <w:rPr>
                <w:rFonts w:hint="default" w:ascii="Times New Roman" w:hAnsi="Times New Roman" w:eastAsia="宋体" w:cs="Times New Roman"/>
                <w:color w:val="auto"/>
                <w:sz w:val="24"/>
                <w:szCs w:val="24"/>
                <w:highlight w:val="none"/>
                <w:u w:val="none"/>
              </w:rPr>
              <w:t>。</w:t>
            </w:r>
          </w:p>
          <w:p w14:paraId="26AB90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lang w:val="en-US"/>
              </w:rPr>
              <w:t>3</w:t>
            </w:r>
            <w:r>
              <w:rPr>
                <w:rFonts w:hint="default" w:ascii="Times New Roman" w:hAnsi="Times New Roman" w:eastAsia="宋体" w:cs="Times New Roman"/>
                <w:color w:val="auto"/>
                <w:sz w:val="24"/>
                <w:szCs w:val="24"/>
                <w:highlight w:val="none"/>
                <w:u w:val="none"/>
              </w:rPr>
              <w:t>）简单防渗区</w:t>
            </w:r>
            <w:r>
              <w:rPr>
                <w:rFonts w:hint="default" w:ascii="Times New Roman" w:hAnsi="Times New Roman" w:eastAsia="宋体" w:cs="Times New Roman"/>
                <w:color w:val="auto"/>
                <w:kern w:val="0"/>
                <w:sz w:val="24"/>
                <w:szCs w:val="24"/>
                <w:highlight w:val="none"/>
                <w:u w:val="none"/>
                <w:lang w:val="zh-CN" w:eastAsia="zh-CN" w:bidi="ar-SA"/>
              </w:rPr>
              <w:t>指一般和重点污染防渗区以外的区域或部位，主要包括办公区及厂区道路等</w:t>
            </w:r>
            <w:r>
              <w:rPr>
                <w:rFonts w:hint="default" w:ascii="Times New Roman" w:hAnsi="Times New Roman" w:eastAsia="宋体" w:cs="Times New Roman"/>
                <w:color w:val="auto"/>
                <w:kern w:val="0"/>
                <w:sz w:val="24"/>
                <w:szCs w:val="24"/>
                <w:lang w:val="en-US" w:eastAsia="zh-CN" w:bidi="ar"/>
              </w:rPr>
              <w:t xml:space="preserve">。 </w:t>
            </w:r>
          </w:p>
          <w:p w14:paraId="38CB8C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本项目分区防渗措施见下表。</w:t>
            </w:r>
          </w:p>
          <w:p w14:paraId="26B58FEA">
            <w:pPr>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表</w:t>
            </w:r>
            <w:r>
              <w:rPr>
                <w:rFonts w:hint="eastAsia" w:ascii="Times New Roman" w:hAnsi="Times New Roman" w:eastAsia="宋体" w:cs="Times New Roman"/>
                <w:b/>
                <w:bCs/>
                <w:color w:val="auto"/>
                <w:spacing w:val="0"/>
                <w:position w:val="0"/>
                <w:sz w:val="21"/>
                <w:szCs w:val="21"/>
                <w:highlight w:val="none"/>
                <w:lang w:val="en-US" w:eastAsia="zh-CN"/>
              </w:rPr>
              <w:t>4-1</w:t>
            </w:r>
            <w:r>
              <w:rPr>
                <w:rFonts w:hint="eastAsia" w:cs="Times New Roman"/>
                <w:b/>
                <w:bCs/>
                <w:color w:val="auto"/>
                <w:spacing w:val="0"/>
                <w:position w:val="0"/>
                <w:sz w:val="21"/>
                <w:szCs w:val="21"/>
                <w:highlight w:val="none"/>
                <w:lang w:val="en-US" w:eastAsia="zh-CN"/>
              </w:rPr>
              <w:t xml:space="preserve">7 </w:t>
            </w:r>
            <w:r>
              <w:rPr>
                <w:rFonts w:hint="default" w:ascii="Times New Roman" w:hAnsi="Times New Roman" w:eastAsia="宋体" w:cs="Times New Roman"/>
                <w:b/>
                <w:bCs/>
                <w:color w:val="auto"/>
                <w:spacing w:val="0"/>
                <w:position w:val="0"/>
                <w:sz w:val="21"/>
                <w:szCs w:val="21"/>
                <w:highlight w:val="none"/>
              </w:rPr>
              <w:t>项目</w:t>
            </w:r>
            <w:r>
              <w:rPr>
                <w:rFonts w:hint="eastAsia" w:cs="Times New Roman"/>
                <w:b/>
                <w:bCs/>
                <w:color w:val="auto"/>
                <w:spacing w:val="0"/>
                <w:position w:val="0"/>
                <w:sz w:val="21"/>
                <w:szCs w:val="21"/>
                <w:highlight w:val="none"/>
                <w:lang w:eastAsia="zh-CN"/>
              </w:rPr>
              <w:t>防渗区及防渗要求</w:t>
            </w:r>
            <w:r>
              <w:rPr>
                <w:rFonts w:hint="default" w:ascii="Times New Roman" w:hAnsi="Times New Roman" w:eastAsia="宋体" w:cs="Times New Roman"/>
                <w:b/>
                <w:bCs/>
                <w:color w:val="auto"/>
                <w:spacing w:val="0"/>
                <w:position w:val="0"/>
                <w:sz w:val="21"/>
                <w:szCs w:val="21"/>
                <w:highlight w:val="none"/>
              </w:rPr>
              <w:t>一览表</w:t>
            </w:r>
          </w:p>
          <w:tbl>
            <w:tblPr>
              <w:tblStyle w:val="29"/>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2770"/>
              <w:gridCol w:w="4669"/>
            </w:tblGrid>
            <w:tr w14:paraId="7EE7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0" w:type="dxa"/>
                  <w:noWrap w:val="0"/>
                  <w:vAlign w:val="center"/>
                </w:tcPr>
                <w:p w14:paraId="3FE299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名称</w:t>
                  </w:r>
                </w:p>
              </w:tc>
              <w:tc>
                <w:tcPr>
                  <w:tcW w:w="2770" w:type="dxa"/>
                  <w:noWrap w:val="0"/>
                  <w:vAlign w:val="center"/>
                </w:tcPr>
                <w:p w14:paraId="6E28FA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范围</w:t>
                  </w:r>
                </w:p>
              </w:tc>
              <w:tc>
                <w:tcPr>
                  <w:tcW w:w="4669" w:type="dxa"/>
                  <w:noWrap w:val="0"/>
                  <w:vAlign w:val="center"/>
                </w:tcPr>
                <w:p w14:paraId="798991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防渗要求</w:t>
                  </w:r>
                </w:p>
              </w:tc>
            </w:tr>
            <w:tr w14:paraId="1977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0" w:type="dxa"/>
                  <w:noWrap w:val="0"/>
                  <w:vAlign w:val="center"/>
                </w:tcPr>
                <w:p w14:paraId="3F959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重点防渗区</w:t>
                  </w:r>
                </w:p>
              </w:tc>
              <w:tc>
                <w:tcPr>
                  <w:tcW w:w="2770" w:type="dxa"/>
                  <w:noWrap w:val="0"/>
                  <w:vAlign w:val="center"/>
                </w:tcPr>
                <w:p w14:paraId="051B8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rPr>
                    <w:t>危废</w:t>
                  </w:r>
                  <w:r>
                    <w:rPr>
                      <w:rFonts w:hint="default" w:ascii="Times New Roman" w:hAnsi="Times New Roman" w:eastAsia="宋体" w:cs="Times New Roman"/>
                      <w:b w:val="0"/>
                      <w:bCs w:val="0"/>
                      <w:color w:val="auto"/>
                      <w:sz w:val="21"/>
                      <w:szCs w:val="21"/>
                      <w:highlight w:val="none"/>
                      <w:u w:val="none"/>
                      <w:lang w:eastAsia="zh-CN"/>
                    </w:rPr>
                    <w:t>暂存间</w:t>
                  </w:r>
                </w:p>
              </w:tc>
              <w:tc>
                <w:tcPr>
                  <w:tcW w:w="4669" w:type="dxa"/>
                  <w:noWrap w:val="0"/>
                  <w:vAlign w:val="center"/>
                </w:tcPr>
                <w:p w14:paraId="3594AD9F">
                  <w:pPr>
                    <w:pStyle w:val="8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u w:val="none"/>
                    </w:rPr>
                    <w:t>等效黏土防渗层Mb≥6.0m，K≤1×10</w:t>
                  </w:r>
                  <w:r>
                    <w:rPr>
                      <w:rFonts w:hint="default" w:ascii="Times New Roman" w:hAnsi="Times New Roman" w:eastAsia="宋体" w:cs="Times New Roman"/>
                      <w:b w:val="0"/>
                      <w:bCs w:val="0"/>
                      <w:color w:val="auto"/>
                      <w:sz w:val="21"/>
                      <w:szCs w:val="21"/>
                      <w:u w:val="none"/>
                      <w:vertAlign w:val="superscript"/>
                    </w:rPr>
                    <w:t>-7</w:t>
                  </w:r>
                  <w:r>
                    <w:rPr>
                      <w:rFonts w:hint="default" w:ascii="Times New Roman" w:hAnsi="Times New Roman" w:eastAsia="宋体" w:cs="Times New Roman"/>
                      <w:b w:val="0"/>
                      <w:bCs w:val="0"/>
                      <w:color w:val="auto"/>
                      <w:sz w:val="21"/>
                      <w:szCs w:val="21"/>
                      <w:u w:val="none"/>
                    </w:rPr>
                    <w:t>cm/s；或参照GB 1</w:t>
                  </w:r>
                  <w:r>
                    <w:rPr>
                      <w:rFonts w:hint="default" w:ascii="Times New Roman" w:hAnsi="Times New Roman" w:eastAsia="宋体" w:cs="Times New Roman"/>
                      <w:b w:val="0"/>
                      <w:bCs w:val="0"/>
                      <w:color w:val="auto"/>
                      <w:sz w:val="21"/>
                      <w:szCs w:val="21"/>
                      <w:u w:val="none"/>
                      <w:lang w:val="en-US" w:eastAsia="zh-CN"/>
                    </w:rPr>
                    <w:t>859</w:t>
                  </w:r>
                  <w:r>
                    <w:rPr>
                      <w:rFonts w:hint="eastAsia" w:ascii="Times New Roman" w:hAnsi="Times New Roman" w:eastAsia="宋体" w:cs="Times New Roman"/>
                      <w:b w:val="0"/>
                      <w:bCs w:val="0"/>
                      <w:color w:val="auto"/>
                      <w:sz w:val="21"/>
                      <w:szCs w:val="21"/>
                      <w:u w:val="none"/>
                      <w:lang w:val="en-US" w:eastAsia="zh-CN"/>
                    </w:rPr>
                    <w:t>8</w:t>
                  </w:r>
                  <w:r>
                    <w:rPr>
                      <w:rFonts w:hint="default" w:ascii="Times New Roman" w:hAnsi="Times New Roman" w:eastAsia="宋体" w:cs="Times New Roman"/>
                      <w:b w:val="0"/>
                      <w:bCs w:val="0"/>
                      <w:color w:val="auto"/>
                      <w:sz w:val="21"/>
                      <w:szCs w:val="21"/>
                      <w:u w:val="none"/>
                    </w:rPr>
                    <w:t>执行</w:t>
                  </w:r>
                  <w:r>
                    <w:rPr>
                      <w:rFonts w:hint="eastAsia"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kern w:val="0"/>
                      <w:sz w:val="21"/>
                      <w:szCs w:val="21"/>
                      <w:lang w:val="en-US" w:eastAsia="zh-CN" w:bidi="ar"/>
                    </w:rPr>
                    <w:t>危废暂存间防渗</w:t>
                  </w:r>
                  <w:r>
                    <w:rPr>
                      <w:rFonts w:hint="eastAsia" w:eastAsia="宋体" w:cs="Times New Roman"/>
                      <w:b w:val="0"/>
                      <w:bCs w:val="0"/>
                      <w:color w:val="auto"/>
                      <w:kern w:val="0"/>
                      <w:sz w:val="21"/>
                      <w:szCs w:val="21"/>
                      <w:lang w:val="en-US" w:eastAsia="zh-CN" w:bidi="ar"/>
                    </w:rPr>
                    <w:t>执行</w:t>
                  </w:r>
                  <w:r>
                    <w:rPr>
                      <w:rFonts w:hint="default" w:ascii="Times New Roman" w:hAnsi="Times New Roman" w:eastAsia="宋体" w:cs="Times New Roman"/>
                      <w:b w:val="0"/>
                      <w:bCs w:val="0"/>
                      <w:color w:val="auto"/>
                      <w:sz w:val="21"/>
                      <w:szCs w:val="21"/>
                    </w:rPr>
                    <w:t>《危险废物贮存污染控制标准》（GB18597-20</w:t>
                  </w:r>
                  <w:r>
                    <w:rPr>
                      <w:rFonts w:hint="default" w:ascii="Times New Roman" w:hAnsi="Times New Roman" w:eastAsia="宋体" w:cs="Times New Roman"/>
                      <w:b w:val="0"/>
                      <w:bCs w:val="0"/>
                      <w:color w:val="auto"/>
                      <w:sz w:val="21"/>
                      <w:szCs w:val="21"/>
                      <w:lang w:val="en-US" w:eastAsia="zh-CN"/>
                    </w:rPr>
                    <w:t>23</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kern w:val="0"/>
                      <w:sz w:val="21"/>
                      <w:szCs w:val="21"/>
                      <w:lang w:val="en-US" w:eastAsia="zh-CN" w:bidi="ar"/>
                    </w:rPr>
                    <w:t>要求</w:t>
                  </w:r>
                </w:p>
              </w:tc>
            </w:tr>
            <w:tr w14:paraId="1ECC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0" w:type="dxa"/>
                  <w:noWrap w:val="0"/>
                  <w:vAlign w:val="center"/>
                </w:tcPr>
                <w:p w14:paraId="4726F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一般防渗区</w:t>
                  </w:r>
                </w:p>
              </w:tc>
              <w:tc>
                <w:tcPr>
                  <w:tcW w:w="2770" w:type="dxa"/>
                  <w:noWrap w:val="0"/>
                  <w:vAlign w:val="center"/>
                </w:tcPr>
                <w:p w14:paraId="39A0FE79">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b w:val="0"/>
                      <w:bCs w:val="0"/>
                      <w:color w:val="auto"/>
                      <w:sz w:val="21"/>
                      <w:szCs w:val="21"/>
                      <w:lang w:eastAsia="zh-CN"/>
                    </w:rPr>
                    <w:t>生产车间其他区域、一般固废暂存间、化粪池等</w:t>
                  </w:r>
                </w:p>
              </w:tc>
              <w:tc>
                <w:tcPr>
                  <w:tcW w:w="4669" w:type="dxa"/>
                  <w:noWrap w:val="0"/>
                  <w:vAlign w:val="center"/>
                </w:tcPr>
                <w:p w14:paraId="506860ED">
                  <w:pPr>
                    <w:pStyle w:val="8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u w:val="none"/>
                    </w:rPr>
                    <w:t>等效黏土防渗层Mb≥1.5m，K≤1×10</w:t>
                  </w:r>
                  <w:r>
                    <w:rPr>
                      <w:rFonts w:hint="default" w:ascii="Times New Roman" w:hAnsi="Times New Roman" w:eastAsia="宋体" w:cs="Times New Roman"/>
                      <w:b w:val="0"/>
                      <w:bCs w:val="0"/>
                      <w:color w:val="auto"/>
                      <w:sz w:val="21"/>
                      <w:szCs w:val="21"/>
                      <w:u w:val="none"/>
                      <w:vertAlign w:val="superscript"/>
                    </w:rPr>
                    <w:t>-7</w:t>
                  </w:r>
                  <w:r>
                    <w:rPr>
                      <w:rFonts w:hint="default" w:ascii="Times New Roman" w:hAnsi="Times New Roman" w:eastAsia="宋体" w:cs="Times New Roman"/>
                      <w:b w:val="0"/>
                      <w:bCs w:val="0"/>
                      <w:color w:val="auto"/>
                      <w:sz w:val="21"/>
                      <w:szCs w:val="21"/>
                      <w:u w:val="none"/>
                    </w:rPr>
                    <w:t>cm/s；或参照GB 16889执行</w:t>
                  </w:r>
                </w:p>
              </w:tc>
            </w:tr>
            <w:tr w14:paraId="4A74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0" w:type="dxa"/>
                  <w:noWrap w:val="0"/>
                  <w:vAlign w:val="center"/>
                </w:tcPr>
                <w:p w14:paraId="58909F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简单防渗区</w:t>
                  </w:r>
                </w:p>
              </w:tc>
              <w:tc>
                <w:tcPr>
                  <w:tcW w:w="2770" w:type="dxa"/>
                  <w:noWrap w:val="0"/>
                  <w:vAlign w:val="center"/>
                </w:tcPr>
                <w:p w14:paraId="4F8110DD">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eastAsia="zh-CN"/>
                    </w:rPr>
                  </w:pPr>
                  <w:r>
                    <w:rPr>
                      <w:rFonts w:hint="eastAsia"/>
                      <w:b w:val="0"/>
                      <w:bCs w:val="0"/>
                      <w:color w:val="auto"/>
                      <w:sz w:val="21"/>
                      <w:szCs w:val="21"/>
                      <w:lang w:eastAsia="zh-CN"/>
                    </w:rPr>
                    <w:t>厂区内道路区域、办公区等</w:t>
                  </w:r>
                </w:p>
              </w:tc>
              <w:tc>
                <w:tcPr>
                  <w:tcW w:w="4669" w:type="dxa"/>
                  <w:noWrap w:val="0"/>
                  <w:vAlign w:val="center"/>
                </w:tcPr>
                <w:p w14:paraId="05A8EC6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u w:val="none"/>
                      <w:lang w:val="en-US" w:eastAsia="zh-CN"/>
                    </w:rPr>
                    <w:t>简单地面硬化</w:t>
                  </w:r>
                </w:p>
              </w:tc>
            </w:tr>
          </w:tbl>
          <w:p w14:paraId="7BC6DA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宋体" w:hAnsi="宋体" w:eastAsia="宋体" w:cs="宋体"/>
                <w:color w:val="auto"/>
                <w:kern w:val="0"/>
                <w:sz w:val="24"/>
                <w:szCs w:val="24"/>
                <w:lang w:val="en-US" w:eastAsia="zh-CN" w:bidi="ar"/>
              </w:rPr>
              <w:t>在采</w:t>
            </w:r>
            <w:r>
              <w:rPr>
                <w:rFonts w:hint="default" w:ascii="Times New Roman" w:hAnsi="Times New Roman" w:eastAsia="宋体" w:cs="Times New Roman"/>
                <w:color w:val="auto"/>
                <w:kern w:val="0"/>
                <w:sz w:val="24"/>
                <w:szCs w:val="24"/>
                <w:lang w:val="en-US" w:eastAsia="zh-CN" w:bidi="ar"/>
              </w:rPr>
              <w:t xml:space="preserve">取以上分区防渗等措施后，可有效防止和避免本项目对地下水、土壤环境造成污染。为了将项目对区域地下水、土壤环境的影响降至最低限度，建议采取以下措施： </w:t>
            </w:r>
          </w:p>
          <w:p w14:paraId="4AEFE6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①为了及时准确地掌握厂区及其周围地下水、土壤环境质量状况，坚持分区管理和控制，对可能泄漏危险废物的重点污染防控区进行重点监控。 </w:t>
            </w:r>
          </w:p>
          <w:p w14:paraId="4888A1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②项目在运行前应编制操作性较强的事故应急预案，组织全厂职工认真学习并实地演习。一旦发生事故排放，可及时查明事故排放原因，做出正确的解决方案，将影响降到最低。</w:t>
            </w:r>
          </w:p>
          <w:p w14:paraId="3C494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pacing w:val="0"/>
                <w:kern w:val="0"/>
                <w:position w:val="0"/>
                <w:sz w:val="24"/>
                <w:szCs w:val="24"/>
                <w:highlight w:val="none"/>
                <w:lang w:val="en-US" w:eastAsia="zh-CN" w:bidi="ar-SA"/>
              </w:rPr>
            </w:pPr>
            <w:r>
              <w:rPr>
                <w:rFonts w:hint="eastAsia" w:ascii="Times New Roman" w:hAnsi="Times New Roman" w:cs="Times New Roman"/>
                <w:snapToGrid w:val="0"/>
                <w:color w:val="auto"/>
                <w:spacing w:val="0"/>
                <w:kern w:val="0"/>
                <w:position w:val="0"/>
                <w:sz w:val="24"/>
                <w:szCs w:val="24"/>
                <w:highlight w:val="none"/>
                <w:lang w:val="en-US" w:eastAsia="zh-CN" w:bidi="ar-SA"/>
              </w:rPr>
              <w:t>综上，企业在采取相应的土壤及地下水环境污染防治措施后，不会对项目地造成土壤及地下水影响。</w:t>
            </w:r>
          </w:p>
          <w:p w14:paraId="7E50E15E">
            <w:pPr>
              <w:numPr>
                <w:ilvl w:val="0"/>
                <w:numId w:val="4"/>
              </w:numPr>
              <w:adjustRightInd w:val="0"/>
              <w:snapToGrid w:val="0"/>
              <w:spacing w:line="360" w:lineRule="auto"/>
              <w:jc w:val="left"/>
              <w:rPr>
                <w:rFonts w:hint="eastAsia" w:hAnsi="宋体"/>
                <w:b/>
                <w:color w:val="auto"/>
                <w:kern w:val="0"/>
                <w:sz w:val="24"/>
                <w:szCs w:val="24"/>
              </w:rPr>
            </w:pPr>
            <w:r>
              <w:rPr>
                <w:rFonts w:hint="eastAsia" w:hAnsi="宋体"/>
                <w:b/>
                <w:color w:val="auto"/>
                <w:kern w:val="0"/>
                <w:sz w:val="24"/>
                <w:szCs w:val="24"/>
              </w:rPr>
              <w:t>环境风险</w:t>
            </w:r>
          </w:p>
          <w:p w14:paraId="43DEE7F5">
            <w:pPr>
              <w:topLinePunct/>
              <w:adjustRightInd w:val="0"/>
              <w:snapToGrid w:val="0"/>
              <w:spacing w:line="360" w:lineRule="auto"/>
              <w:outlineLvl w:val="2"/>
              <w:rPr>
                <w:b/>
                <w:bCs/>
                <w:color w:val="auto"/>
                <w:sz w:val="24"/>
              </w:rPr>
            </w:pPr>
            <w:r>
              <w:rPr>
                <w:rFonts w:hint="eastAsia" w:hAnsi="宋体"/>
                <w:b/>
                <w:color w:val="auto"/>
                <w:kern w:val="0"/>
                <w:sz w:val="24"/>
                <w:szCs w:val="24"/>
                <w:lang w:val="en-US" w:eastAsia="zh-CN"/>
              </w:rPr>
              <w:t>6.1</w:t>
            </w:r>
            <w:r>
              <w:rPr>
                <w:b/>
                <w:bCs/>
                <w:color w:val="auto"/>
                <w:sz w:val="24"/>
              </w:rPr>
              <w:t>危险物质数量与临界量比值（Q）</w:t>
            </w:r>
          </w:p>
          <w:p w14:paraId="7C7CDA4E">
            <w:pPr>
              <w:spacing w:line="360" w:lineRule="auto"/>
              <w:ind w:firstLine="482"/>
              <w:rPr>
                <w:color w:val="auto"/>
                <w:sz w:val="24"/>
              </w:rPr>
            </w:pPr>
            <w:r>
              <w:rPr>
                <w:color w:val="auto"/>
                <w:sz w:val="24"/>
              </w:rPr>
              <w:t>根据《建设项目环境风险评价技术导则》(HJ 169-2018)计算Q值，当只涉及一种物质时，计算该物质的总量与其临界量比值，即为 Q；</w:t>
            </w:r>
          </w:p>
          <w:p w14:paraId="38A02EB3">
            <w:pPr>
              <w:spacing w:line="360" w:lineRule="auto"/>
              <w:ind w:firstLine="482"/>
              <w:rPr>
                <w:color w:val="auto"/>
                <w:sz w:val="24"/>
              </w:rPr>
            </w:pPr>
            <w:r>
              <w:rPr>
                <w:color w:val="auto"/>
                <w:sz w:val="24"/>
              </w:rPr>
              <w:t>当存在多种危险物质时，则按下式计算物质总量与其临界量比值（Q）：</w:t>
            </w:r>
          </w:p>
          <w:p w14:paraId="6B92B60B">
            <w:pPr>
              <w:spacing w:line="360" w:lineRule="auto"/>
              <w:ind w:firstLine="1200" w:firstLineChars="500"/>
              <w:rPr>
                <w:color w:val="auto"/>
                <w:sz w:val="24"/>
              </w:rPr>
            </w:pPr>
            <w:r>
              <w:rPr>
                <w:color w:val="auto"/>
                <w:sz w:val="24"/>
              </w:rPr>
              <w:t>Q=q1/Q1+q2/Q2+…..，+qn/Qn</w:t>
            </w:r>
          </w:p>
          <w:p w14:paraId="5D9E1DC4">
            <w:pPr>
              <w:spacing w:line="360" w:lineRule="auto"/>
              <w:ind w:firstLine="482"/>
              <w:rPr>
                <w:color w:val="auto"/>
                <w:sz w:val="24"/>
              </w:rPr>
            </w:pPr>
            <w:r>
              <w:rPr>
                <w:color w:val="auto"/>
                <w:sz w:val="24"/>
              </w:rPr>
              <w:t>式中：q1、q2……qn ——每种危险物质最大存在量，t；</w:t>
            </w:r>
          </w:p>
          <w:p w14:paraId="0725B3FC">
            <w:pPr>
              <w:spacing w:line="360" w:lineRule="auto"/>
              <w:ind w:firstLine="482"/>
              <w:rPr>
                <w:color w:val="auto"/>
                <w:sz w:val="24"/>
              </w:rPr>
            </w:pPr>
            <w:r>
              <w:rPr>
                <w:color w:val="auto"/>
                <w:sz w:val="24"/>
              </w:rPr>
              <w:t xml:space="preserve">      Q1、Q2……Qn ——每种危险物质的临界量，t。</w:t>
            </w:r>
          </w:p>
          <w:p w14:paraId="5C358557">
            <w:pPr>
              <w:spacing w:line="360" w:lineRule="auto"/>
              <w:ind w:firstLine="480" w:firstLineChars="200"/>
              <w:rPr>
                <w:color w:val="auto"/>
                <w:sz w:val="24"/>
              </w:rPr>
            </w:pPr>
            <w:r>
              <w:rPr>
                <w:color w:val="auto"/>
                <w:sz w:val="24"/>
              </w:rPr>
              <w:t>当 Q≥1 时，将Q 值划分为：（1）1≤Q&lt;10；（2）10≤Q&lt;100；（3）Q≥100。</w:t>
            </w:r>
          </w:p>
          <w:p w14:paraId="54F294D4">
            <w:pPr>
              <w:spacing w:line="360" w:lineRule="auto"/>
              <w:ind w:firstLine="480" w:firstLineChars="200"/>
              <w:rPr>
                <w:b/>
                <w:color w:val="auto"/>
                <w:sz w:val="24"/>
              </w:rPr>
            </w:pPr>
            <w:r>
              <w:rPr>
                <w:color w:val="auto"/>
                <w:sz w:val="24"/>
              </w:rPr>
              <w:t>具体判定结果见下表。</w:t>
            </w:r>
          </w:p>
          <w:p w14:paraId="6BB225BE">
            <w:pPr>
              <w:spacing w:line="240" w:lineRule="auto"/>
              <w:jc w:val="center"/>
              <w:rPr>
                <w:b/>
                <w:color w:val="auto"/>
                <w:sz w:val="21"/>
                <w:szCs w:val="21"/>
              </w:rPr>
            </w:pPr>
            <w:r>
              <w:rPr>
                <w:b/>
                <w:color w:val="auto"/>
                <w:sz w:val="21"/>
                <w:szCs w:val="21"/>
              </w:rPr>
              <w:t>表4-</w:t>
            </w:r>
            <w:r>
              <w:rPr>
                <w:rFonts w:hint="eastAsia"/>
                <w:b/>
                <w:color w:val="auto"/>
                <w:sz w:val="21"/>
                <w:szCs w:val="21"/>
                <w:lang w:val="en-US" w:eastAsia="zh-CN"/>
              </w:rPr>
              <w:t>18</w:t>
            </w:r>
            <w:r>
              <w:rPr>
                <w:b/>
                <w:color w:val="auto"/>
                <w:sz w:val="21"/>
                <w:szCs w:val="21"/>
              </w:rPr>
              <w:t>建设项目Q值确定表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305"/>
              <w:gridCol w:w="1890"/>
              <w:gridCol w:w="1515"/>
              <w:gridCol w:w="945"/>
              <w:gridCol w:w="1774"/>
            </w:tblGrid>
            <w:tr w14:paraId="4D99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pct"/>
                  <w:vAlign w:val="center"/>
                </w:tcPr>
                <w:p w14:paraId="38FF981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危险单元</w:t>
                  </w:r>
                </w:p>
              </w:tc>
              <w:tc>
                <w:tcPr>
                  <w:tcW w:w="741" w:type="pct"/>
                  <w:vAlign w:val="center"/>
                </w:tcPr>
                <w:p w14:paraId="044B5DB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物质名称</w:t>
                  </w:r>
                </w:p>
              </w:tc>
              <w:tc>
                <w:tcPr>
                  <w:tcW w:w="1073" w:type="pct"/>
                  <w:vAlign w:val="center"/>
                </w:tcPr>
                <w:p w14:paraId="440B52B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CAS号</w:t>
                  </w:r>
                </w:p>
              </w:tc>
              <w:tc>
                <w:tcPr>
                  <w:tcW w:w="860" w:type="pct"/>
                  <w:vAlign w:val="center"/>
                </w:tcPr>
                <w:p w14:paraId="3B2A8EA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最大存储量t</w:t>
                  </w:r>
                </w:p>
              </w:tc>
              <w:tc>
                <w:tcPr>
                  <w:tcW w:w="536" w:type="pct"/>
                  <w:vAlign w:val="center"/>
                </w:tcPr>
                <w:p w14:paraId="482F4E9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临界量t</w:t>
                  </w:r>
                </w:p>
              </w:tc>
              <w:tc>
                <w:tcPr>
                  <w:tcW w:w="1007" w:type="pct"/>
                  <w:vAlign w:val="center"/>
                </w:tcPr>
                <w:p w14:paraId="26CC3AF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w:t>
                  </w:r>
                </w:p>
              </w:tc>
            </w:tr>
            <w:tr w14:paraId="5D67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pct"/>
                  <w:vAlign w:val="center"/>
                </w:tcPr>
                <w:p w14:paraId="52BF148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w:t>
                  </w:r>
                </w:p>
              </w:tc>
              <w:tc>
                <w:tcPr>
                  <w:tcW w:w="741" w:type="pct"/>
                  <w:vAlign w:val="center"/>
                </w:tcPr>
                <w:p w14:paraId="0993601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073" w:type="pct"/>
                  <w:vAlign w:val="center"/>
                </w:tcPr>
                <w:p w14:paraId="2A00E19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0" w:type="pct"/>
                  <w:vAlign w:val="center"/>
                </w:tcPr>
                <w:p w14:paraId="7DA95D7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w:t>
                  </w:r>
                </w:p>
              </w:tc>
              <w:tc>
                <w:tcPr>
                  <w:tcW w:w="536" w:type="pct"/>
                  <w:vAlign w:val="center"/>
                </w:tcPr>
                <w:p w14:paraId="36B8967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007" w:type="pct"/>
                  <w:vAlign w:val="center"/>
                </w:tcPr>
                <w:p w14:paraId="09CC754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0.178</w:t>
                  </w:r>
                </w:p>
              </w:tc>
            </w:tr>
            <w:tr w14:paraId="3B66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92" w:type="pct"/>
                  <w:gridSpan w:val="5"/>
                  <w:vAlign w:val="center"/>
                </w:tcPr>
                <w:p w14:paraId="61E5943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1007" w:type="pct"/>
                  <w:vAlign w:val="center"/>
                </w:tcPr>
                <w:p w14:paraId="4EB9644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0.178</w:t>
                  </w:r>
                </w:p>
              </w:tc>
            </w:tr>
          </w:tbl>
          <w:p w14:paraId="553501BE">
            <w:pPr>
              <w:topLinePunct/>
              <w:adjustRightInd w:val="0"/>
              <w:snapToGrid w:val="0"/>
              <w:spacing w:line="360" w:lineRule="auto"/>
              <w:ind w:firstLine="480" w:firstLineChars="200"/>
              <w:outlineLvl w:val="2"/>
              <w:rPr>
                <w:color w:val="auto"/>
                <w:kern w:val="0"/>
                <w:sz w:val="24"/>
              </w:rPr>
            </w:pPr>
            <w:r>
              <w:rPr>
                <w:rFonts w:hint="default" w:ascii="Times New Roman" w:hAnsi="Times New Roman" w:eastAsia="宋体" w:cs="Times New Roman"/>
                <w:color w:val="auto"/>
                <w:sz w:val="24"/>
              </w:rPr>
              <w:t>根据</w:t>
            </w:r>
            <w:r>
              <w:rPr>
                <w:rFonts w:hint="default" w:ascii="Times New Roman" w:hAnsi="Times New Roman" w:cs="Times New Roman"/>
                <w:color w:val="auto"/>
                <w:sz w:val="24"/>
              </w:rPr>
              <w:t>《建设项目环境影响报告表编制技术指南（污染影响类）（试行）》（2021年版）中环境风险评价章节中有毒有害和易燃易爆危险物质存储量超过临界量的建设项目需做专项评价，本项</w:t>
            </w:r>
            <w:r>
              <w:rPr>
                <w:rFonts w:hint="default" w:ascii="Times New Roman" w:hAnsi="Times New Roman" w:eastAsia="宋体" w:cs="Times New Roman"/>
                <w:color w:val="auto"/>
                <w:sz w:val="24"/>
              </w:rPr>
              <w:t>目Q=</w:t>
            </w:r>
            <w:r>
              <w:rPr>
                <w:rFonts w:hint="default" w:ascii="Times New Roman" w:hAnsi="Times New Roman" w:eastAsia="宋体" w:cs="Times New Roman"/>
                <w:color w:val="auto"/>
                <w:sz w:val="24"/>
                <w:lang w:val="en-US" w:eastAsia="zh-CN"/>
              </w:rPr>
              <w:t>0</w:t>
            </w:r>
            <w:r>
              <w:rPr>
                <w:rFonts w:hint="eastAsia" w:cs="Times New Roman"/>
                <w:color w:val="auto"/>
                <w:sz w:val="24"/>
                <w:lang w:val="en-US" w:eastAsia="zh-CN"/>
              </w:rPr>
              <w:t>.178</w:t>
            </w:r>
            <w:r>
              <w:rPr>
                <w:rFonts w:hint="default" w:ascii="Times New Roman" w:hAnsi="Times New Roman" w:eastAsia="宋体" w:cs="Times New Roman"/>
                <w:color w:val="auto"/>
                <w:sz w:val="24"/>
              </w:rPr>
              <w:t>，不</w:t>
            </w:r>
            <w:r>
              <w:rPr>
                <w:rFonts w:hint="default" w:ascii="Times New Roman" w:hAnsi="Times New Roman" w:cs="Times New Roman"/>
                <w:color w:val="auto"/>
                <w:sz w:val="24"/>
              </w:rPr>
              <w:t>设风险评价专</w:t>
            </w:r>
            <w:r>
              <w:rPr>
                <w:rFonts w:hint="default" w:ascii="Times New Roman" w:hAnsi="Times New Roman" w:cs="Times New Roman"/>
                <w:color w:val="auto"/>
                <w:kern w:val="0"/>
                <w:sz w:val="24"/>
              </w:rPr>
              <w:t>题，需明确有毒有害和易燃易爆等危险物质和风险源分布情况及可能影响途径，并提出相应环境风险防范措施</w:t>
            </w:r>
            <w:r>
              <w:rPr>
                <w:color w:val="auto"/>
                <w:kern w:val="0"/>
                <w:sz w:val="24"/>
              </w:rPr>
              <w:t>。</w:t>
            </w:r>
          </w:p>
          <w:p w14:paraId="53FF8D91">
            <w:pPr>
              <w:pStyle w:val="11"/>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color w:val="auto"/>
                <w:sz w:val="24"/>
                <w:szCs w:val="24"/>
                <w:lang w:eastAsia="zh-CN"/>
              </w:rPr>
            </w:pPr>
            <w:r>
              <w:rPr>
                <w:rFonts w:hint="eastAsia"/>
                <w:b/>
                <w:bCs/>
                <w:color w:val="auto"/>
                <w:sz w:val="24"/>
                <w:lang w:val="en-US" w:eastAsia="zh-CN"/>
              </w:rPr>
              <w:t>6.</w:t>
            </w:r>
            <w:r>
              <w:rPr>
                <w:rFonts w:hint="eastAsia"/>
                <w:b/>
                <w:bCs/>
                <w:color w:val="auto"/>
                <w:sz w:val="24"/>
              </w:rPr>
              <w:t>2</w:t>
            </w:r>
            <w:r>
              <w:rPr>
                <w:b/>
                <w:color w:val="auto"/>
                <w:sz w:val="24"/>
                <w:szCs w:val="24"/>
              </w:rPr>
              <w:t>环境</w:t>
            </w:r>
            <w:r>
              <w:rPr>
                <w:rFonts w:hint="eastAsia"/>
                <w:b/>
                <w:color w:val="auto"/>
                <w:sz w:val="24"/>
                <w:szCs w:val="24"/>
              </w:rPr>
              <w:t>风险防范措施</w:t>
            </w:r>
          </w:p>
          <w:p w14:paraId="172569A2">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rPr>
              <w:t>危险废物贮存过程的风险防范措施</w:t>
            </w:r>
          </w:p>
          <w:p w14:paraId="078CAF19">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针对危险废物的特性、数量，按照《危险废物贮存污染控制标准》</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GBl8597-20</w:t>
            </w:r>
            <w:r>
              <w:rPr>
                <w:rFonts w:hint="eastAsia" w:cs="Times New Roman"/>
                <w:b w:val="0"/>
                <w:bCs w:val="0"/>
                <w:color w:val="auto"/>
                <w:kern w:val="0"/>
                <w:sz w:val="24"/>
                <w:szCs w:val="24"/>
                <w:lang w:val="en-US" w:eastAsia="zh-CN"/>
              </w:rPr>
              <w:t>23</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和《危险废物收集、贮存、运输技术规范》（HJ2025-201</w:t>
            </w:r>
            <w:r>
              <w:rPr>
                <w:rFonts w:hint="default" w:ascii="Times New Roman" w:hAnsi="Times New Roman" w:eastAsia="宋体" w:cs="Times New Roman"/>
                <w:color w:val="auto"/>
                <w:kern w:val="0"/>
                <w:sz w:val="24"/>
                <w:szCs w:val="24"/>
              </w:rPr>
              <w:t>2）中要求，做好贮存风险事故防</w:t>
            </w:r>
            <w:r>
              <w:rPr>
                <w:rFonts w:hint="default" w:ascii="Times New Roman" w:hAnsi="Times New Roman" w:eastAsia="宋体" w:cs="Times New Roman"/>
                <w:b w:val="0"/>
                <w:bCs w:val="0"/>
                <w:color w:val="auto"/>
                <w:kern w:val="0"/>
                <w:sz w:val="24"/>
                <w:szCs w:val="24"/>
              </w:rPr>
              <w:t>范工作。</w:t>
            </w:r>
          </w:p>
          <w:p w14:paraId="0CA898CC">
            <w:pPr>
              <w:spacing w:line="360" w:lineRule="auto"/>
              <w:ind w:firstLine="480" w:firstLineChars="200"/>
              <w:rPr>
                <w:rFonts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1）</w:t>
            </w:r>
            <w:r>
              <w:rPr>
                <w:rFonts w:ascii="Times New Roman" w:hAnsi="Times New Roman" w:eastAsia="宋体" w:cs="Times New Roman"/>
                <w:b w:val="0"/>
                <w:bCs w:val="0"/>
                <w:color w:val="auto"/>
                <w:kern w:val="0"/>
                <w:sz w:val="24"/>
                <w:lang w:val="en-US" w:eastAsia="zh-CN"/>
              </w:rPr>
              <w:t>贮存设施污染控制要求</w:t>
            </w:r>
            <w:r>
              <w:rPr>
                <w:rFonts w:hint="eastAsia" w:ascii="Times New Roman" w:hAnsi="Times New Roman" w:eastAsia="宋体" w:cs="Times New Roman"/>
                <w:b w:val="0"/>
                <w:bCs w:val="0"/>
                <w:color w:val="auto"/>
                <w:kern w:val="0"/>
                <w:sz w:val="24"/>
                <w:lang w:val="en-US" w:eastAsia="zh-CN"/>
              </w:rPr>
              <w:t>（摘录）</w:t>
            </w:r>
          </w:p>
          <w:p w14:paraId="642C7014">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①贮存设施应根据危险废物的形态、物理化</w:t>
            </w:r>
            <w:r>
              <w:rPr>
                <w:rFonts w:hint="eastAsia" w:ascii="Times New Roman" w:hAnsi="Times New Roman" w:eastAsia="宋体" w:cs="Times New Roman"/>
                <w:color w:val="auto"/>
                <w:kern w:val="0"/>
                <w:sz w:val="24"/>
                <w:lang w:val="en-US" w:eastAsia="zh-CN"/>
              </w:rPr>
              <w:t>学性质、包装形式和污染物迁移途径，采取必要的防风、防晒、防雨、防漏、防渗、防腐以及其他环境污染防治措施，不应露天堆放危险废物。</w:t>
            </w:r>
          </w:p>
          <w:p w14:paraId="527C2AD2">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②贮存设施应根据危险废物的类别、数量、形态、物理化学性质和污染防治等要求设置必要的贮存分区，避免不相容的危险废物接触、混合。</w:t>
            </w:r>
          </w:p>
          <w:p w14:paraId="41B78EDB">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③贮存设施或贮存分区内地面、墙面裙脚、堵截泄漏的围堰、接触危险废物的隔板和墙体等应采用坚固的材料建造，表面无裂缝。</w:t>
            </w:r>
          </w:p>
          <w:p w14:paraId="28B37656">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auto"/>
                <w:kern w:val="0"/>
                <w:sz w:val="24"/>
                <w:lang w:val="en-US" w:eastAsia="zh-CN"/>
              </w:rPr>
              <w:t>1m</w:t>
            </w:r>
            <w:r>
              <w:rPr>
                <w:rFonts w:hint="eastAsia" w:ascii="Times New Roman" w:hAnsi="Times New Roman" w:eastAsia="宋体" w:cs="Times New Roman"/>
                <w:color w:val="auto"/>
                <w:kern w:val="0"/>
                <w:sz w:val="24"/>
                <w:lang w:val="en-US" w:eastAsia="zh-CN"/>
              </w:rPr>
              <w:t>厚黏土层（渗透系数不大于</w:t>
            </w:r>
            <w:r>
              <w:rPr>
                <w:rFonts w:hint="default" w:ascii="Times New Roman" w:hAnsi="Times New Roman" w:eastAsia="宋体" w:cs="Times New Roman"/>
                <w:color w:val="auto"/>
                <w:kern w:val="0"/>
                <w:sz w:val="24"/>
                <w:lang w:val="en-US" w:eastAsia="zh-CN"/>
              </w:rPr>
              <w:t xml:space="preserve">10 </w:t>
            </w:r>
            <w:r>
              <w:rPr>
                <w:rFonts w:hint="default" w:ascii="Times New Roman" w:hAnsi="Times New Roman" w:eastAsia="宋体" w:cs="Times New Roman"/>
                <w:color w:val="auto"/>
                <w:kern w:val="0"/>
                <w:sz w:val="24"/>
                <w:vertAlign w:val="superscript"/>
                <w:lang w:val="en-US" w:eastAsia="zh-CN"/>
              </w:rPr>
              <w:t>-7</w:t>
            </w:r>
            <w:r>
              <w:rPr>
                <w:rFonts w:hint="default" w:ascii="Times New Roman" w:hAnsi="Times New Roman" w:eastAsia="宋体" w:cs="Times New Roman"/>
                <w:color w:val="auto"/>
                <w:kern w:val="0"/>
                <w:sz w:val="24"/>
                <w:lang w:val="en-US" w:eastAsia="zh-CN"/>
              </w:rPr>
              <w:t>cm/s</w:t>
            </w:r>
            <w:r>
              <w:rPr>
                <w:rFonts w:hint="eastAsia" w:ascii="Times New Roman" w:hAnsi="Times New Roman" w:eastAsia="宋体" w:cs="Times New Roman"/>
                <w:color w:val="auto"/>
                <w:kern w:val="0"/>
                <w:sz w:val="24"/>
                <w:lang w:val="en-US" w:eastAsia="zh-CN"/>
              </w:rPr>
              <w:t>），或至少</w:t>
            </w:r>
            <w:r>
              <w:rPr>
                <w:rFonts w:hint="default" w:ascii="Times New Roman" w:hAnsi="Times New Roman" w:eastAsia="宋体" w:cs="Times New Roman"/>
                <w:color w:val="auto"/>
                <w:kern w:val="0"/>
                <w:sz w:val="24"/>
                <w:lang w:val="en-US" w:eastAsia="zh-CN"/>
              </w:rPr>
              <w:t>2mm</w:t>
            </w:r>
            <w:r>
              <w:rPr>
                <w:rFonts w:hint="eastAsia" w:ascii="Times New Roman" w:hAnsi="Times New Roman" w:eastAsia="宋体" w:cs="Times New Roman"/>
                <w:color w:val="auto"/>
                <w:kern w:val="0"/>
                <w:sz w:val="24"/>
                <w:lang w:val="en-US" w:eastAsia="zh-CN"/>
              </w:rPr>
              <w:t>厚高密度聚乙烯膜等人工防渗材料（渗透系数不大于</w:t>
            </w:r>
            <w:r>
              <w:rPr>
                <w:rFonts w:hint="default" w:ascii="Times New Roman" w:hAnsi="Times New Roman" w:eastAsia="宋体" w:cs="Times New Roman"/>
                <w:color w:val="auto"/>
                <w:kern w:val="0"/>
                <w:sz w:val="24"/>
                <w:lang w:val="en-US" w:eastAsia="zh-CN"/>
              </w:rPr>
              <w:t>10</w:t>
            </w:r>
            <w:r>
              <w:rPr>
                <w:rFonts w:hint="default" w:ascii="Times New Roman" w:hAnsi="Times New Roman" w:eastAsia="宋体" w:cs="Times New Roman"/>
                <w:color w:val="auto"/>
                <w:kern w:val="0"/>
                <w:sz w:val="24"/>
                <w:vertAlign w:val="superscript"/>
                <w:lang w:val="en-US" w:eastAsia="zh-CN"/>
              </w:rPr>
              <w:t xml:space="preserve"> -10</w:t>
            </w:r>
            <w:r>
              <w:rPr>
                <w:rFonts w:hint="default" w:ascii="Times New Roman" w:hAnsi="Times New Roman" w:eastAsia="宋体" w:cs="Times New Roman"/>
                <w:color w:val="auto"/>
                <w:kern w:val="0"/>
                <w:sz w:val="24"/>
                <w:lang w:val="en-US" w:eastAsia="zh-CN"/>
              </w:rPr>
              <w:t>cm/s</w:t>
            </w:r>
            <w:r>
              <w:rPr>
                <w:rFonts w:hint="eastAsia" w:ascii="Times New Roman" w:hAnsi="Times New Roman" w:eastAsia="宋体" w:cs="Times New Roman"/>
                <w:color w:val="auto"/>
                <w:kern w:val="0"/>
                <w:sz w:val="24"/>
                <w:lang w:val="en-US" w:eastAsia="zh-CN"/>
              </w:rPr>
              <w:t>），或其他防渗性能等效的材料。</w:t>
            </w:r>
          </w:p>
          <w:p w14:paraId="2E0AB9C4">
            <w:pPr>
              <w:spacing w:line="360" w:lineRule="auto"/>
              <w:ind w:firstLine="480" w:firstLineChars="200"/>
              <w:rPr>
                <w:rFonts w:hint="eastAsia"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color w:val="auto"/>
                <w:kern w:val="0"/>
                <w:sz w:val="24"/>
                <w:lang w:val="en-US" w:eastAsia="zh-CN"/>
              </w:rPr>
              <w:t>⑤同一贮存设施宜采用相同的防渗、防腐工艺（包括防渗、防腐结构或材料），防渗、防腐材料应覆盖所有可能与废物及其渗滤液、渗漏液等接触的构筑物表面；采用不同防</w:t>
            </w:r>
            <w:r>
              <w:rPr>
                <w:rFonts w:hint="eastAsia" w:ascii="Times New Roman" w:hAnsi="Times New Roman" w:eastAsia="宋体" w:cs="Times New Roman"/>
                <w:b w:val="0"/>
                <w:bCs w:val="0"/>
                <w:color w:val="auto"/>
                <w:kern w:val="0"/>
                <w:sz w:val="24"/>
                <w:lang w:val="en-US" w:eastAsia="zh-CN"/>
              </w:rPr>
              <w:t>渗、防腐工艺应分别建设贮存分区。</w:t>
            </w:r>
          </w:p>
          <w:p w14:paraId="4FB7EDD3">
            <w:pPr>
              <w:spacing w:line="360" w:lineRule="auto"/>
              <w:ind w:firstLine="480" w:firstLineChars="200"/>
              <w:rPr>
                <w:rFonts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⑥贮存设施应采取技术和管理措施防止无关人员进入。</w:t>
            </w:r>
          </w:p>
          <w:p w14:paraId="688147CE">
            <w:pPr>
              <w:spacing w:line="360" w:lineRule="auto"/>
              <w:ind w:firstLine="480" w:firstLineChars="200"/>
              <w:rPr>
                <w:rFonts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2）</w:t>
            </w:r>
            <w:r>
              <w:rPr>
                <w:rFonts w:ascii="Times New Roman" w:hAnsi="Times New Roman" w:eastAsia="宋体" w:cs="Times New Roman"/>
                <w:b w:val="0"/>
                <w:bCs w:val="0"/>
                <w:color w:val="auto"/>
                <w:kern w:val="0"/>
                <w:sz w:val="24"/>
                <w:lang w:val="en-US" w:eastAsia="zh-CN"/>
              </w:rPr>
              <w:t>贮存过程污染控制要求</w:t>
            </w:r>
            <w:r>
              <w:rPr>
                <w:rFonts w:hint="eastAsia" w:ascii="Times New Roman" w:hAnsi="Times New Roman" w:eastAsia="宋体" w:cs="Times New Roman"/>
                <w:b w:val="0"/>
                <w:bCs w:val="0"/>
                <w:color w:val="auto"/>
                <w:kern w:val="0"/>
                <w:sz w:val="24"/>
                <w:lang w:val="en-US" w:eastAsia="zh-CN"/>
              </w:rPr>
              <w:t>（摘录）</w:t>
            </w:r>
          </w:p>
          <w:p w14:paraId="16954A28">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在常温常压下不易水解、不易挥发的固态危险废物可分类堆放贮存，其他固态危险废物应装入容器或包装物内贮存。</w:t>
            </w:r>
          </w:p>
          <w:p w14:paraId="534EE42E">
            <w:pPr>
              <w:spacing w:line="360" w:lineRule="auto"/>
              <w:ind w:firstLine="480" w:firstLineChars="200"/>
              <w:rPr>
                <w:rFonts w:hint="eastAsia"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3）危险废物的贮存（摘录）</w:t>
            </w:r>
          </w:p>
          <w:p w14:paraId="37BD16C2">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①危险废物贮存可分为产生单位内部贮</w:t>
            </w:r>
            <w:r>
              <w:rPr>
                <w:rFonts w:hint="eastAsia" w:ascii="Times New Roman" w:hAnsi="Times New Roman" w:eastAsia="宋体" w:cs="Times New Roman"/>
                <w:color w:val="auto"/>
                <w:kern w:val="0"/>
                <w:sz w:val="24"/>
                <w:lang w:val="en-US" w:eastAsia="zh-CN"/>
              </w:rPr>
              <w:t>存、中转贮存及集中性贮存。所对应的贮存设施分别为:产生危险废物的单位用于暂时贮存的设施:拥有危险废物收集经营许可证的单位用于临时贮存废矿物油、废镍镐电池的设施;以及危险废物经营单位所配置的贮存设施。</w:t>
            </w:r>
          </w:p>
          <w:p w14:paraId="1F1B50A5">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②危险废物贮存设施的选址、设计、建设、运行管理应满足GB18597、GBZ1和GBZ2的有关要求。</w:t>
            </w:r>
          </w:p>
          <w:p w14:paraId="1A28960E">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③危险废物贮存设施应配备通讯设备、照明设施和消防设施。</w:t>
            </w:r>
          </w:p>
          <w:p w14:paraId="48223AE8">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④贮存危险废物时应按危险废物的种类和特性进行分区贮存，每个贮存区域之间宜设置挡墙间隔，并应设置防雨、防火、防雷、防扬尘装置。</w:t>
            </w:r>
          </w:p>
          <w:p w14:paraId="7261A454">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⑤贮存易燃易爆危险废物应配置有机气体报警、火灾报警装置和导出静电的接地装置。</w:t>
            </w:r>
          </w:p>
          <w:p w14:paraId="0A304F7E">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⑥废弃危险化学品贮存应满足GB 15603、《危险化学品安全管理条例》、《废弃危险化学品污染环境防治办法》的要求。贮存废弃剧毒化学品还应充分考虑防盗要求，采用双钥匙封闭式管理，且有专人24小时看管。</w:t>
            </w:r>
          </w:p>
          <w:p w14:paraId="5621E02A">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⑦危险废物贮存期限应符合《中华人民共和国固体废物污染环境防治法》的有关规定。</w:t>
            </w:r>
          </w:p>
          <w:p w14:paraId="307A11F6">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⑧危险废物贮存单位应建立危险废物贮存的台帐制度，危险废物出入库交接记录内容应参照本标准附录</w:t>
            </w:r>
            <w:r>
              <w:rPr>
                <w:rFonts w:hint="eastAsia" w:cs="Times New Roman"/>
                <w:color w:val="auto"/>
                <w:kern w:val="0"/>
                <w:sz w:val="24"/>
                <w:lang w:val="en-US" w:eastAsia="zh-CN"/>
              </w:rPr>
              <w:t>B</w:t>
            </w:r>
            <w:r>
              <w:rPr>
                <w:rFonts w:hint="eastAsia" w:ascii="Times New Roman" w:hAnsi="Times New Roman" w:eastAsia="宋体" w:cs="Times New Roman"/>
                <w:color w:val="auto"/>
                <w:kern w:val="0"/>
                <w:sz w:val="24"/>
                <w:lang w:val="en-US" w:eastAsia="zh-CN"/>
              </w:rPr>
              <w:t>执行。</w:t>
            </w:r>
          </w:p>
          <w:p w14:paraId="7F94935D">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⑨危险废物贮存设施应根据贮存的废物种类和特性按照GB18597附录A设置标志。</w:t>
            </w:r>
          </w:p>
          <w:p w14:paraId="0C76DAAE">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napToGrid w:val="0"/>
                <w:color w:val="auto"/>
                <w:kern w:val="0"/>
                <w:sz w:val="24"/>
              </w:rPr>
            </w:pPr>
            <w:r>
              <w:rPr>
                <w:rFonts w:hint="eastAsia" w:ascii="Times New Roman" w:hAnsi="Times New Roman" w:eastAsia="宋体" w:cs="Times New Roman"/>
                <w:color w:val="auto"/>
                <w:kern w:val="0"/>
                <w:sz w:val="24"/>
                <w:lang w:val="en-US" w:eastAsia="zh-CN"/>
              </w:rPr>
              <w:t>⑩危险废物贮存设施的关闭应按照 GB18597 和《危险废物经营许可证管理办法》的有关规定执行。</w:t>
            </w:r>
          </w:p>
          <w:p w14:paraId="4E16D560">
            <w:pPr>
              <w:widowControl/>
              <w:adjustRightInd w:val="0"/>
              <w:snapToGrid w:val="0"/>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）车间及管理风险防范措施</w:t>
            </w:r>
          </w:p>
          <w:p w14:paraId="3B57F7AA">
            <w:pPr>
              <w:widowControl/>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rPr>
              <w:t>①</w:t>
            </w:r>
            <w:r>
              <w:rPr>
                <w:rFonts w:hint="default" w:ascii="Times New Roman" w:hAnsi="Times New Roman" w:cs="Times New Roman"/>
                <w:color w:val="auto"/>
                <w:sz w:val="24"/>
                <w:szCs w:val="24"/>
              </w:rPr>
              <w:t>设立安全与环保专员，负责全厂的安全运营，建立完善的安全生产管理制度，加强安全生产的宣传和教育，确保安全生产落实到生产中的每一个环节，禁止职工人员在车间内吸烟等。</w:t>
            </w:r>
          </w:p>
          <w:p w14:paraId="0C5A04E1">
            <w:pPr>
              <w:widowControl/>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rPr>
              <w:t>②</w:t>
            </w:r>
            <w:r>
              <w:rPr>
                <w:rFonts w:hint="default" w:ascii="Times New Roman" w:hAnsi="Times New Roman" w:cs="Times New Roman"/>
                <w:color w:val="auto"/>
                <w:sz w:val="24"/>
                <w:szCs w:val="24"/>
              </w:rPr>
              <w:t>合理进行厂区及车间平面布置，合理布置现有原料及产品的堆放位置。</w:t>
            </w:r>
          </w:p>
          <w:p w14:paraId="3E9A24D0">
            <w:pPr>
              <w:widowControl/>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rPr>
              <w:t>③</w:t>
            </w:r>
            <w:r>
              <w:rPr>
                <w:rFonts w:hint="default" w:ascii="Times New Roman" w:hAnsi="Times New Roman" w:cs="Times New Roman"/>
                <w:color w:val="auto"/>
                <w:sz w:val="24"/>
                <w:szCs w:val="24"/>
              </w:rPr>
              <w:t>厂区内设完善的安全报警通讯系统，并配备防毒面具、灭火器等必要的消防应急措施，一旦发生事故能自行抢救或控制、减缓事故的扩大。</w:t>
            </w:r>
          </w:p>
          <w:p w14:paraId="10069BE2">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lang w:eastAsia="zh-CN"/>
              </w:rPr>
            </w:pPr>
            <w:r>
              <w:rPr>
                <w:rFonts w:hint="default" w:ascii="Times New Roman" w:hAnsi="Times New Roman" w:eastAsia="宋体" w:cs="Times New Roman"/>
                <w:color w:val="auto"/>
                <w:kern w:val="0"/>
                <w:sz w:val="24"/>
                <w:szCs w:val="24"/>
              </w:rPr>
              <w:t>④</w:t>
            </w:r>
            <w:r>
              <w:rPr>
                <w:rFonts w:hint="default" w:ascii="Times New Roman" w:hAnsi="Times New Roman" w:cs="Times New Roman"/>
                <w:color w:val="auto"/>
                <w:sz w:val="24"/>
                <w:szCs w:val="24"/>
              </w:rPr>
              <w:t>组</w:t>
            </w:r>
            <w:r>
              <w:rPr>
                <w:rFonts w:hint="default" w:ascii="Times New Roman" w:hAnsi="Times New Roman" w:cs="Times New Roman"/>
                <w:b w:val="0"/>
                <w:bCs w:val="0"/>
                <w:color w:val="auto"/>
                <w:sz w:val="24"/>
                <w:szCs w:val="24"/>
              </w:rPr>
              <w:t>织人员培训，工作人员要求能够熟练掌握正确的设备操作程序，指挥机构人员则</w:t>
            </w:r>
            <w:r>
              <w:rPr>
                <w:rFonts w:hint="default" w:ascii="Times New Roman" w:hAnsi="Times New Roman" w:eastAsia="宋体" w:cs="Times New Roman"/>
                <w:b w:val="0"/>
                <w:bCs w:val="0"/>
                <w:color w:val="auto"/>
                <w:sz w:val="24"/>
                <w:szCs w:val="24"/>
              </w:rPr>
              <w:t>应进行事故判别、决策指挥等方面的专业培训。</w:t>
            </w:r>
          </w:p>
          <w:p w14:paraId="02DD29D6">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）废气处理装置维护措施</w:t>
            </w:r>
          </w:p>
          <w:p w14:paraId="45B5F98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加强废气处理设施的维护保养，及时发现处理设备的隐患。定期对活性炭</w:t>
            </w:r>
            <w:r>
              <w:rPr>
                <w:rFonts w:hint="default" w:ascii="Times New Roman" w:hAnsi="Times New Roman" w:eastAsia="宋体" w:cs="Times New Roman"/>
                <w:b w:val="0"/>
                <w:bCs w:val="0"/>
                <w:color w:val="auto"/>
                <w:sz w:val="24"/>
                <w:szCs w:val="24"/>
                <w:lang w:eastAsia="zh-CN"/>
              </w:rPr>
              <w:t>净化装置</w:t>
            </w:r>
            <w:r>
              <w:rPr>
                <w:rFonts w:hint="default" w:ascii="Times New Roman" w:hAnsi="Times New Roman" w:eastAsia="宋体" w:cs="Times New Roman"/>
                <w:b w:val="0"/>
                <w:bCs w:val="0"/>
                <w:color w:val="auto"/>
                <w:sz w:val="24"/>
                <w:szCs w:val="24"/>
              </w:rPr>
              <w:t>进行检查，防患于未然；定期更换活性炭，确保废气治理设施的有效运行。</w:t>
            </w:r>
          </w:p>
          <w:p w14:paraId="00A154F9">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2" w:firstLineChars="200"/>
              <w:textAlignment w:val="auto"/>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snapToGrid w:val="0"/>
                <w:color w:val="auto"/>
                <w:kern w:val="0"/>
                <w:sz w:val="24"/>
                <w:lang w:val="en-US" w:eastAsia="zh-CN"/>
              </w:rPr>
              <w:t>（</w:t>
            </w:r>
            <w:r>
              <w:rPr>
                <w:rFonts w:hint="eastAsia" w:cs="Times New Roman"/>
                <w:b/>
                <w:bCs/>
                <w:snapToGrid w:val="0"/>
                <w:color w:val="auto"/>
                <w:kern w:val="0"/>
                <w:sz w:val="24"/>
                <w:lang w:val="en-US" w:eastAsia="zh-CN"/>
              </w:rPr>
              <w:t>4</w:t>
            </w:r>
            <w:r>
              <w:rPr>
                <w:rFonts w:hint="default" w:ascii="Times New Roman" w:hAnsi="Times New Roman" w:eastAsia="宋体" w:cs="Times New Roman"/>
                <w:b/>
                <w:bCs/>
                <w:snapToGrid w:val="0"/>
                <w:color w:val="auto"/>
                <w:kern w:val="0"/>
                <w:sz w:val="24"/>
                <w:lang w:val="en-US" w:eastAsia="zh-CN"/>
              </w:rPr>
              <w:t>）</w:t>
            </w:r>
            <w:r>
              <w:rPr>
                <w:rFonts w:hint="default" w:ascii="Times New Roman" w:hAnsi="Times New Roman" w:eastAsia="宋体" w:cs="Times New Roman"/>
                <w:b/>
                <w:bCs w:val="0"/>
                <w:color w:val="auto"/>
                <w:kern w:val="0"/>
                <w:sz w:val="24"/>
                <w:szCs w:val="24"/>
              </w:rPr>
              <w:t>编制应急预案</w:t>
            </w:r>
          </w:p>
          <w:p w14:paraId="0DCB2779">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企业应按照《企业事业单位突发环境事件应急预案备案管理办法（试行）》（环发〔2015〕4号）等文件的规定编制突发环境事件应急预案并备案。</w:t>
            </w:r>
          </w:p>
          <w:p w14:paraId="6B474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rPr>
              <w:t>①</w:t>
            </w:r>
            <w:r>
              <w:rPr>
                <w:rFonts w:hint="default" w:ascii="Times New Roman" w:hAnsi="Times New Roman" w:eastAsia="宋体" w:cs="Times New Roman"/>
                <w:color w:val="auto"/>
                <w:sz w:val="24"/>
              </w:rPr>
              <w:t>应急准备</w:t>
            </w:r>
          </w:p>
          <w:p w14:paraId="28E3B4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厂区内设完善的安全报警通讯系统，并配备防毒面具、灭火器等必要的消防应急设施，一旦发生事故能自行抢救或控制、减缓事故的扩大。</w:t>
            </w:r>
          </w:p>
          <w:p w14:paraId="337A11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企业设有专门的应急指挥机构，能对一般性事故第一时间做出正确的决策指挥，并组织公司自身救助力量及在当地社会救援力量的帮助下控制事故影响范围和破坏程度。</w:t>
            </w:r>
          </w:p>
          <w:p w14:paraId="16F065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当地消防及社会救援机构取得正常的通讯联系，并委托消防部门对厂区内潜在安全因素进行定期检查，更换消防器材。</w:t>
            </w:r>
          </w:p>
          <w:p w14:paraId="145046C6">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组织人员培训，一般性工作人员要求能熟练掌握正确的设备操作程序，应急指挥机构人员则应进行事故判别、决策指挥等方面的专业培训。</w:t>
            </w:r>
          </w:p>
          <w:p w14:paraId="3D7D909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rPr>
              <w:t>②</w:t>
            </w:r>
            <w:r>
              <w:rPr>
                <w:rFonts w:hint="default" w:ascii="Times New Roman" w:hAnsi="Times New Roman" w:eastAsia="宋体" w:cs="Times New Roman"/>
                <w:color w:val="auto"/>
                <w:sz w:val="24"/>
              </w:rPr>
              <w:t>应急联动机制</w:t>
            </w:r>
          </w:p>
          <w:p w14:paraId="61F5A84A">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按照</w:t>
            </w:r>
            <w:r>
              <w:rPr>
                <w:rFonts w:hint="default" w:ascii="Times New Roman" w:hAnsi="Times New Roman" w:eastAsia="宋体" w:cs="Times New Roman"/>
                <w:color w:val="auto"/>
                <w:spacing w:val="-1"/>
                <w:sz w:val="24"/>
                <w:lang w:eastAsia="zh-CN"/>
              </w:rPr>
              <w:t>“</w:t>
            </w:r>
            <w:r>
              <w:rPr>
                <w:rFonts w:hint="default" w:ascii="Times New Roman" w:hAnsi="Times New Roman" w:eastAsia="宋体" w:cs="Times New Roman"/>
                <w:color w:val="auto"/>
                <w:spacing w:val="-2"/>
                <w:sz w:val="24"/>
                <w:lang w:eastAsia="zh-CN"/>
              </w:rPr>
              <w:t>企业自救、属地为主、分级响应、区域联动</w:t>
            </w:r>
            <w:r>
              <w:rPr>
                <w:rFonts w:hint="default" w:ascii="Times New Roman" w:hAnsi="Times New Roman" w:eastAsia="宋体" w:cs="Times New Roman"/>
                <w:color w:val="auto"/>
                <w:spacing w:val="1"/>
                <w:sz w:val="24"/>
                <w:lang w:eastAsia="zh-CN"/>
              </w:rPr>
              <w:t>”</w:t>
            </w:r>
            <w:r>
              <w:rPr>
                <w:rFonts w:hint="default" w:ascii="Times New Roman" w:hAnsi="Times New Roman" w:eastAsia="宋体" w:cs="Times New Roman"/>
                <w:color w:val="auto"/>
                <w:spacing w:val="-2"/>
                <w:sz w:val="24"/>
                <w:lang w:eastAsia="zh-CN"/>
              </w:rPr>
              <w:t>的原则，实现企业与地方</w:t>
            </w:r>
            <w:r>
              <w:rPr>
                <w:rFonts w:hint="default" w:ascii="Times New Roman" w:hAnsi="Times New Roman" w:eastAsia="宋体" w:cs="Times New Roman"/>
                <w:color w:val="auto"/>
                <w:spacing w:val="-3"/>
                <w:sz w:val="24"/>
                <w:lang w:eastAsia="zh-CN"/>
              </w:rPr>
              <w:t>人民政府突发环境事件应急预案的有效衔接。地方人民政府应及时对突发环境事</w:t>
            </w:r>
            <w:r>
              <w:rPr>
                <w:rFonts w:hint="default" w:ascii="Times New Roman" w:hAnsi="Times New Roman" w:eastAsia="宋体" w:cs="Times New Roman"/>
                <w:color w:val="auto"/>
                <w:sz w:val="24"/>
                <w:lang w:eastAsia="zh-CN"/>
              </w:rPr>
              <w:t>件进行曝光，并立即采取相应的应急措施。</w:t>
            </w:r>
          </w:p>
          <w:p w14:paraId="050F8D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Cs/>
                <w:color w:val="auto"/>
                <w:kern w:val="0"/>
                <w:sz w:val="24"/>
                <w:szCs w:val="24"/>
              </w:rPr>
              <w:t>综上所述，项目不存在重大危险源，风险事故对外环境影响较小，项目落实环境风险防范措施的基础上，其环境风险是可接受的</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color w:val="auto"/>
                <w:spacing w:val="0"/>
                <w:position w:val="0"/>
                <w:sz w:val="24"/>
                <w:szCs w:val="24"/>
                <w:highlight w:val="none"/>
              </w:rPr>
              <w:t>项目在采取本报告中提出的风险防范和管理措施的基础上，可以认为本项目风险值水平较低，风险后果是可以防控的；从环境控制的角度来评价，经采取相应应急措施，能大大减少事故发生概率，如一旦发生事故，能迅速采取有力措施，减小对环境污染。其潜在的事故风险是可以防范的。因此项目的建设，从风险评价的角度分析是可行的。</w:t>
            </w:r>
            <w:r>
              <w:rPr>
                <w:rFonts w:hint="default" w:ascii="Times New Roman" w:hAnsi="Times New Roman" w:eastAsia="宋体" w:cs="Times New Roman"/>
                <w:b w:val="0"/>
                <w:bCs w:val="0"/>
                <w:color w:val="auto"/>
                <w:spacing w:val="0"/>
                <w:position w:val="0"/>
                <w:sz w:val="24"/>
                <w:szCs w:val="24"/>
                <w:highlight w:val="none"/>
                <w:lang w:eastAsia="zh-CN"/>
              </w:rPr>
              <w:t>只对事故风险影响进行简要分析，提出防范、减缓和应急措施。</w:t>
            </w:r>
          </w:p>
          <w:p w14:paraId="2807A8D4">
            <w:pPr>
              <w:adjustRightInd w:val="0"/>
              <w:snapToGrid w:val="0"/>
              <w:spacing w:line="360" w:lineRule="auto"/>
              <w:rPr>
                <w:rFonts w:hint="default"/>
                <w:b w:val="0"/>
                <w:bCs w:val="0"/>
                <w:color w:val="auto"/>
                <w:sz w:val="24"/>
                <w:szCs w:val="24"/>
                <w:lang w:eastAsia="zh-CN"/>
              </w:rPr>
            </w:pPr>
            <w:r>
              <w:rPr>
                <w:rFonts w:hint="eastAsia"/>
                <w:b/>
                <w:bCs/>
                <w:color w:val="auto"/>
                <w:kern w:val="0"/>
                <w:sz w:val="24"/>
                <w:lang w:val="en-US" w:eastAsia="zh-CN"/>
              </w:rPr>
              <w:t>7</w:t>
            </w:r>
            <w:r>
              <w:rPr>
                <w:rFonts w:hint="eastAsia"/>
                <w:b/>
                <w:bCs/>
                <w:color w:val="auto"/>
                <w:kern w:val="0"/>
                <w:sz w:val="24"/>
              </w:rPr>
              <w:t>、</w:t>
            </w:r>
            <w:r>
              <w:rPr>
                <w:rFonts w:hint="default"/>
                <w:b/>
                <w:bCs/>
                <w:color w:val="auto"/>
                <w:sz w:val="24"/>
                <w:szCs w:val="24"/>
                <w:lang w:eastAsia="zh-CN"/>
              </w:rPr>
              <w:t>项目环评与排污许可联动内容</w:t>
            </w:r>
          </w:p>
          <w:p w14:paraId="407319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auto"/>
                <w:sz w:val="24"/>
                <w:szCs w:val="24"/>
                <w:lang w:eastAsia="zh-CN"/>
              </w:rPr>
            </w:pPr>
            <w:r>
              <w:rPr>
                <w:rFonts w:hint="default"/>
                <w:b w:val="0"/>
                <w:bCs w:val="0"/>
                <w:color w:val="auto"/>
                <w:sz w:val="24"/>
                <w:szCs w:val="24"/>
                <w:lang w:eastAsia="zh-CN"/>
              </w:rPr>
              <w:t>根据安徽省生态环境厅于</w:t>
            </w:r>
            <w:r>
              <w:rPr>
                <w:rFonts w:hint="default"/>
                <w:b w:val="0"/>
                <w:bCs w:val="0"/>
                <w:color w:val="auto"/>
                <w:sz w:val="24"/>
                <w:szCs w:val="24"/>
                <w:lang w:val="en-US" w:eastAsia="zh-CN"/>
              </w:rPr>
              <w:t>2021年1月30日发布的</w:t>
            </w:r>
            <w:r>
              <w:rPr>
                <w:rFonts w:hint="default"/>
                <w:b w:val="0"/>
                <w:bCs w:val="0"/>
                <w:color w:val="auto"/>
                <w:sz w:val="24"/>
                <w:szCs w:val="24"/>
              </w:rPr>
              <w:t>《</w:t>
            </w:r>
            <w:r>
              <w:rPr>
                <w:rFonts w:hint="default"/>
                <w:b w:val="0"/>
                <w:bCs w:val="0"/>
                <w:color w:val="auto"/>
                <w:sz w:val="24"/>
                <w:szCs w:val="24"/>
                <w:lang w:val="en-US" w:eastAsia="zh-CN"/>
              </w:rPr>
              <w:t>安徽省生态环境厅关于统筹做好固定污染源排污许可日常监管工作的通知</w:t>
            </w:r>
            <w:r>
              <w:rPr>
                <w:rFonts w:hint="default"/>
                <w:b w:val="0"/>
                <w:bCs w:val="0"/>
                <w:color w:val="auto"/>
                <w:sz w:val="24"/>
                <w:szCs w:val="24"/>
              </w:rPr>
              <w:t>》</w:t>
            </w:r>
            <w:r>
              <w:rPr>
                <w:rFonts w:hint="default"/>
                <w:b w:val="0"/>
                <w:bCs w:val="0"/>
                <w:color w:val="auto"/>
                <w:sz w:val="24"/>
                <w:szCs w:val="24"/>
                <w:lang w:val="en-US" w:eastAsia="zh-CN"/>
              </w:rPr>
              <w:t>（皖环发[2021]7号），属于现行</w:t>
            </w:r>
            <w:r>
              <w:rPr>
                <w:rFonts w:hint="default"/>
                <w:b w:val="0"/>
                <w:bCs w:val="0"/>
                <w:color w:val="auto"/>
                <w:sz w:val="24"/>
                <w:szCs w:val="24"/>
              </w:rPr>
              <w:t>《</w:t>
            </w:r>
            <w:r>
              <w:rPr>
                <w:rFonts w:hint="default"/>
                <w:b w:val="0"/>
                <w:bCs w:val="0"/>
                <w:color w:val="auto"/>
                <w:sz w:val="24"/>
                <w:szCs w:val="24"/>
                <w:lang w:val="en-US" w:eastAsia="zh-CN"/>
              </w:rPr>
              <w:t>固定污染源排污许可分类管理名录</w:t>
            </w:r>
            <w:r>
              <w:rPr>
                <w:rFonts w:hint="default"/>
                <w:b w:val="0"/>
                <w:bCs w:val="0"/>
                <w:color w:val="auto"/>
                <w:sz w:val="24"/>
                <w:szCs w:val="24"/>
              </w:rPr>
              <w:t>》</w:t>
            </w:r>
            <w:r>
              <w:rPr>
                <w:rFonts w:hint="default"/>
                <w:b w:val="0"/>
                <w:bCs w:val="0"/>
                <w:color w:val="auto"/>
                <w:sz w:val="24"/>
                <w:szCs w:val="24"/>
                <w:lang w:eastAsia="zh-CN"/>
              </w:rPr>
              <w:t>内重点管理和简化管理的行业，在环评文件中应明确“建设项目环境影响评价与排污许可联动内容”和</w:t>
            </w:r>
            <w:r>
              <w:rPr>
                <w:rFonts w:hint="default"/>
                <w:b w:val="0"/>
                <w:bCs w:val="0"/>
                <w:color w:val="auto"/>
                <w:sz w:val="24"/>
                <w:szCs w:val="24"/>
              </w:rPr>
              <w:t>《</w:t>
            </w:r>
            <w:r>
              <w:rPr>
                <w:rFonts w:hint="default"/>
                <w:b w:val="0"/>
                <w:bCs w:val="0"/>
                <w:color w:val="auto"/>
                <w:sz w:val="24"/>
                <w:szCs w:val="24"/>
                <w:lang w:eastAsia="zh-CN"/>
              </w:rPr>
              <w:t>建设项目排污许可申请与填发信息表</w:t>
            </w:r>
            <w:r>
              <w:rPr>
                <w:rFonts w:hint="default"/>
                <w:b w:val="0"/>
                <w:bCs w:val="0"/>
                <w:color w:val="auto"/>
                <w:sz w:val="24"/>
                <w:szCs w:val="24"/>
              </w:rPr>
              <w:t>》</w:t>
            </w:r>
            <w:r>
              <w:rPr>
                <w:rFonts w:hint="default"/>
                <w:b w:val="0"/>
                <w:bCs w:val="0"/>
                <w:color w:val="auto"/>
                <w:sz w:val="24"/>
                <w:szCs w:val="24"/>
                <w:lang w:eastAsia="zh-CN"/>
              </w:rPr>
              <w:t>。</w:t>
            </w:r>
          </w:p>
          <w:p w14:paraId="7C47C59F">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（1）排污许可管理</w:t>
            </w:r>
          </w:p>
          <w:p w14:paraId="7BF3CD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color w:val="auto"/>
                <w:sz w:val="24"/>
                <w:szCs w:val="24"/>
                <w:lang w:val="en-US" w:eastAsia="zh-CN"/>
              </w:rPr>
              <w:t>本项目行业类别为：</w:t>
            </w:r>
            <w:r>
              <w:rPr>
                <w:rFonts w:hint="eastAsia" w:eastAsia="宋体"/>
                <w:color w:val="auto"/>
                <w:sz w:val="24"/>
                <w:lang w:val="en-US" w:eastAsia="zh-CN"/>
              </w:rPr>
              <w:t>C</w:t>
            </w:r>
            <w:r>
              <w:rPr>
                <w:rFonts w:hint="eastAsia"/>
                <w:color w:val="auto"/>
                <w:sz w:val="24"/>
                <w:lang w:val="en-US" w:eastAsia="zh-CN"/>
              </w:rPr>
              <w:t>2922塑料板、管、型材制造</w:t>
            </w:r>
            <w:r>
              <w:rPr>
                <w:rFonts w:hint="eastAsia" w:eastAsia="宋体"/>
                <w:color w:val="auto"/>
                <w:sz w:val="24"/>
                <w:lang w:val="en-US" w:eastAsia="zh-CN"/>
              </w:rPr>
              <w:t>制造</w:t>
            </w:r>
            <w:r>
              <w:rPr>
                <w:rFonts w:hint="eastAsia" w:cs="Times New Roman"/>
                <w:color w:val="auto"/>
                <w:sz w:val="24"/>
                <w:lang w:eastAsia="zh-CN"/>
              </w:rPr>
              <w:t>；对照</w:t>
            </w:r>
            <w:r>
              <w:rPr>
                <w:rFonts w:hint="default"/>
                <w:b w:val="0"/>
                <w:bCs w:val="0"/>
                <w:color w:val="auto"/>
                <w:sz w:val="24"/>
                <w:szCs w:val="24"/>
              </w:rPr>
              <w:t>《</w:t>
            </w:r>
            <w:r>
              <w:rPr>
                <w:rFonts w:hint="default"/>
                <w:b w:val="0"/>
                <w:bCs w:val="0"/>
                <w:color w:val="auto"/>
                <w:sz w:val="24"/>
                <w:szCs w:val="24"/>
                <w:lang w:val="en-US" w:eastAsia="zh-CN"/>
              </w:rPr>
              <w:t>固定污染源排污许可分类管理名录</w:t>
            </w:r>
            <w:r>
              <w:rPr>
                <w:rFonts w:hint="default"/>
                <w:b w:val="0"/>
                <w:bCs w:val="0"/>
                <w:color w:val="auto"/>
                <w:sz w:val="24"/>
                <w:szCs w:val="24"/>
              </w:rPr>
              <w:t>》</w:t>
            </w:r>
            <w:r>
              <w:rPr>
                <w:rFonts w:hint="eastAsia"/>
                <w:b w:val="0"/>
                <w:bCs w:val="0"/>
                <w:color w:val="auto"/>
                <w:sz w:val="24"/>
                <w:szCs w:val="24"/>
                <w:lang w:eastAsia="zh-CN"/>
              </w:rPr>
              <w:t>（</w:t>
            </w:r>
            <w:r>
              <w:rPr>
                <w:rFonts w:hint="eastAsia"/>
                <w:b w:val="0"/>
                <w:bCs w:val="0"/>
                <w:color w:val="auto"/>
                <w:sz w:val="24"/>
                <w:szCs w:val="24"/>
                <w:lang w:val="en-US" w:eastAsia="zh-CN"/>
              </w:rPr>
              <w:t>2019年版</w:t>
            </w:r>
            <w:r>
              <w:rPr>
                <w:rFonts w:hint="eastAsia"/>
                <w:b w:val="0"/>
                <w:bCs w:val="0"/>
                <w:color w:val="auto"/>
                <w:sz w:val="24"/>
                <w:szCs w:val="24"/>
                <w:lang w:eastAsia="zh-CN"/>
              </w:rPr>
              <w:t>），本项目属于</w:t>
            </w:r>
            <w:r>
              <w:rPr>
                <w:rFonts w:hint="eastAsia"/>
                <w:b w:val="0"/>
                <w:bCs w:val="0"/>
                <w:color w:val="auto"/>
                <w:sz w:val="24"/>
                <w:szCs w:val="24"/>
                <w:lang w:val="en-US" w:eastAsia="zh-CN"/>
              </w:rPr>
              <w:t>62 塑料制品业292；其他，</w:t>
            </w:r>
            <w:r>
              <w:rPr>
                <w:rFonts w:hint="eastAsia"/>
                <w:b w:val="0"/>
                <w:bCs w:val="0"/>
                <w:color w:val="auto"/>
                <w:sz w:val="24"/>
                <w:szCs w:val="24"/>
                <w:lang w:eastAsia="zh-CN"/>
              </w:rPr>
              <w:t>本项目为</w:t>
            </w:r>
            <w:r>
              <w:rPr>
                <w:rFonts w:hint="eastAsia"/>
                <w:b w:val="0"/>
                <w:bCs w:val="0"/>
                <w:color w:val="auto"/>
                <w:sz w:val="24"/>
                <w:szCs w:val="24"/>
                <w:lang w:val="en-US" w:eastAsia="zh-CN"/>
              </w:rPr>
              <w:t>登记管理，</w:t>
            </w:r>
            <w:r>
              <w:rPr>
                <w:color w:val="auto"/>
                <w:sz w:val="24"/>
                <w:szCs w:val="22"/>
              </w:rPr>
              <w:t>项目运营前应办理排污许可</w:t>
            </w:r>
            <w:r>
              <w:rPr>
                <w:rFonts w:hint="eastAsia"/>
                <w:b w:val="0"/>
                <w:bCs w:val="0"/>
                <w:color w:val="auto"/>
                <w:sz w:val="24"/>
                <w:szCs w:val="24"/>
                <w:lang w:val="en-US" w:eastAsia="zh-CN"/>
              </w:rPr>
              <w:t>。</w:t>
            </w:r>
          </w:p>
          <w:p w14:paraId="11C0A8C3">
            <w:pPr>
              <w:pStyle w:val="26"/>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相关排污许可管理要求内容如下：</w:t>
            </w:r>
          </w:p>
          <w:p w14:paraId="2DBD67D1">
            <w:pPr>
              <w:pStyle w:val="9"/>
              <w:adjustRightInd w:val="0"/>
              <w:snapToGrid w:val="0"/>
              <w:spacing w:line="240" w:lineRule="auto"/>
              <w:ind w:firstLine="480"/>
              <w:jc w:val="center"/>
              <w:rPr>
                <w:rFonts w:hint="eastAsia" w:eastAsia="宋体"/>
                <w:b/>
                <w:bCs/>
                <w:color w:val="auto"/>
                <w:sz w:val="21"/>
                <w:szCs w:val="21"/>
                <w:lang w:eastAsia="zh-CN"/>
              </w:rPr>
            </w:pPr>
            <w:r>
              <w:rPr>
                <w:b/>
                <w:bCs/>
                <w:color w:val="auto"/>
                <w:sz w:val="21"/>
                <w:szCs w:val="21"/>
              </w:rPr>
              <w:t>表</w:t>
            </w:r>
            <w:r>
              <w:rPr>
                <w:rFonts w:hint="eastAsia"/>
                <w:b/>
                <w:bCs/>
                <w:color w:val="auto"/>
                <w:sz w:val="21"/>
                <w:szCs w:val="21"/>
              </w:rPr>
              <w:t>4</w:t>
            </w:r>
            <w:r>
              <w:rPr>
                <w:b/>
                <w:bCs/>
                <w:color w:val="auto"/>
                <w:sz w:val="21"/>
                <w:szCs w:val="21"/>
              </w:rPr>
              <w:t>-</w:t>
            </w:r>
            <w:r>
              <w:rPr>
                <w:rFonts w:hint="eastAsia"/>
                <w:b/>
                <w:bCs/>
                <w:color w:val="auto"/>
                <w:sz w:val="21"/>
                <w:szCs w:val="21"/>
                <w:lang w:val="en-US" w:eastAsia="zh-CN"/>
              </w:rPr>
              <w:t xml:space="preserve">18 </w:t>
            </w:r>
            <w:r>
              <w:rPr>
                <w:rFonts w:hint="eastAsia"/>
                <w:b/>
                <w:bCs/>
                <w:color w:val="auto"/>
                <w:sz w:val="21"/>
                <w:szCs w:val="21"/>
                <w:lang w:eastAsia="zh-CN"/>
              </w:rPr>
              <w:t>固定污染源排污许可证分类管理名录（</w:t>
            </w:r>
            <w:r>
              <w:rPr>
                <w:rFonts w:hint="eastAsia"/>
                <w:b/>
                <w:bCs/>
                <w:color w:val="auto"/>
                <w:sz w:val="21"/>
                <w:szCs w:val="21"/>
                <w:lang w:val="en-US" w:eastAsia="zh-CN"/>
              </w:rPr>
              <w:t>2019版</w:t>
            </w:r>
            <w:r>
              <w:rPr>
                <w:rFonts w:hint="eastAsia"/>
                <w:b/>
                <w:bCs/>
                <w:color w:val="auto"/>
                <w:sz w:val="21"/>
                <w:szCs w:val="21"/>
                <w:lang w:eastAsia="zh-CN"/>
              </w:rPr>
              <w:t>）对照表</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5"/>
              <w:gridCol w:w="1260"/>
              <w:gridCol w:w="4230"/>
              <w:gridCol w:w="1149"/>
            </w:tblGrid>
            <w:tr w14:paraId="2B85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 w:type="pct"/>
                  <w:vAlign w:val="center"/>
                </w:tcPr>
                <w:p w14:paraId="011C6356">
                  <w:pPr>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860" w:type="pct"/>
                  <w:vAlign w:val="center"/>
                </w:tcPr>
                <w:p w14:paraId="128D9BAC">
                  <w:pPr>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行业类别</w:t>
                  </w:r>
                </w:p>
              </w:tc>
              <w:tc>
                <w:tcPr>
                  <w:tcW w:w="715" w:type="pct"/>
                  <w:vAlign w:val="center"/>
                </w:tcPr>
                <w:p w14:paraId="03AA271D">
                  <w:pPr>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重点管理</w:t>
                  </w:r>
                </w:p>
              </w:tc>
              <w:tc>
                <w:tcPr>
                  <w:tcW w:w="2401" w:type="pct"/>
                  <w:vAlign w:val="center"/>
                </w:tcPr>
                <w:p w14:paraId="26BBD81E">
                  <w:pPr>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简化管理</w:t>
                  </w:r>
                </w:p>
              </w:tc>
              <w:tc>
                <w:tcPr>
                  <w:tcW w:w="652" w:type="pct"/>
                  <w:vAlign w:val="center"/>
                </w:tcPr>
                <w:p w14:paraId="77E8DEB5">
                  <w:pPr>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登记管理</w:t>
                  </w:r>
                </w:p>
              </w:tc>
            </w:tr>
            <w:tr w14:paraId="3441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vAlign w:val="center"/>
                </w:tcPr>
                <w:p w14:paraId="17CC461E">
                  <w:pPr>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二十四、橡胶和塑料制品业</w:t>
                  </w:r>
                  <w:r>
                    <w:rPr>
                      <w:rFonts w:hint="default" w:ascii="Times New Roman" w:hAnsi="Times New Roman" w:eastAsia="宋体" w:cs="Times New Roman"/>
                      <w:color w:val="auto"/>
                      <w:sz w:val="21"/>
                      <w:szCs w:val="21"/>
                      <w:lang w:val="en-US" w:eastAsia="zh-CN"/>
                    </w:rPr>
                    <w:t>29</w:t>
                  </w:r>
                </w:p>
              </w:tc>
            </w:tr>
            <w:tr w14:paraId="795A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 w:type="pct"/>
                  <w:vAlign w:val="center"/>
                </w:tcPr>
                <w:p w14:paraId="02543892">
                  <w:pPr>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w:t>
                  </w:r>
                </w:p>
              </w:tc>
              <w:tc>
                <w:tcPr>
                  <w:tcW w:w="860" w:type="pct"/>
                  <w:vAlign w:val="center"/>
                </w:tcPr>
                <w:p w14:paraId="31CB6C11">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塑料制品业292</w:t>
                  </w:r>
                </w:p>
              </w:tc>
              <w:tc>
                <w:tcPr>
                  <w:tcW w:w="715" w:type="pct"/>
                  <w:vAlign w:val="center"/>
                </w:tcPr>
                <w:p w14:paraId="26DB16A2">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塑料人造革、合成革制造 2925</w:t>
                  </w:r>
                </w:p>
              </w:tc>
              <w:tc>
                <w:tcPr>
                  <w:tcW w:w="2401" w:type="pct"/>
                  <w:vAlign w:val="center"/>
                </w:tcPr>
                <w:p w14:paraId="50CD9CD8">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年产 1 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c>
                <w:tcPr>
                  <w:tcW w:w="652" w:type="pct"/>
                  <w:vAlign w:val="center"/>
                </w:tcPr>
                <w:p w14:paraId="66FDAC98">
                  <w:pPr>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其他</w:t>
                  </w:r>
                </w:p>
              </w:tc>
            </w:tr>
          </w:tbl>
          <w:p w14:paraId="7B262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（2）建设项目排污许可申请与填发信息表</w:t>
            </w:r>
          </w:p>
          <w:p w14:paraId="0486FB7C">
            <w:pPr>
              <w:adjustRightInd w:val="0"/>
              <w:snapToGrid w:val="0"/>
              <w:spacing w:line="360" w:lineRule="auto"/>
              <w:ind w:firstLine="480" w:firstLineChars="200"/>
              <w:rPr>
                <w:color w:val="auto"/>
                <w:sz w:val="24"/>
                <w:szCs w:val="24"/>
              </w:rPr>
            </w:pPr>
            <w:r>
              <w:rPr>
                <w:rFonts w:hint="eastAsia"/>
                <w:color w:val="auto"/>
                <w:sz w:val="24"/>
                <w:szCs w:val="24"/>
                <w:lang w:val="en-US" w:eastAsia="zh-CN"/>
              </w:rPr>
              <w:t>本项目属于排污许可登记管理，在环评文件中无需明确</w:t>
            </w:r>
            <w:r>
              <w:rPr>
                <w:rFonts w:hint="default"/>
                <w:b w:val="0"/>
                <w:bCs w:val="0"/>
                <w:color w:val="auto"/>
                <w:sz w:val="24"/>
                <w:szCs w:val="24"/>
                <w:lang w:eastAsia="zh-CN"/>
              </w:rPr>
              <w:t>“建设项目环境影响评价与排污许可联动内容”和</w:t>
            </w:r>
            <w:r>
              <w:rPr>
                <w:rFonts w:hint="default"/>
                <w:b w:val="0"/>
                <w:bCs w:val="0"/>
                <w:color w:val="auto"/>
                <w:sz w:val="24"/>
                <w:szCs w:val="24"/>
              </w:rPr>
              <w:t>《</w:t>
            </w:r>
            <w:r>
              <w:rPr>
                <w:rFonts w:hint="default"/>
                <w:b w:val="0"/>
                <w:bCs w:val="0"/>
                <w:color w:val="auto"/>
                <w:sz w:val="24"/>
                <w:szCs w:val="24"/>
                <w:lang w:eastAsia="zh-CN"/>
              </w:rPr>
              <w:t>建设项目排污许可申请与填发信息表</w:t>
            </w:r>
            <w:r>
              <w:rPr>
                <w:rFonts w:hint="default"/>
                <w:b w:val="0"/>
                <w:bCs w:val="0"/>
                <w:color w:val="auto"/>
                <w:sz w:val="24"/>
                <w:szCs w:val="24"/>
              </w:rPr>
              <w:t>》</w:t>
            </w:r>
            <w:r>
              <w:rPr>
                <w:rFonts w:hint="eastAsia"/>
                <w:b w:val="0"/>
                <w:bCs w:val="0"/>
                <w:color w:val="auto"/>
                <w:sz w:val="24"/>
                <w:szCs w:val="24"/>
                <w:lang w:eastAsia="zh-CN"/>
              </w:rPr>
              <w:t>。</w:t>
            </w:r>
          </w:p>
          <w:p w14:paraId="57046427">
            <w:pPr>
              <w:adjustRightInd w:val="0"/>
              <w:snapToGrid w:val="0"/>
              <w:spacing w:line="240" w:lineRule="auto"/>
              <w:rPr>
                <w:rFonts w:hint="default"/>
                <w:b w:val="0"/>
                <w:bCs w:val="0"/>
                <w:color w:val="auto"/>
                <w:sz w:val="24"/>
                <w:szCs w:val="24"/>
                <w:lang w:eastAsia="zh-CN"/>
              </w:rPr>
            </w:pPr>
            <w:r>
              <w:rPr>
                <w:rFonts w:hint="eastAsia"/>
                <w:b/>
                <w:bCs/>
                <w:color w:val="auto"/>
                <w:sz w:val="24"/>
                <w:szCs w:val="24"/>
                <w:lang w:val="en-US" w:eastAsia="zh-CN"/>
              </w:rPr>
              <w:t>8、</w:t>
            </w:r>
            <w:r>
              <w:rPr>
                <w:rFonts w:hint="eastAsia"/>
                <w:b/>
                <w:bCs/>
                <w:color w:val="auto"/>
                <w:sz w:val="24"/>
                <w:szCs w:val="24"/>
                <w:lang w:eastAsia="zh-CN"/>
              </w:rPr>
              <w:t>环保投资</w:t>
            </w:r>
          </w:p>
          <w:p w14:paraId="0172C71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eastAsia="zh-CN"/>
              </w:rPr>
              <w:t>本项目总投资</w:t>
            </w:r>
            <w:r>
              <w:rPr>
                <w:rFonts w:hint="eastAsia"/>
                <w:b w:val="0"/>
                <w:bCs w:val="0"/>
                <w:color w:val="auto"/>
                <w:sz w:val="24"/>
                <w:szCs w:val="24"/>
                <w:lang w:val="en-US" w:eastAsia="zh-CN"/>
              </w:rPr>
              <w:t>15000万元，预计环保投资27万元，占总投资的0.18%。</w:t>
            </w:r>
          </w:p>
          <w:p w14:paraId="4316A056">
            <w:pPr>
              <w:pStyle w:val="9"/>
              <w:adjustRightInd w:val="0"/>
              <w:snapToGrid w:val="0"/>
              <w:spacing w:line="240" w:lineRule="auto"/>
              <w:ind w:firstLine="480"/>
              <w:jc w:val="center"/>
              <w:rPr>
                <w:rFonts w:hint="eastAsia"/>
                <w:b/>
                <w:bCs/>
                <w:color w:val="auto"/>
                <w:sz w:val="21"/>
                <w:szCs w:val="21"/>
                <w:lang w:val="en-US" w:eastAsia="zh-CN"/>
              </w:rPr>
            </w:pPr>
            <w:r>
              <w:rPr>
                <w:b/>
                <w:bCs/>
                <w:color w:val="auto"/>
                <w:sz w:val="21"/>
                <w:szCs w:val="21"/>
              </w:rPr>
              <w:t>表</w:t>
            </w:r>
            <w:r>
              <w:rPr>
                <w:rFonts w:hint="eastAsia"/>
                <w:b/>
                <w:bCs/>
                <w:color w:val="auto"/>
                <w:sz w:val="21"/>
                <w:szCs w:val="21"/>
              </w:rPr>
              <w:t>4</w:t>
            </w:r>
            <w:r>
              <w:rPr>
                <w:b/>
                <w:bCs/>
                <w:color w:val="auto"/>
                <w:sz w:val="21"/>
                <w:szCs w:val="21"/>
              </w:rPr>
              <w:t>-</w:t>
            </w:r>
            <w:r>
              <w:rPr>
                <w:rFonts w:hint="eastAsia"/>
                <w:b/>
                <w:bCs/>
                <w:color w:val="auto"/>
                <w:sz w:val="21"/>
                <w:szCs w:val="21"/>
                <w:lang w:val="en-US" w:eastAsia="zh-CN"/>
              </w:rPr>
              <w:t>19 环保投资一览表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05"/>
              <w:gridCol w:w="1891"/>
              <w:gridCol w:w="3900"/>
              <w:gridCol w:w="1065"/>
            </w:tblGrid>
            <w:tr w14:paraId="483D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7" w:type="pct"/>
                  <w:noWrap w:val="0"/>
                  <w:vAlign w:val="center"/>
                </w:tcPr>
                <w:p w14:paraId="0368BB08">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污染源</w:t>
                  </w:r>
                </w:p>
              </w:tc>
              <w:tc>
                <w:tcPr>
                  <w:tcW w:w="570" w:type="pct"/>
                  <w:noWrap w:val="0"/>
                  <w:vAlign w:val="center"/>
                </w:tcPr>
                <w:p w14:paraId="42A3E06E">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项目</w:t>
                  </w:r>
                </w:p>
              </w:tc>
              <w:tc>
                <w:tcPr>
                  <w:tcW w:w="1073" w:type="pct"/>
                  <w:noWrap w:val="0"/>
                  <w:vAlign w:val="center"/>
                </w:tcPr>
                <w:p w14:paraId="70AA6863">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主要措施说明</w:t>
                  </w:r>
                </w:p>
              </w:tc>
              <w:tc>
                <w:tcPr>
                  <w:tcW w:w="2214" w:type="pct"/>
                  <w:noWrap w:val="0"/>
                  <w:vAlign w:val="center"/>
                </w:tcPr>
                <w:p w14:paraId="142CE1CC">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预期效果</w:t>
                  </w:r>
                </w:p>
              </w:tc>
              <w:tc>
                <w:tcPr>
                  <w:tcW w:w="604" w:type="pct"/>
                  <w:noWrap w:val="0"/>
                  <w:vAlign w:val="center"/>
                </w:tcPr>
                <w:p w14:paraId="24BFD6BC">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环保投资</w:t>
                  </w:r>
                </w:p>
                <w:p w14:paraId="4D9E4D71">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（万元）</w:t>
                  </w:r>
                </w:p>
              </w:tc>
            </w:tr>
            <w:tr w14:paraId="6945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7" w:type="pct"/>
                  <w:noWrap w:val="0"/>
                  <w:vAlign w:val="center"/>
                </w:tcPr>
                <w:p w14:paraId="479C1484">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废气</w:t>
                  </w:r>
                </w:p>
              </w:tc>
              <w:tc>
                <w:tcPr>
                  <w:tcW w:w="570" w:type="pct"/>
                  <w:noWrap w:val="0"/>
                  <w:vAlign w:val="center"/>
                </w:tcPr>
                <w:p w14:paraId="5292A726">
                  <w:pPr>
                    <w:adjustRightInd w:val="0"/>
                    <w:spacing w:line="240" w:lineRule="auto"/>
                    <w:jc w:val="center"/>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挤出、注塑废气</w:t>
                  </w:r>
                </w:p>
              </w:tc>
              <w:tc>
                <w:tcPr>
                  <w:tcW w:w="1073" w:type="pct"/>
                  <w:noWrap w:val="0"/>
                  <w:vAlign w:val="center"/>
                </w:tcPr>
                <w:p w14:paraId="4CE83027">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olor w:val="auto"/>
                      <w:kern w:val="0"/>
                      <w:sz w:val="21"/>
                      <w:szCs w:val="21"/>
                      <w:lang w:val="en-US" w:eastAsia="zh-CN"/>
                    </w:rPr>
                    <w:t>二级活性炭吸附+1根20m高排气筒（DA001）</w:t>
                  </w:r>
                </w:p>
              </w:tc>
              <w:tc>
                <w:tcPr>
                  <w:tcW w:w="2214" w:type="pct"/>
                  <w:noWrap w:val="0"/>
                  <w:vAlign w:val="center"/>
                </w:tcPr>
                <w:p w14:paraId="7BA34CB4">
                  <w:pPr>
                    <w:pStyle w:val="61"/>
                    <w:keepNext w:val="0"/>
                    <w:keepLines w:val="0"/>
                    <w:pageBreakBefore w:val="0"/>
                    <w:kinsoku/>
                    <w:wordWrap/>
                    <w:overflowPunct/>
                    <w:topLinePunct w:val="0"/>
                    <w:autoSpaceDE/>
                    <w:autoSpaceDN/>
                    <w:bidi w:val="0"/>
                    <w:spacing w:line="240" w:lineRule="auto"/>
                    <w:ind w:left="-105" w:leftChars="-50" w:right="-105" w:rightChars="-50"/>
                    <w:rPr>
                      <w:rFonts w:hint="eastAsia" w:ascii="Times New Roman" w:hAnsi="Times New Roman" w:eastAsia="宋体" w:cs="Times New Roman"/>
                      <w:b w:val="0"/>
                      <w:bCs w:val="0"/>
                      <w:color w:val="auto"/>
                      <w:sz w:val="21"/>
                      <w:szCs w:val="21"/>
                      <w:lang w:eastAsia="zh-CN"/>
                    </w:rPr>
                  </w:pPr>
                  <w:r>
                    <w:rPr>
                      <w:rFonts w:hint="eastAsia"/>
                      <w:b w:val="0"/>
                      <w:bCs w:val="0"/>
                      <w:color w:val="auto"/>
                      <w:sz w:val="21"/>
                      <w:szCs w:val="21"/>
                      <w:lang w:eastAsia="zh-CN"/>
                    </w:rPr>
                    <w:t>符合</w:t>
                  </w:r>
                  <w:r>
                    <w:rPr>
                      <w:rFonts w:hint="eastAsia"/>
                      <w:bCs/>
                      <w:color w:val="auto"/>
                      <w:sz w:val="21"/>
                      <w:szCs w:val="21"/>
                    </w:rPr>
                    <w:t>《</w:t>
                  </w:r>
                  <w:r>
                    <w:rPr>
                      <w:rFonts w:hint="eastAsia"/>
                      <w:bCs/>
                      <w:color w:val="auto"/>
                      <w:sz w:val="21"/>
                      <w:szCs w:val="21"/>
                      <w:lang w:eastAsia="zh-CN"/>
                    </w:rPr>
                    <w:t>合成树脂工业污染物排放标准</w:t>
                  </w:r>
                  <w:r>
                    <w:rPr>
                      <w:rFonts w:hint="eastAsia"/>
                      <w:bCs/>
                      <w:color w:val="auto"/>
                      <w:sz w:val="21"/>
                      <w:szCs w:val="21"/>
                    </w:rPr>
                    <w:t>》（</w:t>
                  </w:r>
                  <w:r>
                    <w:rPr>
                      <w:color w:val="auto"/>
                      <w:sz w:val="21"/>
                      <w:szCs w:val="21"/>
                    </w:rPr>
                    <w:t>GB</w:t>
                  </w:r>
                  <w:r>
                    <w:rPr>
                      <w:rFonts w:hint="eastAsia"/>
                      <w:color w:val="auto"/>
                      <w:sz w:val="21"/>
                      <w:szCs w:val="21"/>
                      <w:lang w:val="en-US" w:eastAsia="zh-CN"/>
                    </w:rPr>
                    <w:t>31572</w:t>
                  </w:r>
                  <w:r>
                    <w:rPr>
                      <w:color w:val="auto"/>
                      <w:sz w:val="21"/>
                      <w:szCs w:val="21"/>
                    </w:rPr>
                    <w:t>-</w:t>
                  </w:r>
                  <w:r>
                    <w:rPr>
                      <w:rFonts w:hint="eastAsia"/>
                      <w:color w:val="auto"/>
                      <w:sz w:val="21"/>
                      <w:szCs w:val="21"/>
                      <w:lang w:val="en-US" w:eastAsia="zh-CN"/>
                    </w:rPr>
                    <w:t>2015</w:t>
                  </w:r>
                  <w:r>
                    <w:rPr>
                      <w:rFonts w:hint="eastAsia"/>
                      <w:bCs/>
                      <w:color w:val="auto"/>
                      <w:sz w:val="21"/>
                      <w:szCs w:val="21"/>
                    </w:rPr>
                    <w:t>）</w:t>
                  </w:r>
                  <w:r>
                    <w:rPr>
                      <w:rFonts w:hint="eastAsia"/>
                      <w:bCs/>
                      <w:color w:val="auto"/>
                      <w:sz w:val="21"/>
                      <w:szCs w:val="21"/>
                      <w:lang w:eastAsia="zh-CN"/>
                    </w:rPr>
                    <w:t>中排放限值及《</w:t>
                  </w:r>
                  <w:r>
                    <w:rPr>
                      <w:rFonts w:hint="eastAsia"/>
                      <w:bCs/>
                      <w:color w:val="auto"/>
                      <w:sz w:val="21"/>
                      <w:szCs w:val="21"/>
                      <w:lang w:val="en-US" w:eastAsia="zh-CN"/>
                    </w:rPr>
                    <w:t>固定源挥发性有机物综合排放标准 第6部分：其他行业</w:t>
                  </w:r>
                  <w:r>
                    <w:rPr>
                      <w:rFonts w:hint="eastAsia"/>
                      <w:bCs/>
                      <w:color w:val="auto"/>
                      <w:sz w:val="21"/>
                      <w:szCs w:val="21"/>
                      <w:lang w:eastAsia="zh-CN"/>
                    </w:rPr>
                    <w:t>》（</w:t>
                  </w:r>
                  <w:r>
                    <w:rPr>
                      <w:rFonts w:hint="eastAsia"/>
                      <w:bCs/>
                      <w:color w:val="auto"/>
                      <w:sz w:val="21"/>
                      <w:szCs w:val="21"/>
                      <w:lang w:val="en-US" w:eastAsia="zh-CN"/>
                    </w:rPr>
                    <w:t>DB34/4812.6-2024)</w:t>
                  </w:r>
                  <w:r>
                    <w:rPr>
                      <w:rFonts w:hint="eastAsia"/>
                      <w:bCs/>
                      <w:color w:val="auto"/>
                      <w:sz w:val="21"/>
                      <w:szCs w:val="21"/>
                      <w:lang w:eastAsia="zh-CN"/>
                    </w:rPr>
                    <w:t>要求</w:t>
                  </w:r>
                </w:p>
              </w:tc>
              <w:tc>
                <w:tcPr>
                  <w:tcW w:w="604" w:type="pct"/>
                  <w:noWrap w:val="0"/>
                  <w:vAlign w:val="center"/>
                </w:tcPr>
                <w:p w14:paraId="15ECFDA3">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r>
            <w:tr w14:paraId="643D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7" w:type="pct"/>
                  <w:noWrap w:val="0"/>
                  <w:vAlign w:val="center"/>
                </w:tcPr>
                <w:p w14:paraId="5BEE6263">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废水</w:t>
                  </w:r>
                </w:p>
              </w:tc>
              <w:tc>
                <w:tcPr>
                  <w:tcW w:w="570" w:type="pct"/>
                  <w:noWrap w:val="0"/>
                  <w:vAlign w:val="center"/>
                </w:tcPr>
                <w:p w14:paraId="4939C8F6">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生活污水</w:t>
                  </w:r>
                </w:p>
              </w:tc>
              <w:tc>
                <w:tcPr>
                  <w:tcW w:w="1073" w:type="pct"/>
                  <w:noWrap w:val="0"/>
                  <w:vAlign w:val="center"/>
                </w:tcPr>
                <w:p w14:paraId="2D2AA113">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化粪池</w:t>
                  </w:r>
                </w:p>
              </w:tc>
              <w:tc>
                <w:tcPr>
                  <w:tcW w:w="2214" w:type="pct"/>
                  <w:noWrap w:val="0"/>
                  <w:vAlign w:val="center"/>
                </w:tcPr>
                <w:p w14:paraId="131424F5">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eastAsia="zh-CN"/>
                    </w:rPr>
                    <w:t>符合</w:t>
                  </w:r>
                  <w:r>
                    <w:rPr>
                      <w:rFonts w:hint="eastAsia" w:cs="Times New Roman"/>
                      <w:color w:val="auto"/>
                      <w:sz w:val="21"/>
                      <w:szCs w:val="21"/>
                      <w:lang w:eastAsia="zh-CN"/>
                    </w:rPr>
                    <w:t>固镇县经济开发区</w:t>
                  </w:r>
                  <w:r>
                    <w:rPr>
                      <w:rFonts w:hint="default" w:ascii="Times New Roman" w:hAnsi="Times New Roman" w:eastAsia="宋体" w:cs="Times New Roman"/>
                      <w:color w:val="auto"/>
                      <w:sz w:val="21"/>
                      <w:szCs w:val="21"/>
                    </w:rPr>
                    <w:t>污水处理厂接管标准</w:t>
                  </w:r>
                </w:p>
              </w:tc>
              <w:tc>
                <w:tcPr>
                  <w:tcW w:w="604" w:type="pct"/>
                  <w:noWrap w:val="0"/>
                  <w:vAlign w:val="center"/>
                </w:tcPr>
                <w:p w14:paraId="3C821BBD">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2</w:t>
                  </w:r>
                </w:p>
              </w:tc>
            </w:tr>
            <w:tr w14:paraId="1192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7" w:type="pct"/>
                  <w:noWrap w:val="0"/>
                  <w:vAlign w:val="center"/>
                </w:tcPr>
                <w:p w14:paraId="2D31B89F">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kern w:val="0"/>
                      <w:sz w:val="21"/>
                      <w:szCs w:val="21"/>
                      <w:lang w:val="en-US" w:eastAsia="zh-CN" w:bidi="ar-SA"/>
                    </w:rPr>
                  </w:pPr>
                  <w:r>
                    <w:rPr>
                      <w:rFonts w:hint="eastAsia" w:eastAsia="宋体" w:cs="Times New Roman"/>
                      <w:b w:val="0"/>
                      <w:bCs w:val="0"/>
                      <w:color w:val="auto"/>
                      <w:sz w:val="21"/>
                      <w:szCs w:val="21"/>
                      <w:lang w:val="en-US" w:eastAsia="zh-CN"/>
                    </w:rPr>
                    <w:t>噪声</w:t>
                  </w:r>
                </w:p>
              </w:tc>
              <w:tc>
                <w:tcPr>
                  <w:tcW w:w="570" w:type="pct"/>
                  <w:noWrap w:val="0"/>
                  <w:vAlign w:val="center"/>
                </w:tcPr>
                <w:p w14:paraId="0933CE8A">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噪声治理</w:t>
                  </w:r>
                </w:p>
              </w:tc>
              <w:tc>
                <w:tcPr>
                  <w:tcW w:w="1073" w:type="pct"/>
                  <w:noWrap w:val="0"/>
                  <w:vAlign w:val="center"/>
                </w:tcPr>
                <w:p w14:paraId="4AD02638">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选用低噪声设备、基础减震等</w:t>
                  </w:r>
                </w:p>
              </w:tc>
              <w:tc>
                <w:tcPr>
                  <w:tcW w:w="2214" w:type="pct"/>
                  <w:noWrap w:val="0"/>
                  <w:vAlign w:val="center"/>
                </w:tcPr>
                <w:p w14:paraId="12779512">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bCs/>
                      <w:color w:val="auto"/>
                      <w:sz w:val="21"/>
                      <w:szCs w:val="21"/>
                      <w:lang w:eastAsia="zh-CN"/>
                    </w:rPr>
                    <w:t>符合</w:t>
                  </w:r>
                  <w:r>
                    <w:rPr>
                      <w:bCs/>
                      <w:color w:val="auto"/>
                      <w:sz w:val="21"/>
                      <w:szCs w:val="21"/>
                    </w:rPr>
                    <w:t>《工业企业厂界环境噪声排放标准》（GB12348-2008）中3类标准</w:t>
                  </w:r>
                </w:p>
              </w:tc>
              <w:tc>
                <w:tcPr>
                  <w:tcW w:w="604" w:type="pct"/>
                  <w:noWrap w:val="0"/>
                  <w:vAlign w:val="center"/>
                </w:tcPr>
                <w:p w14:paraId="181BD5E4">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r>
            <w:tr w14:paraId="3BDC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7" w:type="pct"/>
                  <w:noWrap w:val="0"/>
                  <w:vAlign w:val="center"/>
                </w:tcPr>
                <w:p w14:paraId="6664CBA9">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kern w:val="0"/>
                      <w:sz w:val="21"/>
                      <w:szCs w:val="21"/>
                      <w:lang w:val="en-US" w:eastAsia="zh-CN" w:bidi="ar-SA"/>
                    </w:rPr>
                  </w:pPr>
                  <w:r>
                    <w:rPr>
                      <w:rFonts w:hint="eastAsia" w:eastAsia="宋体" w:cs="Times New Roman"/>
                      <w:b w:val="0"/>
                      <w:bCs w:val="0"/>
                      <w:color w:val="auto"/>
                      <w:sz w:val="21"/>
                      <w:szCs w:val="21"/>
                      <w:lang w:val="en-US" w:eastAsia="zh-CN"/>
                    </w:rPr>
                    <w:t>固废</w:t>
                  </w:r>
                </w:p>
              </w:tc>
              <w:tc>
                <w:tcPr>
                  <w:tcW w:w="570" w:type="pct"/>
                  <w:noWrap w:val="0"/>
                  <w:vAlign w:val="center"/>
                </w:tcPr>
                <w:p w14:paraId="2BE98588">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固废治理</w:t>
                  </w:r>
                </w:p>
              </w:tc>
              <w:tc>
                <w:tcPr>
                  <w:tcW w:w="1073" w:type="pct"/>
                  <w:noWrap w:val="0"/>
                  <w:vAlign w:val="center"/>
                </w:tcPr>
                <w:p w14:paraId="21765A0F">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设置垃圾桶、一般固废暂存间、危废暂存间</w:t>
                  </w:r>
                </w:p>
              </w:tc>
              <w:tc>
                <w:tcPr>
                  <w:tcW w:w="2214" w:type="pct"/>
                  <w:noWrap w:val="0"/>
                  <w:vAlign w:val="center"/>
                </w:tcPr>
                <w:p w14:paraId="35959214">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kern w:val="0"/>
                      <w:sz w:val="21"/>
                      <w:szCs w:val="21"/>
                      <w:lang w:eastAsia="zh-CN"/>
                    </w:rPr>
                    <w:t>符合</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lang w:eastAsia="zh-CN"/>
                    </w:rPr>
                    <w:t>安徽省实施〈中华人民共和国固体废物污染环境防治法〉办法</w:t>
                  </w:r>
                  <w:r>
                    <w:rPr>
                      <w:rFonts w:hint="default"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eastAsia="zh-CN"/>
                    </w:rPr>
                    <w:t>要求</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《危险废物贮存污染控制标准》（GB18597-20</w:t>
                  </w:r>
                  <w:r>
                    <w:rPr>
                      <w:rFonts w:hint="eastAsia" w:cs="Times New Roman"/>
                      <w:color w:val="auto"/>
                      <w:kern w:val="0"/>
                      <w:sz w:val="21"/>
                      <w:szCs w:val="21"/>
                      <w:lang w:val="en-US" w:eastAsia="zh-CN"/>
                    </w:rPr>
                    <w:t>23</w:t>
                  </w:r>
                  <w:r>
                    <w:rPr>
                      <w:rFonts w:hint="default" w:ascii="Times New Roman" w:hAnsi="Times New Roman" w:cs="Times New Roman"/>
                      <w:color w:val="auto"/>
                      <w:kern w:val="0"/>
                      <w:sz w:val="21"/>
                      <w:szCs w:val="21"/>
                    </w:rPr>
                    <w:t>）中相关要求</w:t>
                  </w:r>
                </w:p>
              </w:tc>
              <w:tc>
                <w:tcPr>
                  <w:tcW w:w="604" w:type="pct"/>
                  <w:noWrap w:val="0"/>
                  <w:vAlign w:val="center"/>
                </w:tcPr>
                <w:p w14:paraId="16B7EB8C">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r>
            <w:tr w14:paraId="1A73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pct"/>
                  <w:gridSpan w:val="2"/>
                  <w:noWrap w:val="0"/>
                  <w:vAlign w:val="center"/>
                </w:tcPr>
                <w:p w14:paraId="74B31491">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kern w:val="0"/>
                      <w:sz w:val="21"/>
                      <w:szCs w:val="21"/>
                      <w:lang w:val="en-US" w:eastAsia="zh-CN" w:bidi="ar-SA"/>
                    </w:rPr>
                  </w:pPr>
                  <w:r>
                    <w:rPr>
                      <w:rFonts w:hint="eastAsia" w:eastAsia="宋体" w:cs="Times New Roman"/>
                      <w:b w:val="0"/>
                      <w:bCs w:val="0"/>
                      <w:color w:val="auto"/>
                      <w:sz w:val="21"/>
                      <w:szCs w:val="21"/>
                      <w:lang w:val="en-US" w:eastAsia="zh-CN"/>
                    </w:rPr>
                    <w:t>地下水、土壤</w:t>
                  </w:r>
                </w:p>
                <w:p w14:paraId="5F09AD12">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防渗措施</w:t>
                  </w:r>
                </w:p>
              </w:tc>
              <w:tc>
                <w:tcPr>
                  <w:tcW w:w="5791" w:type="dxa"/>
                  <w:gridSpan w:val="2"/>
                  <w:noWrap w:val="0"/>
                  <w:vAlign w:val="center"/>
                </w:tcPr>
                <w:p w14:paraId="6E3EAB74">
                  <w:pPr>
                    <w:pStyle w:val="17"/>
                    <w:tabs>
                      <w:tab w:val="left" w:pos="0"/>
                    </w:tabs>
                    <w:spacing w:line="240" w:lineRule="auto"/>
                    <w:jc w:val="center"/>
                    <w:rPr>
                      <w:rFonts w:hint="default" w:ascii="Times New Roman" w:hAnsi="Times New Roman" w:eastAsia="宋体" w:cs="Times New Roman"/>
                      <w:b w:val="0"/>
                      <w:bCs w:val="0"/>
                      <w:color w:val="auto"/>
                      <w:sz w:val="21"/>
                      <w:szCs w:val="21"/>
                      <w:lang w:eastAsia="zh-CN"/>
                    </w:rPr>
                  </w:pPr>
                  <w:r>
                    <w:rPr>
                      <w:rFonts w:ascii="Times New Roman" w:hAnsi="Times New Roman"/>
                      <w:color w:val="auto"/>
                    </w:rPr>
                    <w:t>采取分区防渗措施，危废暂存间做重点防渗，</w:t>
                  </w:r>
                  <w:r>
                    <w:rPr>
                      <w:rFonts w:hint="default" w:ascii="Times New Roman" w:hAnsi="Times New Roman" w:eastAsia="宋体" w:cs="Times New Roman"/>
                      <w:color w:val="auto"/>
                      <w:sz w:val="21"/>
                      <w:szCs w:val="21"/>
                      <w:lang w:eastAsia="zh-CN"/>
                    </w:rPr>
                    <w:t>生产车间其他区域、化粪池等</w:t>
                  </w:r>
                  <w:r>
                    <w:rPr>
                      <w:rFonts w:hint="default" w:ascii="Times New Roman" w:hAnsi="Times New Roman" w:eastAsia="宋体" w:cs="Times New Roman"/>
                      <w:color w:val="auto"/>
                      <w:sz w:val="21"/>
                      <w:szCs w:val="21"/>
                    </w:rPr>
                    <w:t>一般防渗</w:t>
                  </w:r>
                  <w:r>
                    <w:rPr>
                      <w:rFonts w:hint="default" w:ascii="Times New Roman" w:hAnsi="Times New Roman" w:eastAsia="宋体" w:cs="Times New Roman"/>
                      <w:color w:val="auto"/>
                      <w:sz w:val="21"/>
                      <w:szCs w:val="21"/>
                      <w:lang w:eastAsia="zh-CN"/>
                    </w:rPr>
                    <w:t>，厂区内道路区域、办公楼等简单防渗</w:t>
                  </w:r>
                  <w:r>
                    <w:rPr>
                      <w:rFonts w:ascii="Times New Roman" w:hAnsi="Times New Roman"/>
                      <w:color w:val="auto"/>
                    </w:rPr>
                    <w:t>。</w:t>
                  </w:r>
                </w:p>
              </w:tc>
              <w:tc>
                <w:tcPr>
                  <w:tcW w:w="604" w:type="pct"/>
                  <w:noWrap w:val="0"/>
                  <w:vAlign w:val="center"/>
                </w:tcPr>
                <w:p w14:paraId="2C546E56">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r>
            <w:tr w14:paraId="7D02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pct"/>
                  <w:gridSpan w:val="2"/>
                  <w:noWrap w:val="0"/>
                  <w:vAlign w:val="center"/>
                </w:tcPr>
                <w:p w14:paraId="34C32973">
                  <w:pPr>
                    <w:pStyle w:val="61"/>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风险防范</w:t>
                  </w:r>
                </w:p>
              </w:tc>
              <w:tc>
                <w:tcPr>
                  <w:tcW w:w="5791" w:type="dxa"/>
                  <w:gridSpan w:val="2"/>
                  <w:noWrap w:val="0"/>
                  <w:vAlign w:val="center"/>
                </w:tcPr>
                <w:p w14:paraId="29D5895D">
                  <w:pPr>
                    <w:pStyle w:val="17"/>
                    <w:tabs>
                      <w:tab w:val="left" w:pos="0"/>
                    </w:tabs>
                    <w:spacing w:line="240" w:lineRule="auto"/>
                    <w:jc w:val="center"/>
                    <w:rPr>
                      <w:rFonts w:hint="eastAsia" w:eastAsia="宋体" w:cs="Times New Roman"/>
                      <w:b w:val="0"/>
                      <w:bCs w:val="0"/>
                      <w:color w:val="auto"/>
                      <w:sz w:val="21"/>
                      <w:szCs w:val="21"/>
                      <w:lang w:eastAsia="zh-CN"/>
                    </w:rPr>
                  </w:pPr>
                  <w:r>
                    <w:rPr>
                      <w:rFonts w:hint="eastAsia" w:ascii="Times New Roman" w:hAnsi="Times New Roman"/>
                      <w:color w:val="auto"/>
                      <w:lang w:eastAsia="zh-CN"/>
                    </w:rPr>
                    <w:t>编制</w:t>
                  </w:r>
                  <w:r>
                    <w:rPr>
                      <w:rFonts w:ascii="Times New Roman" w:hAnsi="Times New Roman"/>
                      <w:color w:val="auto"/>
                    </w:rPr>
                    <w:t>应急预案</w:t>
                  </w:r>
                  <w:r>
                    <w:rPr>
                      <w:rFonts w:hint="eastAsia" w:ascii="Times New Roman" w:hAnsi="Times New Roman"/>
                      <w:color w:val="auto"/>
                      <w:lang w:eastAsia="zh-CN"/>
                    </w:rPr>
                    <w:t>；</w:t>
                  </w:r>
                  <w:r>
                    <w:rPr>
                      <w:rFonts w:ascii="Times New Roman" w:hAnsi="Times New Roman"/>
                      <w:color w:val="auto"/>
                    </w:rPr>
                    <w:t>危废暂存间做重点防渗处理</w:t>
                  </w:r>
                  <w:r>
                    <w:rPr>
                      <w:rFonts w:hint="eastAsia" w:ascii="Times New Roman" w:hAnsi="Times New Roman"/>
                      <w:color w:val="auto"/>
                      <w:lang w:eastAsia="zh-CN"/>
                    </w:rPr>
                    <w:t>；</w:t>
                  </w:r>
                  <w:r>
                    <w:rPr>
                      <w:rFonts w:ascii="Times New Roman" w:hAnsi="Times New Roman"/>
                      <w:color w:val="auto"/>
                    </w:rPr>
                    <w:t>加强员工操作管理</w:t>
                  </w:r>
                  <w:r>
                    <w:rPr>
                      <w:rFonts w:hint="eastAsia" w:ascii="Times New Roman" w:hAnsi="Times New Roman"/>
                      <w:color w:val="auto"/>
                      <w:lang w:eastAsia="zh-CN"/>
                    </w:rPr>
                    <w:t>。</w:t>
                  </w:r>
                </w:p>
              </w:tc>
              <w:tc>
                <w:tcPr>
                  <w:tcW w:w="604" w:type="pct"/>
                  <w:noWrap w:val="0"/>
                  <w:vAlign w:val="center"/>
                </w:tcPr>
                <w:p w14:paraId="3AA97772">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5</w:t>
                  </w:r>
                </w:p>
              </w:tc>
            </w:tr>
            <w:tr w14:paraId="34B7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5" w:type="pct"/>
                  <w:gridSpan w:val="4"/>
                  <w:noWrap w:val="0"/>
                  <w:vAlign w:val="center"/>
                </w:tcPr>
                <w:p w14:paraId="0CBDDEA2">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合计</w:t>
                  </w:r>
                </w:p>
              </w:tc>
              <w:tc>
                <w:tcPr>
                  <w:tcW w:w="604" w:type="pct"/>
                  <w:noWrap w:val="0"/>
                  <w:vAlign w:val="center"/>
                </w:tcPr>
                <w:p w14:paraId="6478EDF8">
                  <w:pPr>
                    <w:pStyle w:val="61"/>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27</w:t>
                  </w:r>
                </w:p>
              </w:tc>
            </w:tr>
          </w:tbl>
          <w:p w14:paraId="226E2FE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p>
        </w:tc>
      </w:tr>
    </w:tbl>
    <w:p w14:paraId="19F6E34C">
      <w:pPr>
        <w:pStyle w:val="27"/>
        <w:adjustRightInd w:val="0"/>
        <w:snapToGrid w:val="0"/>
        <w:spacing w:before="0" w:beforeAutospacing="0" w:after="0" w:afterAutospacing="0"/>
        <w:jc w:val="center"/>
        <w:rPr>
          <w:rFonts w:hint="eastAsia" w:ascii="宋体" w:hAnsi="宋体" w:cs="宋体"/>
          <w:bCs/>
          <w:color w:val="auto"/>
          <w:sz w:val="24"/>
          <w:szCs w:val="24"/>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40E8FB">
      <w:pPr>
        <w:pStyle w:val="28"/>
        <w:numPr>
          <w:ilvl w:val="0"/>
          <w:numId w:val="0"/>
        </w:numPr>
        <w:jc w:val="center"/>
        <w:rPr>
          <w:rFonts w:hint="eastAsia"/>
          <w:snapToGrid w:val="0"/>
          <w:color w:val="auto"/>
        </w:rPr>
      </w:pPr>
      <w:bookmarkStart w:id="20" w:name="_Toc32217"/>
      <w:bookmarkStart w:id="21" w:name="_Toc7773"/>
      <w:bookmarkStart w:id="22" w:name="_Hlk54167917"/>
      <w:r>
        <w:rPr>
          <w:rFonts w:hint="eastAsia" w:eastAsia="宋体" w:asciiTheme="majorHAnsi" w:hAnsiTheme="majorHAnsi" w:cstheme="majorBidi"/>
          <w:b/>
          <w:bCs/>
          <w:snapToGrid w:val="0"/>
          <w:color w:val="auto"/>
          <w:kern w:val="2"/>
          <w:sz w:val="32"/>
          <w:szCs w:val="32"/>
          <w:lang w:val="en-US" w:eastAsia="zh-CN" w:bidi="ar-SA"/>
        </w:rPr>
        <w:t>五、</w:t>
      </w:r>
      <w:r>
        <w:rPr>
          <w:rFonts w:hint="eastAsia"/>
          <w:snapToGrid w:val="0"/>
          <w:color w:val="auto"/>
        </w:rPr>
        <w:t>环境保护措施监督检查清单</w:t>
      </w:r>
      <w:bookmarkEnd w:id="20"/>
      <w:bookmarkEnd w:id="21"/>
      <w:bookmarkEnd w:id="22"/>
    </w:p>
    <w:tbl>
      <w:tblPr>
        <w:tblStyle w:val="29"/>
        <w:tblW w:w="8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342"/>
        <w:gridCol w:w="990"/>
        <w:gridCol w:w="2010"/>
        <w:gridCol w:w="2907"/>
      </w:tblGrid>
      <w:tr w14:paraId="4B3CE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tcBorders>
              <w:tl2br w:val="single" w:color="auto" w:sz="4" w:space="0"/>
            </w:tcBorders>
          </w:tcPr>
          <w:p w14:paraId="1064F586">
            <w:pPr>
              <w:adjustRightInd w:val="0"/>
              <w:snapToGrid w:val="0"/>
              <w:ind w:firstLine="840"/>
              <w:rPr>
                <w:color w:val="auto"/>
                <w:szCs w:val="21"/>
              </w:rPr>
            </w:pPr>
            <w:r>
              <w:rPr>
                <w:rFonts w:hAnsi="宋体"/>
                <w:color w:val="auto"/>
                <w:szCs w:val="21"/>
              </w:rPr>
              <w:t>内容</w:t>
            </w:r>
          </w:p>
          <w:p w14:paraId="0AE2B35F">
            <w:pPr>
              <w:adjustRightInd w:val="0"/>
              <w:snapToGrid w:val="0"/>
              <w:rPr>
                <w:color w:val="auto"/>
                <w:szCs w:val="21"/>
              </w:rPr>
            </w:pPr>
            <w:r>
              <w:rPr>
                <w:rFonts w:hAnsi="宋体"/>
                <w:color w:val="auto"/>
                <w:szCs w:val="21"/>
              </w:rPr>
              <w:t>要素</w:t>
            </w:r>
          </w:p>
        </w:tc>
        <w:tc>
          <w:tcPr>
            <w:tcW w:w="1342" w:type="dxa"/>
            <w:vAlign w:val="center"/>
          </w:tcPr>
          <w:p w14:paraId="40B34B8E">
            <w:pPr>
              <w:adjustRightInd w:val="0"/>
              <w:snapToGrid w:val="0"/>
              <w:jc w:val="center"/>
              <w:rPr>
                <w:color w:val="auto"/>
                <w:szCs w:val="21"/>
              </w:rPr>
            </w:pPr>
            <w:r>
              <w:rPr>
                <w:rFonts w:hAnsi="宋体"/>
                <w:color w:val="auto"/>
                <w:szCs w:val="21"/>
              </w:rPr>
              <w:t>排放口</w:t>
            </w:r>
            <w:r>
              <w:rPr>
                <w:color w:val="auto"/>
                <w:szCs w:val="21"/>
              </w:rPr>
              <w:t>(</w:t>
            </w:r>
            <w:r>
              <w:rPr>
                <w:rFonts w:hAnsi="宋体"/>
                <w:color w:val="auto"/>
                <w:szCs w:val="21"/>
              </w:rPr>
              <w:t>编号、名称</w:t>
            </w:r>
            <w:r>
              <w:rPr>
                <w:color w:val="auto"/>
                <w:szCs w:val="21"/>
              </w:rPr>
              <w:t>)/</w:t>
            </w:r>
            <w:r>
              <w:rPr>
                <w:rFonts w:hAnsi="宋体"/>
                <w:color w:val="auto"/>
                <w:szCs w:val="21"/>
              </w:rPr>
              <w:t>污染源</w:t>
            </w:r>
          </w:p>
        </w:tc>
        <w:tc>
          <w:tcPr>
            <w:tcW w:w="990" w:type="dxa"/>
            <w:vAlign w:val="center"/>
          </w:tcPr>
          <w:p w14:paraId="6FA777AE">
            <w:pPr>
              <w:adjustRightInd w:val="0"/>
              <w:snapToGrid w:val="0"/>
              <w:jc w:val="center"/>
              <w:rPr>
                <w:color w:val="auto"/>
                <w:szCs w:val="21"/>
              </w:rPr>
            </w:pPr>
            <w:r>
              <w:rPr>
                <w:rFonts w:hAnsi="宋体"/>
                <w:color w:val="auto"/>
                <w:szCs w:val="21"/>
              </w:rPr>
              <w:t>污染物项目</w:t>
            </w:r>
          </w:p>
        </w:tc>
        <w:tc>
          <w:tcPr>
            <w:tcW w:w="2010" w:type="dxa"/>
            <w:vAlign w:val="center"/>
          </w:tcPr>
          <w:p w14:paraId="2A9CFE08">
            <w:pPr>
              <w:adjustRightInd w:val="0"/>
              <w:snapToGrid w:val="0"/>
              <w:jc w:val="center"/>
              <w:rPr>
                <w:color w:val="auto"/>
                <w:szCs w:val="21"/>
              </w:rPr>
            </w:pPr>
            <w:r>
              <w:rPr>
                <w:rFonts w:hAnsi="宋体"/>
                <w:color w:val="auto"/>
                <w:szCs w:val="21"/>
              </w:rPr>
              <w:t>环境保护措施</w:t>
            </w:r>
          </w:p>
        </w:tc>
        <w:tc>
          <w:tcPr>
            <w:tcW w:w="2907" w:type="dxa"/>
            <w:vAlign w:val="center"/>
          </w:tcPr>
          <w:p w14:paraId="5247BF44">
            <w:pPr>
              <w:adjustRightInd w:val="0"/>
              <w:snapToGrid w:val="0"/>
              <w:jc w:val="center"/>
              <w:rPr>
                <w:color w:val="auto"/>
                <w:szCs w:val="21"/>
              </w:rPr>
            </w:pPr>
            <w:r>
              <w:rPr>
                <w:rFonts w:hAnsi="宋体"/>
                <w:color w:val="auto"/>
                <w:szCs w:val="21"/>
              </w:rPr>
              <w:t>执行标准</w:t>
            </w:r>
          </w:p>
        </w:tc>
      </w:tr>
      <w:tr w14:paraId="7FB6A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vMerge w:val="restart"/>
            <w:vAlign w:val="center"/>
          </w:tcPr>
          <w:p w14:paraId="53581D40">
            <w:pPr>
              <w:adjustRightInd w:val="0"/>
              <w:snapToGrid w:val="0"/>
              <w:jc w:val="center"/>
              <w:rPr>
                <w:color w:val="auto"/>
                <w:szCs w:val="21"/>
              </w:rPr>
            </w:pPr>
            <w:r>
              <w:rPr>
                <w:rFonts w:hAnsi="宋体"/>
                <w:color w:val="auto"/>
                <w:szCs w:val="21"/>
              </w:rPr>
              <w:t>大气环境</w:t>
            </w:r>
          </w:p>
        </w:tc>
        <w:tc>
          <w:tcPr>
            <w:tcW w:w="1342" w:type="dxa"/>
            <w:vAlign w:val="center"/>
          </w:tcPr>
          <w:p w14:paraId="135CFDAE">
            <w:pPr>
              <w:adjustRightInd w:val="0"/>
              <w:spacing w:line="240" w:lineRule="auto"/>
              <w:jc w:val="center"/>
              <w:rPr>
                <w:rFonts w:hint="eastAsia" w:eastAsia="宋体"/>
                <w:b w:val="0"/>
                <w:bCs w:val="0"/>
                <w:color w:val="auto"/>
                <w:kern w:val="0"/>
                <w:szCs w:val="21"/>
                <w:lang w:eastAsia="zh-CN"/>
              </w:rPr>
            </w:pPr>
            <w:r>
              <w:rPr>
                <w:rFonts w:hint="eastAsia" w:cs="Times New Roman"/>
                <w:b w:val="0"/>
                <w:bCs w:val="0"/>
                <w:color w:val="auto"/>
                <w:kern w:val="0"/>
                <w:sz w:val="21"/>
                <w:szCs w:val="21"/>
                <w:lang w:val="en-US" w:eastAsia="zh-CN"/>
              </w:rPr>
              <w:t>注塑、挤出废气排放口DA001</w:t>
            </w:r>
          </w:p>
        </w:tc>
        <w:tc>
          <w:tcPr>
            <w:tcW w:w="990" w:type="dxa"/>
            <w:vAlign w:val="center"/>
          </w:tcPr>
          <w:p w14:paraId="47D6B0BE">
            <w:pPr>
              <w:adjustRightInd w:val="0"/>
              <w:spacing w:line="240" w:lineRule="auto"/>
              <w:jc w:val="center"/>
              <w:rPr>
                <w:rFonts w:hint="eastAsia" w:eastAsia="宋体"/>
                <w:color w:val="auto"/>
                <w:kern w:val="0"/>
                <w:szCs w:val="21"/>
                <w:lang w:eastAsia="zh-CN"/>
              </w:rPr>
            </w:pPr>
            <w:r>
              <w:rPr>
                <w:rFonts w:hint="eastAsia" w:cs="Times New Roman"/>
                <w:b w:val="0"/>
                <w:bCs w:val="0"/>
                <w:color w:val="auto"/>
                <w:sz w:val="21"/>
                <w:szCs w:val="21"/>
                <w:lang w:eastAsia="zh-CN"/>
              </w:rPr>
              <w:t>非甲烷总烃</w:t>
            </w:r>
          </w:p>
        </w:tc>
        <w:tc>
          <w:tcPr>
            <w:tcW w:w="2010" w:type="dxa"/>
            <w:tcBorders>
              <w:bottom w:val="single" w:color="auto" w:sz="4" w:space="0"/>
            </w:tcBorders>
            <w:vAlign w:val="center"/>
          </w:tcPr>
          <w:p w14:paraId="006E5A14">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集气罩收集+二级活性炭吸附+1根15m高排气筒（DA001）</w:t>
            </w:r>
          </w:p>
        </w:tc>
        <w:tc>
          <w:tcPr>
            <w:tcW w:w="2907" w:type="dxa"/>
            <w:vAlign w:val="center"/>
          </w:tcPr>
          <w:p w14:paraId="7ADDDC70">
            <w:pPr>
              <w:adjustRightInd w:val="0"/>
              <w:jc w:val="center"/>
              <w:rPr>
                <w:color w:val="auto"/>
                <w:kern w:val="0"/>
                <w:szCs w:val="21"/>
              </w:rPr>
            </w:pPr>
            <w:r>
              <w:rPr>
                <w:rFonts w:hint="eastAsia"/>
                <w:bCs/>
                <w:color w:val="auto"/>
                <w:szCs w:val="21"/>
              </w:rPr>
              <w:t>《</w:t>
            </w:r>
            <w:r>
              <w:rPr>
                <w:rFonts w:hint="eastAsia"/>
                <w:bCs/>
                <w:color w:val="auto"/>
                <w:szCs w:val="21"/>
                <w:lang w:eastAsia="zh-CN"/>
              </w:rPr>
              <w:t>合成树脂工业污染物排放标准</w:t>
            </w:r>
            <w:r>
              <w:rPr>
                <w:rFonts w:hint="eastAsia"/>
                <w:bCs/>
                <w:color w:val="auto"/>
                <w:szCs w:val="21"/>
              </w:rPr>
              <w:t>》（</w:t>
            </w:r>
            <w:r>
              <w:rPr>
                <w:color w:val="auto"/>
                <w:sz w:val="21"/>
                <w:szCs w:val="21"/>
              </w:rPr>
              <w:t>GB</w:t>
            </w:r>
            <w:r>
              <w:rPr>
                <w:rFonts w:hint="eastAsia"/>
                <w:color w:val="auto"/>
                <w:sz w:val="21"/>
                <w:szCs w:val="21"/>
                <w:lang w:val="en-US" w:eastAsia="zh-CN"/>
              </w:rPr>
              <w:t>31572</w:t>
            </w:r>
            <w:r>
              <w:rPr>
                <w:color w:val="auto"/>
                <w:sz w:val="21"/>
                <w:szCs w:val="21"/>
              </w:rPr>
              <w:t>-</w:t>
            </w:r>
            <w:r>
              <w:rPr>
                <w:rFonts w:hint="eastAsia"/>
                <w:color w:val="auto"/>
                <w:sz w:val="21"/>
                <w:szCs w:val="21"/>
                <w:lang w:val="en-US" w:eastAsia="zh-CN"/>
              </w:rPr>
              <w:t>2015</w:t>
            </w:r>
            <w:r>
              <w:rPr>
                <w:rFonts w:hint="eastAsia"/>
                <w:bCs/>
                <w:color w:val="auto"/>
                <w:szCs w:val="21"/>
              </w:rPr>
              <w:t>）</w:t>
            </w:r>
            <w:r>
              <w:rPr>
                <w:rFonts w:hint="eastAsia"/>
                <w:bCs/>
                <w:color w:val="auto"/>
                <w:sz w:val="21"/>
                <w:szCs w:val="21"/>
                <w:lang w:eastAsia="zh-CN"/>
              </w:rPr>
              <w:t>及《</w:t>
            </w:r>
            <w:r>
              <w:rPr>
                <w:rFonts w:hint="eastAsia"/>
                <w:bCs/>
                <w:color w:val="auto"/>
                <w:sz w:val="21"/>
                <w:szCs w:val="21"/>
                <w:lang w:val="en-US" w:eastAsia="zh-CN"/>
              </w:rPr>
              <w:t>固定源挥发性有机物综合排放标准 第6部分：其他行业</w:t>
            </w:r>
            <w:r>
              <w:rPr>
                <w:rFonts w:hint="eastAsia"/>
                <w:bCs/>
                <w:color w:val="auto"/>
                <w:sz w:val="21"/>
                <w:szCs w:val="21"/>
                <w:lang w:eastAsia="zh-CN"/>
              </w:rPr>
              <w:t>》（</w:t>
            </w:r>
            <w:r>
              <w:rPr>
                <w:rFonts w:hint="eastAsia"/>
                <w:bCs/>
                <w:color w:val="auto"/>
                <w:sz w:val="21"/>
                <w:szCs w:val="21"/>
                <w:lang w:val="en-US" w:eastAsia="zh-CN"/>
              </w:rPr>
              <w:t>DB34/4812.6-2024)</w:t>
            </w:r>
            <w:r>
              <w:rPr>
                <w:rFonts w:hint="eastAsia"/>
                <w:bCs/>
                <w:color w:val="auto"/>
                <w:sz w:val="21"/>
                <w:szCs w:val="21"/>
                <w:lang w:eastAsia="zh-CN"/>
              </w:rPr>
              <w:t>要求</w:t>
            </w:r>
          </w:p>
        </w:tc>
      </w:tr>
      <w:tr w14:paraId="6B0E6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552" w:type="dxa"/>
            <w:vMerge w:val="continue"/>
            <w:vAlign w:val="center"/>
          </w:tcPr>
          <w:p w14:paraId="65FD17DF">
            <w:pPr>
              <w:adjustRightInd w:val="0"/>
              <w:snapToGrid w:val="0"/>
              <w:jc w:val="center"/>
              <w:rPr>
                <w:rFonts w:hAnsi="宋体"/>
                <w:color w:val="auto"/>
                <w:szCs w:val="21"/>
              </w:rPr>
            </w:pPr>
          </w:p>
        </w:tc>
        <w:tc>
          <w:tcPr>
            <w:tcW w:w="1342" w:type="dxa"/>
            <w:vAlign w:val="center"/>
          </w:tcPr>
          <w:p w14:paraId="0BD7BDC8">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破碎粉尘</w:t>
            </w:r>
          </w:p>
        </w:tc>
        <w:tc>
          <w:tcPr>
            <w:tcW w:w="990" w:type="dxa"/>
            <w:vAlign w:val="center"/>
          </w:tcPr>
          <w:p w14:paraId="16A3F68F">
            <w:pPr>
              <w:adjustRightInd w:val="0"/>
              <w:spacing w:line="240" w:lineRule="auto"/>
              <w:jc w:val="center"/>
              <w:rPr>
                <w:rFonts w:hint="eastAsia" w:cs="Times New Roman"/>
                <w:b w:val="0"/>
                <w:bCs w:val="0"/>
                <w:color w:val="auto"/>
                <w:sz w:val="21"/>
                <w:szCs w:val="21"/>
                <w:lang w:eastAsia="zh-CN"/>
              </w:rPr>
            </w:pPr>
            <w:r>
              <w:rPr>
                <w:rFonts w:hint="eastAsia" w:cs="Times New Roman"/>
                <w:b w:val="0"/>
                <w:bCs w:val="0"/>
                <w:color w:val="auto"/>
                <w:sz w:val="21"/>
                <w:szCs w:val="21"/>
                <w:lang w:eastAsia="zh-CN"/>
              </w:rPr>
              <w:t>颗粒物</w:t>
            </w:r>
          </w:p>
        </w:tc>
        <w:tc>
          <w:tcPr>
            <w:tcW w:w="2010" w:type="dxa"/>
            <w:tcBorders>
              <w:bottom w:val="single" w:color="auto" w:sz="4" w:space="0"/>
            </w:tcBorders>
            <w:vAlign w:val="center"/>
          </w:tcPr>
          <w:p w14:paraId="516C07B7">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设置防尘帘，无组织排放</w:t>
            </w:r>
          </w:p>
        </w:tc>
        <w:tc>
          <w:tcPr>
            <w:tcW w:w="2907" w:type="dxa"/>
            <w:vAlign w:val="center"/>
          </w:tcPr>
          <w:p w14:paraId="4424E7FB">
            <w:pPr>
              <w:adjustRightInd w:val="0"/>
              <w:jc w:val="center"/>
              <w:rPr>
                <w:rFonts w:hint="eastAsia"/>
                <w:bCs/>
                <w:color w:val="auto"/>
                <w:szCs w:val="21"/>
              </w:rPr>
            </w:pPr>
            <w:r>
              <w:rPr>
                <w:rFonts w:hint="eastAsia"/>
                <w:bCs/>
                <w:color w:val="auto"/>
                <w:szCs w:val="21"/>
              </w:rPr>
              <w:t>《</w:t>
            </w:r>
            <w:r>
              <w:rPr>
                <w:rFonts w:hint="eastAsia"/>
                <w:bCs/>
                <w:color w:val="auto"/>
                <w:szCs w:val="21"/>
                <w:lang w:eastAsia="zh-CN"/>
              </w:rPr>
              <w:t>合成树脂工业污染物排放标准</w:t>
            </w:r>
            <w:r>
              <w:rPr>
                <w:rFonts w:hint="eastAsia"/>
                <w:bCs/>
                <w:color w:val="auto"/>
                <w:szCs w:val="21"/>
              </w:rPr>
              <w:t>》（</w:t>
            </w:r>
            <w:r>
              <w:rPr>
                <w:color w:val="auto"/>
                <w:sz w:val="21"/>
                <w:szCs w:val="21"/>
              </w:rPr>
              <w:t>GB</w:t>
            </w:r>
            <w:r>
              <w:rPr>
                <w:rFonts w:hint="eastAsia"/>
                <w:color w:val="auto"/>
                <w:sz w:val="21"/>
                <w:szCs w:val="21"/>
                <w:lang w:val="en-US" w:eastAsia="zh-CN"/>
              </w:rPr>
              <w:t>31572</w:t>
            </w:r>
            <w:r>
              <w:rPr>
                <w:color w:val="auto"/>
                <w:sz w:val="21"/>
                <w:szCs w:val="21"/>
              </w:rPr>
              <w:t>-</w:t>
            </w:r>
            <w:r>
              <w:rPr>
                <w:rFonts w:hint="eastAsia"/>
                <w:color w:val="auto"/>
                <w:sz w:val="21"/>
                <w:szCs w:val="21"/>
                <w:lang w:val="en-US" w:eastAsia="zh-CN"/>
              </w:rPr>
              <w:t>2015</w:t>
            </w:r>
            <w:r>
              <w:rPr>
                <w:rFonts w:hint="eastAsia"/>
                <w:bCs/>
                <w:color w:val="auto"/>
                <w:szCs w:val="21"/>
              </w:rPr>
              <w:t>）</w:t>
            </w:r>
          </w:p>
        </w:tc>
      </w:tr>
      <w:tr w14:paraId="3E9EC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vAlign w:val="center"/>
          </w:tcPr>
          <w:p w14:paraId="6ECDB056">
            <w:pPr>
              <w:adjustRightInd w:val="0"/>
              <w:snapToGrid w:val="0"/>
              <w:jc w:val="center"/>
              <w:rPr>
                <w:color w:val="auto"/>
                <w:szCs w:val="21"/>
              </w:rPr>
            </w:pPr>
            <w:r>
              <w:rPr>
                <w:rFonts w:hAnsi="宋体"/>
                <w:color w:val="auto"/>
                <w:szCs w:val="21"/>
              </w:rPr>
              <w:t>地表水环境</w:t>
            </w:r>
          </w:p>
        </w:tc>
        <w:tc>
          <w:tcPr>
            <w:tcW w:w="1342" w:type="dxa"/>
            <w:tcBorders>
              <w:bottom w:val="single" w:color="auto" w:sz="4" w:space="0"/>
            </w:tcBorders>
            <w:vAlign w:val="center"/>
          </w:tcPr>
          <w:p w14:paraId="0E4C9F94">
            <w:pPr>
              <w:adjustRightInd w:val="0"/>
              <w:snapToGrid w:val="0"/>
              <w:jc w:val="center"/>
              <w:rPr>
                <w:color w:val="auto"/>
                <w:kern w:val="0"/>
                <w:szCs w:val="21"/>
              </w:rPr>
            </w:pPr>
            <w:r>
              <w:rPr>
                <w:rFonts w:hAnsi="宋体"/>
                <w:color w:val="auto"/>
                <w:kern w:val="0"/>
                <w:szCs w:val="21"/>
              </w:rPr>
              <w:t>生活污水</w:t>
            </w:r>
          </w:p>
        </w:tc>
        <w:tc>
          <w:tcPr>
            <w:tcW w:w="990" w:type="dxa"/>
            <w:tcBorders>
              <w:bottom w:val="single" w:color="auto" w:sz="4" w:space="0"/>
            </w:tcBorders>
            <w:vAlign w:val="center"/>
          </w:tcPr>
          <w:p w14:paraId="16942A7F">
            <w:pPr>
              <w:jc w:val="center"/>
              <w:rPr>
                <w:rFonts w:hint="eastAsia" w:eastAsia="宋体"/>
                <w:bCs/>
                <w:color w:val="auto"/>
                <w:szCs w:val="21"/>
                <w:lang w:eastAsia="zh-CN"/>
              </w:rPr>
            </w:pPr>
            <w:r>
              <w:rPr>
                <w:rFonts w:hint="eastAsia"/>
                <w:bCs/>
                <w:color w:val="auto"/>
                <w:szCs w:val="21"/>
              </w:rPr>
              <w:t>COD</w:t>
            </w:r>
            <w:r>
              <w:rPr>
                <w:rFonts w:hint="eastAsia"/>
                <w:bCs/>
                <w:color w:val="auto"/>
                <w:szCs w:val="21"/>
                <w:lang w:eastAsia="zh-CN"/>
              </w:rPr>
              <w:t>、</w:t>
            </w:r>
            <w:r>
              <w:rPr>
                <w:rFonts w:hint="eastAsia"/>
                <w:bCs/>
                <w:color w:val="auto"/>
                <w:szCs w:val="21"/>
              </w:rPr>
              <w:t>BOD</w:t>
            </w:r>
            <w:r>
              <w:rPr>
                <w:rFonts w:hint="eastAsia"/>
                <w:bCs/>
                <w:color w:val="auto"/>
                <w:szCs w:val="21"/>
                <w:vertAlign w:val="subscript"/>
              </w:rPr>
              <w:t>5</w:t>
            </w:r>
            <w:r>
              <w:rPr>
                <w:rFonts w:hint="eastAsia"/>
                <w:bCs/>
                <w:color w:val="auto"/>
                <w:szCs w:val="21"/>
                <w:lang w:eastAsia="zh-CN"/>
              </w:rPr>
              <w:t>、</w:t>
            </w:r>
            <w:r>
              <w:rPr>
                <w:rFonts w:hint="eastAsia"/>
                <w:bCs/>
                <w:color w:val="auto"/>
                <w:szCs w:val="21"/>
              </w:rPr>
              <w:t>SS</w:t>
            </w:r>
            <w:r>
              <w:rPr>
                <w:rFonts w:hint="eastAsia"/>
                <w:bCs/>
                <w:color w:val="auto"/>
                <w:szCs w:val="21"/>
                <w:lang w:eastAsia="zh-CN"/>
              </w:rPr>
              <w:t>、</w:t>
            </w:r>
            <w:r>
              <w:rPr>
                <w:color w:val="auto"/>
                <w:szCs w:val="21"/>
              </w:rPr>
              <w:t>NH</w:t>
            </w:r>
            <w:r>
              <w:rPr>
                <w:color w:val="auto"/>
                <w:szCs w:val="21"/>
                <w:vertAlign w:val="subscript"/>
              </w:rPr>
              <w:t>3</w:t>
            </w:r>
            <w:r>
              <w:rPr>
                <w:color w:val="auto"/>
                <w:szCs w:val="21"/>
              </w:rPr>
              <w:t>-N</w:t>
            </w:r>
          </w:p>
        </w:tc>
        <w:tc>
          <w:tcPr>
            <w:tcW w:w="2010" w:type="dxa"/>
            <w:tcBorders>
              <w:bottom w:val="single" w:color="auto" w:sz="4" w:space="0"/>
            </w:tcBorders>
            <w:vAlign w:val="center"/>
          </w:tcPr>
          <w:p w14:paraId="708637A6">
            <w:pPr>
              <w:jc w:val="center"/>
              <w:rPr>
                <w:rFonts w:hint="eastAsia" w:eastAsia="宋体"/>
                <w:bCs/>
                <w:color w:val="auto"/>
                <w:szCs w:val="21"/>
                <w:lang w:eastAsia="zh-CN"/>
              </w:rPr>
            </w:pPr>
            <w:r>
              <w:rPr>
                <w:color w:val="auto"/>
                <w:szCs w:val="21"/>
              </w:rPr>
              <w:t>生活污水</w:t>
            </w:r>
            <w:r>
              <w:rPr>
                <w:rFonts w:hint="eastAsia"/>
                <w:color w:val="auto"/>
                <w:szCs w:val="21"/>
              </w:rPr>
              <w:t>由化粪池处理后</w:t>
            </w:r>
            <w:r>
              <w:rPr>
                <w:color w:val="auto"/>
                <w:szCs w:val="21"/>
              </w:rPr>
              <w:t>，排入园区污水管网，进入</w:t>
            </w:r>
            <w:r>
              <w:rPr>
                <w:rFonts w:hint="eastAsia" w:cs="Times New Roman"/>
                <w:color w:val="auto"/>
                <w:sz w:val="21"/>
                <w:szCs w:val="21"/>
                <w:lang w:eastAsia="zh-CN"/>
              </w:rPr>
              <w:t>固镇县经济开发区</w:t>
            </w:r>
            <w:r>
              <w:rPr>
                <w:rFonts w:hint="eastAsia"/>
                <w:color w:val="auto"/>
                <w:szCs w:val="21"/>
              </w:rPr>
              <w:t>污水处理厂</w:t>
            </w:r>
            <w:r>
              <w:rPr>
                <w:rFonts w:hint="eastAsia"/>
                <w:color w:val="auto"/>
                <w:szCs w:val="21"/>
                <w:lang w:eastAsia="zh-CN"/>
              </w:rPr>
              <w:t>处理</w:t>
            </w:r>
            <w:r>
              <w:rPr>
                <w:color w:val="auto"/>
                <w:szCs w:val="21"/>
              </w:rPr>
              <w:t>，处理达标后</w:t>
            </w:r>
            <w:r>
              <w:rPr>
                <w:rFonts w:hint="eastAsia"/>
                <w:color w:val="auto"/>
                <w:szCs w:val="21"/>
              </w:rPr>
              <w:t>尾水排入北淝河</w:t>
            </w:r>
            <w:r>
              <w:rPr>
                <w:rFonts w:hint="eastAsia"/>
                <w:color w:val="auto"/>
                <w:szCs w:val="21"/>
                <w:lang w:eastAsia="zh-CN"/>
              </w:rPr>
              <w:t>下段</w:t>
            </w:r>
          </w:p>
        </w:tc>
        <w:tc>
          <w:tcPr>
            <w:tcW w:w="2907" w:type="dxa"/>
            <w:vAlign w:val="center"/>
          </w:tcPr>
          <w:p w14:paraId="75287C10">
            <w:pPr>
              <w:adjustRightInd w:val="0"/>
              <w:snapToGrid w:val="0"/>
              <w:jc w:val="center"/>
              <w:rPr>
                <w:color w:val="auto"/>
                <w:kern w:val="0"/>
                <w:sz w:val="21"/>
                <w:szCs w:val="21"/>
              </w:rPr>
            </w:pPr>
            <w:r>
              <w:rPr>
                <w:rFonts w:hint="eastAsia" w:cs="Times New Roman"/>
                <w:color w:val="auto"/>
                <w:sz w:val="21"/>
                <w:szCs w:val="21"/>
                <w:lang w:eastAsia="zh-CN"/>
              </w:rPr>
              <w:t>固镇县经济开发区</w:t>
            </w:r>
            <w:r>
              <w:rPr>
                <w:rFonts w:hint="default" w:ascii="Times New Roman" w:hAnsi="Times New Roman" w:eastAsia="宋体" w:cs="Times New Roman"/>
                <w:color w:val="auto"/>
                <w:sz w:val="21"/>
                <w:szCs w:val="21"/>
              </w:rPr>
              <w:t>污水处理厂接管标准</w:t>
            </w:r>
            <w:r>
              <w:rPr>
                <w:rFonts w:hint="eastAsia" w:cs="Times New Roman"/>
                <w:color w:val="auto"/>
                <w:sz w:val="21"/>
                <w:szCs w:val="21"/>
                <w:lang w:eastAsia="zh-CN"/>
              </w:rPr>
              <w:t>、</w:t>
            </w:r>
            <w:r>
              <w:rPr>
                <w:rFonts w:hint="eastAsia" w:ascii="Times New Roman" w:hAnsi="Times New Roman" w:eastAsia="宋体" w:cs="Times New Roman"/>
                <w:color w:val="auto"/>
                <w:szCs w:val="21"/>
                <w:lang w:val="en-US" w:eastAsia="zh-CN"/>
              </w:rPr>
              <w:t>《污水综合排放标准》（GB8978-1996）表4 中三级标准</w:t>
            </w:r>
          </w:p>
        </w:tc>
      </w:tr>
      <w:tr w14:paraId="55E98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tcBorders>
              <w:bottom w:val="single" w:color="auto" w:sz="4" w:space="0"/>
            </w:tcBorders>
            <w:vAlign w:val="center"/>
          </w:tcPr>
          <w:p w14:paraId="1979D615">
            <w:pPr>
              <w:adjustRightInd w:val="0"/>
              <w:snapToGrid w:val="0"/>
              <w:jc w:val="center"/>
              <w:rPr>
                <w:color w:val="auto"/>
                <w:szCs w:val="21"/>
              </w:rPr>
            </w:pPr>
            <w:r>
              <w:rPr>
                <w:rFonts w:hAnsi="宋体"/>
                <w:color w:val="auto"/>
                <w:szCs w:val="21"/>
              </w:rPr>
              <w:t>声环境</w:t>
            </w:r>
          </w:p>
        </w:tc>
        <w:tc>
          <w:tcPr>
            <w:tcW w:w="1342" w:type="dxa"/>
            <w:tcBorders>
              <w:bottom w:val="single" w:color="auto" w:sz="4" w:space="0"/>
            </w:tcBorders>
            <w:vAlign w:val="center"/>
          </w:tcPr>
          <w:p w14:paraId="70911E99">
            <w:pPr>
              <w:adjustRightInd w:val="0"/>
              <w:snapToGrid w:val="0"/>
              <w:jc w:val="center"/>
              <w:rPr>
                <w:color w:val="auto"/>
                <w:kern w:val="0"/>
                <w:szCs w:val="21"/>
              </w:rPr>
            </w:pPr>
            <w:r>
              <w:rPr>
                <w:rFonts w:hint="eastAsia"/>
                <w:color w:val="auto"/>
                <w:kern w:val="0"/>
                <w:szCs w:val="21"/>
              </w:rPr>
              <w:t>生产设备</w:t>
            </w:r>
          </w:p>
        </w:tc>
        <w:tc>
          <w:tcPr>
            <w:tcW w:w="990" w:type="dxa"/>
            <w:tcBorders>
              <w:bottom w:val="single" w:color="auto" w:sz="4" w:space="0"/>
            </w:tcBorders>
            <w:vAlign w:val="center"/>
          </w:tcPr>
          <w:p w14:paraId="780299F1">
            <w:pPr>
              <w:adjustRightInd w:val="0"/>
              <w:snapToGrid w:val="0"/>
              <w:jc w:val="center"/>
              <w:rPr>
                <w:color w:val="auto"/>
                <w:kern w:val="0"/>
                <w:szCs w:val="21"/>
              </w:rPr>
            </w:pPr>
            <w:r>
              <w:rPr>
                <w:rFonts w:hint="eastAsia"/>
                <w:color w:val="auto"/>
                <w:kern w:val="0"/>
                <w:szCs w:val="21"/>
              </w:rPr>
              <w:t>噪声</w:t>
            </w:r>
          </w:p>
        </w:tc>
        <w:tc>
          <w:tcPr>
            <w:tcW w:w="2010" w:type="dxa"/>
            <w:tcBorders>
              <w:bottom w:val="single" w:color="auto" w:sz="4" w:space="0"/>
            </w:tcBorders>
            <w:vAlign w:val="center"/>
          </w:tcPr>
          <w:p w14:paraId="3A4C3931">
            <w:pPr>
              <w:adjustRightInd w:val="0"/>
              <w:snapToGrid w:val="0"/>
              <w:jc w:val="center"/>
              <w:rPr>
                <w:color w:val="auto"/>
                <w:kern w:val="0"/>
                <w:szCs w:val="21"/>
              </w:rPr>
            </w:pPr>
            <w:r>
              <w:rPr>
                <w:color w:val="auto"/>
                <w:szCs w:val="21"/>
              </w:rPr>
              <w:t>选用低噪声机械设备，采取隔声、减震等措施</w:t>
            </w:r>
          </w:p>
        </w:tc>
        <w:tc>
          <w:tcPr>
            <w:tcW w:w="2907" w:type="dxa"/>
            <w:tcBorders>
              <w:bottom w:val="single" w:color="auto" w:sz="4" w:space="0"/>
            </w:tcBorders>
            <w:vAlign w:val="center"/>
          </w:tcPr>
          <w:p w14:paraId="7A72C95C">
            <w:pPr>
              <w:adjustRightInd w:val="0"/>
              <w:snapToGrid w:val="0"/>
              <w:jc w:val="center"/>
              <w:rPr>
                <w:color w:val="auto"/>
                <w:kern w:val="0"/>
                <w:szCs w:val="21"/>
              </w:rPr>
            </w:pPr>
            <w:r>
              <w:rPr>
                <w:bCs/>
                <w:color w:val="auto"/>
                <w:szCs w:val="21"/>
              </w:rPr>
              <w:t>《工业企业厂界环境噪声排放标准》（GB12348-2008）中3类标准</w:t>
            </w:r>
          </w:p>
        </w:tc>
      </w:tr>
      <w:tr w14:paraId="2DB73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52" w:type="dxa"/>
            <w:vAlign w:val="center"/>
          </w:tcPr>
          <w:p w14:paraId="22059F1F">
            <w:pPr>
              <w:adjustRightInd w:val="0"/>
              <w:snapToGrid w:val="0"/>
              <w:jc w:val="center"/>
              <w:rPr>
                <w:color w:val="auto"/>
                <w:sz w:val="21"/>
                <w:szCs w:val="21"/>
              </w:rPr>
            </w:pPr>
            <w:r>
              <w:rPr>
                <w:rFonts w:hAnsi="宋体"/>
                <w:color w:val="auto"/>
                <w:sz w:val="21"/>
                <w:szCs w:val="21"/>
              </w:rPr>
              <w:t>固体废物</w:t>
            </w:r>
          </w:p>
        </w:tc>
        <w:tc>
          <w:tcPr>
            <w:tcW w:w="7249" w:type="dxa"/>
            <w:gridSpan w:val="4"/>
            <w:vAlign w:val="center"/>
          </w:tcPr>
          <w:p w14:paraId="16E13408">
            <w:pPr>
              <w:adjustRightInd w:val="0"/>
              <w:snapToGrid w:val="0"/>
              <w:jc w:val="center"/>
              <w:rPr>
                <w:color w:val="auto"/>
                <w:kern w:val="0"/>
                <w:sz w:val="21"/>
                <w:szCs w:val="21"/>
              </w:rPr>
            </w:pPr>
            <w:r>
              <w:rPr>
                <w:rFonts w:hAnsi="宋体"/>
                <w:color w:val="auto"/>
                <w:kern w:val="0"/>
                <w:sz w:val="21"/>
                <w:szCs w:val="21"/>
              </w:rPr>
              <w:t>生活垃圾由环卫部门统一清运处理；</w:t>
            </w:r>
            <w:r>
              <w:rPr>
                <w:rFonts w:hint="eastAsia" w:hAnsi="宋体"/>
                <w:color w:val="auto"/>
                <w:kern w:val="0"/>
                <w:sz w:val="21"/>
                <w:szCs w:val="21"/>
                <w:lang w:eastAsia="zh-CN"/>
              </w:rPr>
              <w:t>废包装袋</w:t>
            </w:r>
            <w:r>
              <w:rPr>
                <w:rFonts w:hAnsi="宋体"/>
                <w:color w:val="auto"/>
                <w:kern w:val="0"/>
                <w:sz w:val="21"/>
                <w:szCs w:val="21"/>
              </w:rPr>
              <w:t>暂存于一般工业固废暂存间，定期交由物资回收单位回收利用</w:t>
            </w:r>
            <w:r>
              <w:rPr>
                <w:rFonts w:hint="eastAsia" w:hAnsi="宋体"/>
                <w:color w:val="auto"/>
                <w:kern w:val="0"/>
                <w:sz w:val="21"/>
                <w:szCs w:val="21"/>
                <w:lang w:eastAsia="zh-CN"/>
              </w:rPr>
              <w:t>；废活性炭、废机油、废机油桶、含油抹布和手套收集后</w:t>
            </w:r>
            <w:r>
              <w:rPr>
                <w:rFonts w:hint="eastAsia" w:hAnsi="宋体"/>
                <w:color w:val="auto"/>
                <w:kern w:val="0"/>
                <w:sz w:val="21"/>
                <w:szCs w:val="21"/>
              </w:rPr>
              <w:t>暂存危废间，定期交由有资质公司处置</w:t>
            </w:r>
            <w:r>
              <w:rPr>
                <w:rFonts w:hAnsi="宋体"/>
                <w:color w:val="auto"/>
                <w:kern w:val="0"/>
                <w:sz w:val="21"/>
                <w:szCs w:val="21"/>
              </w:rPr>
              <w:t>。</w:t>
            </w:r>
          </w:p>
        </w:tc>
      </w:tr>
      <w:tr w14:paraId="3C243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vAlign w:val="center"/>
          </w:tcPr>
          <w:p w14:paraId="332D04F6">
            <w:pPr>
              <w:adjustRightInd w:val="0"/>
              <w:snapToGrid w:val="0"/>
              <w:jc w:val="center"/>
              <w:rPr>
                <w:color w:val="auto"/>
                <w:szCs w:val="21"/>
              </w:rPr>
            </w:pPr>
            <w:r>
              <w:rPr>
                <w:rFonts w:hAnsi="宋体"/>
                <w:color w:val="auto"/>
                <w:szCs w:val="21"/>
              </w:rPr>
              <w:t>土壤及地下水</w:t>
            </w:r>
          </w:p>
          <w:p w14:paraId="00100326">
            <w:pPr>
              <w:adjustRightInd w:val="0"/>
              <w:snapToGrid w:val="0"/>
              <w:jc w:val="center"/>
              <w:rPr>
                <w:color w:val="auto"/>
                <w:szCs w:val="21"/>
              </w:rPr>
            </w:pPr>
            <w:r>
              <w:rPr>
                <w:rFonts w:hAnsi="宋体"/>
                <w:color w:val="auto"/>
                <w:szCs w:val="21"/>
              </w:rPr>
              <w:t>污染防治措施</w:t>
            </w:r>
          </w:p>
        </w:tc>
        <w:tc>
          <w:tcPr>
            <w:tcW w:w="7249" w:type="dxa"/>
            <w:gridSpan w:val="4"/>
            <w:vAlign w:val="center"/>
          </w:tcPr>
          <w:p w14:paraId="4D47D89A">
            <w:pPr>
              <w:adjustRightInd w:val="0"/>
              <w:snapToGrid w:val="0"/>
              <w:spacing w:line="240" w:lineRule="auto"/>
              <w:jc w:val="center"/>
              <w:rPr>
                <w:rFonts w:hint="eastAsia" w:eastAsia="宋体"/>
                <w:color w:val="auto"/>
                <w:kern w:val="0"/>
                <w:szCs w:val="21"/>
                <w:lang w:eastAsia="zh-CN"/>
              </w:rPr>
            </w:pPr>
            <w:r>
              <w:rPr>
                <w:rFonts w:hint="default" w:ascii="Times New Roman" w:hAnsi="Times New Roman" w:cs="Times New Roman"/>
                <w:color w:val="auto"/>
                <w:kern w:val="21"/>
                <w:szCs w:val="21"/>
              </w:rPr>
              <w:t>按要求设置防渗区域。重点防渗区：主要为</w:t>
            </w:r>
            <w:r>
              <w:rPr>
                <w:rFonts w:hint="default" w:ascii="Times New Roman" w:hAnsi="Times New Roman" w:eastAsia="宋体" w:cs="Times New Roman"/>
                <w:color w:val="auto"/>
                <w:sz w:val="21"/>
                <w:szCs w:val="21"/>
              </w:rPr>
              <w:t>危废暂存间</w:t>
            </w:r>
            <w:r>
              <w:rPr>
                <w:rFonts w:hint="eastAsia" w:ascii="Times New Roman" w:hAnsi="Times New Roman" w:cs="Times New Roman"/>
                <w:color w:val="auto"/>
                <w:sz w:val="21"/>
                <w:szCs w:val="21"/>
                <w:lang w:eastAsia="zh-CN"/>
              </w:rPr>
              <w:t>，</w:t>
            </w:r>
            <w:r>
              <w:rPr>
                <w:rFonts w:hint="eastAsia"/>
                <w:color w:val="auto"/>
                <w:highlight w:val="none"/>
                <w:lang w:eastAsia="zh-CN"/>
              </w:rPr>
              <w:t>要求</w:t>
            </w:r>
            <w:r>
              <w:rPr>
                <w:rFonts w:hint="default" w:ascii="Times New Roman" w:hAnsi="Times New Roman" w:eastAsia="宋体" w:cs="Times New Roman"/>
                <w:b w:val="0"/>
                <w:bCs w:val="0"/>
                <w:color w:val="auto"/>
                <w:spacing w:val="0"/>
                <w:position w:val="0"/>
                <w:sz w:val="21"/>
                <w:szCs w:val="21"/>
                <w:highlight w:val="none"/>
              </w:rPr>
              <w:t>等效黏土防渗层Mb≥6.0m，K≤1.0×10</w:t>
            </w:r>
            <w:r>
              <w:rPr>
                <w:rFonts w:hint="default" w:ascii="Times New Roman" w:hAnsi="Times New Roman" w:eastAsia="宋体" w:cs="Times New Roman"/>
                <w:b w:val="0"/>
                <w:bCs w:val="0"/>
                <w:color w:val="auto"/>
                <w:spacing w:val="0"/>
                <w:position w:val="0"/>
                <w:sz w:val="21"/>
                <w:szCs w:val="21"/>
                <w:highlight w:val="none"/>
                <w:vertAlign w:val="superscript"/>
              </w:rPr>
              <w:t>-7</w:t>
            </w:r>
            <w:r>
              <w:rPr>
                <w:rFonts w:hint="default" w:ascii="Times New Roman" w:hAnsi="Times New Roman" w:eastAsia="宋体" w:cs="Times New Roman"/>
                <w:b w:val="0"/>
                <w:bCs w:val="0"/>
                <w:color w:val="auto"/>
                <w:spacing w:val="0"/>
                <w:position w:val="0"/>
                <w:sz w:val="21"/>
                <w:szCs w:val="21"/>
                <w:highlight w:val="none"/>
              </w:rPr>
              <w:t>cm/s</w:t>
            </w:r>
            <w:r>
              <w:rPr>
                <w:rFonts w:hint="eastAsia" w:cs="Times New Roman"/>
                <w:b w:val="0"/>
                <w:bCs w:val="0"/>
                <w:color w:val="auto"/>
                <w:spacing w:val="0"/>
                <w:position w:val="0"/>
                <w:sz w:val="21"/>
                <w:szCs w:val="21"/>
                <w:highlight w:val="none"/>
                <w:lang w:eastAsia="zh-CN"/>
              </w:rPr>
              <w:t>，</w:t>
            </w:r>
            <w:r>
              <w:rPr>
                <w:bCs/>
                <w:color w:val="auto"/>
                <w:kern w:val="0"/>
                <w:sz w:val="21"/>
                <w:szCs w:val="21"/>
                <w:highlight w:val="none"/>
              </w:rPr>
              <w:t>或参照</w:t>
            </w:r>
            <w:r>
              <w:rPr>
                <w:rFonts w:hint="default" w:ascii="Times New Roman" w:hAnsi="Times New Roman" w:cs="Times New Roman"/>
                <w:color w:val="auto"/>
                <w:kern w:val="21"/>
                <w:szCs w:val="21"/>
                <w:highlight w:val="none"/>
              </w:rPr>
              <w:t>《危险废物填埋污染控制标准》（GB18598-20</w:t>
            </w:r>
            <w:r>
              <w:rPr>
                <w:rFonts w:hint="eastAsia" w:cs="Times New Roman"/>
                <w:color w:val="auto"/>
                <w:kern w:val="21"/>
                <w:szCs w:val="21"/>
                <w:highlight w:val="none"/>
                <w:lang w:val="en-US" w:eastAsia="zh-CN"/>
              </w:rPr>
              <w:t>19</w:t>
            </w:r>
            <w:r>
              <w:rPr>
                <w:rFonts w:hint="default" w:ascii="Times New Roman" w:hAnsi="Times New Roman" w:cs="Times New Roman"/>
                <w:color w:val="auto"/>
                <w:kern w:val="21"/>
                <w:szCs w:val="21"/>
                <w:highlight w:val="none"/>
              </w:rPr>
              <w:t>）</w:t>
            </w:r>
            <w:r>
              <w:rPr>
                <w:bCs/>
                <w:color w:val="auto"/>
                <w:kern w:val="0"/>
                <w:sz w:val="21"/>
                <w:szCs w:val="21"/>
                <w:highlight w:val="none"/>
              </w:rPr>
              <w:t>执行</w:t>
            </w:r>
            <w:r>
              <w:rPr>
                <w:rFonts w:hint="default" w:ascii="Times New Roman" w:hAnsi="Times New Roman" w:eastAsia="宋体" w:cs="Times New Roman"/>
                <w:b w:val="0"/>
                <w:bCs w:val="0"/>
                <w:color w:val="auto"/>
                <w:spacing w:val="0"/>
                <w:position w:val="0"/>
                <w:sz w:val="21"/>
                <w:szCs w:val="21"/>
              </w:rPr>
              <w:t>。</w:t>
            </w:r>
            <w:r>
              <w:rPr>
                <w:rFonts w:hint="default" w:ascii="Times New Roman" w:hAnsi="Times New Roman" w:cs="Times New Roman"/>
                <w:color w:val="auto"/>
                <w:kern w:val="21"/>
                <w:szCs w:val="21"/>
              </w:rPr>
              <w:t>一般防渗区：主要为</w:t>
            </w:r>
            <w:r>
              <w:rPr>
                <w:rFonts w:hint="eastAsia" w:cs="Times New Roman"/>
                <w:color w:val="auto"/>
                <w:kern w:val="21"/>
                <w:szCs w:val="21"/>
                <w:lang w:eastAsia="zh-CN"/>
              </w:rPr>
              <w:t>生产车间其他区域、化粪池，</w:t>
            </w:r>
            <w:r>
              <w:rPr>
                <w:rFonts w:hint="default" w:ascii="Times New Roman" w:hAnsi="Times New Roman" w:cs="Times New Roman"/>
                <w:color w:val="auto"/>
                <w:kern w:val="21"/>
                <w:szCs w:val="21"/>
              </w:rPr>
              <w:t>要求等效粘土防渗Mb≥1.5m，渗透系数K≤10</w:t>
            </w:r>
            <w:r>
              <w:rPr>
                <w:rFonts w:hint="default" w:ascii="Times New Roman" w:hAnsi="Times New Roman" w:cs="Times New Roman"/>
                <w:color w:val="auto"/>
                <w:kern w:val="21"/>
                <w:szCs w:val="21"/>
                <w:vertAlign w:val="superscript"/>
              </w:rPr>
              <w:t>-7</w:t>
            </w:r>
            <w:r>
              <w:rPr>
                <w:rFonts w:hint="default" w:ascii="Times New Roman" w:hAnsi="Times New Roman" w:cs="Times New Roman"/>
                <w:color w:val="auto"/>
                <w:kern w:val="21"/>
                <w:szCs w:val="21"/>
              </w:rPr>
              <w:t>cm/s。</w:t>
            </w:r>
            <w:r>
              <w:rPr>
                <w:rFonts w:hint="default" w:ascii="Times New Roman" w:hAnsi="Times New Roman" w:eastAsia="宋体" w:cs="Times New Roman"/>
                <w:color w:val="auto"/>
                <w:sz w:val="21"/>
                <w:szCs w:val="21"/>
                <w:lang w:eastAsia="zh-CN"/>
              </w:rPr>
              <w:t>厂区内道路区域、办公楼等简单防渗</w:t>
            </w:r>
            <w:r>
              <w:rPr>
                <w:rFonts w:hint="default" w:ascii="Times New Roman" w:hAnsi="Times New Roman" w:cs="Times New Roman"/>
                <w:color w:val="auto"/>
                <w:kern w:val="21"/>
                <w:szCs w:val="21"/>
              </w:rPr>
              <w:t>。</w:t>
            </w:r>
          </w:p>
        </w:tc>
      </w:tr>
      <w:tr w14:paraId="6F5A8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552" w:type="dxa"/>
            <w:vAlign w:val="center"/>
          </w:tcPr>
          <w:p w14:paraId="0A6206BD">
            <w:pPr>
              <w:adjustRightInd w:val="0"/>
              <w:snapToGrid w:val="0"/>
              <w:jc w:val="center"/>
              <w:rPr>
                <w:color w:val="auto"/>
                <w:szCs w:val="21"/>
              </w:rPr>
            </w:pPr>
            <w:r>
              <w:rPr>
                <w:rFonts w:hAnsi="宋体"/>
                <w:color w:val="auto"/>
                <w:szCs w:val="21"/>
              </w:rPr>
              <w:t>生态保护措施</w:t>
            </w:r>
          </w:p>
        </w:tc>
        <w:tc>
          <w:tcPr>
            <w:tcW w:w="7249" w:type="dxa"/>
            <w:gridSpan w:val="4"/>
            <w:vAlign w:val="center"/>
          </w:tcPr>
          <w:p w14:paraId="5582820D">
            <w:pPr>
              <w:adjustRightInd w:val="0"/>
              <w:snapToGrid w:val="0"/>
              <w:jc w:val="center"/>
              <w:rPr>
                <w:rFonts w:hint="eastAsia" w:eastAsia="宋体"/>
                <w:color w:val="auto"/>
                <w:kern w:val="0"/>
                <w:szCs w:val="21"/>
                <w:lang w:eastAsia="zh-CN"/>
              </w:rPr>
            </w:pPr>
            <w:r>
              <w:rPr>
                <w:rFonts w:hint="eastAsia" w:hAnsi="宋体"/>
                <w:color w:val="auto"/>
                <w:kern w:val="0"/>
                <w:szCs w:val="21"/>
                <w:lang w:val="en-US" w:eastAsia="zh-CN"/>
              </w:rPr>
              <w:t>/</w:t>
            </w:r>
          </w:p>
        </w:tc>
      </w:tr>
      <w:tr w14:paraId="46476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vAlign w:val="center"/>
          </w:tcPr>
          <w:p w14:paraId="7F0B6D89">
            <w:pPr>
              <w:adjustRightInd w:val="0"/>
              <w:snapToGrid w:val="0"/>
              <w:jc w:val="center"/>
              <w:rPr>
                <w:color w:val="auto"/>
                <w:spacing w:val="-8"/>
                <w:szCs w:val="21"/>
              </w:rPr>
            </w:pPr>
            <w:r>
              <w:rPr>
                <w:rFonts w:hAnsi="宋体"/>
                <w:color w:val="auto"/>
                <w:spacing w:val="-8"/>
                <w:szCs w:val="21"/>
              </w:rPr>
              <w:t>环境风险</w:t>
            </w:r>
          </w:p>
          <w:p w14:paraId="5ABA2551">
            <w:pPr>
              <w:adjustRightInd w:val="0"/>
              <w:snapToGrid w:val="0"/>
              <w:jc w:val="center"/>
              <w:rPr>
                <w:color w:val="auto"/>
                <w:spacing w:val="-8"/>
                <w:szCs w:val="21"/>
              </w:rPr>
            </w:pPr>
            <w:r>
              <w:rPr>
                <w:rFonts w:hAnsi="宋体"/>
                <w:color w:val="auto"/>
                <w:spacing w:val="-8"/>
                <w:szCs w:val="21"/>
              </w:rPr>
              <w:t>防范措施</w:t>
            </w:r>
          </w:p>
        </w:tc>
        <w:tc>
          <w:tcPr>
            <w:tcW w:w="7249" w:type="dxa"/>
            <w:gridSpan w:val="4"/>
            <w:vAlign w:val="center"/>
          </w:tcPr>
          <w:p w14:paraId="1681C391">
            <w:pPr>
              <w:keepNext w:val="0"/>
              <w:keepLines w:val="0"/>
              <w:widowControl/>
              <w:suppressLineNumbers w:val="0"/>
              <w:spacing w:line="240" w:lineRule="auto"/>
              <w:jc w:val="center"/>
              <w:rPr>
                <w:color w:val="auto"/>
                <w:kern w:val="0"/>
                <w:szCs w:val="21"/>
              </w:rPr>
            </w:pPr>
            <w:r>
              <w:rPr>
                <w:rFonts w:hint="eastAsia" w:ascii="宋体" w:hAnsi="宋体" w:eastAsia="宋体" w:cs="宋体"/>
                <w:color w:val="auto"/>
                <w:kern w:val="0"/>
                <w:sz w:val="21"/>
                <w:szCs w:val="21"/>
                <w:lang w:val="en-US" w:eastAsia="zh-CN" w:bidi="ar"/>
              </w:rPr>
              <w:t>严格落实各项风险防范措施；</w:t>
            </w:r>
            <w:r>
              <w:rPr>
                <w:rFonts w:ascii="Times New Roman" w:hAnsi="Times New Roman"/>
                <w:color w:val="auto"/>
              </w:rPr>
              <w:t>危废暂存间做重点防渗处理</w:t>
            </w:r>
            <w:r>
              <w:rPr>
                <w:rFonts w:hint="eastAsia" w:ascii="Times New Roman" w:hAnsi="Times New Roman"/>
                <w:color w:val="auto"/>
                <w:lang w:eastAsia="zh-CN"/>
              </w:rPr>
              <w:t>；</w:t>
            </w:r>
            <w:r>
              <w:rPr>
                <w:rFonts w:hint="eastAsia" w:ascii="宋体" w:hAnsi="宋体" w:eastAsia="宋体" w:cs="宋体"/>
                <w:color w:val="auto"/>
                <w:kern w:val="0"/>
                <w:sz w:val="21"/>
                <w:szCs w:val="21"/>
                <w:lang w:val="en-US" w:eastAsia="zh-CN" w:bidi="ar"/>
              </w:rPr>
              <w:t>加强厂区环保设施日常管理工作；</w:t>
            </w:r>
            <w:r>
              <w:rPr>
                <w:rFonts w:hint="eastAsia"/>
                <w:bCs/>
                <w:color w:val="auto"/>
                <w:kern w:val="0"/>
                <w:szCs w:val="21"/>
              </w:rPr>
              <w:t>编制企业突发环境事件应急预案</w:t>
            </w:r>
            <w:r>
              <w:rPr>
                <w:rFonts w:hint="eastAsia" w:ascii="宋体" w:hAnsi="宋体" w:eastAsia="宋体" w:cs="宋体"/>
                <w:color w:val="auto"/>
                <w:kern w:val="0"/>
                <w:sz w:val="21"/>
                <w:szCs w:val="21"/>
                <w:lang w:val="en-US" w:eastAsia="zh-CN" w:bidi="ar"/>
              </w:rPr>
              <w:t>等措施。</w:t>
            </w:r>
          </w:p>
        </w:tc>
      </w:tr>
      <w:tr w14:paraId="43AC8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2" w:type="dxa"/>
            <w:vAlign w:val="center"/>
          </w:tcPr>
          <w:p w14:paraId="3231CBCB">
            <w:pPr>
              <w:adjustRightInd w:val="0"/>
              <w:snapToGrid w:val="0"/>
              <w:jc w:val="center"/>
              <w:rPr>
                <w:color w:val="auto"/>
                <w:spacing w:val="-8"/>
                <w:szCs w:val="21"/>
              </w:rPr>
            </w:pPr>
            <w:r>
              <w:rPr>
                <w:rFonts w:hAnsi="宋体"/>
                <w:color w:val="auto"/>
                <w:spacing w:val="-8"/>
                <w:szCs w:val="21"/>
              </w:rPr>
              <w:t>其他环境</w:t>
            </w:r>
          </w:p>
          <w:p w14:paraId="489491B4">
            <w:pPr>
              <w:adjustRightInd w:val="0"/>
              <w:snapToGrid w:val="0"/>
              <w:jc w:val="center"/>
              <w:rPr>
                <w:color w:val="auto"/>
                <w:spacing w:val="-8"/>
                <w:szCs w:val="21"/>
              </w:rPr>
            </w:pPr>
            <w:r>
              <w:rPr>
                <w:rFonts w:hAnsi="宋体"/>
                <w:color w:val="auto"/>
                <w:spacing w:val="-8"/>
                <w:szCs w:val="21"/>
              </w:rPr>
              <w:t>管理要求</w:t>
            </w:r>
          </w:p>
        </w:tc>
        <w:tc>
          <w:tcPr>
            <w:tcW w:w="7249" w:type="dxa"/>
            <w:gridSpan w:val="4"/>
            <w:vAlign w:val="center"/>
          </w:tcPr>
          <w:p w14:paraId="31ABA8E3">
            <w:pPr>
              <w:keepNext w:val="0"/>
              <w:keepLines w:val="0"/>
              <w:pageBreakBefore w:val="0"/>
              <w:widowControl w:val="0"/>
              <w:kinsoku/>
              <w:wordWrap/>
              <w:overflowPunct/>
              <w:topLinePunct w:val="0"/>
              <w:autoSpaceDE/>
              <w:autoSpaceDN/>
              <w:bidi w:val="0"/>
              <w:snapToGrid w:val="0"/>
              <w:spacing w:line="240" w:lineRule="auto"/>
              <w:jc w:val="both"/>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①要求建设单位按照《关于开展排放口规范化整治工作的通知》（环发〔1999〕24号）和《排污口规范化整治技术要求（试行）》（环监〔1996〕470号）等文件要求，进行新增排污口规</w:t>
            </w:r>
            <w:bookmarkStart w:id="25" w:name="_GoBack"/>
            <w:bookmarkEnd w:id="25"/>
            <w:r>
              <w:rPr>
                <w:rFonts w:hint="default" w:ascii="Times New Roman" w:hAnsi="Times New Roman" w:cs="Times New Roman"/>
                <w:color w:val="auto"/>
                <w:spacing w:val="-8"/>
                <w:szCs w:val="21"/>
              </w:rPr>
              <w:t>范化设置工作。</w:t>
            </w:r>
          </w:p>
          <w:p w14:paraId="1A7D4C0B">
            <w:pPr>
              <w:adjustRightInd w:val="0"/>
              <w:snapToGrid w:val="0"/>
              <w:spacing w:line="240" w:lineRule="auto"/>
              <w:jc w:val="both"/>
              <w:rPr>
                <w:rFonts w:hint="eastAsia" w:eastAsia="宋体"/>
                <w:color w:val="auto"/>
                <w:kern w:val="0"/>
                <w:szCs w:val="21"/>
                <w:lang w:eastAsia="zh-CN"/>
              </w:rPr>
            </w:pPr>
            <w:r>
              <w:rPr>
                <w:rFonts w:hint="default" w:ascii="Times New Roman" w:hAnsi="Times New Roman" w:cs="Times New Roman"/>
                <w:color w:val="auto"/>
                <w:spacing w:val="-8"/>
                <w:szCs w:val="21"/>
              </w:rPr>
              <w:t>②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tc>
      </w:tr>
    </w:tbl>
    <w:p w14:paraId="081C07E2">
      <w:pPr>
        <w:pStyle w:val="28"/>
        <w:numPr>
          <w:ilvl w:val="0"/>
          <w:numId w:val="0"/>
        </w:numPr>
        <w:jc w:val="center"/>
        <w:rPr>
          <w:rFonts w:hint="eastAsia"/>
          <w:snapToGrid w:val="0"/>
          <w:color w:val="auto"/>
          <w:lang w:eastAsia="zh-CN"/>
        </w:rPr>
        <w:sectPr>
          <w:pgSz w:w="11906" w:h="16838"/>
          <w:pgMar w:top="1440" w:right="1800" w:bottom="1440" w:left="1800" w:header="851" w:footer="992" w:gutter="0"/>
          <w:cols w:space="425" w:num="1"/>
          <w:docGrid w:type="lines" w:linePitch="312" w:charSpace="0"/>
        </w:sectPr>
      </w:pPr>
      <w:bookmarkStart w:id="23" w:name="_Toc12327"/>
      <w:bookmarkStart w:id="24" w:name="_Toc19667"/>
    </w:p>
    <w:p w14:paraId="04567DB6">
      <w:pPr>
        <w:pStyle w:val="28"/>
        <w:numPr>
          <w:ilvl w:val="0"/>
          <w:numId w:val="0"/>
        </w:numPr>
        <w:jc w:val="center"/>
        <w:rPr>
          <w:rFonts w:hint="eastAsia"/>
          <w:snapToGrid w:val="0"/>
          <w:color w:val="auto"/>
        </w:rPr>
      </w:pPr>
      <w:r>
        <w:rPr>
          <w:rFonts w:hint="eastAsia"/>
          <w:snapToGrid w:val="0"/>
          <w:color w:val="auto"/>
          <w:lang w:eastAsia="zh-CN"/>
        </w:rPr>
        <w:t>六、</w:t>
      </w:r>
      <w:r>
        <w:rPr>
          <w:rFonts w:hint="eastAsia"/>
          <w:snapToGrid w:val="0"/>
          <w:color w:val="auto"/>
        </w:rPr>
        <w:t>结论</w:t>
      </w:r>
      <w:bookmarkEnd w:id="23"/>
      <w:bookmarkEnd w:id="24"/>
    </w:p>
    <w:tbl>
      <w:tblPr>
        <w:tblStyle w:val="29"/>
        <w:tblW w:w="8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54"/>
      </w:tblGrid>
      <w:tr w14:paraId="0719C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9" w:hRule="atLeast"/>
          <w:jc w:val="center"/>
        </w:trPr>
        <w:tc>
          <w:tcPr>
            <w:tcW w:w="8854" w:type="dxa"/>
          </w:tcPr>
          <w:p w14:paraId="31B582C3">
            <w:pPr>
              <w:spacing w:line="360" w:lineRule="auto"/>
              <w:ind w:firstLine="480" w:firstLineChars="200"/>
              <w:rPr>
                <w:snapToGrid w:val="0"/>
                <w:color w:val="auto"/>
                <w:sz w:val="24"/>
              </w:rPr>
            </w:pPr>
            <w:r>
              <w:rPr>
                <w:rFonts w:hint="eastAsia" w:cs="宋体"/>
                <w:color w:val="auto"/>
                <w:kern w:val="0"/>
                <w:sz w:val="24"/>
                <w:szCs w:val="24"/>
              </w:rPr>
              <w:t>本项目符合国家产业政策、环保政策和法规和有关技术规范的要求。本项目在采用本评价推荐的各项污染防治措施</w:t>
            </w:r>
            <w:r>
              <w:rPr>
                <w:rFonts w:hint="eastAsia" w:cs="宋体"/>
                <w:color w:val="auto"/>
                <w:kern w:val="0"/>
                <w:sz w:val="24"/>
                <w:szCs w:val="24"/>
                <w:lang w:eastAsia="zh-CN"/>
              </w:rPr>
              <w:t>的前提下</w:t>
            </w:r>
            <w:r>
              <w:rPr>
                <w:rFonts w:hint="eastAsia" w:cs="宋体"/>
                <w:color w:val="auto"/>
                <w:kern w:val="0"/>
                <w:sz w:val="24"/>
                <w:szCs w:val="24"/>
              </w:rPr>
              <w:t>，各项污染物均可实现达标排放，且不会降低评价区域原有环境质量功能级别。建设单位应认真贯彻落实建设项目“三同时”制度，将各项环保措施落实到位，在严格执行各项环保措施特别是做好噪声、废气、废水、固废的防治措施的前提下，从环境</w:t>
            </w:r>
            <w:r>
              <w:rPr>
                <w:rFonts w:hint="eastAsia" w:cs="宋体"/>
                <w:color w:val="auto"/>
                <w:kern w:val="0"/>
                <w:sz w:val="24"/>
                <w:szCs w:val="24"/>
                <w:lang w:eastAsia="zh-CN"/>
              </w:rPr>
              <w:t>影响</w:t>
            </w:r>
            <w:r>
              <w:rPr>
                <w:rFonts w:hint="eastAsia" w:cs="宋体"/>
                <w:color w:val="auto"/>
                <w:kern w:val="0"/>
                <w:sz w:val="24"/>
                <w:szCs w:val="24"/>
              </w:rPr>
              <w:t>角度而言，该项目建设可行。</w:t>
            </w:r>
          </w:p>
          <w:p w14:paraId="38E8C9DE">
            <w:pPr>
              <w:adjustRightInd w:val="0"/>
              <w:snapToGrid w:val="0"/>
              <w:ind w:firstLine="315"/>
              <w:rPr>
                <w:color w:val="auto"/>
                <w:szCs w:val="21"/>
              </w:rPr>
            </w:pPr>
          </w:p>
        </w:tc>
      </w:tr>
    </w:tbl>
    <w:p w14:paraId="7AE699FF">
      <w:pPr>
        <w:jc w:val="left"/>
        <w:rPr>
          <w:rFonts w:hint="eastAsia"/>
          <w:b/>
          <w:bCs/>
          <w:color w:val="auto"/>
          <w:sz w:val="24"/>
          <w:szCs w:val="24"/>
        </w:rPr>
        <w:sectPr>
          <w:pgSz w:w="11906" w:h="16838"/>
          <w:pgMar w:top="1440" w:right="1800" w:bottom="1440" w:left="1800" w:header="851" w:footer="992" w:gutter="0"/>
          <w:cols w:space="425" w:num="1"/>
          <w:docGrid w:type="lines" w:linePitch="312" w:charSpace="0"/>
        </w:sectPr>
      </w:pPr>
    </w:p>
    <w:p w14:paraId="3D2B9E91">
      <w:pPr>
        <w:pStyle w:val="35"/>
        <w:keepNext w:val="0"/>
        <w:keepLines w:val="0"/>
        <w:pageBreakBefore w:val="0"/>
        <w:widowControl w:val="0"/>
        <w:kinsoku/>
        <w:wordWrap/>
        <w:overflowPunct/>
        <w:topLinePunct w:val="0"/>
        <w:bidi w:val="0"/>
        <w:snapToGrid/>
        <w:spacing w:line="240" w:lineRule="atLeast"/>
        <w:jc w:val="both"/>
        <w:textAlignment w:val="auto"/>
        <w:rPr>
          <w:rFonts w:ascii="宋体" w:hAnsi="宋体" w:cs="黑体"/>
          <w:b/>
          <w:color w:val="auto"/>
          <w:sz w:val="32"/>
          <w:szCs w:val="32"/>
        </w:rPr>
      </w:pPr>
      <w:r>
        <w:rPr>
          <w:rFonts w:ascii="宋体" w:hAnsi="宋体" w:cs="黑体"/>
          <w:b/>
          <w:color w:val="auto"/>
          <w:sz w:val="32"/>
          <w:szCs w:val="32"/>
        </w:rPr>
        <w:t>附表</w:t>
      </w:r>
    </w:p>
    <w:p w14:paraId="4721D32B">
      <w:pPr>
        <w:pStyle w:val="60"/>
        <w:keepNext w:val="0"/>
        <w:keepLines w:val="0"/>
        <w:pageBreakBefore w:val="0"/>
        <w:widowControl w:val="0"/>
        <w:kinsoku/>
        <w:wordWrap/>
        <w:overflowPunct/>
        <w:topLinePunct w:val="0"/>
        <w:autoSpaceDE/>
        <w:autoSpaceDN/>
        <w:bidi w:val="0"/>
        <w:adjustRightInd/>
        <w:snapToGrid/>
        <w:spacing w:line="240" w:lineRule="atLeast"/>
        <w:ind w:left="0"/>
        <w:textAlignment w:val="auto"/>
        <w:rPr>
          <w:rFonts w:hint="eastAsia"/>
          <w:snapToGrid w:val="0"/>
          <w:color w:val="auto"/>
          <w:sz w:val="32"/>
          <w:szCs w:val="32"/>
        </w:rPr>
      </w:pPr>
      <w:r>
        <w:rPr>
          <w:rFonts w:hint="eastAsia"/>
          <w:snapToGrid w:val="0"/>
          <w:color w:val="auto"/>
          <w:sz w:val="32"/>
          <w:szCs w:val="32"/>
        </w:rPr>
        <w:t>建设项目污染物排放量汇总表</w:t>
      </w:r>
      <w:r>
        <w:rPr>
          <w:rFonts w:hint="default" w:ascii="Times New Roman" w:hAnsi="Times New Roman" w:eastAsia="宋体" w:cs="Times New Roman"/>
          <w:b/>
          <w:bCs/>
          <w:color w:val="auto"/>
          <w:sz w:val="38"/>
          <w:szCs w:val="38"/>
          <w:lang w:val="en-US" w:eastAsia="zh-CN"/>
        </w:rPr>
        <w:t xml:space="preserve">  </w:t>
      </w:r>
      <w:r>
        <w:rPr>
          <w:rFonts w:hint="default" w:ascii="Times New Roman" w:hAnsi="Times New Roman" w:eastAsia="宋体" w:cs="Times New Roman"/>
          <w:b/>
          <w:bCs/>
          <w:color w:val="auto"/>
          <w:sz w:val="21"/>
          <w:szCs w:val="21"/>
          <w:lang w:val="en-US" w:eastAsia="zh-CN"/>
        </w:rPr>
        <w:t>单位：t/a</w:t>
      </w:r>
    </w:p>
    <w:tbl>
      <w:tblPr>
        <w:tblStyle w:val="29"/>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00"/>
        <w:gridCol w:w="1418"/>
        <w:gridCol w:w="1276"/>
        <w:gridCol w:w="1701"/>
        <w:gridCol w:w="1559"/>
        <w:gridCol w:w="1381"/>
        <w:gridCol w:w="1950"/>
        <w:gridCol w:w="1215"/>
      </w:tblGrid>
      <w:tr w14:paraId="649EE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tcBorders>
              <w:tl2br w:val="single" w:color="auto" w:sz="4" w:space="0"/>
            </w:tcBorders>
            <w:tcMar>
              <w:left w:w="28" w:type="dxa"/>
              <w:right w:w="28" w:type="dxa"/>
            </w:tcMar>
            <w:vAlign w:val="center"/>
          </w:tcPr>
          <w:p w14:paraId="7FADBFB0">
            <w:pPr>
              <w:pStyle w:val="56"/>
              <w:keepNext w:val="0"/>
              <w:keepLines w:val="0"/>
              <w:pageBreakBefore w:val="0"/>
              <w:kinsoku/>
              <w:wordWrap/>
              <w:overflowPunct/>
              <w:topLinePunct w:val="0"/>
              <w:autoSpaceDE/>
              <w:autoSpaceDN/>
              <w:bidi w:val="0"/>
              <w:spacing w:line="240" w:lineRule="auto"/>
              <w:jc w:val="right"/>
              <w:rPr>
                <w:rFonts w:eastAsia="宋体"/>
                <w:snapToGrid w:val="0"/>
                <w:color w:val="auto"/>
                <w:spacing w:val="-6"/>
                <w:kern w:val="21"/>
                <w:szCs w:val="21"/>
              </w:rPr>
            </w:pPr>
            <w:r>
              <w:rPr>
                <w:rFonts w:hAnsi="宋体" w:eastAsia="宋体"/>
                <w:snapToGrid w:val="0"/>
                <w:color w:val="auto"/>
                <w:spacing w:val="-6"/>
                <w:kern w:val="21"/>
                <w:szCs w:val="21"/>
              </w:rPr>
              <w:t>项目</w:t>
            </w:r>
          </w:p>
          <w:p w14:paraId="03EE579C">
            <w:pPr>
              <w:pStyle w:val="56"/>
              <w:keepNext w:val="0"/>
              <w:keepLines w:val="0"/>
              <w:pageBreakBefore w:val="0"/>
              <w:kinsoku/>
              <w:wordWrap/>
              <w:overflowPunct/>
              <w:topLinePunct w:val="0"/>
              <w:autoSpaceDE/>
              <w:autoSpaceDN/>
              <w:bidi w:val="0"/>
              <w:spacing w:line="240" w:lineRule="auto"/>
              <w:jc w:val="left"/>
              <w:rPr>
                <w:rFonts w:eastAsia="宋体"/>
                <w:snapToGrid w:val="0"/>
                <w:color w:val="auto"/>
                <w:spacing w:val="-6"/>
                <w:kern w:val="21"/>
                <w:szCs w:val="21"/>
              </w:rPr>
            </w:pPr>
            <w:r>
              <w:rPr>
                <w:rFonts w:hAnsi="宋体" w:eastAsia="宋体"/>
                <w:snapToGrid w:val="0"/>
                <w:color w:val="auto"/>
                <w:spacing w:val="-6"/>
                <w:kern w:val="21"/>
                <w:szCs w:val="21"/>
              </w:rPr>
              <w:t>分类</w:t>
            </w:r>
          </w:p>
        </w:tc>
        <w:tc>
          <w:tcPr>
            <w:tcW w:w="1700" w:type="dxa"/>
            <w:tcMar>
              <w:left w:w="28" w:type="dxa"/>
              <w:right w:w="28" w:type="dxa"/>
            </w:tcMar>
            <w:vAlign w:val="center"/>
          </w:tcPr>
          <w:p w14:paraId="46D66251">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污染物名称</w:t>
            </w:r>
          </w:p>
        </w:tc>
        <w:tc>
          <w:tcPr>
            <w:tcW w:w="1418" w:type="dxa"/>
            <w:tcMar>
              <w:left w:w="28" w:type="dxa"/>
              <w:right w:w="28" w:type="dxa"/>
            </w:tcMar>
            <w:vAlign w:val="center"/>
          </w:tcPr>
          <w:p w14:paraId="3FADC90D">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现有工程</w:t>
            </w:r>
          </w:p>
          <w:p w14:paraId="67BCD0D2">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排放量（固体废物产生量）</w:t>
            </w:r>
            <w:r>
              <w:rPr>
                <w:rFonts w:eastAsia="宋体"/>
                <w:snapToGrid w:val="0"/>
                <w:color w:val="auto"/>
                <w:spacing w:val="-6"/>
                <w:kern w:val="21"/>
                <w:szCs w:val="21"/>
              </w:rPr>
              <w:fldChar w:fldCharType="begin"/>
            </w:r>
            <w:r>
              <w:rPr>
                <w:rFonts w:eastAsia="宋体"/>
                <w:snapToGrid w:val="0"/>
                <w:color w:val="auto"/>
                <w:spacing w:val="-6"/>
                <w:kern w:val="21"/>
                <w:szCs w:val="21"/>
              </w:rPr>
              <w:instrText xml:space="preserve"> = 1 \* GB3 \* MERGEFORMAT </w:instrText>
            </w:r>
            <w:r>
              <w:rPr>
                <w:rFonts w:eastAsia="宋体"/>
                <w:snapToGrid w:val="0"/>
                <w:color w:val="auto"/>
                <w:spacing w:val="-6"/>
                <w:kern w:val="21"/>
                <w:szCs w:val="21"/>
              </w:rPr>
              <w:fldChar w:fldCharType="separate"/>
            </w:r>
            <w:r>
              <w:rPr>
                <w:rFonts w:ascii="宋体" w:hAnsi="宋体" w:eastAsia="宋体"/>
                <w:color w:val="auto"/>
                <w:szCs w:val="21"/>
              </w:rPr>
              <w:t>①</w:t>
            </w:r>
            <w:r>
              <w:rPr>
                <w:rFonts w:eastAsia="宋体"/>
                <w:snapToGrid w:val="0"/>
                <w:color w:val="auto"/>
                <w:spacing w:val="-6"/>
                <w:kern w:val="21"/>
                <w:szCs w:val="21"/>
              </w:rPr>
              <w:fldChar w:fldCharType="end"/>
            </w:r>
          </w:p>
        </w:tc>
        <w:tc>
          <w:tcPr>
            <w:tcW w:w="1276" w:type="dxa"/>
            <w:tcMar>
              <w:left w:w="28" w:type="dxa"/>
              <w:right w:w="28" w:type="dxa"/>
            </w:tcMar>
            <w:vAlign w:val="center"/>
          </w:tcPr>
          <w:p w14:paraId="6AA18D2A">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现有工程</w:t>
            </w:r>
          </w:p>
          <w:p w14:paraId="05429EF1">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许可排放量</w:t>
            </w:r>
          </w:p>
          <w:p w14:paraId="4D8EDE6B">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eastAsia="宋体"/>
                <w:snapToGrid w:val="0"/>
                <w:color w:val="auto"/>
                <w:spacing w:val="-6"/>
                <w:kern w:val="21"/>
                <w:szCs w:val="21"/>
              </w:rPr>
              <w:fldChar w:fldCharType="begin"/>
            </w:r>
            <w:r>
              <w:rPr>
                <w:rFonts w:eastAsia="宋体"/>
                <w:snapToGrid w:val="0"/>
                <w:color w:val="auto"/>
                <w:spacing w:val="-6"/>
                <w:kern w:val="21"/>
                <w:szCs w:val="21"/>
              </w:rPr>
              <w:instrText xml:space="preserve"> = 2 \* GB3 \* MERGEFORMAT </w:instrText>
            </w:r>
            <w:r>
              <w:rPr>
                <w:rFonts w:eastAsia="宋体"/>
                <w:snapToGrid w:val="0"/>
                <w:color w:val="auto"/>
                <w:spacing w:val="-6"/>
                <w:kern w:val="21"/>
                <w:szCs w:val="21"/>
              </w:rPr>
              <w:fldChar w:fldCharType="separate"/>
            </w:r>
            <w:r>
              <w:rPr>
                <w:rFonts w:ascii="宋体" w:hAnsi="宋体" w:eastAsia="宋体"/>
                <w:snapToGrid w:val="0"/>
                <w:color w:val="auto"/>
                <w:spacing w:val="-6"/>
                <w:kern w:val="21"/>
                <w:szCs w:val="21"/>
              </w:rPr>
              <w:t>②</w:t>
            </w:r>
            <w:r>
              <w:rPr>
                <w:rFonts w:eastAsia="宋体"/>
                <w:snapToGrid w:val="0"/>
                <w:color w:val="auto"/>
                <w:spacing w:val="-6"/>
                <w:kern w:val="21"/>
                <w:szCs w:val="21"/>
              </w:rPr>
              <w:fldChar w:fldCharType="end"/>
            </w:r>
          </w:p>
        </w:tc>
        <w:tc>
          <w:tcPr>
            <w:tcW w:w="1701" w:type="dxa"/>
            <w:tcMar>
              <w:left w:w="28" w:type="dxa"/>
              <w:right w:w="28" w:type="dxa"/>
            </w:tcMar>
            <w:vAlign w:val="center"/>
          </w:tcPr>
          <w:p w14:paraId="73AFFE05">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在建工程</w:t>
            </w:r>
          </w:p>
          <w:p w14:paraId="34C278EC">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排放量（固体废物产生量）</w:t>
            </w:r>
            <w:r>
              <w:rPr>
                <w:rFonts w:eastAsia="宋体"/>
                <w:snapToGrid w:val="0"/>
                <w:color w:val="auto"/>
                <w:spacing w:val="-6"/>
                <w:kern w:val="21"/>
                <w:szCs w:val="21"/>
              </w:rPr>
              <w:fldChar w:fldCharType="begin"/>
            </w:r>
            <w:r>
              <w:rPr>
                <w:rFonts w:eastAsia="宋体"/>
                <w:snapToGrid w:val="0"/>
                <w:color w:val="auto"/>
                <w:spacing w:val="-6"/>
                <w:kern w:val="21"/>
                <w:szCs w:val="21"/>
              </w:rPr>
              <w:instrText xml:space="preserve"> = 3 \* GB3 \* MERGEFORMAT </w:instrText>
            </w:r>
            <w:r>
              <w:rPr>
                <w:rFonts w:eastAsia="宋体"/>
                <w:snapToGrid w:val="0"/>
                <w:color w:val="auto"/>
                <w:spacing w:val="-6"/>
                <w:kern w:val="21"/>
                <w:szCs w:val="21"/>
              </w:rPr>
              <w:fldChar w:fldCharType="separate"/>
            </w:r>
            <w:r>
              <w:rPr>
                <w:rFonts w:ascii="宋体" w:hAnsi="宋体" w:eastAsia="宋体"/>
                <w:color w:val="auto"/>
                <w:szCs w:val="21"/>
              </w:rPr>
              <w:t>③</w:t>
            </w:r>
            <w:r>
              <w:rPr>
                <w:rFonts w:eastAsia="宋体"/>
                <w:snapToGrid w:val="0"/>
                <w:color w:val="auto"/>
                <w:spacing w:val="-6"/>
                <w:kern w:val="21"/>
                <w:szCs w:val="21"/>
              </w:rPr>
              <w:fldChar w:fldCharType="end"/>
            </w:r>
          </w:p>
        </w:tc>
        <w:tc>
          <w:tcPr>
            <w:tcW w:w="1559" w:type="dxa"/>
            <w:tcMar>
              <w:left w:w="28" w:type="dxa"/>
              <w:right w:w="28" w:type="dxa"/>
            </w:tcMar>
            <w:vAlign w:val="center"/>
          </w:tcPr>
          <w:p w14:paraId="0C473C66">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本项目</w:t>
            </w:r>
          </w:p>
          <w:p w14:paraId="2ACD3672">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排放量（固体废物产生量）</w:t>
            </w:r>
            <w:r>
              <w:rPr>
                <w:rFonts w:eastAsia="宋体"/>
                <w:snapToGrid w:val="0"/>
                <w:color w:val="auto"/>
                <w:spacing w:val="-6"/>
                <w:kern w:val="21"/>
                <w:szCs w:val="21"/>
              </w:rPr>
              <w:fldChar w:fldCharType="begin"/>
            </w:r>
            <w:r>
              <w:rPr>
                <w:rFonts w:eastAsia="宋体"/>
                <w:snapToGrid w:val="0"/>
                <w:color w:val="auto"/>
                <w:spacing w:val="-6"/>
                <w:kern w:val="21"/>
                <w:szCs w:val="21"/>
              </w:rPr>
              <w:instrText xml:space="preserve"> = 4 \* GB3 \* MERGEFORMAT </w:instrText>
            </w:r>
            <w:r>
              <w:rPr>
                <w:rFonts w:eastAsia="宋体"/>
                <w:snapToGrid w:val="0"/>
                <w:color w:val="auto"/>
                <w:spacing w:val="-6"/>
                <w:kern w:val="21"/>
                <w:szCs w:val="21"/>
              </w:rPr>
              <w:fldChar w:fldCharType="separate"/>
            </w:r>
            <w:r>
              <w:rPr>
                <w:rFonts w:ascii="宋体" w:hAnsi="宋体" w:eastAsia="宋体"/>
                <w:color w:val="auto"/>
                <w:szCs w:val="21"/>
              </w:rPr>
              <w:t>④</w:t>
            </w:r>
            <w:r>
              <w:rPr>
                <w:rFonts w:eastAsia="宋体"/>
                <w:snapToGrid w:val="0"/>
                <w:color w:val="auto"/>
                <w:spacing w:val="-6"/>
                <w:kern w:val="21"/>
                <w:szCs w:val="21"/>
              </w:rPr>
              <w:fldChar w:fldCharType="end"/>
            </w:r>
          </w:p>
        </w:tc>
        <w:tc>
          <w:tcPr>
            <w:tcW w:w="1381" w:type="dxa"/>
            <w:tcMar>
              <w:left w:w="28" w:type="dxa"/>
              <w:right w:w="28" w:type="dxa"/>
            </w:tcMar>
            <w:vAlign w:val="center"/>
          </w:tcPr>
          <w:p w14:paraId="5AB6E937">
            <w:pPr>
              <w:pStyle w:val="56"/>
              <w:keepNext w:val="0"/>
              <w:keepLines w:val="0"/>
              <w:pageBreakBefore w:val="0"/>
              <w:kinsoku/>
              <w:wordWrap/>
              <w:overflowPunct/>
              <w:topLinePunct w:val="0"/>
              <w:autoSpaceDE/>
              <w:autoSpaceDN/>
              <w:bidi w:val="0"/>
              <w:spacing w:line="240" w:lineRule="auto"/>
              <w:rPr>
                <w:rFonts w:eastAsia="宋体"/>
                <w:snapToGrid w:val="0"/>
                <w:color w:val="auto"/>
                <w:spacing w:val="-16"/>
                <w:kern w:val="21"/>
                <w:szCs w:val="21"/>
              </w:rPr>
            </w:pPr>
            <w:r>
              <w:rPr>
                <w:rFonts w:hAnsi="宋体" w:eastAsia="宋体"/>
                <w:snapToGrid w:val="0"/>
                <w:color w:val="auto"/>
                <w:spacing w:val="-16"/>
                <w:kern w:val="21"/>
                <w:szCs w:val="21"/>
              </w:rPr>
              <w:t>以新带老削减量</w:t>
            </w:r>
          </w:p>
          <w:p w14:paraId="4A59A01B">
            <w:pPr>
              <w:pStyle w:val="56"/>
              <w:keepNext w:val="0"/>
              <w:keepLines w:val="0"/>
              <w:pageBreakBefore w:val="0"/>
              <w:kinsoku/>
              <w:wordWrap/>
              <w:overflowPunct/>
              <w:topLinePunct w:val="0"/>
              <w:autoSpaceDE/>
              <w:autoSpaceDN/>
              <w:bidi w:val="0"/>
              <w:spacing w:line="240" w:lineRule="auto"/>
              <w:rPr>
                <w:rFonts w:eastAsia="宋体"/>
                <w:snapToGrid w:val="0"/>
                <w:color w:val="auto"/>
                <w:spacing w:val="-16"/>
                <w:kern w:val="21"/>
                <w:szCs w:val="21"/>
              </w:rPr>
            </w:pPr>
            <w:r>
              <w:rPr>
                <w:rFonts w:hAnsi="宋体" w:eastAsia="宋体"/>
                <w:snapToGrid w:val="0"/>
                <w:color w:val="auto"/>
                <w:spacing w:val="-16"/>
                <w:kern w:val="21"/>
                <w:szCs w:val="21"/>
              </w:rPr>
              <w:t>（新建项目不填）</w:t>
            </w:r>
            <w:r>
              <w:rPr>
                <w:rFonts w:eastAsia="宋体"/>
                <w:snapToGrid w:val="0"/>
                <w:color w:val="auto"/>
                <w:spacing w:val="-16"/>
                <w:kern w:val="21"/>
                <w:szCs w:val="21"/>
              </w:rPr>
              <w:fldChar w:fldCharType="begin"/>
            </w:r>
            <w:r>
              <w:rPr>
                <w:rFonts w:eastAsia="宋体"/>
                <w:snapToGrid w:val="0"/>
                <w:color w:val="auto"/>
                <w:spacing w:val="-16"/>
                <w:kern w:val="21"/>
                <w:szCs w:val="21"/>
              </w:rPr>
              <w:instrText xml:space="preserve"> = 5 \* GB3 \* MERGEFORMAT </w:instrText>
            </w:r>
            <w:r>
              <w:rPr>
                <w:rFonts w:eastAsia="宋体"/>
                <w:snapToGrid w:val="0"/>
                <w:color w:val="auto"/>
                <w:spacing w:val="-16"/>
                <w:kern w:val="21"/>
                <w:szCs w:val="21"/>
              </w:rPr>
              <w:fldChar w:fldCharType="separate"/>
            </w:r>
            <w:r>
              <w:rPr>
                <w:rFonts w:ascii="宋体" w:hAnsi="宋体" w:eastAsia="宋体"/>
                <w:color w:val="auto"/>
                <w:szCs w:val="21"/>
              </w:rPr>
              <w:t>⑤</w:t>
            </w:r>
            <w:r>
              <w:rPr>
                <w:rFonts w:eastAsia="宋体"/>
                <w:snapToGrid w:val="0"/>
                <w:color w:val="auto"/>
                <w:spacing w:val="-16"/>
                <w:kern w:val="21"/>
                <w:szCs w:val="21"/>
              </w:rPr>
              <w:fldChar w:fldCharType="end"/>
            </w:r>
          </w:p>
        </w:tc>
        <w:tc>
          <w:tcPr>
            <w:tcW w:w="1950" w:type="dxa"/>
            <w:tcMar>
              <w:left w:w="28" w:type="dxa"/>
              <w:right w:w="28" w:type="dxa"/>
            </w:tcMar>
            <w:vAlign w:val="center"/>
          </w:tcPr>
          <w:p w14:paraId="77837C10">
            <w:pPr>
              <w:pStyle w:val="56"/>
              <w:keepNext w:val="0"/>
              <w:keepLines w:val="0"/>
              <w:pageBreakBefore w:val="0"/>
              <w:kinsoku/>
              <w:wordWrap/>
              <w:overflowPunct/>
              <w:topLinePunct w:val="0"/>
              <w:autoSpaceDE/>
              <w:autoSpaceDN/>
              <w:bidi w:val="0"/>
              <w:spacing w:line="240" w:lineRule="auto"/>
              <w:rPr>
                <w:rFonts w:eastAsia="宋体"/>
                <w:snapToGrid w:val="0"/>
                <w:color w:val="auto"/>
                <w:spacing w:val="-16"/>
                <w:kern w:val="21"/>
                <w:szCs w:val="21"/>
              </w:rPr>
            </w:pPr>
            <w:r>
              <w:rPr>
                <w:rFonts w:hAnsi="宋体" w:eastAsia="宋体"/>
                <w:snapToGrid w:val="0"/>
                <w:color w:val="auto"/>
                <w:spacing w:val="-16"/>
                <w:kern w:val="21"/>
                <w:szCs w:val="21"/>
              </w:rPr>
              <w:t>本项目建成后</w:t>
            </w:r>
          </w:p>
          <w:p w14:paraId="12320B02">
            <w:pPr>
              <w:pStyle w:val="56"/>
              <w:keepNext w:val="0"/>
              <w:keepLines w:val="0"/>
              <w:pageBreakBefore w:val="0"/>
              <w:kinsoku/>
              <w:wordWrap/>
              <w:overflowPunct/>
              <w:topLinePunct w:val="0"/>
              <w:autoSpaceDE/>
              <w:autoSpaceDN/>
              <w:bidi w:val="0"/>
              <w:spacing w:line="240" w:lineRule="auto"/>
              <w:rPr>
                <w:rFonts w:eastAsia="宋体"/>
                <w:snapToGrid w:val="0"/>
                <w:color w:val="auto"/>
                <w:spacing w:val="-16"/>
                <w:kern w:val="21"/>
                <w:szCs w:val="21"/>
              </w:rPr>
            </w:pPr>
            <w:r>
              <w:rPr>
                <w:rFonts w:hAnsi="宋体" w:eastAsia="宋体"/>
                <w:snapToGrid w:val="0"/>
                <w:color w:val="auto"/>
                <w:spacing w:val="-16"/>
                <w:kern w:val="21"/>
                <w:szCs w:val="21"/>
              </w:rPr>
              <w:t>全厂排放量（固体废物产生量）</w:t>
            </w:r>
            <w:r>
              <w:rPr>
                <w:rFonts w:eastAsia="宋体"/>
                <w:snapToGrid w:val="0"/>
                <w:color w:val="auto"/>
                <w:spacing w:val="-16"/>
                <w:kern w:val="21"/>
                <w:szCs w:val="21"/>
              </w:rPr>
              <w:fldChar w:fldCharType="begin"/>
            </w:r>
            <w:r>
              <w:rPr>
                <w:rFonts w:eastAsia="宋体"/>
                <w:snapToGrid w:val="0"/>
                <w:color w:val="auto"/>
                <w:spacing w:val="-16"/>
                <w:kern w:val="21"/>
                <w:szCs w:val="21"/>
              </w:rPr>
              <w:instrText xml:space="preserve"> = 6 \* GB3 \* MERGEFORMAT </w:instrText>
            </w:r>
            <w:r>
              <w:rPr>
                <w:rFonts w:eastAsia="宋体"/>
                <w:snapToGrid w:val="0"/>
                <w:color w:val="auto"/>
                <w:spacing w:val="-16"/>
                <w:kern w:val="21"/>
                <w:szCs w:val="21"/>
              </w:rPr>
              <w:fldChar w:fldCharType="separate"/>
            </w:r>
            <w:r>
              <w:rPr>
                <w:rFonts w:ascii="宋体" w:hAnsi="宋体" w:eastAsia="宋体"/>
                <w:color w:val="auto"/>
                <w:szCs w:val="21"/>
              </w:rPr>
              <w:t>⑥</w:t>
            </w:r>
            <w:r>
              <w:rPr>
                <w:rFonts w:eastAsia="宋体"/>
                <w:snapToGrid w:val="0"/>
                <w:color w:val="auto"/>
                <w:spacing w:val="-16"/>
                <w:kern w:val="21"/>
                <w:szCs w:val="21"/>
              </w:rPr>
              <w:fldChar w:fldCharType="end"/>
            </w:r>
          </w:p>
        </w:tc>
        <w:tc>
          <w:tcPr>
            <w:tcW w:w="1215" w:type="dxa"/>
            <w:tcMar>
              <w:left w:w="28" w:type="dxa"/>
              <w:right w:w="28" w:type="dxa"/>
            </w:tcMar>
            <w:vAlign w:val="center"/>
          </w:tcPr>
          <w:p w14:paraId="602CD359">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hAnsi="宋体" w:eastAsia="宋体"/>
                <w:snapToGrid w:val="0"/>
                <w:color w:val="auto"/>
                <w:spacing w:val="-6"/>
                <w:kern w:val="21"/>
                <w:szCs w:val="21"/>
              </w:rPr>
              <w:t>变化量</w:t>
            </w:r>
          </w:p>
          <w:p w14:paraId="6D406F35">
            <w:pPr>
              <w:pStyle w:val="56"/>
              <w:keepNext w:val="0"/>
              <w:keepLines w:val="0"/>
              <w:pageBreakBefore w:val="0"/>
              <w:kinsoku/>
              <w:wordWrap/>
              <w:overflowPunct/>
              <w:topLinePunct w:val="0"/>
              <w:autoSpaceDE/>
              <w:autoSpaceDN/>
              <w:bidi w:val="0"/>
              <w:spacing w:line="240" w:lineRule="auto"/>
              <w:rPr>
                <w:rFonts w:eastAsia="宋体"/>
                <w:snapToGrid w:val="0"/>
                <w:color w:val="auto"/>
                <w:spacing w:val="-6"/>
                <w:kern w:val="21"/>
                <w:szCs w:val="21"/>
              </w:rPr>
            </w:pPr>
            <w:r>
              <w:rPr>
                <w:rFonts w:eastAsia="宋体"/>
                <w:snapToGrid w:val="0"/>
                <w:color w:val="auto"/>
                <w:spacing w:val="-6"/>
                <w:kern w:val="21"/>
                <w:szCs w:val="21"/>
              </w:rPr>
              <w:fldChar w:fldCharType="begin"/>
            </w:r>
            <w:r>
              <w:rPr>
                <w:rFonts w:eastAsia="宋体"/>
                <w:snapToGrid w:val="0"/>
                <w:color w:val="auto"/>
                <w:spacing w:val="-6"/>
                <w:kern w:val="21"/>
                <w:szCs w:val="21"/>
              </w:rPr>
              <w:instrText xml:space="preserve"> = 7 \* GB3 \* MERGEFORMAT </w:instrText>
            </w:r>
            <w:r>
              <w:rPr>
                <w:rFonts w:eastAsia="宋体"/>
                <w:snapToGrid w:val="0"/>
                <w:color w:val="auto"/>
                <w:spacing w:val="-6"/>
                <w:kern w:val="21"/>
                <w:szCs w:val="21"/>
              </w:rPr>
              <w:fldChar w:fldCharType="separate"/>
            </w:r>
            <w:r>
              <w:rPr>
                <w:rFonts w:ascii="宋体" w:hAnsi="宋体" w:eastAsia="宋体"/>
                <w:color w:val="auto"/>
                <w:szCs w:val="21"/>
              </w:rPr>
              <w:t>⑦</w:t>
            </w:r>
            <w:r>
              <w:rPr>
                <w:rFonts w:eastAsia="宋体"/>
                <w:snapToGrid w:val="0"/>
                <w:color w:val="auto"/>
                <w:spacing w:val="-6"/>
                <w:kern w:val="21"/>
                <w:szCs w:val="21"/>
              </w:rPr>
              <w:fldChar w:fldCharType="end"/>
            </w:r>
          </w:p>
        </w:tc>
      </w:tr>
      <w:tr w14:paraId="7ECEB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Align w:val="center"/>
          </w:tcPr>
          <w:p w14:paraId="5EBD817A">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Ansi="宋体" w:eastAsia="宋体"/>
                <w:snapToGrid w:val="0"/>
                <w:color w:val="auto"/>
                <w:kern w:val="21"/>
                <w:szCs w:val="21"/>
              </w:rPr>
              <w:t>废气</w:t>
            </w:r>
          </w:p>
        </w:tc>
        <w:tc>
          <w:tcPr>
            <w:tcW w:w="1700" w:type="dxa"/>
            <w:vAlign w:val="center"/>
          </w:tcPr>
          <w:p w14:paraId="4B767C38">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Ansi="宋体" w:eastAsia="宋体"/>
                <w:snapToGrid w:val="0"/>
                <w:color w:val="auto"/>
                <w:kern w:val="21"/>
                <w:szCs w:val="21"/>
              </w:rPr>
              <w:t>非甲烷总烃</w:t>
            </w:r>
          </w:p>
        </w:tc>
        <w:tc>
          <w:tcPr>
            <w:tcW w:w="1418" w:type="dxa"/>
            <w:vAlign w:val="center"/>
          </w:tcPr>
          <w:p w14:paraId="1A8DD7F8">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697AAA08">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461B3D2F">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6C1CAF76">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eastAsia="zh-CN"/>
              </w:rPr>
            </w:pPr>
            <w:r>
              <w:rPr>
                <w:rFonts w:hint="eastAsia" w:eastAsia="宋体"/>
                <w:snapToGrid w:val="0"/>
                <w:color w:val="auto"/>
                <w:kern w:val="21"/>
                <w:szCs w:val="21"/>
                <w:lang w:val="en-US" w:eastAsia="zh-CN"/>
              </w:rPr>
              <w:t>0.4536</w:t>
            </w:r>
          </w:p>
        </w:tc>
        <w:tc>
          <w:tcPr>
            <w:tcW w:w="1381" w:type="dxa"/>
            <w:vAlign w:val="center"/>
          </w:tcPr>
          <w:p w14:paraId="665656DD">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6B37C9A8">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eastAsia="zh-CN"/>
              </w:rPr>
            </w:pPr>
            <w:r>
              <w:rPr>
                <w:rFonts w:hint="eastAsia" w:eastAsia="宋体"/>
                <w:snapToGrid w:val="0"/>
                <w:color w:val="auto"/>
                <w:kern w:val="21"/>
                <w:szCs w:val="21"/>
                <w:lang w:val="en-US" w:eastAsia="zh-CN"/>
              </w:rPr>
              <w:t>0.4536</w:t>
            </w:r>
          </w:p>
        </w:tc>
        <w:tc>
          <w:tcPr>
            <w:tcW w:w="1215" w:type="dxa"/>
            <w:vAlign w:val="center"/>
          </w:tcPr>
          <w:p w14:paraId="2D72E9EF">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eastAsia="zh-CN"/>
              </w:rPr>
            </w:pPr>
            <w:r>
              <w:rPr>
                <w:rFonts w:hint="eastAsia" w:eastAsia="宋体"/>
                <w:snapToGrid w:val="0"/>
                <w:color w:val="auto"/>
                <w:kern w:val="21"/>
                <w:szCs w:val="21"/>
                <w:lang w:val="en-US" w:eastAsia="zh-CN"/>
              </w:rPr>
              <w:t>+0.4536</w:t>
            </w:r>
          </w:p>
        </w:tc>
      </w:tr>
      <w:tr w14:paraId="78456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restart"/>
            <w:vAlign w:val="center"/>
          </w:tcPr>
          <w:p w14:paraId="2083AA97">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Ansi="宋体" w:eastAsia="宋体"/>
                <w:snapToGrid w:val="0"/>
                <w:color w:val="auto"/>
                <w:kern w:val="21"/>
                <w:szCs w:val="21"/>
              </w:rPr>
              <w:t>废水</w:t>
            </w:r>
          </w:p>
        </w:tc>
        <w:tc>
          <w:tcPr>
            <w:tcW w:w="1700" w:type="dxa"/>
            <w:vAlign w:val="center"/>
          </w:tcPr>
          <w:p w14:paraId="12B3381E">
            <w:pPr>
              <w:keepNext w:val="0"/>
              <w:keepLines w:val="0"/>
              <w:pageBreakBefore w:val="0"/>
              <w:widowControl/>
              <w:kinsoku/>
              <w:wordWrap/>
              <w:overflowPunct/>
              <w:topLinePunct w:val="0"/>
              <w:autoSpaceDE/>
              <w:autoSpaceDN/>
              <w:bidi w:val="0"/>
              <w:adjustRightInd w:val="0"/>
              <w:snapToGrid w:val="0"/>
              <w:jc w:val="center"/>
              <w:rPr>
                <w:color w:val="auto"/>
                <w:kern w:val="0"/>
                <w:szCs w:val="21"/>
              </w:rPr>
            </w:pPr>
            <w:r>
              <w:rPr>
                <w:color w:val="auto"/>
                <w:kern w:val="0"/>
                <w:szCs w:val="21"/>
              </w:rPr>
              <w:t>COD</w:t>
            </w:r>
          </w:p>
        </w:tc>
        <w:tc>
          <w:tcPr>
            <w:tcW w:w="1418" w:type="dxa"/>
            <w:vAlign w:val="center"/>
          </w:tcPr>
          <w:p w14:paraId="5487DAD9">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0EFDB49F">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07453E7A">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6C0EE6BE">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rPr>
            </w:pPr>
            <w:r>
              <w:rPr>
                <w:rFonts w:hint="eastAsia" w:eastAsia="宋体" w:cs="Times New Roman"/>
                <w:snapToGrid w:val="0"/>
                <w:color w:val="auto"/>
                <w:spacing w:val="0"/>
                <w:kern w:val="21"/>
                <w:position w:val="0"/>
                <w:sz w:val="21"/>
                <w:szCs w:val="21"/>
                <w:lang w:val="en-US" w:eastAsia="zh-CN"/>
              </w:rPr>
              <w:t>0.0360</w:t>
            </w:r>
          </w:p>
        </w:tc>
        <w:tc>
          <w:tcPr>
            <w:tcW w:w="1381" w:type="dxa"/>
            <w:vAlign w:val="center"/>
          </w:tcPr>
          <w:p w14:paraId="179854E5">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32854DE5">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0.0360</w:t>
            </w:r>
          </w:p>
        </w:tc>
        <w:tc>
          <w:tcPr>
            <w:tcW w:w="1215" w:type="dxa"/>
            <w:vAlign w:val="center"/>
          </w:tcPr>
          <w:p w14:paraId="1CCE113C">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+0.0360</w:t>
            </w:r>
          </w:p>
        </w:tc>
      </w:tr>
      <w:tr w14:paraId="7FEBD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continue"/>
            <w:vAlign w:val="center"/>
          </w:tcPr>
          <w:p w14:paraId="36B6B797">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p>
        </w:tc>
        <w:tc>
          <w:tcPr>
            <w:tcW w:w="1700" w:type="dxa"/>
            <w:vAlign w:val="center"/>
          </w:tcPr>
          <w:p w14:paraId="51B3C9D7">
            <w:pPr>
              <w:keepNext w:val="0"/>
              <w:keepLines w:val="0"/>
              <w:pageBreakBefore w:val="0"/>
              <w:widowControl/>
              <w:kinsoku/>
              <w:wordWrap/>
              <w:overflowPunct/>
              <w:topLinePunct w:val="0"/>
              <w:autoSpaceDE/>
              <w:autoSpaceDN/>
              <w:bidi w:val="0"/>
              <w:adjustRightInd w:val="0"/>
              <w:snapToGrid w:val="0"/>
              <w:jc w:val="center"/>
              <w:rPr>
                <w:color w:val="auto"/>
                <w:kern w:val="0"/>
                <w:szCs w:val="21"/>
                <w:vertAlign w:val="subscript"/>
              </w:rPr>
            </w:pPr>
            <w:r>
              <w:rPr>
                <w:color w:val="auto"/>
                <w:kern w:val="0"/>
                <w:szCs w:val="21"/>
              </w:rPr>
              <w:t>BOD</w:t>
            </w:r>
            <w:r>
              <w:rPr>
                <w:color w:val="auto"/>
                <w:kern w:val="0"/>
                <w:szCs w:val="21"/>
                <w:vertAlign w:val="subscript"/>
              </w:rPr>
              <w:t>5</w:t>
            </w:r>
          </w:p>
        </w:tc>
        <w:tc>
          <w:tcPr>
            <w:tcW w:w="1418" w:type="dxa"/>
            <w:vAlign w:val="center"/>
          </w:tcPr>
          <w:p w14:paraId="57421BA6">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0406275A">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621D763D">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0F265894">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rPr>
            </w:pPr>
            <w:r>
              <w:rPr>
                <w:rFonts w:hint="eastAsia" w:eastAsia="宋体" w:cs="Times New Roman"/>
                <w:snapToGrid w:val="0"/>
                <w:color w:val="auto"/>
                <w:spacing w:val="0"/>
                <w:kern w:val="21"/>
                <w:position w:val="0"/>
                <w:sz w:val="21"/>
                <w:szCs w:val="21"/>
                <w:lang w:val="en-US" w:eastAsia="zh-CN"/>
              </w:rPr>
              <w:t>0.0072</w:t>
            </w:r>
          </w:p>
        </w:tc>
        <w:tc>
          <w:tcPr>
            <w:tcW w:w="1381" w:type="dxa"/>
            <w:vAlign w:val="center"/>
          </w:tcPr>
          <w:p w14:paraId="30C85416">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47B5C6E6">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0.0072</w:t>
            </w:r>
          </w:p>
        </w:tc>
        <w:tc>
          <w:tcPr>
            <w:tcW w:w="1215" w:type="dxa"/>
            <w:vAlign w:val="center"/>
          </w:tcPr>
          <w:p w14:paraId="3BC63E11">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+0.0072</w:t>
            </w:r>
          </w:p>
        </w:tc>
      </w:tr>
      <w:tr w14:paraId="0ED0B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continue"/>
            <w:vAlign w:val="center"/>
          </w:tcPr>
          <w:p w14:paraId="654DD3AC">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p>
        </w:tc>
        <w:tc>
          <w:tcPr>
            <w:tcW w:w="1700" w:type="dxa"/>
            <w:vAlign w:val="center"/>
          </w:tcPr>
          <w:p w14:paraId="6752CFB6">
            <w:pPr>
              <w:keepNext w:val="0"/>
              <w:keepLines w:val="0"/>
              <w:pageBreakBefore w:val="0"/>
              <w:widowControl/>
              <w:kinsoku/>
              <w:wordWrap/>
              <w:overflowPunct/>
              <w:topLinePunct w:val="0"/>
              <w:autoSpaceDE/>
              <w:autoSpaceDN/>
              <w:bidi w:val="0"/>
              <w:adjustRightInd w:val="0"/>
              <w:snapToGrid w:val="0"/>
              <w:jc w:val="center"/>
              <w:rPr>
                <w:color w:val="auto"/>
                <w:kern w:val="0"/>
                <w:szCs w:val="21"/>
              </w:rPr>
            </w:pPr>
            <w:r>
              <w:rPr>
                <w:color w:val="auto"/>
                <w:kern w:val="0"/>
                <w:szCs w:val="21"/>
              </w:rPr>
              <w:t>SS</w:t>
            </w:r>
          </w:p>
        </w:tc>
        <w:tc>
          <w:tcPr>
            <w:tcW w:w="1418" w:type="dxa"/>
            <w:vAlign w:val="center"/>
          </w:tcPr>
          <w:p w14:paraId="30ABC816">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432AB7E5">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1C979244">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25F77D4E">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rPr>
            </w:pPr>
            <w:r>
              <w:rPr>
                <w:rFonts w:hint="eastAsia" w:eastAsia="宋体" w:cs="Times New Roman"/>
                <w:snapToGrid w:val="0"/>
                <w:color w:val="auto"/>
                <w:spacing w:val="0"/>
                <w:kern w:val="21"/>
                <w:position w:val="0"/>
                <w:sz w:val="21"/>
                <w:szCs w:val="21"/>
                <w:lang w:val="en-US" w:eastAsia="zh-CN"/>
              </w:rPr>
              <w:t>0.0072</w:t>
            </w:r>
          </w:p>
        </w:tc>
        <w:tc>
          <w:tcPr>
            <w:tcW w:w="1381" w:type="dxa"/>
            <w:vAlign w:val="center"/>
          </w:tcPr>
          <w:p w14:paraId="0198427C">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52A20449">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0.0072</w:t>
            </w:r>
          </w:p>
        </w:tc>
        <w:tc>
          <w:tcPr>
            <w:tcW w:w="1215" w:type="dxa"/>
            <w:vAlign w:val="center"/>
          </w:tcPr>
          <w:p w14:paraId="18E093F2">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+0.0072</w:t>
            </w:r>
          </w:p>
        </w:tc>
      </w:tr>
      <w:tr w14:paraId="0CB95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continue"/>
            <w:vAlign w:val="center"/>
          </w:tcPr>
          <w:p w14:paraId="644F7571">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p>
        </w:tc>
        <w:tc>
          <w:tcPr>
            <w:tcW w:w="1700" w:type="dxa"/>
            <w:vAlign w:val="center"/>
          </w:tcPr>
          <w:p w14:paraId="4D54B744">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Ansi="宋体" w:eastAsia="宋体"/>
                <w:bCs/>
                <w:color w:val="auto"/>
                <w:kern w:val="0"/>
                <w:szCs w:val="21"/>
              </w:rPr>
              <w:t>氨氮</w:t>
            </w:r>
          </w:p>
        </w:tc>
        <w:tc>
          <w:tcPr>
            <w:tcW w:w="1418" w:type="dxa"/>
            <w:vAlign w:val="center"/>
          </w:tcPr>
          <w:p w14:paraId="2FA3D06A">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5BAE8231">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11D9FAAE">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5E6D7084">
            <w:pPr>
              <w:pStyle w:val="56"/>
              <w:keepNext w:val="0"/>
              <w:keepLines w:val="0"/>
              <w:pageBreakBefore w:val="0"/>
              <w:kinsoku/>
              <w:wordWrap/>
              <w:overflowPunct/>
              <w:topLinePunct w:val="0"/>
              <w:autoSpaceDE/>
              <w:autoSpaceDN/>
              <w:bidi w:val="0"/>
              <w:spacing w:line="240" w:lineRule="auto"/>
              <w:rPr>
                <w:rFonts w:hint="default" w:eastAsia="宋体"/>
                <w:snapToGrid w:val="0"/>
                <w:color w:val="auto"/>
                <w:kern w:val="21"/>
                <w:szCs w:val="21"/>
                <w:lang w:val="en-US"/>
              </w:rPr>
            </w:pPr>
            <w:r>
              <w:rPr>
                <w:rFonts w:hint="eastAsia" w:eastAsia="宋体" w:cs="Times New Roman"/>
                <w:snapToGrid w:val="0"/>
                <w:color w:val="auto"/>
                <w:spacing w:val="0"/>
                <w:kern w:val="21"/>
                <w:position w:val="0"/>
                <w:sz w:val="21"/>
                <w:szCs w:val="21"/>
                <w:lang w:val="en-US" w:eastAsia="zh-CN"/>
              </w:rPr>
              <w:t>0.0036</w:t>
            </w:r>
          </w:p>
        </w:tc>
        <w:tc>
          <w:tcPr>
            <w:tcW w:w="1381" w:type="dxa"/>
            <w:vAlign w:val="center"/>
          </w:tcPr>
          <w:p w14:paraId="7B45500D">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347FA9C0">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0.0036</w:t>
            </w:r>
          </w:p>
        </w:tc>
        <w:tc>
          <w:tcPr>
            <w:tcW w:w="1215" w:type="dxa"/>
            <w:vAlign w:val="center"/>
          </w:tcPr>
          <w:p w14:paraId="4AA3531B">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eastAsia" w:eastAsia="宋体" w:cs="Times New Roman"/>
                <w:snapToGrid w:val="0"/>
                <w:color w:val="auto"/>
                <w:spacing w:val="0"/>
                <w:kern w:val="21"/>
                <w:position w:val="0"/>
                <w:sz w:val="21"/>
                <w:szCs w:val="21"/>
                <w:lang w:val="en-US" w:eastAsia="zh-CN"/>
              </w:rPr>
              <w:t>+0.0036</w:t>
            </w:r>
          </w:p>
        </w:tc>
      </w:tr>
      <w:tr w14:paraId="22968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Align w:val="center"/>
          </w:tcPr>
          <w:p w14:paraId="19256159">
            <w:pPr>
              <w:pStyle w:val="56"/>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napToGrid w:val="0"/>
                <w:color w:val="auto"/>
                <w:kern w:val="21"/>
                <w:szCs w:val="21"/>
              </w:rPr>
            </w:pPr>
            <w:r>
              <w:rPr>
                <w:rFonts w:hint="eastAsia" w:ascii="宋体" w:hAnsi="宋体" w:eastAsia="宋体" w:cs="宋体"/>
                <w:b w:val="0"/>
                <w:bCs w:val="0"/>
                <w:snapToGrid w:val="0"/>
                <w:color w:val="auto"/>
                <w:kern w:val="21"/>
                <w:szCs w:val="21"/>
              </w:rPr>
              <w:t>一般工业</w:t>
            </w:r>
          </w:p>
          <w:p w14:paraId="08540062">
            <w:pPr>
              <w:pStyle w:val="56"/>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napToGrid w:val="0"/>
                <w:color w:val="auto"/>
                <w:kern w:val="21"/>
                <w:szCs w:val="21"/>
              </w:rPr>
            </w:pPr>
            <w:r>
              <w:rPr>
                <w:rFonts w:hint="eastAsia" w:ascii="宋体" w:hAnsi="宋体" w:eastAsia="宋体" w:cs="宋体"/>
                <w:b w:val="0"/>
                <w:bCs w:val="0"/>
                <w:snapToGrid w:val="0"/>
                <w:color w:val="auto"/>
                <w:kern w:val="21"/>
                <w:szCs w:val="21"/>
              </w:rPr>
              <w:t>固体废物</w:t>
            </w:r>
          </w:p>
        </w:tc>
        <w:tc>
          <w:tcPr>
            <w:tcW w:w="1700" w:type="dxa"/>
            <w:vAlign w:val="center"/>
          </w:tcPr>
          <w:p w14:paraId="5C7291FF">
            <w:pPr>
              <w:keepNext w:val="0"/>
              <w:keepLines w:val="0"/>
              <w:pageBreakBefore w:val="0"/>
              <w:widowControl w:val="0"/>
              <w:kinsoku/>
              <w:wordWrap/>
              <w:overflowPunct/>
              <w:topLinePunct w:val="0"/>
              <w:bidi w:val="0"/>
              <w:snapToGrid/>
              <w:ind w:left="-105" w:leftChars="-50" w:right="-105" w:rightChars="-50"/>
              <w:jc w:val="center"/>
              <w:textAlignment w:val="auto"/>
              <w:rPr>
                <w:rFonts w:hint="eastAsia" w:ascii="宋体" w:hAnsi="宋体" w:eastAsia="宋体" w:cs="宋体"/>
                <w:b w:val="0"/>
                <w:bCs w:val="0"/>
                <w:snapToGrid w:val="0"/>
                <w:color w:val="auto"/>
                <w:kern w:val="21"/>
                <w:szCs w:val="21"/>
                <w:lang w:eastAsia="zh-CN"/>
              </w:rPr>
            </w:pPr>
            <w:r>
              <w:rPr>
                <w:rFonts w:hint="eastAsia" w:ascii="宋体" w:hAnsi="宋体" w:eastAsia="宋体" w:cs="宋体"/>
                <w:b w:val="0"/>
                <w:bCs w:val="0"/>
                <w:snapToGrid w:val="0"/>
                <w:color w:val="auto"/>
                <w:kern w:val="24"/>
                <w:szCs w:val="21"/>
                <w:lang w:eastAsia="zh-CN"/>
              </w:rPr>
              <w:t>废包装袋</w:t>
            </w:r>
          </w:p>
        </w:tc>
        <w:tc>
          <w:tcPr>
            <w:tcW w:w="1418" w:type="dxa"/>
            <w:vAlign w:val="center"/>
          </w:tcPr>
          <w:p w14:paraId="0308B4B5">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310AA59A">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22513B02">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54CA6FFD">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rFonts w:hint="eastAsia"/>
                <w:snapToGrid w:val="0"/>
                <w:color w:val="auto"/>
                <w:kern w:val="24"/>
                <w:szCs w:val="21"/>
                <w:lang w:val="en-US" w:eastAsia="zh-CN"/>
              </w:rPr>
              <w:t>1</w:t>
            </w:r>
          </w:p>
        </w:tc>
        <w:tc>
          <w:tcPr>
            <w:tcW w:w="1381" w:type="dxa"/>
            <w:vAlign w:val="center"/>
          </w:tcPr>
          <w:p w14:paraId="6FDF8E8B">
            <w:pPr>
              <w:pStyle w:val="56"/>
              <w:keepNext w:val="0"/>
              <w:keepLines w:val="0"/>
              <w:pageBreakBefore w:val="0"/>
              <w:kinsoku/>
              <w:wordWrap/>
              <w:overflowPunct/>
              <w:topLinePunct w:val="0"/>
              <w:autoSpaceDE/>
              <w:autoSpaceDN/>
              <w:bidi w:val="0"/>
              <w:spacing w:line="240" w:lineRule="auto"/>
              <w:rPr>
                <w:rFonts w:eastAsia="宋体"/>
                <w:snapToGrid w:val="0"/>
                <w:color w:val="auto"/>
                <w:kern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2FA908F8">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lang w:val="en-US" w:eastAsia="zh-CN"/>
              </w:rPr>
              <w:t>1</w:t>
            </w:r>
          </w:p>
        </w:tc>
        <w:tc>
          <w:tcPr>
            <w:tcW w:w="1215" w:type="dxa"/>
            <w:vAlign w:val="center"/>
          </w:tcPr>
          <w:p w14:paraId="6A63653A">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rFonts w:hint="eastAsia"/>
                <w:snapToGrid w:val="0"/>
                <w:color w:val="auto"/>
                <w:kern w:val="24"/>
                <w:szCs w:val="21"/>
                <w:lang w:val="en-US" w:eastAsia="zh-CN"/>
              </w:rPr>
              <w:t>+1</w:t>
            </w:r>
          </w:p>
        </w:tc>
      </w:tr>
      <w:tr w14:paraId="70F88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restart"/>
            <w:vAlign w:val="center"/>
          </w:tcPr>
          <w:p w14:paraId="106E0F72">
            <w:pPr>
              <w:pStyle w:val="5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pacing w:val="0"/>
                <w:position w:val="0"/>
                <w:sz w:val="21"/>
                <w:szCs w:val="21"/>
                <w:lang w:eastAsia="zh-CN"/>
              </w:rPr>
            </w:pPr>
            <w:r>
              <w:rPr>
                <w:rFonts w:hint="eastAsia" w:eastAsia="宋体" w:cs="Times New Roman"/>
                <w:color w:val="auto"/>
                <w:spacing w:val="0"/>
                <w:position w:val="0"/>
                <w:sz w:val="21"/>
                <w:szCs w:val="21"/>
                <w:lang w:eastAsia="zh-CN"/>
              </w:rPr>
              <w:t>危险废物</w:t>
            </w:r>
          </w:p>
        </w:tc>
        <w:tc>
          <w:tcPr>
            <w:tcW w:w="1700" w:type="dxa"/>
            <w:vAlign w:val="center"/>
          </w:tcPr>
          <w:p w14:paraId="1986C865">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pacing w:val="0"/>
                <w:position w:val="0"/>
                <w:sz w:val="21"/>
                <w:szCs w:val="21"/>
              </w:rPr>
            </w:pPr>
            <w:r>
              <w:rPr>
                <w:snapToGrid w:val="0"/>
                <w:color w:val="auto"/>
                <w:kern w:val="24"/>
                <w:szCs w:val="21"/>
              </w:rPr>
              <w:t>废活性炭</w:t>
            </w:r>
          </w:p>
        </w:tc>
        <w:tc>
          <w:tcPr>
            <w:tcW w:w="1418" w:type="dxa"/>
            <w:vAlign w:val="center"/>
          </w:tcPr>
          <w:p w14:paraId="2B5C1FA9">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7F8AF3A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541DB30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3FA0DCC4">
            <w:pPr>
              <w:keepNext w:val="0"/>
              <w:keepLines w:val="0"/>
              <w:pageBreakBefore w:val="0"/>
              <w:widowControl w:val="0"/>
              <w:kinsoku/>
              <w:wordWrap/>
              <w:overflowPunct/>
              <w:topLinePunct w:val="0"/>
              <w:bidi w:val="0"/>
              <w:snapToGrid/>
              <w:ind w:left="-105" w:leftChars="-50" w:right="-105" w:rightChars="-50"/>
              <w:jc w:val="center"/>
              <w:textAlignment w:val="auto"/>
              <w:rPr>
                <w:rFonts w:hint="default"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17.68</w:t>
            </w:r>
          </w:p>
        </w:tc>
        <w:tc>
          <w:tcPr>
            <w:tcW w:w="1381" w:type="dxa"/>
            <w:vAlign w:val="center"/>
          </w:tcPr>
          <w:p w14:paraId="6552A14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0B6DE5BD">
            <w:pPr>
              <w:keepNext w:val="0"/>
              <w:keepLines w:val="0"/>
              <w:pageBreakBefore w:val="0"/>
              <w:widowControl w:val="0"/>
              <w:kinsoku/>
              <w:wordWrap/>
              <w:overflowPunct/>
              <w:topLinePunct w:val="0"/>
              <w:bidi w:val="0"/>
              <w:snapToGrid/>
              <w:ind w:left="-105" w:leftChars="-50" w:right="-105" w:rightChars="-50"/>
              <w:jc w:val="center"/>
              <w:textAlignment w:val="auto"/>
              <w:rPr>
                <w:rFonts w:hint="eastAsia"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17.68</w:t>
            </w:r>
          </w:p>
        </w:tc>
        <w:tc>
          <w:tcPr>
            <w:tcW w:w="1215" w:type="dxa"/>
            <w:vAlign w:val="center"/>
          </w:tcPr>
          <w:p w14:paraId="55258288">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lang w:val="en-US" w:eastAsia="zh-CN"/>
              </w:rPr>
              <w:t>+17.68</w:t>
            </w:r>
          </w:p>
        </w:tc>
      </w:tr>
      <w:tr w14:paraId="17D45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continue"/>
            <w:vAlign w:val="center"/>
          </w:tcPr>
          <w:p w14:paraId="31DA551E">
            <w:pPr>
              <w:pStyle w:val="56"/>
              <w:keepNext w:val="0"/>
              <w:keepLines w:val="0"/>
              <w:pageBreakBefore w:val="0"/>
              <w:kinsoku/>
              <w:wordWrap/>
              <w:overflowPunct/>
              <w:topLinePunct w:val="0"/>
              <w:autoSpaceDE/>
              <w:autoSpaceDN/>
              <w:bidi w:val="0"/>
              <w:spacing w:line="240" w:lineRule="auto"/>
              <w:rPr>
                <w:rFonts w:hint="eastAsia" w:eastAsia="宋体" w:cs="Times New Roman"/>
                <w:color w:val="auto"/>
                <w:spacing w:val="0"/>
                <w:position w:val="0"/>
                <w:sz w:val="21"/>
                <w:szCs w:val="21"/>
                <w:lang w:eastAsia="zh-CN"/>
              </w:rPr>
            </w:pPr>
          </w:p>
        </w:tc>
        <w:tc>
          <w:tcPr>
            <w:tcW w:w="1700" w:type="dxa"/>
            <w:vAlign w:val="center"/>
          </w:tcPr>
          <w:p w14:paraId="4A658CDB">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snapToGrid w:val="0"/>
                <w:color w:val="auto"/>
                <w:kern w:val="24"/>
                <w:szCs w:val="21"/>
              </w:rPr>
            </w:pPr>
            <w:r>
              <w:rPr>
                <w:rFonts w:hint="eastAsia"/>
                <w:snapToGrid w:val="0"/>
                <w:color w:val="auto"/>
                <w:kern w:val="24"/>
                <w:szCs w:val="21"/>
                <w:lang w:eastAsia="zh-CN"/>
              </w:rPr>
              <w:t>废机油</w:t>
            </w:r>
          </w:p>
        </w:tc>
        <w:tc>
          <w:tcPr>
            <w:tcW w:w="1418" w:type="dxa"/>
            <w:vAlign w:val="center"/>
          </w:tcPr>
          <w:p w14:paraId="2F16909B">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75A999E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6A3773F4">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18C3B27F">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default"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0.09</w:t>
            </w:r>
          </w:p>
        </w:tc>
        <w:tc>
          <w:tcPr>
            <w:tcW w:w="1381" w:type="dxa"/>
            <w:vAlign w:val="center"/>
          </w:tcPr>
          <w:p w14:paraId="6DB99D5D">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16DCE3CB">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0.09</w:t>
            </w:r>
          </w:p>
        </w:tc>
        <w:tc>
          <w:tcPr>
            <w:tcW w:w="1215" w:type="dxa"/>
            <w:vAlign w:val="center"/>
          </w:tcPr>
          <w:p w14:paraId="553565C6">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+0.09</w:t>
            </w:r>
          </w:p>
        </w:tc>
      </w:tr>
      <w:tr w14:paraId="3D29A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continue"/>
            <w:vAlign w:val="center"/>
          </w:tcPr>
          <w:p w14:paraId="403B3BD2">
            <w:pPr>
              <w:pStyle w:val="56"/>
              <w:keepNext w:val="0"/>
              <w:keepLines w:val="0"/>
              <w:pageBreakBefore w:val="0"/>
              <w:kinsoku/>
              <w:wordWrap/>
              <w:overflowPunct/>
              <w:topLinePunct w:val="0"/>
              <w:autoSpaceDE/>
              <w:autoSpaceDN/>
              <w:bidi w:val="0"/>
              <w:spacing w:line="240" w:lineRule="auto"/>
              <w:rPr>
                <w:rFonts w:hint="eastAsia" w:eastAsia="宋体" w:cs="Times New Roman"/>
                <w:color w:val="auto"/>
                <w:spacing w:val="0"/>
                <w:position w:val="0"/>
                <w:sz w:val="21"/>
                <w:szCs w:val="21"/>
                <w:lang w:eastAsia="zh-CN"/>
              </w:rPr>
            </w:pPr>
          </w:p>
        </w:tc>
        <w:tc>
          <w:tcPr>
            <w:tcW w:w="1700" w:type="dxa"/>
            <w:vAlign w:val="center"/>
          </w:tcPr>
          <w:p w14:paraId="02CA169A">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snapToGrid w:val="0"/>
                <w:color w:val="auto"/>
                <w:kern w:val="24"/>
                <w:szCs w:val="21"/>
              </w:rPr>
            </w:pPr>
            <w:r>
              <w:rPr>
                <w:rFonts w:hint="eastAsia"/>
                <w:snapToGrid w:val="0"/>
                <w:color w:val="auto"/>
                <w:kern w:val="24"/>
                <w:szCs w:val="21"/>
                <w:lang w:eastAsia="zh-CN"/>
              </w:rPr>
              <w:t>废机油桶</w:t>
            </w:r>
          </w:p>
        </w:tc>
        <w:tc>
          <w:tcPr>
            <w:tcW w:w="1418" w:type="dxa"/>
            <w:vAlign w:val="center"/>
          </w:tcPr>
          <w:p w14:paraId="7790739F">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038DE963">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7A69B5C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21CE2A1B">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0.01</w:t>
            </w:r>
          </w:p>
        </w:tc>
        <w:tc>
          <w:tcPr>
            <w:tcW w:w="1381" w:type="dxa"/>
            <w:vAlign w:val="center"/>
          </w:tcPr>
          <w:p w14:paraId="7260EF4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63FEE5B6">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0.01</w:t>
            </w:r>
          </w:p>
        </w:tc>
        <w:tc>
          <w:tcPr>
            <w:tcW w:w="1215" w:type="dxa"/>
            <w:vAlign w:val="center"/>
          </w:tcPr>
          <w:p w14:paraId="5587A34C">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+0.01</w:t>
            </w:r>
          </w:p>
        </w:tc>
      </w:tr>
      <w:tr w14:paraId="3F860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Merge w:val="continue"/>
            <w:vAlign w:val="center"/>
          </w:tcPr>
          <w:p w14:paraId="073F4E0D">
            <w:pPr>
              <w:pStyle w:val="56"/>
              <w:keepNext w:val="0"/>
              <w:keepLines w:val="0"/>
              <w:pageBreakBefore w:val="0"/>
              <w:kinsoku/>
              <w:wordWrap/>
              <w:overflowPunct/>
              <w:topLinePunct w:val="0"/>
              <w:autoSpaceDE/>
              <w:autoSpaceDN/>
              <w:bidi w:val="0"/>
              <w:spacing w:line="240" w:lineRule="auto"/>
              <w:rPr>
                <w:rFonts w:hint="eastAsia" w:eastAsia="宋体" w:cs="Times New Roman"/>
                <w:color w:val="auto"/>
                <w:spacing w:val="0"/>
                <w:position w:val="0"/>
                <w:sz w:val="21"/>
                <w:szCs w:val="21"/>
                <w:lang w:eastAsia="zh-CN"/>
              </w:rPr>
            </w:pPr>
          </w:p>
        </w:tc>
        <w:tc>
          <w:tcPr>
            <w:tcW w:w="1700" w:type="dxa"/>
            <w:vAlign w:val="center"/>
          </w:tcPr>
          <w:p w14:paraId="23CA7C8A">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snapToGrid w:val="0"/>
                <w:color w:val="auto"/>
                <w:kern w:val="24"/>
                <w:szCs w:val="21"/>
              </w:rPr>
            </w:pPr>
            <w:r>
              <w:rPr>
                <w:rFonts w:hint="eastAsia"/>
                <w:snapToGrid w:val="0"/>
                <w:color w:val="auto"/>
                <w:kern w:val="24"/>
                <w:szCs w:val="21"/>
                <w:lang w:eastAsia="zh-CN"/>
              </w:rPr>
              <w:t>含油抹布和手套</w:t>
            </w:r>
          </w:p>
        </w:tc>
        <w:tc>
          <w:tcPr>
            <w:tcW w:w="1418" w:type="dxa"/>
            <w:vAlign w:val="center"/>
          </w:tcPr>
          <w:p w14:paraId="306FD9B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76" w:type="dxa"/>
            <w:vAlign w:val="center"/>
          </w:tcPr>
          <w:p w14:paraId="0DA3188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701" w:type="dxa"/>
            <w:vAlign w:val="center"/>
          </w:tcPr>
          <w:p w14:paraId="24F503CF">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59" w:type="dxa"/>
            <w:vAlign w:val="center"/>
          </w:tcPr>
          <w:p w14:paraId="380C6440">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0.02</w:t>
            </w:r>
          </w:p>
        </w:tc>
        <w:tc>
          <w:tcPr>
            <w:tcW w:w="1381" w:type="dxa"/>
            <w:vAlign w:val="center"/>
          </w:tcPr>
          <w:p w14:paraId="2A827B8D">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1ADFBBD4">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0.02</w:t>
            </w:r>
          </w:p>
        </w:tc>
        <w:tc>
          <w:tcPr>
            <w:tcW w:w="1215" w:type="dxa"/>
            <w:vAlign w:val="center"/>
          </w:tcPr>
          <w:p w14:paraId="7DCEC4B7">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exact"/>
              <w:ind w:left="0" w:leftChars="0" w:right="0" w:rightChars="0"/>
              <w:jc w:val="center"/>
              <w:rPr>
                <w:rFonts w:hint="eastAsia" w:cs="Times New Roman"/>
                <w:color w:val="auto"/>
                <w:spacing w:val="0"/>
                <w:position w:val="0"/>
                <w:sz w:val="21"/>
                <w:szCs w:val="21"/>
                <w:lang w:val="en-US" w:eastAsia="zh-CN"/>
              </w:rPr>
            </w:pPr>
            <w:r>
              <w:rPr>
                <w:rFonts w:hint="eastAsia" w:ascii="Times New Roman" w:hAnsi="Times New Roman" w:cs="Times New Roman"/>
                <w:b w:val="0"/>
                <w:bCs w:val="0"/>
                <w:color w:val="auto"/>
                <w:kern w:val="0"/>
                <w:sz w:val="21"/>
                <w:szCs w:val="21"/>
                <w:lang w:val="en-US" w:eastAsia="zh-CN" w:bidi="ar-SA"/>
              </w:rPr>
              <w:t>+0.02</w:t>
            </w:r>
          </w:p>
        </w:tc>
      </w:tr>
      <w:tr w14:paraId="62800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8" w:type="dxa"/>
            <w:vAlign w:val="center"/>
          </w:tcPr>
          <w:p w14:paraId="4FB5CCB2">
            <w:pPr>
              <w:pStyle w:val="5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pacing w:val="0"/>
                <w:position w:val="0"/>
                <w:sz w:val="21"/>
                <w:szCs w:val="21"/>
                <w:lang w:eastAsia="zh-CN"/>
              </w:rPr>
            </w:pPr>
            <w:r>
              <w:rPr>
                <w:rFonts w:hint="eastAsia" w:eastAsia="宋体" w:cs="Times New Roman"/>
                <w:color w:val="auto"/>
                <w:spacing w:val="0"/>
                <w:position w:val="0"/>
                <w:sz w:val="21"/>
                <w:szCs w:val="21"/>
                <w:lang w:eastAsia="zh-CN"/>
              </w:rPr>
              <w:t>生活垃圾</w:t>
            </w:r>
          </w:p>
        </w:tc>
        <w:tc>
          <w:tcPr>
            <w:tcW w:w="1700" w:type="dxa"/>
            <w:vAlign w:val="center"/>
          </w:tcPr>
          <w:p w14:paraId="0D868260">
            <w:pPr>
              <w:pStyle w:val="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生活垃圾</w:t>
            </w:r>
          </w:p>
        </w:tc>
        <w:tc>
          <w:tcPr>
            <w:tcW w:w="1418" w:type="dxa"/>
            <w:vAlign w:val="center"/>
          </w:tcPr>
          <w:p w14:paraId="48742728">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w:t>
            </w:r>
          </w:p>
        </w:tc>
        <w:tc>
          <w:tcPr>
            <w:tcW w:w="1276" w:type="dxa"/>
            <w:vAlign w:val="center"/>
          </w:tcPr>
          <w:p w14:paraId="6B840A55">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w:t>
            </w:r>
          </w:p>
        </w:tc>
        <w:tc>
          <w:tcPr>
            <w:tcW w:w="1701" w:type="dxa"/>
            <w:vAlign w:val="center"/>
          </w:tcPr>
          <w:p w14:paraId="6A6A1467">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w:t>
            </w:r>
          </w:p>
        </w:tc>
        <w:tc>
          <w:tcPr>
            <w:tcW w:w="1559" w:type="dxa"/>
            <w:vAlign w:val="center"/>
          </w:tcPr>
          <w:p w14:paraId="1BEC27E6">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7.5</w:t>
            </w:r>
          </w:p>
        </w:tc>
        <w:tc>
          <w:tcPr>
            <w:tcW w:w="1381" w:type="dxa"/>
            <w:vAlign w:val="center"/>
          </w:tcPr>
          <w:p w14:paraId="2124859D">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w:t>
            </w:r>
          </w:p>
        </w:tc>
        <w:tc>
          <w:tcPr>
            <w:tcW w:w="1950" w:type="dxa"/>
            <w:vAlign w:val="center"/>
          </w:tcPr>
          <w:p w14:paraId="34BF4FC0">
            <w:pPr>
              <w:keepNext w:val="0"/>
              <w:keepLines w:val="0"/>
              <w:pageBreakBefore w:val="0"/>
              <w:widowControl w:val="0"/>
              <w:kinsoku/>
              <w:wordWrap/>
              <w:overflowPunct/>
              <w:topLinePunct w:val="0"/>
              <w:bidi w:val="0"/>
              <w:snapToGrid/>
              <w:ind w:left="-105" w:leftChars="-50" w:right="-105" w:rightChars="-50"/>
              <w:jc w:val="center"/>
              <w:textAlignment w:val="auto"/>
              <w:rPr>
                <w:rFonts w:hint="eastAsia" w:cs="Times New Roman"/>
                <w:color w:val="auto"/>
                <w:spacing w:val="0"/>
                <w:position w:val="0"/>
                <w:sz w:val="21"/>
                <w:szCs w:val="21"/>
                <w:lang w:val="en-US" w:eastAsia="zh-CN"/>
              </w:rPr>
            </w:pPr>
            <w:r>
              <w:rPr>
                <w:rFonts w:hint="eastAsia"/>
                <w:snapToGrid w:val="0"/>
                <w:color w:val="auto"/>
                <w:kern w:val="24"/>
                <w:szCs w:val="21"/>
                <w:lang w:val="en-US" w:eastAsia="zh-CN"/>
              </w:rPr>
              <w:t>7.5</w:t>
            </w:r>
          </w:p>
        </w:tc>
        <w:tc>
          <w:tcPr>
            <w:tcW w:w="1215" w:type="dxa"/>
            <w:vAlign w:val="center"/>
          </w:tcPr>
          <w:p w14:paraId="6E65F198">
            <w:pPr>
              <w:keepNext w:val="0"/>
              <w:keepLines w:val="0"/>
              <w:pageBreakBefore w:val="0"/>
              <w:widowControl w:val="0"/>
              <w:kinsoku/>
              <w:wordWrap/>
              <w:overflowPunct/>
              <w:topLinePunct w:val="0"/>
              <w:bidi w:val="0"/>
              <w:snapToGrid/>
              <w:ind w:left="-105" w:leftChars="-50" w:right="-105" w:rightChars="-50"/>
              <w:jc w:val="center"/>
              <w:textAlignment w:val="auto"/>
              <w:rPr>
                <w:rFonts w:hint="eastAsia" w:cs="Times New Roman"/>
                <w:color w:val="auto"/>
                <w:spacing w:val="0"/>
                <w:position w:val="0"/>
                <w:sz w:val="21"/>
                <w:szCs w:val="21"/>
                <w:lang w:val="en-US" w:eastAsia="zh-CN"/>
              </w:rPr>
            </w:pPr>
            <w:r>
              <w:rPr>
                <w:rFonts w:hint="eastAsia"/>
                <w:snapToGrid w:val="0"/>
                <w:color w:val="auto"/>
                <w:kern w:val="24"/>
                <w:szCs w:val="21"/>
                <w:lang w:val="en-US" w:eastAsia="zh-CN"/>
              </w:rPr>
              <w:t>+7.5</w:t>
            </w:r>
          </w:p>
        </w:tc>
      </w:tr>
    </w:tbl>
    <w:p w14:paraId="58D587EB">
      <w:pPr>
        <w:pStyle w:val="15"/>
        <w:ind w:left="0" w:leftChars="0" w:firstLine="0" w:firstLineChars="0"/>
        <w:rPr>
          <w:color w:val="auto"/>
        </w:rPr>
      </w:pPr>
      <w:r>
        <w:rPr>
          <w:color w:val="auto"/>
        </w:rPr>
        <w:t>注：</w:t>
      </w:r>
      <w:r>
        <w:rPr>
          <w:rFonts w:hAnsi="宋体"/>
          <w:color w:val="auto"/>
          <w:spacing w:val="-3"/>
        </w:rPr>
        <w:t>⑥</w:t>
      </w:r>
      <w:r>
        <w:rPr>
          <w:rFonts w:eastAsia="Times New Roman"/>
          <w:color w:val="auto"/>
          <w:spacing w:val="-16"/>
        </w:rPr>
        <w:t>=</w:t>
      </w:r>
      <w:r>
        <w:rPr>
          <w:rFonts w:hAnsi="宋体"/>
          <w:color w:val="auto"/>
        </w:rPr>
        <w:t>①</w:t>
      </w:r>
      <w:r>
        <w:rPr>
          <w:rFonts w:eastAsia="Times New Roman"/>
          <w:color w:val="auto"/>
          <w:spacing w:val="-9"/>
        </w:rPr>
        <w:t>+</w:t>
      </w:r>
      <w:r>
        <w:rPr>
          <w:rFonts w:hAnsi="宋体"/>
          <w:color w:val="auto"/>
        </w:rPr>
        <w:t>③</w:t>
      </w:r>
      <w:r>
        <w:rPr>
          <w:rFonts w:eastAsia="Times New Roman"/>
          <w:color w:val="auto"/>
          <w:spacing w:val="-9"/>
        </w:rPr>
        <w:t>+</w:t>
      </w:r>
      <w:r>
        <w:rPr>
          <w:rFonts w:hAnsi="宋体"/>
          <w:color w:val="auto"/>
        </w:rPr>
        <w:t>④</w:t>
      </w:r>
      <w:r>
        <w:rPr>
          <w:rFonts w:eastAsia="Times New Roman"/>
          <w:color w:val="auto"/>
          <w:spacing w:val="-8"/>
        </w:rPr>
        <w:t>-</w:t>
      </w:r>
      <w:r>
        <w:rPr>
          <w:rFonts w:hAnsi="宋体"/>
          <w:color w:val="auto"/>
        </w:rPr>
        <w:t>⑤</w:t>
      </w:r>
      <w:r>
        <w:rPr>
          <w:color w:val="auto"/>
          <w:spacing w:val="-34"/>
        </w:rPr>
        <w:t>；</w:t>
      </w:r>
      <w:r>
        <w:rPr>
          <w:rFonts w:hAnsi="宋体"/>
          <w:color w:val="auto"/>
        </w:rPr>
        <w:t>⑦</w:t>
      </w:r>
      <w:r>
        <w:rPr>
          <w:rFonts w:eastAsia="Times New Roman"/>
          <w:color w:val="auto"/>
          <w:spacing w:val="-9"/>
        </w:rPr>
        <w:t>=</w:t>
      </w:r>
      <w:r>
        <w:rPr>
          <w:rFonts w:hAnsi="宋体"/>
          <w:color w:val="auto"/>
        </w:rPr>
        <w:t>⑥</w:t>
      </w:r>
      <w:r>
        <w:rPr>
          <w:rFonts w:eastAsia="Times New Roman"/>
          <w:color w:val="auto"/>
          <w:spacing w:val="-18"/>
        </w:rPr>
        <w:t>-</w:t>
      </w:r>
      <w:r>
        <w:rPr>
          <w:rFonts w:hAnsi="宋体"/>
          <w:color w:val="auto"/>
        </w:rPr>
        <w:t>①</w:t>
      </w:r>
    </w:p>
    <w:p w14:paraId="6208F1C5">
      <w:pPr>
        <w:spacing w:line="480" w:lineRule="auto"/>
        <w:jc w:val="both"/>
        <w:outlineLvl w:val="0"/>
        <w:rPr>
          <w:rFonts w:hint="eastAsia" w:eastAsia="宋体"/>
          <w:color w:val="auto"/>
          <w:lang w:eastAsia="zh-CN"/>
        </w:rPr>
        <w:sectPr>
          <w:pgSz w:w="16838" w:h="11906" w:orient="landscape"/>
          <w:pgMar w:top="1800" w:right="1440" w:bottom="1800" w:left="1440" w:header="851" w:footer="992" w:gutter="0"/>
          <w:cols w:space="425" w:num="1"/>
          <w:docGrid w:type="lines" w:linePitch="312" w:charSpace="0"/>
        </w:sectPr>
      </w:pPr>
    </w:p>
    <w:p w14:paraId="7471264B">
      <w:pPr>
        <w:spacing w:line="240" w:lineRule="auto"/>
        <w:jc w:val="left"/>
        <w:outlineLvl w:val="0"/>
        <w:rPr>
          <w:rFonts w:hint="eastAsia" w:eastAsia="宋体"/>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MingLiU">
    <w:panose1 w:val="02020509000000000000"/>
    <w:charset w:val="88"/>
    <w:family w:val="moder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C5BFB">
    <w:pPr>
      <w:pStyle w:val="21"/>
      <w:jc w:val="center"/>
    </w:pPr>
  </w:p>
  <w:p w14:paraId="3BB57091">
    <w:pPr>
      <w:pStyle w:val="2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453E7">
    <w:pPr>
      <w:pStyle w:val="21"/>
      <w:jc w:val="center"/>
    </w:pPr>
  </w:p>
  <w:p w14:paraId="12E0ABC0">
    <w:pPr>
      <w:pStyle w:val="2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09BA9">
    <w:pPr>
      <w:pStyle w:val="2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462F4">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AF462F4">
                    <w:pPr>
                      <w:pStyle w:val="21"/>
                    </w:pPr>
                    <w:r>
                      <w:fldChar w:fldCharType="begin"/>
                    </w:r>
                    <w:r>
                      <w:instrText xml:space="preserve"> PAGE  \* MERGEFORMAT </w:instrText>
                    </w:r>
                    <w:r>
                      <w:fldChar w:fldCharType="separate"/>
                    </w:r>
                    <w:r>
                      <w:t>1</w:t>
                    </w:r>
                    <w:r>
                      <w:fldChar w:fldCharType="end"/>
                    </w:r>
                  </w:p>
                </w:txbxContent>
              </v:textbox>
            </v:shape>
          </w:pict>
        </mc:Fallback>
      </mc:AlternateContent>
    </w:r>
  </w:p>
  <w:p w14:paraId="1F3ECA09">
    <w:pPr>
      <w:pStyle w:val="21"/>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38D040"/>
    <w:multiLevelType w:val="singleLevel"/>
    <w:tmpl w:val="4C38D040"/>
    <w:lvl w:ilvl="0" w:tentative="0">
      <w:start w:val="1"/>
      <w:numFmt w:val="decimal"/>
      <w:pStyle w:val="8"/>
      <w:lvlText w:val="%1."/>
      <w:lvlJc w:val="left"/>
      <w:pPr>
        <w:tabs>
          <w:tab w:val="left" w:pos="360"/>
        </w:tabs>
        <w:ind w:left="360" w:hanging="360"/>
      </w:pPr>
    </w:lvl>
  </w:abstractNum>
  <w:abstractNum w:abstractNumId="1">
    <w:nsid w:val="562C0DC8"/>
    <w:multiLevelType w:val="singleLevel"/>
    <w:tmpl w:val="562C0DC8"/>
    <w:lvl w:ilvl="0" w:tentative="0">
      <w:start w:val="6"/>
      <w:numFmt w:val="decimal"/>
      <w:suff w:val="nothing"/>
      <w:lvlText w:val="%1、"/>
      <w:lvlJc w:val="left"/>
    </w:lvl>
  </w:abstractNum>
  <w:abstractNum w:abstractNumId="2">
    <w:nsid w:val="6632D6A8"/>
    <w:multiLevelType w:val="singleLevel"/>
    <w:tmpl w:val="6632D6A8"/>
    <w:lvl w:ilvl="0" w:tentative="0">
      <w:start w:val="2"/>
      <w:numFmt w:val="decimal"/>
      <w:suff w:val="nothing"/>
      <w:lvlText w:val="%1）"/>
      <w:lvlJc w:val="left"/>
    </w:lvl>
  </w:abstractNum>
  <w:abstractNum w:abstractNumId="3">
    <w:nsid w:val="7866D737"/>
    <w:multiLevelType w:val="multilevel"/>
    <w:tmpl w:val="7866D73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xNjMyNTViYmRjZjc4YTg0NGUyZGMzZGMyNzI4MzIifQ=="/>
  </w:docVars>
  <w:rsids>
    <w:rsidRoot w:val="00172A27"/>
    <w:rsid w:val="00016698"/>
    <w:rsid w:val="00025495"/>
    <w:rsid w:val="00076791"/>
    <w:rsid w:val="000943C8"/>
    <w:rsid w:val="00133387"/>
    <w:rsid w:val="001A3A69"/>
    <w:rsid w:val="00220C44"/>
    <w:rsid w:val="002304F4"/>
    <w:rsid w:val="00367C7C"/>
    <w:rsid w:val="003840BE"/>
    <w:rsid w:val="004D5131"/>
    <w:rsid w:val="00515DDF"/>
    <w:rsid w:val="00523EB0"/>
    <w:rsid w:val="00621C19"/>
    <w:rsid w:val="00675481"/>
    <w:rsid w:val="00682AFB"/>
    <w:rsid w:val="00683A8F"/>
    <w:rsid w:val="006A5E20"/>
    <w:rsid w:val="006F6E22"/>
    <w:rsid w:val="007A3406"/>
    <w:rsid w:val="007C717F"/>
    <w:rsid w:val="008764AE"/>
    <w:rsid w:val="00937640"/>
    <w:rsid w:val="00A3470B"/>
    <w:rsid w:val="00C00E64"/>
    <w:rsid w:val="00CB5A10"/>
    <w:rsid w:val="00CF6FBB"/>
    <w:rsid w:val="00D21CAA"/>
    <w:rsid w:val="00D94C1C"/>
    <w:rsid w:val="00DA5C53"/>
    <w:rsid w:val="00EB4E03"/>
    <w:rsid w:val="00F55E33"/>
    <w:rsid w:val="010A29DC"/>
    <w:rsid w:val="010F3B4F"/>
    <w:rsid w:val="012D0479"/>
    <w:rsid w:val="012E34F5"/>
    <w:rsid w:val="01317F69"/>
    <w:rsid w:val="013435B5"/>
    <w:rsid w:val="014C6B51"/>
    <w:rsid w:val="014D0B1B"/>
    <w:rsid w:val="01503938"/>
    <w:rsid w:val="015E5D03"/>
    <w:rsid w:val="015F40C2"/>
    <w:rsid w:val="016C71F3"/>
    <w:rsid w:val="01727E58"/>
    <w:rsid w:val="0176597C"/>
    <w:rsid w:val="017B11E4"/>
    <w:rsid w:val="0184657F"/>
    <w:rsid w:val="01883901"/>
    <w:rsid w:val="018A1427"/>
    <w:rsid w:val="018A1607"/>
    <w:rsid w:val="018B7317"/>
    <w:rsid w:val="0196601E"/>
    <w:rsid w:val="019B6940"/>
    <w:rsid w:val="019D55FE"/>
    <w:rsid w:val="01A15DCF"/>
    <w:rsid w:val="01A26771"/>
    <w:rsid w:val="01AF70E0"/>
    <w:rsid w:val="01BC1CFB"/>
    <w:rsid w:val="01C34939"/>
    <w:rsid w:val="01C74429"/>
    <w:rsid w:val="01C97189"/>
    <w:rsid w:val="01CA3538"/>
    <w:rsid w:val="01D20C73"/>
    <w:rsid w:val="01D66BDF"/>
    <w:rsid w:val="01DB23E9"/>
    <w:rsid w:val="01E704A0"/>
    <w:rsid w:val="01EF3980"/>
    <w:rsid w:val="01F1249D"/>
    <w:rsid w:val="01F510ED"/>
    <w:rsid w:val="020147F5"/>
    <w:rsid w:val="020339F1"/>
    <w:rsid w:val="020E3E06"/>
    <w:rsid w:val="02105DD0"/>
    <w:rsid w:val="022655F4"/>
    <w:rsid w:val="023A109F"/>
    <w:rsid w:val="023A60BA"/>
    <w:rsid w:val="02427F54"/>
    <w:rsid w:val="02467A44"/>
    <w:rsid w:val="024806E1"/>
    <w:rsid w:val="024912E2"/>
    <w:rsid w:val="025008C3"/>
    <w:rsid w:val="02591C86"/>
    <w:rsid w:val="026B268D"/>
    <w:rsid w:val="026B74AB"/>
    <w:rsid w:val="026C6D7F"/>
    <w:rsid w:val="027E058D"/>
    <w:rsid w:val="028400BA"/>
    <w:rsid w:val="02880B7A"/>
    <w:rsid w:val="02983DEE"/>
    <w:rsid w:val="02AE0293"/>
    <w:rsid w:val="02BD31FE"/>
    <w:rsid w:val="02BE39F3"/>
    <w:rsid w:val="02D154F8"/>
    <w:rsid w:val="02D71885"/>
    <w:rsid w:val="02D7523F"/>
    <w:rsid w:val="02DC76FD"/>
    <w:rsid w:val="02E01C47"/>
    <w:rsid w:val="02E244CB"/>
    <w:rsid w:val="02ED1C6E"/>
    <w:rsid w:val="03140DA8"/>
    <w:rsid w:val="032F2286"/>
    <w:rsid w:val="03304250"/>
    <w:rsid w:val="033C49A3"/>
    <w:rsid w:val="033C722B"/>
    <w:rsid w:val="034F4BFC"/>
    <w:rsid w:val="03547EE0"/>
    <w:rsid w:val="035C508B"/>
    <w:rsid w:val="037405E1"/>
    <w:rsid w:val="037751CA"/>
    <w:rsid w:val="037D6FD0"/>
    <w:rsid w:val="03914CEF"/>
    <w:rsid w:val="03920A67"/>
    <w:rsid w:val="039667A9"/>
    <w:rsid w:val="03A04F32"/>
    <w:rsid w:val="03A16222"/>
    <w:rsid w:val="03AC0546"/>
    <w:rsid w:val="03EC192C"/>
    <w:rsid w:val="03EC7C9F"/>
    <w:rsid w:val="03F637F9"/>
    <w:rsid w:val="03F82FC0"/>
    <w:rsid w:val="03FA2B26"/>
    <w:rsid w:val="040E6340"/>
    <w:rsid w:val="04105E54"/>
    <w:rsid w:val="041A2636"/>
    <w:rsid w:val="04242D8F"/>
    <w:rsid w:val="04267B2D"/>
    <w:rsid w:val="042F62B6"/>
    <w:rsid w:val="04310280"/>
    <w:rsid w:val="0433593E"/>
    <w:rsid w:val="043B416D"/>
    <w:rsid w:val="043E061A"/>
    <w:rsid w:val="045A1585"/>
    <w:rsid w:val="045F340D"/>
    <w:rsid w:val="04714B20"/>
    <w:rsid w:val="0475016D"/>
    <w:rsid w:val="04893C18"/>
    <w:rsid w:val="04A44EF6"/>
    <w:rsid w:val="04AC5B58"/>
    <w:rsid w:val="04B748FF"/>
    <w:rsid w:val="04BE4CA1"/>
    <w:rsid w:val="04C42EA2"/>
    <w:rsid w:val="04C93849"/>
    <w:rsid w:val="04D1736D"/>
    <w:rsid w:val="04D31337"/>
    <w:rsid w:val="04DD619A"/>
    <w:rsid w:val="04FA1B9E"/>
    <w:rsid w:val="04FA68C4"/>
    <w:rsid w:val="050125B3"/>
    <w:rsid w:val="05195009"/>
    <w:rsid w:val="051A2E33"/>
    <w:rsid w:val="05251A45"/>
    <w:rsid w:val="05277AB9"/>
    <w:rsid w:val="053C6EDC"/>
    <w:rsid w:val="053D35EE"/>
    <w:rsid w:val="05453FE3"/>
    <w:rsid w:val="0550067E"/>
    <w:rsid w:val="055B706D"/>
    <w:rsid w:val="056106F1"/>
    <w:rsid w:val="05656433"/>
    <w:rsid w:val="05706B86"/>
    <w:rsid w:val="058954CE"/>
    <w:rsid w:val="05940AC6"/>
    <w:rsid w:val="059718AE"/>
    <w:rsid w:val="059C0C88"/>
    <w:rsid w:val="05A54A82"/>
    <w:rsid w:val="05AC4062"/>
    <w:rsid w:val="05B15E5D"/>
    <w:rsid w:val="05B27C44"/>
    <w:rsid w:val="05B44CC5"/>
    <w:rsid w:val="05B86E6A"/>
    <w:rsid w:val="05BC001D"/>
    <w:rsid w:val="05BE72E8"/>
    <w:rsid w:val="05C56ED2"/>
    <w:rsid w:val="05CD3FD8"/>
    <w:rsid w:val="05E355AA"/>
    <w:rsid w:val="05ED2BE6"/>
    <w:rsid w:val="05EF03F3"/>
    <w:rsid w:val="05F27D99"/>
    <w:rsid w:val="05F461E5"/>
    <w:rsid w:val="05F72E03"/>
    <w:rsid w:val="05FD496D"/>
    <w:rsid w:val="06112117"/>
    <w:rsid w:val="0611588E"/>
    <w:rsid w:val="061F2A86"/>
    <w:rsid w:val="062C7870"/>
    <w:rsid w:val="06383D44"/>
    <w:rsid w:val="063E4AA0"/>
    <w:rsid w:val="06450047"/>
    <w:rsid w:val="064B44C8"/>
    <w:rsid w:val="06587D46"/>
    <w:rsid w:val="066606B5"/>
    <w:rsid w:val="066F0F41"/>
    <w:rsid w:val="068448FD"/>
    <w:rsid w:val="06862B05"/>
    <w:rsid w:val="06AA5FE0"/>
    <w:rsid w:val="06BF2F4B"/>
    <w:rsid w:val="06C158EB"/>
    <w:rsid w:val="06C21663"/>
    <w:rsid w:val="06C278B5"/>
    <w:rsid w:val="06C71910"/>
    <w:rsid w:val="06C76DE6"/>
    <w:rsid w:val="06C947A0"/>
    <w:rsid w:val="06D373CC"/>
    <w:rsid w:val="06D53145"/>
    <w:rsid w:val="06D66EBD"/>
    <w:rsid w:val="06F51A39"/>
    <w:rsid w:val="06FF6413"/>
    <w:rsid w:val="07036F3E"/>
    <w:rsid w:val="07057767"/>
    <w:rsid w:val="070C63F7"/>
    <w:rsid w:val="070E6657"/>
    <w:rsid w:val="071A6FCB"/>
    <w:rsid w:val="071C5B49"/>
    <w:rsid w:val="072916E2"/>
    <w:rsid w:val="072C7195"/>
    <w:rsid w:val="07305F29"/>
    <w:rsid w:val="07373DFF"/>
    <w:rsid w:val="07392174"/>
    <w:rsid w:val="074F4623"/>
    <w:rsid w:val="07546F90"/>
    <w:rsid w:val="075E1037"/>
    <w:rsid w:val="07672A07"/>
    <w:rsid w:val="0772426A"/>
    <w:rsid w:val="07746E01"/>
    <w:rsid w:val="07852DBD"/>
    <w:rsid w:val="078D3A39"/>
    <w:rsid w:val="07A80859"/>
    <w:rsid w:val="07AA637F"/>
    <w:rsid w:val="07AB0349"/>
    <w:rsid w:val="07B436A2"/>
    <w:rsid w:val="07C11432"/>
    <w:rsid w:val="07D75231"/>
    <w:rsid w:val="07DE3552"/>
    <w:rsid w:val="07E4290F"/>
    <w:rsid w:val="07E531DF"/>
    <w:rsid w:val="07ED4E2A"/>
    <w:rsid w:val="08064057"/>
    <w:rsid w:val="080A32C2"/>
    <w:rsid w:val="080E0ED3"/>
    <w:rsid w:val="08256325"/>
    <w:rsid w:val="082F4AD6"/>
    <w:rsid w:val="083245C7"/>
    <w:rsid w:val="083D3697"/>
    <w:rsid w:val="084A5DB4"/>
    <w:rsid w:val="084B6148"/>
    <w:rsid w:val="08514A4D"/>
    <w:rsid w:val="085D5AE7"/>
    <w:rsid w:val="086230FE"/>
    <w:rsid w:val="08624EAC"/>
    <w:rsid w:val="08732C15"/>
    <w:rsid w:val="0878105A"/>
    <w:rsid w:val="087D3A94"/>
    <w:rsid w:val="087F5A5E"/>
    <w:rsid w:val="08940DDD"/>
    <w:rsid w:val="08A70B11"/>
    <w:rsid w:val="08A90AB9"/>
    <w:rsid w:val="08AB6853"/>
    <w:rsid w:val="08AE6343"/>
    <w:rsid w:val="08B767EB"/>
    <w:rsid w:val="08CF1BA3"/>
    <w:rsid w:val="08E857F4"/>
    <w:rsid w:val="08FA7353"/>
    <w:rsid w:val="09063A89"/>
    <w:rsid w:val="09093579"/>
    <w:rsid w:val="09095327"/>
    <w:rsid w:val="0911242E"/>
    <w:rsid w:val="091645F9"/>
    <w:rsid w:val="091E6AF0"/>
    <w:rsid w:val="093C56FD"/>
    <w:rsid w:val="093E21E5"/>
    <w:rsid w:val="09452F50"/>
    <w:rsid w:val="0946583B"/>
    <w:rsid w:val="094B53A3"/>
    <w:rsid w:val="095F06BB"/>
    <w:rsid w:val="096609CC"/>
    <w:rsid w:val="096663F0"/>
    <w:rsid w:val="0983332C"/>
    <w:rsid w:val="098D6D69"/>
    <w:rsid w:val="09916504"/>
    <w:rsid w:val="099472E7"/>
    <w:rsid w:val="09976548"/>
    <w:rsid w:val="09A42ECC"/>
    <w:rsid w:val="09AD03A9"/>
    <w:rsid w:val="09AD3DB5"/>
    <w:rsid w:val="09B434E5"/>
    <w:rsid w:val="09C13E54"/>
    <w:rsid w:val="09CE5FB9"/>
    <w:rsid w:val="09D002D8"/>
    <w:rsid w:val="09D242DF"/>
    <w:rsid w:val="09DB4F16"/>
    <w:rsid w:val="09DC0C8E"/>
    <w:rsid w:val="09DE4A07"/>
    <w:rsid w:val="09DE7C9B"/>
    <w:rsid w:val="09DF42DA"/>
    <w:rsid w:val="09F2225F"/>
    <w:rsid w:val="09F2265C"/>
    <w:rsid w:val="09F77876"/>
    <w:rsid w:val="09FF2FCE"/>
    <w:rsid w:val="0A03572A"/>
    <w:rsid w:val="0A082DB2"/>
    <w:rsid w:val="0A165CFB"/>
    <w:rsid w:val="0A195A3E"/>
    <w:rsid w:val="0A1A6D61"/>
    <w:rsid w:val="0A2F75F7"/>
    <w:rsid w:val="0A3D6784"/>
    <w:rsid w:val="0A516F86"/>
    <w:rsid w:val="0A5A7E1E"/>
    <w:rsid w:val="0A682522"/>
    <w:rsid w:val="0A73514E"/>
    <w:rsid w:val="0A7809B7"/>
    <w:rsid w:val="0A7D421F"/>
    <w:rsid w:val="0A805ABD"/>
    <w:rsid w:val="0A84735B"/>
    <w:rsid w:val="0A8B6BDA"/>
    <w:rsid w:val="0A8E1F88"/>
    <w:rsid w:val="0A9F4195"/>
    <w:rsid w:val="0ABD286D"/>
    <w:rsid w:val="0ABD2ABB"/>
    <w:rsid w:val="0AC21634"/>
    <w:rsid w:val="0ADD4CBE"/>
    <w:rsid w:val="0AE147AE"/>
    <w:rsid w:val="0AE448AF"/>
    <w:rsid w:val="0AE947F7"/>
    <w:rsid w:val="0AFB7EB0"/>
    <w:rsid w:val="0AFF4706"/>
    <w:rsid w:val="0B0C7351"/>
    <w:rsid w:val="0B105BE2"/>
    <w:rsid w:val="0B1D49EA"/>
    <w:rsid w:val="0B2011CB"/>
    <w:rsid w:val="0B310B66"/>
    <w:rsid w:val="0B352404"/>
    <w:rsid w:val="0B362885"/>
    <w:rsid w:val="0B3643CE"/>
    <w:rsid w:val="0B460AB5"/>
    <w:rsid w:val="0B5F3D2C"/>
    <w:rsid w:val="0B61144B"/>
    <w:rsid w:val="0B642CE9"/>
    <w:rsid w:val="0B663F07"/>
    <w:rsid w:val="0B73117E"/>
    <w:rsid w:val="0B8213C1"/>
    <w:rsid w:val="0B8A36AB"/>
    <w:rsid w:val="0B8B2FC0"/>
    <w:rsid w:val="0B8B64C8"/>
    <w:rsid w:val="0B996710"/>
    <w:rsid w:val="0B9B3CF5"/>
    <w:rsid w:val="0BA37C5D"/>
    <w:rsid w:val="0BA678F1"/>
    <w:rsid w:val="0BAA54A0"/>
    <w:rsid w:val="0BAB4DCA"/>
    <w:rsid w:val="0BB302F8"/>
    <w:rsid w:val="0BDE0CED"/>
    <w:rsid w:val="0BF202F5"/>
    <w:rsid w:val="0BF74031"/>
    <w:rsid w:val="0BFF061B"/>
    <w:rsid w:val="0C001ED3"/>
    <w:rsid w:val="0C0369A6"/>
    <w:rsid w:val="0C193AD3"/>
    <w:rsid w:val="0C497F29"/>
    <w:rsid w:val="0C525237"/>
    <w:rsid w:val="0C526FE5"/>
    <w:rsid w:val="0C590977"/>
    <w:rsid w:val="0C7A5A87"/>
    <w:rsid w:val="0C7B39F0"/>
    <w:rsid w:val="0C83338F"/>
    <w:rsid w:val="0C8353F1"/>
    <w:rsid w:val="0C871385"/>
    <w:rsid w:val="0C874EE1"/>
    <w:rsid w:val="0C937D2A"/>
    <w:rsid w:val="0C985340"/>
    <w:rsid w:val="0C9E22C5"/>
    <w:rsid w:val="0CA5332B"/>
    <w:rsid w:val="0CA737D5"/>
    <w:rsid w:val="0CB047C5"/>
    <w:rsid w:val="0CD21ED4"/>
    <w:rsid w:val="0CD34E7E"/>
    <w:rsid w:val="0CE1722F"/>
    <w:rsid w:val="0CE57E5A"/>
    <w:rsid w:val="0CF63E15"/>
    <w:rsid w:val="0CF85DDF"/>
    <w:rsid w:val="0CF87B8D"/>
    <w:rsid w:val="0D0B5B12"/>
    <w:rsid w:val="0D0E73B0"/>
    <w:rsid w:val="0D17494B"/>
    <w:rsid w:val="0D186481"/>
    <w:rsid w:val="0D3F3A0E"/>
    <w:rsid w:val="0D422A78"/>
    <w:rsid w:val="0D4508F8"/>
    <w:rsid w:val="0D4A2254"/>
    <w:rsid w:val="0D4C612B"/>
    <w:rsid w:val="0D5C56ED"/>
    <w:rsid w:val="0D676AC1"/>
    <w:rsid w:val="0D6945E7"/>
    <w:rsid w:val="0D74731F"/>
    <w:rsid w:val="0D772860"/>
    <w:rsid w:val="0D784215"/>
    <w:rsid w:val="0D7F3A1E"/>
    <w:rsid w:val="0D870D2C"/>
    <w:rsid w:val="0D8B76E1"/>
    <w:rsid w:val="0D907A7B"/>
    <w:rsid w:val="0D93239D"/>
    <w:rsid w:val="0D933D59"/>
    <w:rsid w:val="0D9A6E96"/>
    <w:rsid w:val="0DA73361"/>
    <w:rsid w:val="0DB25F8E"/>
    <w:rsid w:val="0DBA3094"/>
    <w:rsid w:val="0DCF1D06"/>
    <w:rsid w:val="0DDC74AE"/>
    <w:rsid w:val="0DE6032D"/>
    <w:rsid w:val="0DEB14A0"/>
    <w:rsid w:val="0DED5218"/>
    <w:rsid w:val="0DF0237B"/>
    <w:rsid w:val="0E0E518E"/>
    <w:rsid w:val="0E103FD3"/>
    <w:rsid w:val="0E124C7E"/>
    <w:rsid w:val="0E15476E"/>
    <w:rsid w:val="0E1F739B"/>
    <w:rsid w:val="0E243758"/>
    <w:rsid w:val="0E3F0800"/>
    <w:rsid w:val="0E4868F2"/>
    <w:rsid w:val="0E4A5E15"/>
    <w:rsid w:val="0E4D5CB6"/>
    <w:rsid w:val="0E6059EA"/>
    <w:rsid w:val="0E6179B4"/>
    <w:rsid w:val="0E6F20D1"/>
    <w:rsid w:val="0E747469"/>
    <w:rsid w:val="0E7E6F87"/>
    <w:rsid w:val="0E7F23BF"/>
    <w:rsid w:val="0E8933E8"/>
    <w:rsid w:val="0E8C0841"/>
    <w:rsid w:val="0E912047"/>
    <w:rsid w:val="0E9953A0"/>
    <w:rsid w:val="0EA4331A"/>
    <w:rsid w:val="0EA646CE"/>
    <w:rsid w:val="0EAB2800"/>
    <w:rsid w:val="0EAC1DBE"/>
    <w:rsid w:val="0EAF6BDB"/>
    <w:rsid w:val="0EB57F28"/>
    <w:rsid w:val="0EB96B98"/>
    <w:rsid w:val="0ED00D7B"/>
    <w:rsid w:val="0ED5487A"/>
    <w:rsid w:val="0EF160CD"/>
    <w:rsid w:val="0EF27B89"/>
    <w:rsid w:val="0EF44332"/>
    <w:rsid w:val="0EFB5376"/>
    <w:rsid w:val="0EFD148A"/>
    <w:rsid w:val="0F03241F"/>
    <w:rsid w:val="0F032819"/>
    <w:rsid w:val="0F082282"/>
    <w:rsid w:val="0F0942D3"/>
    <w:rsid w:val="0F0C791F"/>
    <w:rsid w:val="0F1D7F5B"/>
    <w:rsid w:val="0F264E85"/>
    <w:rsid w:val="0F2C698C"/>
    <w:rsid w:val="0F3063CE"/>
    <w:rsid w:val="0F386966"/>
    <w:rsid w:val="0F3F30AF"/>
    <w:rsid w:val="0F4277E5"/>
    <w:rsid w:val="0F4457B2"/>
    <w:rsid w:val="0F4B0FC9"/>
    <w:rsid w:val="0F503CB0"/>
    <w:rsid w:val="0F5F0397"/>
    <w:rsid w:val="0F6459AD"/>
    <w:rsid w:val="0F6E4136"/>
    <w:rsid w:val="0F713C26"/>
    <w:rsid w:val="0F73174D"/>
    <w:rsid w:val="0F776CB7"/>
    <w:rsid w:val="0F7B4AA5"/>
    <w:rsid w:val="0F895CE2"/>
    <w:rsid w:val="0F895E9B"/>
    <w:rsid w:val="0FAC0E16"/>
    <w:rsid w:val="0FB41DBD"/>
    <w:rsid w:val="0FB51D65"/>
    <w:rsid w:val="0FB568C1"/>
    <w:rsid w:val="0FBF4DAB"/>
    <w:rsid w:val="0FC0634A"/>
    <w:rsid w:val="0FD11502"/>
    <w:rsid w:val="0FEC465E"/>
    <w:rsid w:val="0FF3288D"/>
    <w:rsid w:val="0FFD0FD3"/>
    <w:rsid w:val="0FFD1ADE"/>
    <w:rsid w:val="101822F4"/>
    <w:rsid w:val="101A2510"/>
    <w:rsid w:val="101E3DAE"/>
    <w:rsid w:val="102175BB"/>
    <w:rsid w:val="1022105B"/>
    <w:rsid w:val="10246EEB"/>
    <w:rsid w:val="10257C7F"/>
    <w:rsid w:val="102D3FF1"/>
    <w:rsid w:val="102E76EB"/>
    <w:rsid w:val="10321608"/>
    <w:rsid w:val="10362BFB"/>
    <w:rsid w:val="10390BE8"/>
    <w:rsid w:val="10391350"/>
    <w:rsid w:val="103C5FE2"/>
    <w:rsid w:val="1046124C"/>
    <w:rsid w:val="10467BD4"/>
    <w:rsid w:val="10505922"/>
    <w:rsid w:val="106B4B1A"/>
    <w:rsid w:val="10704411"/>
    <w:rsid w:val="107076DB"/>
    <w:rsid w:val="1074577C"/>
    <w:rsid w:val="1075779D"/>
    <w:rsid w:val="108160EB"/>
    <w:rsid w:val="108A4FA0"/>
    <w:rsid w:val="108C51BC"/>
    <w:rsid w:val="108F60A9"/>
    <w:rsid w:val="1093567D"/>
    <w:rsid w:val="109E4EEF"/>
    <w:rsid w:val="10AB02C6"/>
    <w:rsid w:val="10AD0C8E"/>
    <w:rsid w:val="10CA5CE4"/>
    <w:rsid w:val="10CD30DE"/>
    <w:rsid w:val="10D4446D"/>
    <w:rsid w:val="10DF0AEE"/>
    <w:rsid w:val="10E979DD"/>
    <w:rsid w:val="10F642DF"/>
    <w:rsid w:val="1101791C"/>
    <w:rsid w:val="1102722C"/>
    <w:rsid w:val="110A1967"/>
    <w:rsid w:val="11124F95"/>
    <w:rsid w:val="111637D2"/>
    <w:rsid w:val="111A02B4"/>
    <w:rsid w:val="112154E4"/>
    <w:rsid w:val="1122167C"/>
    <w:rsid w:val="11477335"/>
    <w:rsid w:val="115346C8"/>
    <w:rsid w:val="11641C72"/>
    <w:rsid w:val="116A7687"/>
    <w:rsid w:val="117855F0"/>
    <w:rsid w:val="118E03B4"/>
    <w:rsid w:val="1192733C"/>
    <w:rsid w:val="11AE5779"/>
    <w:rsid w:val="11BA7B07"/>
    <w:rsid w:val="11C47BB0"/>
    <w:rsid w:val="11D54941"/>
    <w:rsid w:val="11F34DC7"/>
    <w:rsid w:val="11F36B75"/>
    <w:rsid w:val="12103BCB"/>
    <w:rsid w:val="1212636B"/>
    <w:rsid w:val="12170AB5"/>
    <w:rsid w:val="121865DB"/>
    <w:rsid w:val="122431D2"/>
    <w:rsid w:val="12333415"/>
    <w:rsid w:val="123C676E"/>
    <w:rsid w:val="12502219"/>
    <w:rsid w:val="12525F80"/>
    <w:rsid w:val="125A4E46"/>
    <w:rsid w:val="125E4936"/>
    <w:rsid w:val="12686540"/>
    <w:rsid w:val="126C254B"/>
    <w:rsid w:val="127557DC"/>
    <w:rsid w:val="127B54E8"/>
    <w:rsid w:val="1288550F"/>
    <w:rsid w:val="128F4AEF"/>
    <w:rsid w:val="1299596E"/>
    <w:rsid w:val="12A444E8"/>
    <w:rsid w:val="12A5732F"/>
    <w:rsid w:val="12AC5875"/>
    <w:rsid w:val="12B96010"/>
    <w:rsid w:val="12BC631D"/>
    <w:rsid w:val="12BF34AC"/>
    <w:rsid w:val="12BF47EB"/>
    <w:rsid w:val="12C47AD5"/>
    <w:rsid w:val="12C50D7D"/>
    <w:rsid w:val="12CB2B47"/>
    <w:rsid w:val="12D11331"/>
    <w:rsid w:val="12D2305F"/>
    <w:rsid w:val="12E12E71"/>
    <w:rsid w:val="12E7492B"/>
    <w:rsid w:val="12E86732"/>
    <w:rsid w:val="12F2507E"/>
    <w:rsid w:val="13010F42"/>
    <w:rsid w:val="13117BFA"/>
    <w:rsid w:val="13166FBF"/>
    <w:rsid w:val="13174AE5"/>
    <w:rsid w:val="13187C81"/>
    <w:rsid w:val="131B6383"/>
    <w:rsid w:val="13235525"/>
    <w:rsid w:val="133253C2"/>
    <w:rsid w:val="133B3709"/>
    <w:rsid w:val="13433B2C"/>
    <w:rsid w:val="134411F9"/>
    <w:rsid w:val="1347361C"/>
    <w:rsid w:val="134850E0"/>
    <w:rsid w:val="13517FF7"/>
    <w:rsid w:val="13577FA6"/>
    <w:rsid w:val="1378444A"/>
    <w:rsid w:val="13822829"/>
    <w:rsid w:val="1399374C"/>
    <w:rsid w:val="139D499C"/>
    <w:rsid w:val="13A16CBF"/>
    <w:rsid w:val="13AF2F6F"/>
    <w:rsid w:val="13B3480E"/>
    <w:rsid w:val="13C06F2A"/>
    <w:rsid w:val="13C0783C"/>
    <w:rsid w:val="13E175CD"/>
    <w:rsid w:val="13E37991"/>
    <w:rsid w:val="13EE5846"/>
    <w:rsid w:val="14051F81"/>
    <w:rsid w:val="14074B59"/>
    <w:rsid w:val="140B289C"/>
    <w:rsid w:val="14172FEE"/>
    <w:rsid w:val="141D612B"/>
    <w:rsid w:val="14223741"/>
    <w:rsid w:val="142676D5"/>
    <w:rsid w:val="142B6A9A"/>
    <w:rsid w:val="14321BD6"/>
    <w:rsid w:val="143F2545"/>
    <w:rsid w:val="14401E8B"/>
    <w:rsid w:val="14521453"/>
    <w:rsid w:val="1459605D"/>
    <w:rsid w:val="145A197A"/>
    <w:rsid w:val="14605849"/>
    <w:rsid w:val="14636234"/>
    <w:rsid w:val="146E1FB8"/>
    <w:rsid w:val="14757A62"/>
    <w:rsid w:val="147710D6"/>
    <w:rsid w:val="147D23CE"/>
    <w:rsid w:val="147F2EA9"/>
    <w:rsid w:val="148A7C64"/>
    <w:rsid w:val="14917DE6"/>
    <w:rsid w:val="149442E3"/>
    <w:rsid w:val="149C34F4"/>
    <w:rsid w:val="149F2000"/>
    <w:rsid w:val="14A10B0A"/>
    <w:rsid w:val="14B06F9F"/>
    <w:rsid w:val="14B12B8F"/>
    <w:rsid w:val="14BA1BCC"/>
    <w:rsid w:val="14CF5677"/>
    <w:rsid w:val="14D715F3"/>
    <w:rsid w:val="14DA0867"/>
    <w:rsid w:val="14DB6E89"/>
    <w:rsid w:val="14E425E7"/>
    <w:rsid w:val="14FC201D"/>
    <w:rsid w:val="150115A9"/>
    <w:rsid w:val="15035321"/>
    <w:rsid w:val="15046EF8"/>
    <w:rsid w:val="15072F1C"/>
    <w:rsid w:val="151237B6"/>
    <w:rsid w:val="151C682B"/>
    <w:rsid w:val="152448FE"/>
    <w:rsid w:val="152710DE"/>
    <w:rsid w:val="152754B3"/>
    <w:rsid w:val="153030CC"/>
    <w:rsid w:val="153151ED"/>
    <w:rsid w:val="153B0F5F"/>
    <w:rsid w:val="153D4CD7"/>
    <w:rsid w:val="153E7F03"/>
    <w:rsid w:val="15507EB4"/>
    <w:rsid w:val="15512925"/>
    <w:rsid w:val="15545B7C"/>
    <w:rsid w:val="15636A34"/>
    <w:rsid w:val="157E0E4B"/>
    <w:rsid w:val="158F12AA"/>
    <w:rsid w:val="158F3058"/>
    <w:rsid w:val="15A61B3B"/>
    <w:rsid w:val="15B30AF5"/>
    <w:rsid w:val="15B946B5"/>
    <w:rsid w:val="15B94922"/>
    <w:rsid w:val="15C26F8A"/>
    <w:rsid w:val="15CA1157"/>
    <w:rsid w:val="15CC520E"/>
    <w:rsid w:val="15D05B4B"/>
    <w:rsid w:val="15EC4007"/>
    <w:rsid w:val="15F221E6"/>
    <w:rsid w:val="15FD448C"/>
    <w:rsid w:val="160550C9"/>
    <w:rsid w:val="16204A74"/>
    <w:rsid w:val="163035FF"/>
    <w:rsid w:val="16354792"/>
    <w:rsid w:val="164A7771"/>
    <w:rsid w:val="164E1693"/>
    <w:rsid w:val="1655348E"/>
    <w:rsid w:val="165572DE"/>
    <w:rsid w:val="165A3666"/>
    <w:rsid w:val="16670DD7"/>
    <w:rsid w:val="167209B0"/>
    <w:rsid w:val="167570BE"/>
    <w:rsid w:val="1682323F"/>
    <w:rsid w:val="16872E08"/>
    <w:rsid w:val="169C77DB"/>
    <w:rsid w:val="16A56DF3"/>
    <w:rsid w:val="16AD5235"/>
    <w:rsid w:val="16AF39B2"/>
    <w:rsid w:val="16B07F1A"/>
    <w:rsid w:val="16B25250"/>
    <w:rsid w:val="16B33B0F"/>
    <w:rsid w:val="16B46741"/>
    <w:rsid w:val="16C520D5"/>
    <w:rsid w:val="16CD5BE6"/>
    <w:rsid w:val="16D25B56"/>
    <w:rsid w:val="16D9538A"/>
    <w:rsid w:val="16E80C72"/>
    <w:rsid w:val="16EF2001"/>
    <w:rsid w:val="16FB7D77"/>
    <w:rsid w:val="16FE3FF2"/>
    <w:rsid w:val="16FE5DB8"/>
    <w:rsid w:val="16FF02BE"/>
    <w:rsid w:val="17077F2B"/>
    <w:rsid w:val="17125526"/>
    <w:rsid w:val="17165682"/>
    <w:rsid w:val="171952CF"/>
    <w:rsid w:val="171C7831"/>
    <w:rsid w:val="172115BA"/>
    <w:rsid w:val="17285FC0"/>
    <w:rsid w:val="173178CA"/>
    <w:rsid w:val="173576CD"/>
    <w:rsid w:val="173D5F8E"/>
    <w:rsid w:val="174B5407"/>
    <w:rsid w:val="174F484D"/>
    <w:rsid w:val="175865D3"/>
    <w:rsid w:val="175D340E"/>
    <w:rsid w:val="176C3651"/>
    <w:rsid w:val="176D18F5"/>
    <w:rsid w:val="176D73C9"/>
    <w:rsid w:val="177C13BA"/>
    <w:rsid w:val="177C3D7E"/>
    <w:rsid w:val="178F7340"/>
    <w:rsid w:val="17914E66"/>
    <w:rsid w:val="17994B59"/>
    <w:rsid w:val="179E7583"/>
    <w:rsid w:val="17A855CC"/>
    <w:rsid w:val="17A93E97"/>
    <w:rsid w:val="17B32419"/>
    <w:rsid w:val="17B40B54"/>
    <w:rsid w:val="17B85C1D"/>
    <w:rsid w:val="17BA0EE4"/>
    <w:rsid w:val="17BB1EE3"/>
    <w:rsid w:val="17C0574B"/>
    <w:rsid w:val="17DB1212"/>
    <w:rsid w:val="17E14C8B"/>
    <w:rsid w:val="17F11DA8"/>
    <w:rsid w:val="180E64B6"/>
    <w:rsid w:val="18137F71"/>
    <w:rsid w:val="181B0BD3"/>
    <w:rsid w:val="181C560B"/>
    <w:rsid w:val="182061EA"/>
    <w:rsid w:val="18371EB1"/>
    <w:rsid w:val="1843203B"/>
    <w:rsid w:val="1843665B"/>
    <w:rsid w:val="185365BF"/>
    <w:rsid w:val="186407CC"/>
    <w:rsid w:val="187A1D9E"/>
    <w:rsid w:val="18843CB8"/>
    <w:rsid w:val="18860A31"/>
    <w:rsid w:val="18940A5D"/>
    <w:rsid w:val="18954E2A"/>
    <w:rsid w:val="189B3AC2"/>
    <w:rsid w:val="18AF6EC4"/>
    <w:rsid w:val="18B52DD6"/>
    <w:rsid w:val="18B85453"/>
    <w:rsid w:val="18CE1736"/>
    <w:rsid w:val="18CE3E98"/>
    <w:rsid w:val="18DC52D3"/>
    <w:rsid w:val="18F27B86"/>
    <w:rsid w:val="18F36B04"/>
    <w:rsid w:val="18F714EB"/>
    <w:rsid w:val="18FF2C51"/>
    <w:rsid w:val="193C72BA"/>
    <w:rsid w:val="194673F0"/>
    <w:rsid w:val="194A3E63"/>
    <w:rsid w:val="194C3210"/>
    <w:rsid w:val="19616ABA"/>
    <w:rsid w:val="19702350"/>
    <w:rsid w:val="19766A09"/>
    <w:rsid w:val="19832B7B"/>
    <w:rsid w:val="19904976"/>
    <w:rsid w:val="19934EEF"/>
    <w:rsid w:val="199B6470"/>
    <w:rsid w:val="19A277FE"/>
    <w:rsid w:val="19B17A41"/>
    <w:rsid w:val="19B226DE"/>
    <w:rsid w:val="19C57049"/>
    <w:rsid w:val="19D03922"/>
    <w:rsid w:val="19E9304F"/>
    <w:rsid w:val="19F02D3B"/>
    <w:rsid w:val="1A0A70AB"/>
    <w:rsid w:val="1A1E49AB"/>
    <w:rsid w:val="1A206975"/>
    <w:rsid w:val="1A3507AD"/>
    <w:rsid w:val="1A3B37AF"/>
    <w:rsid w:val="1A3E19F8"/>
    <w:rsid w:val="1A450189"/>
    <w:rsid w:val="1A5D3725"/>
    <w:rsid w:val="1A5F56EF"/>
    <w:rsid w:val="1A6920CA"/>
    <w:rsid w:val="1A786EBB"/>
    <w:rsid w:val="1A7B1DFD"/>
    <w:rsid w:val="1A7D2B87"/>
    <w:rsid w:val="1A8011C2"/>
    <w:rsid w:val="1A92521A"/>
    <w:rsid w:val="1A9371B4"/>
    <w:rsid w:val="1A98315E"/>
    <w:rsid w:val="1AA26A88"/>
    <w:rsid w:val="1AA41354"/>
    <w:rsid w:val="1AAE5F25"/>
    <w:rsid w:val="1AB23A71"/>
    <w:rsid w:val="1AB43B33"/>
    <w:rsid w:val="1ABD486E"/>
    <w:rsid w:val="1AC00F46"/>
    <w:rsid w:val="1AC45552"/>
    <w:rsid w:val="1AD25EC1"/>
    <w:rsid w:val="1AD80FFE"/>
    <w:rsid w:val="1AE300CE"/>
    <w:rsid w:val="1AE91574"/>
    <w:rsid w:val="1AF851FC"/>
    <w:rsid w:val="1AFE73A3"/>
    <w:rsid w:val="1B04691C"/>
    <w:rsid w:val="1B0A4705"/>
    <w:rsid w:val="1B302BE8"/>
    <w:rsid w:val="1B3F2E2B"/>
    <w:rsid w:val="1B416BA3"/>
    <w:rsid w:val="1B4B7A22"/>
    <w:rsid w:val="1B515531"/>
    <w:rsid w:val="1B522B5E"/>
    <w:rsid w:val="1B6D6B14"/>
    <w:rsid w:val="1B6F0841"/>
    <w:rsid w:val="1B772F21"/>
    <w:rsid w:val="1B7C6E73"/>
    <w:rsid w:val="1B7F1479"/>
    <w:rsid w:val="1B813443"/>
    <w:rsid w:val="1B8371BB"/>
    <w:rsid w:val="1BB36DD2"/>
    <w:rsid w:val="1BB61021"/>
    <w:rsid w:val="1BC9697F"/>
    <w:rsid w:val="1BCD0437"/>
    <w:rsid w:val="1BCD48DA"/>
    <w:rsid w:val="1BDA048E"/>
    <w:rsid w:val="1BDA7425"/>
    <w:rsid w:val="1BE7774A"/>
    <w:rsid w:val="1C073948"/>
    <w:rsid w:val="1C085058"/>
    <w:rsid w:val="1C120E90"/>
    <w:rsid w:val="1C2F2E9F"/>
    <w:rsid w:val="1C3034D1"/>
    <w:rsid w:val="1C337FE9"/>
    <w:rsid w:val="1C3676CD"/>
    <w:rsid w:val="1C394706"/>
    <w:rsid w:val="1C3A0397"/>
    <w:rsid w:val="1C3B12AB"/>
    <w:rsid w:val="1C3B74B3"/>
    <w:rsid w:val="1C3D736A"/>
    <w:rsid w:val="1C400DEE"/>
    <w:rsid w:val="1C4306F9"/>
    <w:rsid w:val="1C477EAC"/>
    <w:rsid w:val="1C4A043D"/>
    <w:rsid w:val="1C4E1577"/>
    <w:rsid w:val="1C5B22AB"/>
    <w:rsid w:val="1C5E29F1"/>
    <w:rsid w:val="1C662D65"/>
    <w:rsid w:val="1C6963B1"/>
    <w:rsid w:val="1C6A3ED7"/>
    <w:rsid w:val="1C8651B5"/>
    <w:rsid w:val="1C8C6544"/>
    <w:rsid w:val="1C9378D2"/>
    <w:rsid w:val="1CA2418D"/>
    <w:rsid w:val="1CB05D8E"/>
    <w:rsid w:val="1CB56699"/>
    <w:rsid w:val="1CB8554D"/>
    <w:rsid w:val="1CBF49A9"/>
    <w:rsid w:val="1CC2281A"/>
    <w:rsid w:val="1CF33ECD"/>
    <w:rsid w:val="1CF50D21"/>
    <w:rsid w:val="1CF719D8"/>
    <w:rsid w:val="1CF77E61"/>
    <w:rsid w:val="1CFA1EF9"/>
    <w:rsid w:val="1D022362"/>
    <w:rsid w:val="1D0779BE"/>
    <w:rsid w:val="1D0B56BA"/>
    <w:rsid w:val="1D1207F7"/>
    <w:rsid w:val="1D175E0D"/>
    <w:rsid w:val="1D187DD7"/>
    <w:rsid w:val="1D2F49CB"/>
    <w:rsid w:val="1D41732E"/>
    <w:rsid w:val="1D5F0955"/>
    <w:rsid w:val="1D604BB3"/>
    <w:rsid w:val="1D660B43"/>
    <w:rsid w:val="1D691375"/>
    <w:rsid w:val="1D6E0FDD"/>
    <w:rsid w:val="1D7F39CE"/>
    <w:rsid w:val="1D836D10"/>
    <w:rsid w:val="1D862F93"/>
    <w:rsid w:val="1D880AB9"/>
    <w:rsid w:val="1D90724A"/>
    <w:rsid w:val="1D9B1E75"/>
    <w:rsid w:val="1D9C2947"/>
    <w:rsid w:val="1DA33DB7"/>
    <w:rsid w:val="1DA8115B"/>
    <w:rsid w:val="1DB60737"/>
    <w:rsid w:val="1DCB4E4A"/>
    <w:rsid w:val="1DD106B2"/>
    <w:rsid w:val="1DD8465C"/>
    <w:rsid w:val="1DEE6A54"/>
    <w:rsid w:val="1DF05734"/>
    <w:rsid w:val="1DF61EC7"/>
    <w:rsid w:val="1E032872"/>
    <w:rsid w:val="1E0770F8"/>
    <w:rsid w:val="1E0B1A73"/>
    <w:rsid w:val="1E18008F"/>
    <w:rsid w:val="1E193E07"/>
    <w:rsid w:val="1E272003"/>
    <w:rsid w:val="1E2F27D7"/>
    <w:rsid w:val="1E391DB3"/>
    <w:rsid w:val="1E3F74F0"/>
    <w:rsid w:val="1E4C7488"/>
    <w:rsid w:val="1E55209D"/>
    <w:rsid w:val="1E673ED5"/>
    <w:rsid w:val="1E696B3C"/>
    <w:rsid w:val="1E6A01BF"/>
    <w:rsid w:val="1E731769"/>
    <w:rsid w:val="1E804F82"/>
    <w:rsid w:val="1E9F1900"/>
    <w:rsid w:val="1EA02CCB"/>
    <w:rsid w:val="1EBC2FC3"/>
    <w:rsid w:val="1EC65D3D"/>
    <w:rsid w:val="1ECC70CB"/>
    <w:rsid w:val="1EE241F9"/>
    <w:rsid w:val="1EE514B6"/>
    <w:rsid w:val="1EE6094F"/>
    <w:rsid w:val="1EEA06CD"/>
    <w:rsid w:val="1EEA4C21"/>
    <w:rsid w:val="1EF41CFE"/>
    <w:rsid w:val="1EF5217E"/>
    <w:rsid w:val="1EFB38DF"/>
    <w:rsid w:val="1F002DBB"/>
    <w:rsid w:val="1F040613"/>
    <w:rsid w:val="1F0B3750"/>
    <w:rsid w:val="1F180379"/>
    <w:rsid w:val="1F2377F5"/>
    <w:rsid w:val="1F291D4B"/>
    <w:rsid w:val="1F2A3EE6"/>
    <w:rsid w:val="1F2E743E"/>
    <w:rsid w:val="1F3507CD"/>
    <w:rsid w:val="1F3625C8"/>
    <w:rsid w:val="1F466758"/>
    <w:rsid w:val="1F494278"/>
    <w:rsid w:val="1F536EA5"/>
    <w:rsid w:val="1F65786D"/>
    <w:rsid w:val="1F78690B"/>
    <w:rsid w:val="1F8215E1"/>
    <w:rsid w:val="1FA12306"/>
    <w:rsid w:val="1FA87ADA"/>
    <w:rsid w:val="1FB56CE9"/>
    <w:rsid w:val="1FD70F22"/>
    <w:rsid w:val="1FD71884"/>
    <w:rsid w:val="1FDA2689"/>
    <w:rsid w:val="1FDE2C12"/>
    <w:rsid w:val="1FF22625"/>
    <w:rsid w:val="1FF50E64"/>
    <w:rsid w:val="1FF64400"/>
    <w:rsid w:val="1FFD7B32"/>
    <w:rsid w:val="20012DA5"/>
    <w:rsid w:val="20043C15"/>
    <w:rsid w:val="20253A35"/>
    <w:rsid w:val="202F65FE"/>
    <w:rsid w:val="2043516B"/>
    <w:rsid w:val="20445493"/>
    <w:rsid w:val="204A7F1B"/>
    <w:rsid w:val="205151C3"/>
    <w:rsid w:val="20530C45"/>
    <w:rsid w:val="20541126"/>
    <w:rsid w:val="20701DD8"/>
    <w:rsid w:val="207C4C1E"/>
    <w:rsid w:val="20803CC9"/>
    <w:rsid w:val="208B3024"/>
    <w:rsid w:val="208D2349"/>
    <w:rsid w:val="20947775"/>
    <w:rsid w:val="20A228BF"/>
    <w:rsid w:val="20A420AE"/>
    <w:rsid w:val="20A51982"/>
    <w:rsid w:val="20A73672"/>
    <w:rsid w:val="20AC0F62"/>
    <w:rsid w:val="20B816B5"/>
    <w:rsid w:val="20B9268B"/>
    <w:rsid w:val="20B94711"/>
    <w:rsid w:val="20B971DB"/>
    <w:rsid w:val="20C0645F"/>
    <w:rsid w:val="20C53DD2"/>
    <w:rsid w:val="20CE2C87"/>
    <w:rsid w:val="20D44015"/>
    <w:rsid w:val="20DB4589"/>
    <w:rsid w:val="20DD2ECA"/>
    <w:rsid w:val="20E344FA"/>
    <w:rsid w:val="20EC75B1"/>
    <w:rsid w:val="21022930"/>
    <w:rsid w:val="211E6605"/>
    <w:rsid w:val="212203A9"/>
    <w:rsid w:val="21262AC3"/>
    <w:rsid w:val="212908FC"/>
    <w:rsid w:val="212D5020"/>
    <w:rsid w:val="21303941"/>
    <w:rsid w:val="21364BF7"/>
    <w:rsid w:val="21417BC3"/>
    <w:rsid w:val="21515666"/>
    <w:rsid w:val="215C4736"/>
    <w:rsid w:val="215C66D7"/>
    <w:rsid w:val="21606EA4"/>
    <w:rsid w:val="217A23B8"/>
    <w:rsid w:val="217B3F31"/>
    <w:rsid w:val="21843C8D"/>
    <w:rsid w:val="21935C7E"/>
    <w:rsid w:val="21B14902"/>
    <w:rsid w:val="21B20007"/>
    <w:rsid w:val="21C45419"/>
    <w:rsid w:val="21C80E29"/>
    <w:rsid w:val="21DF7D4E"/>
    <w:rsid w:val="21E30AD4"/>
    <w:rsid w:val="21F5013F"/>
    <w:rsid w:val="220047EB"/>
    <w:rsid w:val="220C2F88"/>
    <w:rsid w:val="22121299"/>
    <w:rsid w:val="221D6C29"/>
    <w:rsid w:val="222114DC"/>
    <w:rsid w:val="22286511"/>
    <w:rsid w:val="223E3E3C"/>
    <w:rsid w:val="224A458F"/>
    <w:rsid w:val="22510DDD"/>
    <w:rsid w:val="226A22F7"/>
    <w:rsid w:val="22745AB0"/>
    <w:rsid w:val="22761828"/>
    <w:rsid w:val="22764D9B"/>
    <w:rsid w:val="227710FC"/>
    <w:rsid w:val="22782166"/>
    <w:rsid w:val="228C2DF9"/>
    <w:rsid w:val="229677D4"/>
    <w:rsid w:val="22995C29"/>
    <w:rsid w:val="229B4DEB"/>
    <w:rsid w:val="229B653A"/>
    <w:rsid w:val="229C32FD"/>
    <w:rsid w:val="229E0D7F"/>
    <w:rsid w:val="229E691C"/>
    <w:rsid w:val="22A719E1"/>
    <w:rsid w:val="22BF31CF"/>
    <w:rsid w:val="22C571C7"/>
    <w:rsid w:val="22D13310"/>
    <w:rsid w:val="22D81026"/>
    <w:rsid w:val="22E24152"/>
    <w:rsid w:val="22E569AE"/>
    <w:rsid w:val="22E83DA8"/>
    <w:rsid w:val="22F422C8"/>
    <w:rsid w:val="22FD68F6"/>
    <w:rsid w:val="231352C9"/>
    <w:rsid w:val="2318468D"/>
    <w:rsid w:val="231B0D31"/>
    <w:rsid w:val="23241412"/>
    <w:rsid w:val="23270D74"/>
    <w:rsid w:val="232A01BB"/>
    <w:rsid w:val="233012E3"/>
    <w:rsid w:val="23424069"/>
    <w:rsid w:val="235D02F2"/>
    <w:rsid w:val="236E0751"/>
    <w:rsid w:val="237812D8"/>
    <w:rsid w:val="237C4C1C"/>
    <w:rsid w:val="23A91789"/>
    <w:rsid w:val="23BE1D4F"/>
    <w:rsid w:val="23C30A9D"/>
    <w:rsid w:val="23CD5689"/>
    <w:rsid w:val="23D00CF4"/>
    <w:rsid w:val="23D22A8E"/>
    <w:rsid w:val="23D5257E"/>
    <w:rsid w:val="23E32EED"/>
    <w:rsid w:val="23E75074"/>
    <w:rsid w:val="24060E83"/>
    <w:rsid w:val="241308D1"/>
    <w:rsid w:val="24155FDF"/>
    <w:rsid w:val="24174D49"/>
    <w:rsid w:val="241A53B7"/>
    <w:rsid w:val="242C7CBC"/>
    <w:rsid w:val="24307C31"/>
    <w:rsid w:val="2431506E"/>
    <w:rsid w:val="2443399D"/>
    <w:rsid w:val="2446522A"/>
    <w:rsid w:val="244D7F08"/>
    <w:rsid w:val="244E1C1C"/>
    <w:rsid w:val="24515BA0"/>
    <w:rsid w:val="245B6F27"/>
    <w:rsid w:val="24770861"/>
    <w:rsid w:val="247C0C4C"/>
    <w:rsid w:val="247F6528"/>
    <w:rsid w:val="249D7540"/>
    <w:rsid w:val="24A44D47"/>
    <w:rsid w:val="24B403E6"/>
    <w:rsid w:val="24B46637"/>
    <w:rsid w:val="24BC729A"/>
    <w:rsid w:val="24C745BD"/>
    <w:rsid w:val="24C97334"/>
    <w:rsid w:val="24CC71DD"/>
    <w:rsid w:val="24D46B69"/>
    <w:rsid w:val="24D76B19"/>
    <w:rsid w:val="24E0567E"/>
    <w:rsid w:val="24EA0089"/>
    <w:rsid w:val="24EE7D9B"/>
    <w:rsid w:val="24EF7670"/>
    <w:rsid w:val="250076E0"/>
    <w:rsid w:val="250273A3"/>
    <w:rsid w:val="250C2FB5"/>
    <w:rsid w:val="251A2A07"/>
    <w:rsid w:val="252A06A8"/>
    <w:rsid w:val="253018C9"/>
    <w:rsid w:val="253F4153"/>
    <w:rsid w:val="254A45C9"/>
    <w:rsid w:val="25512E1E"/>
    <w:rsid w:val="2558495E"/>
    <w:rsid w:val="255B11F7"/>
    <w:rsid w:val="255E2E00"/>
    <w:rsid w:val="25637F0D"/>
    <w:rsid w:val="256911D0"/>
    <w:rsid w:val="257D01AB"/>
    <w:rsid w:val="25825C7E"/>
    <w:rsid w:val="25835BD3"/>
    <w:rsid w:val="25875AFA"/>
    <w:rsid w:val="25900E53"/>
    <w:rsid w:val="25965D3D"/>
    <w:rsid w:val="259D3570"/>
    <w:rsid w:val="25A21468"/>
    <w:rsid w:val="25A641D2"/>
    <w:rsid w:val="25AA45A6"/>
    <w:rsid w:val="25B05051"/>
    <w:rsid w:val="25B6018D"/>
    <w:rsid w:val="25BA5DFD"/>
    <w:rsid w:val="25BF4D4F"/>
    <w:rsid w:val="25C05C9B"/>
    <w:rsid w:val="25CD79B1"/>
    <w:rsid w:val="25D56765"/>
    <w:rsid w:val="25D82405"/>
    <w:rsid w:val="25DA3E7C"/>
    <w:rsid w:val="25F43C20"/>
    <w:rsid w:val="25F52A64"/>
    <w:rsid w:val="25F7199C"/>
    <w:rsid w:val="25FA2770"/>
    <w:rsid w:val="260204AD"/>
    <w:rsid w:val="26026312"/>
    <w:rsid w:val="26031625"/>
    <w:rsid w:val="260C44FC"/>
    <w:rsid w:val="260D24A3"/>
    <w:rsid w:val="262477ED"/>
    <w:rsid w:val="26312B63"/>
    <w:rsid w:val="26344ABE"/>
    <w:rsid w:val="26345C82"/>
    <w:rsid w:val="2637307C"/>
    <w:rsid w:val="263A0DBE"/>
    <w:rsid w:val="263D1327"/>
    <w:rsid w:val="26432F9D"/>
    <w:rsid w:val="26492DAF"/>
    <w:rsid w:val="264F6618"/>
    <w:rsid w:val="265E4211"/>
    <w:rsid w:val="26655E3B"/>
    <w:rsid w:val="267B0E16"/>
    <w:rsid w:val="26814A95"/>
    <w:rsid w:val="268B33C8"/>
    <w:rsid w:val="26961CC1"/>
    <w:rsid w:val="26A47B7F"/>
    <w:rsid w:val="26A744B1"/>
    <w:rsid w:val="26B23417"/>
    <w:rsid w:val="26B26BA7"/>
    <w:rsid w:val="26B33AB6"/>
    <w:rsid w:val="26BE72FA"/>
    <w:rsid w:val="26BF01F7"/>
    <w:rsid w:val="26CB1A16"/>
    <w:rsid w:val="26D233BC"/>
    <w:rsid w:val="26D60EAB"/>
    <w:rsid w:val="26DC7675"/>
    <w:rsid w:val="26EB753F"/>
    <w:rsid w:val="26FE003E"/>
    <w:rsid w:val="2704340F"/>
    <w:rsid w:val="270C62B7"/>
    <w:rsid w:val="271B0BF0"/>
    <w:rsid w:val="271E5FEA"/>
    <w:rsid w:val="272B4003"/>
    <w:rsid w:val="272E08EC"/>
    <w:rsid w:val="273A3961"/>
    <w:rsid w:val="273E6B9B"/>
    <w:rsid w:val="27582651"/>
    <w:rsid w:val="275A6ED1"/>
    <w:rsid w:val="275D4D64"/>
    <w:rsid w:val="27606603"/>
    <w:rsid w:val="276460F3"/>
    <w:rsid w:val="27652D03"/>
    <w:rsid w:val="27653C19"/>
    <w:rsid w:val="276854B7"/>
    <w:rsid w:val="276A122F"/>
    <w:rsid w:val="27787DF0"/>
    <w:rsid w:val="277B343D"/>
    <w:rsid w:val="27822A1D"/>
    <w:rsid w:val="27846795"/>
    <w:rsid w:val="278B0919"/>
    <w:rsid w:val="278E2A94"/>
    <w:rsid w:val="2791110F"/>
    <w:rsid w:val="27927B85"/>
    <w:rsid w:val="27936448"/>
    <w:rsid w:val="27A0443F"/>
    <w:rsid w:val="27A75C31"/>
    <w:rsid w:val="27A83682"/>
    <w:rsid w:val="27A961FC"/>
    <w:rsid w:val="27AC1848"/>
    <w:rsid w:val="27B626C7"/>
    <w:rsid w:val="27BC5F2F"/>
    <w:rsid w:val="27CE17BE"/>
    <w:rsid w:val="27CF5DC4"/>
    <w:rsid w:val="27DD05DF"/>
    <w:rsid w:val="27E77793"/>
    <w:rsid w:val="27EE4BBD"/>
    <w:rsid w:val="27FE6547"/>
    <w:rsid w:val="28014A38"/>
    <w:rsid w:val="2802590C"/>
    <w:rsid w:val="28090A48"/>
    <w:rsid w:val="280B2A12"/>
    <w:rsid w:val="280B656E"/>
    <w:rsid w:val="280E42B1"/>
    <w:rsid w:val="281875F6"/>
    <w:rsid w:val="281B0310"/>
    <w:rsid w:val="281F026C"/>
    <w:rsid w:val="28201487"/>
    <w:rsid w:val="282D2989"/>
    <w:rsid w:val="283106A2"/>
    <w:rsid w:val="28327F9F"/>
    <w:rsid w:val="28345A5E"/>
    <w:rsid w:val="28373D56"/>
    <w:rsid w:val="283755B5"/>
    <w:rsid w:val="283C7844"/>
    <w:rsid w:val="283E2364"/>
    <w:rsid w:val="285C0CB0"/>
    <w:rsid w:val="285F2D5E"/>
    <w:rsid w:val="28616AD6"/>
    <w:rsid w:val="286453B4"/>
    <w:rsid w:val="28665E9B"/>
    <w:rsid w:val="28667C49"/>
    <w:rsid w:val="287C121A"/>
    <w:rsid w:val="288E24DB"/>
    <w:rsid w:val="28933FD5"/>
    <w:rsid w:val="28A40771"/>
    <w:rsid w:val="28AD3ACA"/>
    <w:rsid w:val="28C01A4F"/>
    <w:rsid w:val="28D92B11"/>
    <w:rsid w:val="28DE743B"/>
    <w:rsid w:val="28F13416"/>
    <w:rsid w:val="28F9610A"/>
    <w:rsid w:val="29003DC2"/>
    <w:rsid w:val="290A2CCA"/>
    <w:rsid w:val="290F208E"/>
    <w:rsid w:val="29137CB9"/>
    <w:rsid w:val="2927239E"/>
    <w:rsid w:val="292F3B58"/>
    <w:rsid w:val="29361A0F"/>
    <w:rsid w:val="29451F54"/>
    <w:rsid w:val="29583A35"/>
    <w:rsid w:val="29606D8E"/>
    <w:rsid w:val="2971189C"/>
    <w:rsid w:val="29736AC1"/>
    <w:rsid w:val="297947D0"/>
    <w:rsid w:val="297E7214"/>
    <w:rsid w:val="29935EC6"/>
    <w:rsid w:val="29A30A29"/>
    <w:rsid w:val="29AC1FD3"/>
    <w:rsid w:val="29BB2B80"/>
    <w:rsid w:val="29C516C1"/>
    <w:rsid w:val="29C64906"/>
    <w:rsid w:val="29C9048F"/>
    <w:rsid w:val="29CA2B0F"/>
    <w:rsid w:val="29CC61D1"/>
    <w:rsid w:val="29CD17D7"/>
    <w:rsid w:val="29D15596"/>
    <w:rsid w:val="29DF6D2B"/>
    <w:rsid w:val="29EE7EF6"/>
    <w:rsid w:val="29FB2613"/>
    <w:rsid w:val="2A094D30"/>
    <w:rsid w:val="2A0B6CFA"/>
    <w:rsid w:val="2A0C2A72"/>
    <w:rsid w:val="2A273408"/>
    <w:rsid w:val="2A293624"/>
    <w:rsid w:val="2A297180"/>
    <w:rsid w:val="2A3C5105"/>
    <w:rsid w:val="2A3E70CF"/>
    <w:rsid w:val="2A44045E"/>
    <w:rsid w:val="2A462DFF"/>
    <w:rsid w:val="2A56451E"/>
    <w:rsid w:val="2A5A1A2F"/>
    <w:rsid w:val="2A5B7D43"/>
    <w:rsid w:val="2A6428AE"/>
    <w:rsid w:val="2A79171F"/>
    <w:rsid w:val="2A7E0EF0"/>
    <w:rsid w:val="2A7E4AC8"/>
    <w:rsid w:val="2A7F4FF2"/>
    <w:rsid w:val="2A8D6519"/>
    <w:rsid w:val="2A9220F0"/>
    <w:rsid w:val="2A930A9D"/>
    <w:rsid w:val="2A937512"/>
    <w:rsid w:val="2A971437"/>
    <w:rsid w:val="2A9767DF"/>
    <w:rsid w:val="2A992557"/>
    <w:rsid w:val="2A9F5694"/>
    <w:rsid w:val="2AAB4039"/>
    <w:rsid w:val="2AB25285"/>
    <w:rsid w:val="2AC3330D"/>
    <w:rsid w:val="2AD50A35"/>
    <w:rsid w:val="2AD778FD"/>
    <w:rsid w:val="2ADE440E"/>
    <w:rsid w:val="2AF2316A"/>
    <w:rsid w:val="2AFC6642"/>
    <w:rsid w:val="2B0025D7"/>
    <w:rsid w:val="2B09741E"/>
    <w:rsid w:val="2B222EB7"/>
    <w:rsid w:val="2B234BA1"/>
    <w:rsid w:val="2B253DEB"/>
    <w:rsid w:val="2B275DB5"/>
    <w:rsid w:val="2B357971"/>
    <w:rsid w:val="2B434271"/>
    <w:rsid w:val="2B451DF6"/>
    <w:rsid w:val="2B4F2D00"/>
    <w:rsid w:val="2B553F84"/>
    <w:rsid w:val="2B5C7975"/>
    <w:rsid w:val="2B6D423D"/>
    <w:rsid w:val="2B757007"/>
    <w:rsid w:val="2B8054C5"/>
    <w:rsid w:val="2B8D373E"/>
    <w:rsid w:val="2B9176D3"/>
    <w:rsid w:val="2B925B89"/>
    <w:rsid w:val="2B9B5249"/>
    <w:rsid w:val="2B9B5E5B"/>
    <w:rsid w:val="2BA707AB"/>
    <w:rsid w:val="2BA71C17"/>
    <w:rsid w:val="2BAA609E"/>
    <w:rsid w:val="2BB1567F"/>
    <w:rsid w:val="2BB4395C"/>
    <w:rsid w:val="2BBB31A5"/>
    <w:rsid w:val="2BC96E6C"/>
    <w:rsid w:val="2BD36576"/>
    <w:rsid w:val="2BD440AE"/>
    <w:rsid w:val="2BDC3A2E"/>
    <w:rsid w:val="2BDE3F9A"/>
    <w:rsid w:val="2BF35EF6"/>
    <w:rsid w:val="2BF5155C"/>
    <w:rsid w:val="2BF56C4B"/>
    <w:rsid w:val="2BF67536"/>
    <w:rsid w:val="2C002162"/>
    <w:rsid w:val="2C042437"/>
    <w:rsid w:val="2C0C12C0"/>
    <w:rsid w:val="2C11436F"/>
    <w:rsid w:val="2C1764C2"/>
    <w:rsid w:val="2C285599"/>
    <w:rsid w:val="2C351E0C"/>
    <w:rsid w:val="2C5030EA"/>
    <w:rsid w:val="2C6B3A80"/>
    <w:rsid w:val="2C730B86"/>
    <w:rsid w:val="2C7F7D3F"/>
    <w:rsid w:val="2C892A75"/>
    <w:rsid w:val="2C916448"/>
    <w:rsid w:val="2C9C04B7"/>
    <w:rsid w:val="2C9E48FE"/>
    <w:rsid w:val="2CA95318"/>
    <w:rsid w:val="2CB10399"/>
    <w:rsid w:val="2CB74F17"/>
    <w:rsid w:val="2CC55886"/>
    <w:rsid w:val="2CC969F8"/>
    <w:rsid w:val="2CD8628F"/>
    <w:rsid w:val="2CE05E48"/>
    <w:rsid w:val="2CE850D0"/>
    <w:rsid w:val="2CF56AF6"/>
    <w:rsid w:val="2D0143E4"/>
    <w:rsid w:val="2D0440C7"/>
    <w:rsid w:val="2D090F4C"/>
    <w:rsid w:val="2D173C07"/>
    <w:rsid w:val="2D1813F5"/>
    <w:rsid w:val="2D205A01"/>
    <w:rsid w:val="2D223109"/>
    <w:rsid w:val="2D3E110A"/>
    <w:rsid w:val="2D4310B3"/>
    <w:rsid w:val="2D4B565F"/>
    <w:rsid w:val="2D4D7629"/>
    <w:rsid w:val="2D5B1D46"/>
    <w:rsid w:val="2D656721"/>
    <w:rsid w:val="2D686211"/>
    <w:rsid w:val="2D7022BF"/>
    <w:rsid w:val="2D83129D"/>
    <w:rsid w:val="2D8F379E"/>
    <w:rsid w:val="2D984D48"/>
    <w:rsid w:val="2D9C6103"/>
    <w:rsid w:val="2DA059AB"/>
    <w:rsid w:val="2DA20350"/>
    <w:rsid w:val="2DB11966"/>
    <w:rsid w:val="2DB256DE"/>
    <w:rsid w:val="2DBB0A37"/>
    <w:rsid w:val="2DC21DC5"/>
    <w:rsid w:val="2DCF1999"/>
    <w:rsid w:val="2DCF1F8A"/>
    <w:rsid w:val="2DD51823"/>
    <w:rsid w:val="2DE05DD0"/>
    <w:rsid w:val="2DE735DA"/>
    <w:rsid w:val="2DEA4EB8"/>
    <w:rsid w:val="2DEB6A75"/>
    <w:rsid w:val="2DF61C61"/>
    <w:rsid w:val="2E0233ED"/>
    <w:rsid w:val="2E114AFB"/>
    <w:rsid w:val="2E121E9C"/>
    <w:rsid w:val="2E175BCA"/>
    <w:rsid w:val="2E180404"/>
    <w:rsid w:val="2E190FA2"/>
    <w:rsid w:val="2E1E0F13"/>
    <w:rsid w:val="2E206AEC"/>
    <w:rsid w:val="2E24038A"/>
    <w:rsid w:val="2E2A30FD"/>
    <w:rsid w:val="2E320624"/>
    <w:rsid w:val="2E494294"/>
    <w:rsid w:val="2E4B1DBB"/>
    <w:rsid w:val="2E532A1D"/>
    <w:rsid w:val="2E622742"/>
    <w:rsid w:val="2E6B5FB9"/>
    <w:rsid w:val="2E707520"/>
    <w:rsid w:val="2E7117CD"/>
    <w:rsid w:val="2E894691"/>
    <w:rsid w:val="2EA36A42"/>
    <w:rsid w:val="2EB4027F"/>
    <w:rsid w:val="2EBA0733"/>
    <w:rsid w:val="2EC83BBA"/>
    <w:rsid w:val="2ECE6548"/>
    <w:rsid w:val="2EDA4EED"/>
    <w:rsid w:val="2EDA6C9B"/>
    <w:rsid w:val="2EDF2503"/>
    <w:rsid w:val="2EE31FF3"/>
    <w:rsid w:val="2EE45D81"/>
    <w:rsid w:val="2EF81EC8"/>
    <w:rsid w:val="2EF835C5"/>
    <w:rsid w:val="2EFA10EB"/>
    <w:rsid w:val="2EFC30B5"/>
    <w:rsid w:val="2F0024E4"/>
    <w:rsid w:val="2F01691D"/>
    <w:rsid w:val="2F103B63"/>
    <w:rsid w:val="2F1531D0"/>
    <w:rsid w:val="2F2B74F6"/>
    <w:rsid w:val="2F2D4B53"/>
    <w:rsid w:val="2F49754B"/>
    <w:rsid w:val="2F544C9F"/>
    <w:rsid w:val="2F5729E1"/>
    <w:rsid w:val="2F576416"/>
    <w:rsid w:val="2F657B66"/>
    <w:rsid w:val="2F6F1AD9"/>
    <w:rsid w:val="2F753DEB"/>
    <w:rsid w:val="2F754677"/>
    <w:rsid w:val="2F792957"/>
    <w:rsid w:val="2F8310E0"/>
    <w:rsid w:val="2F894A2E"/>
    <w:rsid w:val="2F8A06C1"/>
    <w:rsid w:val="2F923A19"/>
    <w:rsid w:val="2F927575"/>
    <w:rsid w:val="2F972DDE"/>
    <w:rsid w:val="2FA2321B"/>
    <w:rsid w:val="2FA6462F"/>
    <w:rsid w:val="2FA71273"/>
    <w:rsid w:val="2FAB079C"/>
    <w:rsid w:val="2FB84678"/>
    <w:rsid w:val="2FC11C09"/>
    <w:rsid w:val="2FD139A0"/>
    <w:rsid w:val="2FD70CED"/>
    <w:rsid w:val="2FDB0F1C"/>
    <w:rsid w:val="2FE268B9"/>
    <w:rsid w:val="2FE34275"/>
    <w:rsid w:val="2FED4431"/>
    <w:rsid w:val="2FF21187"/>
    <w:rsid w:val="2FF67B04"/>
    <w:rsid w:val="2FF906AD"/>
    <w:rsid w:val="2FF975F4"/>
    <w:rsid w:val="2FFB572C"/>
    <w:rsid w:val="2FFD5337"/>
    <w:rsid w:val="300F506A"/>
    <w:rsid w:val="302E54F0"/>
    <w:rsid w:val="30542BDD"/>
    <w:rsid w:val="305667F5"/>
    <w:rsid w:val="3058165E"/>
    <w:rsid w:val="30670A02"/>
    <w:rsid w:val="3067661C"/>
    <w:rsid w:val="30711881"/>
    <w:rsid w:val="30744ECD"/>
    <w:rsid w:val="30830005"/>
    <w:rsid w:val="3096416E"/>
    <w:rsid w:val="309D4424"/>
    <w:rsid w:val="30A12166"/>
    <w:rsid w:val="30A13F14"/>
    <w:rsid w:val="30B05F05"/>
    <w:rsid w:val="30B654E5"/>
    <w:rsid w:val="30BD4AC6"/>
    <w:rsid w:val="30C23E8A"/>
    <w:rsid w:val="30C839CF"/>
    <w:rsid w:val="30C96685"/>
    <w:rsid w:val="30D20571"/>
    <w:rsid w:val="30D81900"/>
    <w:rsid w:val="30E97669"/>
    <w:rsid w:val="30EA318F"/>
    <w:rsid w:val="30F537B2"/>
    <w:rsid w:val="30F54260"/>
    <w:rsid w:val="30F744B4"/>
    <w:rsid w:val="30F77FD8"/>
    <w:rsid w:val="30FA3624"/>
    <w:rsid w:val="30FA39C5"/>
    <w:rsid w:val="31085D41"/>
    <w:rsid w:val="311A3CC6"/>
    <w:rsid w:val="311E37B6"/>
    <w:rsid w:val="312406A1"/>
    <w:rsid w:val="312B3EEB"/>
    <w:rsid w:val="312B4898"/>
    <w:rsid w:val="313528AE"/>
    <w:rsid w:val="31437511"/>
    <w:rsid w:val="31452479"/>
    <w:rsid w:val="31456F95"/>
    <w:rsid w:val="31575F6A"/>
    <w:rsid w:val="315C7E3B"/>
    <w:rsid w:val="315E0057"/>
    <w:rsid w:val="31633AA7"/>
    <w:rsid w:val="31837ABD"/>
    <w:rsid w:val="3186310A"/>
    <w:rsid w:val="31917CE2"/>
    <w:rsid w:val="31947CE4"/>
    <w:rsid w:val="319504C3"/>
    <w:rsid w:val="31992E18"/>
    <w:rsid w:val="31A76F7C"/>
    <w:rsid w:val="31B82C24"/>
    <w:rsid w:val="31BB0E7C"/>
    <w:rsid w:val="31C11945"/>
    <w:rsid w:val="31D46742"/>
    <w:rsid w:val="31D67CC5"/>
    <w:rsid w:val="31DD5420"/>
    <w:rsid w:val="31EF6F01"/>
    <w:rsid w:val="31F12C79"/>
    <w:rsid w:val="31F43120"/>
    <w:rsid w:val="31F75DB5"/>
    <w:rsid w:val="31FD6256"/>
    <w:rsid w:val="31FE2359"/>
    <w:rsid w:val="320B7DBF"/>
    <w:rsid w:val="321425C5"/>
    <w:rsid w:val="322D09E9"/>
    <w:rsid w:val="322D19F7"/>
    <w:rsid w:val="322F554F"/>
    <w:rsid w:val="324765DE"/>
    <w:rsid w:val="32476D3D"/>
    <w:rsid w:val="324A3315"/>
    <w:rsid w:val="324F3ED9"/>
    <w:rsid w:val="3255145A"/>
    <w:rsid w:val="326371A9"/>
    <w:rsid w:val="326E42CA"/>
    <w:rsid w:val="327C5D2B"/>
    <w:rsid w:val="327F2033"/>
    <w:rsid w:val="3281224F"/>
    <w:rsid w:val="3299209E"/>
    <w:rsid w:val="32A64AD9"/>
    <w:rsid w:val="32A97E05"/>
    <w:rsid w:val="32B0173D"/>
    <w:rsid w:val="32B83797"/>
    <w:rsid w:val="32B842A0"/>
    <w:rsid w:val="32BB6DE3"/>
    <w:rsid w:val="32CC1DFD"/>
    <w:rsid w:val="32D14858"/>
    <w:rsid w:val="32E70585"/>
    <w:rsid w:val="3302726F"/>
    <w:rsid w:val="33235CD0"/>
    <w:rsid w:val="33242BDA"/>
    <w:rsid w:val="3327321E"/>
    <w:rsid w:val="33296443"/>
    <w:rsid w:val="33323549"/>
    <w:rsid w:val="33415B8B"/>
    <w:rsid w:val="33560103"/>
    <w:rsid w:val="33591E46"/>
    <w:rsid w:val="335D7E9A"/>
    <w:rsid w:val="335F1E64"/>
    <w:rsid w:val="33805FE9"/>
    <w:rsid w:val="33923FE8"/>
    <w:rsid w:val="339E298D"/>
    <w:rsid w:val="33A8380B"/>
    <w:rsid w:val="33A86870"/>
    <w:rsid w:val="33B2468A"/>
    <w:rsid w:val="33D03D2A"/>
    <w:rsid w:val="33D930D8"/>
    <w:rsid w:val="33E47038"/>
    <w:rsid w:val="33EB22BD"/>
    <w:rsid w:val="33EC194A"/>
    <w:rsid w:val="33F95E15"/>
    <w:rsid w:val="340547BA"/>
    <w:rsid w:val="340842AA"/>
    <w:rsid w:val="342310E4"/>
    <w:rsid w:val="34272982"/>
    <w:rsid w:val="342876D1"/>
    <w:rsid w:val="34346885"/>
    <w:rsid w:val="34367371"/>
    <w:rsid w:val="34395261"/>
    <w:rsid w:val="34412FFD"/>
    <w:rsid w:val="34497180"/>
    <w:rsid w:val="344C23E9"/>
    <w:rsid w:val="344E43B3"/>
    <w:rsid w:val="344F3C87"/>
    <w:rsid w:val="34592D57"/>
    <w:rsid w:val="34594B05"/>
    <w:rsid w:val="34621C0C"/>
    <w:rsid w:val="34652DEE"/>
    <w:rsid w:val="346C2A8B"/>
    <w:rsid w:val="347B0F20"/>
    <w:rsid w:val="348025C6"/>
    <w:rsid w:val="348576A9"/>
    <w:rsid w:val="34913BBC"/>
    <w:rsid w:val="3491429F"/>
    <w:rsid w:val="349E1E18"/>
    <w:rsid w:val="34CE72A2"/>
    <w:rsid w:val="34D83C7C"/>
    <w:rsid w:val="34D90CD0"/>
    <w:rsid w:val="34DD1188"/>
    <w:rsid w:val="34E02B31"/>
    <w:rsid w:val="34F14D3E"/>
    <w:rsid w:val="350318F6"/>
    <w:rsid w:val="350C2516"/>
    <w:rsid w:val="35100387"/>
    <w:rsid w:val="35123632"/>
    <w:rsid w:val="351A225F"/>
    <w:rsid w:val="351F5D4F"/>
    <w:rsid w:val="35225F43"/>
    <w:rsid w:val="35234E2B"/>
    <w:rsid w:val="352959DB"/>
    <w:rsid w:val="352E7D40"/>
    <w:rsid w:val="35337105"/>
    <w:rsid w:val="35374E47"/>
    <w:rsid w:val="3537548D"/>
    <w:rsid w:val="353A1D60"/>
    <w:rsid w:val="35426A49"/>
    <w:rsid w:val="35496D6E"/>
    <w:rsid w:val="35521C81"/>
    <w:rsid w:val="3565613E"/>
    <w:rsid w:val="356A2E86"/>
    <w:rsid w:val="35700359"/>
    <w:rsid w:val="357C7FEC"/>
    <w:rsid w:val="35865F9F"/>
    <w:rsid w:val="358E7546"/>
    <w:rsid w:val="359009FB"/>
    <w:rsid w:val="359A53D6"/>
    <w:rsid w:val="35B53E09"/>
    <w:rsid w:val="35B9265D"/>
    <w:rsid w:val="35BF175E"/>
    <w:rsid w:val="35CB3981"/>
    <w:rsid w:val="35CF1523"/>
    <w:rsid w:val="35D07049"/>
    <w:rsid w:val="35D663FF"/>
    <w:rsid w:val="35DF103A"/>
    <w:rsid w:val="35E623C9"/>
    <w:rsid w:val="35E75811"/>
    <w:rsid w:val="35EC2712"/>
    <w:rsid w:val="35EF4FD0"/>
    <w:rsid w:val="35F3628D"/>
    <w:rsid w:val="35FE51D4"/>
    <w:rsid w:val="362A675A"/>
    <w:rsid w:val="362F13A5"/>
    <w:rsid w:val="363113DE"/>
    <w:rsid w:val="36323860"/>
    <w:rsid w:val="36484E32"/>
    <w:rsid w:val="36570F25"/>
    <w:rsid w:val="365778DF"/>
    <w:rsid w:val="365B422C"/>
    <w:rsid w:val="365D0718"/>
    <w:rsid w:val="366251BA"/>
    <w:rsid w:val="36653C36"/>
    <w:rsid w:val="3674667A"/>
    <w:rsid w:val="367D0F7F"/>
    <w:rsid w:val="36806379"/>
    <w:rsid w:val="36820344"/>
    <w:rsid w:val="36877708"/>
    <w:rsid w:val="368857DA"/>
    <w:rsid w:val="368B625D"/>
    <w:rsid w:val="368E1087"/>
    <w:rsid w:val="369E45D6"/>
    <w:rsid w:val="36A54032"/>
    <w:rsid w:val="36AA5AEC"/>
    <w:rsid w:val="36AE50DD"/>
    <w:rsid w:val="36B424C7"/>
    <w:rsid w:val="36BB3856"/>
    <w:rsid w:val="36BF3346"/>
    <w:rsid w:val="36C97D20"/>
    <w:rsid w:val="36CF165B"/>
    <w:rsid w:val="36D93CDC"/>
    <w:rsid w:val="36E52680"/>
    <w:rsid w:val="36F154C9"/>
    <w:rsid w:val="36F50E34"/>
    <w:rsid w:val="36F82B6E"/>
    <w:rsid w:val="36F96A94"/>
    <w:rsid w:val="370230D7"/>
    <w:rsid w:val="37034C9C"/>
    <w:rsid w:val="371511B8"/>
    <w:rsid w:val="37193D2F"/>
    <w:rsid w:val="37211DCC"/>
    <w:rsid w:val="372A7794"/>
    <w:rsid w:val="373C4D8B"/>
    <w:rsid w:val="37405B09"/>
    <w:rsid w:val="374B2F4F"/>
    <w:rsid w:val="374C0952"/>
    <w:rsid w:val="374C4B96"/>
    <w:rsid w:val="374C59AF"/>
    <w:rsid w:val="37503F9E"/>
    <w:rsid w:val="37554FD1"/>
    <w:rsid w:val="375810A4"/>
    <w:rsid w:val="375A02D5"/>
    <w:rsid w:val="376477E4"/>
    <w:rsid w:val="376A17D3"/>
    <w:rsid w:val="376C4AB6"/>
    <w:rsid w:val="37840664"/>
    <w:rsid w:val="378563E9"/>
    <w:rsid w:val="37955E55"/>
    <w:rsid w:val="37970BC0"/>
    <w:rsid w:val="379F0ABD"/>
    <w:rsid w:val="379F2985"/>
    <w:rsid w:val="37AC319E"/>
    <w:rsid w:val="37B22EAA"/>
    <w:rsid w:val="37B92FAD"/>
    <w:rsid w:val="37B95D33"/>
    <w:rsid w:val="37C87FD8"/>
    <w:rsid w:val="37D746BF"/>
    <w:rsid w:val="37D90437"/>
    <w:rsid w:val="37E077D5"/>
    <w:rsid w:val="37E172EC"/>
    <w:rsid w:val="37E64902"/>
    <w:rsid w:val="37E86CB2"/>
    <w:rsid w:val="37EB016A"/>
    <w:rsid w:val="37F920DA"/>
    <w:rsid w:val="380D6333"/>
    <w:rsid w:val="381325C2"/>
    <w:rsid w:val="38174ABC"/>
    <w:rsid w:val="38285A56"/>
    <w:rsid w:val="382A2A41"/>
    <w:rsid w:val="382C3356"/>
    <w:rsid w:val="38305B3C"/>
    <w:rsid w:val="38414FE9"/>
    <w:rsid w:val="38470D96"/>
    <w:rsid w:val="3851592F"/>
    <w:rsid w:val="385555E4"/>
    <w:rsid w:val="3862651D"/>
    <w:rsid w:val="38763ED8"/>
    <w:rsid w:val="38821536"/>
    <w:rsid w:val="3882287D"/>
    <w:rsid w:val="38974FA8"/>
    <w:rsid w:val="38A24CCD"/>
    <w:rsid w:val="38A345A1"/>
    <w:rsid w:val="38BD29A1"/>
    <w:rsid w:val="38C20ECB"/>
    <w:rsid w:val="38C76FD4"/>
    <w:rsid w:val="38CA4224"/>
    <w:rsid w:val="38CF35E8"/>
    <w:rsid w:val="38D330D8"/>
    <w:rsid w:val="38E250CA"/>
    <w:rsid w:val="38F550D8"/>
    <w:rsid w:val="38F97C5B"/>
    <w:rsid w:val="391159AF"/>
    <w:rsid w:val="391B682D"/>
    <w:rsid w:val="391E1E7A"/>
    <w:rsid w:val="39237123"/>
    <w:rsid w:val="392F4087"/>
    <w:rsid w:val="39461AFC"/>
    <w:rsid w:val="39470146"/>
    <w:rsid w:val="394D60DE"/>
    <w:rsid w:val="395568D4"/>
    <w:rsid w:val="396B7EAC"/>
    <w:rsid w:val="396C0E37"/>
    <w:rsid w:val="39810D86"/>
    <w:rsid w:val="3986014B"/>
    <w:rsid w:val="39860B3F"/>
    <w:rsid w:val="39875765"/>
    <w:rsid w:val="39924CD1"/>
    <w:rsid w:val="399772F3"/>
    <w:rsid w:val="399C0723"/>
    <w:rsid w:val="39A24859"/>
    <w:rsid w:val="39A34380"/>
    <w:rsid w:val="39AB7BB1"/>
    <w:rsid w:val="39B60304"/>
    <w:rsid w:val="39BF0A72"/>
    <w:rsid w:val="39C12F31"/>
    <w:rsid w:val="39C173D5"/>
    <w:rsid w:val="39C24EFB"/>
    <w:rsid w:val="39D013C6"/>
    <w:rsid w:val="39E62997"/>
    <w:rsid w:val="39F42657"/>
    <w:rsid w:val="3A371C54"/>
    <w:rsid w:val="3A433D6D"/>
    <w:rsid w:val="3A4B4EF0"/>
    <w:rsid w:val="3A4E0551"/>
    <w:rsid w:val="3A5C3925"/>
    <w:rsid w:val="3A5C4F1E"/>
    <w:rsid w:val="3A614714"/>
    <w:rsid w:val="3A6755EE"/>
    <w:rsid w:val="3A6C39BB"/>
    <w:rsid w:val="3A6D711D"/>
    <w:rsid w:val="3A712BA9"/>
    <w:rsid w:val="3A720AA3"/>
    <w:rsid w:val="3A7B223D"/>
    <w:rsid w:val="3A8723CC"/>
    <w:rsid w:val="3A914FF9"/>
    <w:rsid w:val="3A976388"/>
    <w:rsid w:val="3AA27206"/>
    <w:rsid w:val="3AA60379"/>
    <w:rsid w:val="3AAA1C17"/>
    <w:rsid w:val="3AAC1E33"/>
    <w:rsid w:val="3ABB3E24"/>
    <w:rsid w:val="3ABC0A2C"/>
    <w:rsid w:val="3AC16F61"/>
    <w:rsid w:val="3AC4344A"/>
    <w:rsid w:val="3ACC4283"/>
    <w:rsid w:val="3AD244C6"/>
    <w:rsid w:val="3ADB6274"/>
    <w:rsid w:val="3AE10939"/>
    <w:rsid w:val="3AE315CD"/>
    <w:rsid w:val="3AF630AE"/>
    <w:rsid w:val="3B133C60"/>
    <w:rsid w:val="3B181276"/>
    <w:rsid w:val="3B186779"/>
    <w:rsid w:val="3B23087F"/>
    <w:rsid w:val="3B3379AB"/>
    <w:rsid w:val="3B3A43F7"/>
    <w:rsid w:val="3B462B12"/>
    <w:rsid w:val="3B4C168B"/>
    <w:rsid w:val="3B594FAB"/>
    <w:rsid w:val="3B5A363D"/>
    <w:rsid w:val="3B5D4EDB"/>
    <w:rsid w:val="3B6074C4"/>
    <w:rsid w:val="3B6874B1"/>
    <w:rsid w:val="3B6F4C0F"/>
    <w:rsid w:val="3B80097F"/>
    <w:rsid w:val="3B895CD0"/>
    <w:rsid w:val="3B8B1A48"/>
    <w:rsid w:val="3B912DD7"/>
    <w:rsid w:val="3B954675"/>
    <w:rsid w:val="3BA26D92"/>
    <w:rsid w:val="3BA71C83"/>
    <w:rsid w:val="3BAA13E4"/>
    <w:rsid w:val="3BC14218"/>
    <w:rsid w:val="3BC25393"/>
    <w:rsid w:val="3BCF77BE"/>
    <w:rsid w:val="3BD50D31"/>
    <w:rsid w:val="3BE91AED"/>
    <w:rsid w:val="3BEA5C31"/>
    <w:rsid w:val="3BF05D4F"/>
    <w:rsid w:val="3BFB79B8"/>
    <w:rsid w:val="3BFF0A2D"/>
    <w:rsid w:val="3C02567B"/>
    <w:rsid w:val="3C0637C5"/>
    <w:rsid w:val="3C096E11"/>
    <w:rsid w:val="3C2479A4"/>
    <w:rsid w:val="3C3519B4"/>
    <w:rsid w:val="3C371A00"/>
    <w:rsid w:val="3C384C09"/>
    <w:rsid w:val="3C4165AB"/>
    <w:rsid w:val="3C4560BD"/>
    <w:rsid w:val="3C4B67BD"/>
    <w:rsid w:val="3C5C50CF"/>
    <w:rsid w:val="3C5E0F0B"/>
    <w:rsid w:val="3C84649C"/>
    <w:rsid w:val="3C850B8E"/>
    <w:rsid w:val="3C8A6140"/>
    <w:rsid w:val="3C8C1F1C"/>
    <w:rsid w:val="3C926E07"/>
    <w:rsid w:val="3C94492D"/>
    <w:rsid w:val="3CA27F74"/>
    <w:rsid w:val="3CA73F05"/>
    <w:rsid w:val="3CAA0661"/>
    <w:rsid w:val="3CAF1767"/>
    <w:rsid w:val="3CB07FEF"/>
    <w:rsid w:val="3CB60D47"/>
    <w:rsid w:val="3CCB2319"/>
    <w:rsid w:val="3CD967E3"/>
    <w:rsid w:val="3D0221DE"/>
    <w:rsid w:val="3D0A2E41"/>
    <w:rsid w:val="3D0D16EF"/>
    <w:rsid w:val="3D114B43"/>
    <w:rsid w:val="3D127F47"/>
    <w:rsid w:val="3D1E069A"/>
    <w:rsid w:val="3D232155"/>
    <w:rsid w:val="3D3D3216"/>
    <w:rsid w:val="3D3D6D72"/>
    <w:rsid w:val="3D4445A5"/>
    <w:rsid w:val="3D446D65"/>
    <w:rsid w:val="3D681032"/>
    <w:rsid w:val="3D695DB9"/>
    <w:rsid w:val="3D7D7AB7"/>
    <w:rsid w:val="3D803103"/>
    <w:rsid w:val="3D89645B"/>
    <w:rsid w:val="3D995F73"/>
    <w:rsid w:val="3D9C6035"/>
    <w:rsid w:val="3DB42DAD"/>
    <w:rsid w:val="3DB46BC0"/>
    <w:rsid w:val="3DB55618"/>
    <w:rsid w:val="3DBB1B0E"/>
    <w:rsid w:val="3DC11699"/>
    <w:rsid w:val="3DC254CA"/>
    <w:rsid w:val="3DC77D0F"/>
    <w:rsid w:val="3DD90390"/>
    <w:rsid w:val="3DED37F9"/>
    <w:rsid w:val="3DF15DAF"/>
    <w:rsid w:val="3DF2512B"/>
    <w:rsid w:val="3DF71617"/>
    <w:rsid w:val="3E09134A"/>
    <w:rsid w:val="3E0D0E3B"/>
    <w:rsid w:val="3E177BDA"/>
    <w:rsid w:val="3E19660A"/>
    <w:rsid w:val="3E2E615A"/>
    <w:rsid w:val="3E3E1A84"/>
    <w:rsid w:val="3E483BB4"/>
    <w:rsid w:val="3E4A3B11"/>
    <w:rsid w:val="3E4F10C4"/>
    <w:rsid w:val="3E4F1453"/>
    <w:rsid w:val="3E5C147A"/>
    <w:rsid w:val="3E5E3444"/>
    <w:rsid w:val="3E6E004F"/>
    <w:rsid w:val="3E760BF6"/>
    <w:rsid w:val="3E8135D7"/>
    <w:rsid w:val="3E852C4C"/>
    <w:rsid w:val="3E9230EE"/>
    <w:rsid w:val="3EA232A3"/>
    <w:rsid w:val="3EA82450"/>
    <w:rsid w:val="3EAF3CA0"/>
    <w:rsid w:val="3EC158A9"/>
    <w:rsid w:val="3ED069D1"/>
    <w:rsid w:val="3ED54C8A"/>
    <w:rsid w:val="3EDC25BB"/>
    <w:rsid w:val="3EDE4585"/>
    <w:rsid w:val="3EE651E8"/>
    <w:rsid w:val="3EE76CD7"/>
    <w:rsid w:val="3EE9030D"/>
    <w:rsid w:val="3EEE34B5"/>
    <w:rsid w:val="3EEF1CC6"/>
    <w:rsid w:val="3EF508F9"/>
    <w:rsid w:val="3EF618CF"/>
    <w:rsid w:val="3EFB0C93"/>
    <w:rsid w:val="3F000ABC"/>
    <w:rsid w:val="3F0264C5"/>
    <w:rsid w:val="3F0B4C4E"/>
    <w:rsid w:val="3F144A67"/>
    <w:rsid w:val="3F161F71"/>
    <w:rsid w:val="3F1E2BD3"/>
    <w:rsid w:val="3F2D1834"/>
    <w:rsid w:val="3F473ED8"/>
    <w:rsid w:val="3F632CDC"/>
    <w:rsid w:val="3F6C393F"/>
    <w:rsid w:val="3F6F31DE"/>
    <w:rsid w:val="3F8E7D59"/>
    <w:rsid w:val="3F914755"/>
    <w:rsid w:val="3F9614BE"/>
    <w:rsid w:val="3F9B06C8"/>
    <w:rsid w:val="3F9C56E6"/>
    <w:rsid w:val="3FD5771A"/>
    <w:rsid w:val="3FE06B97"/>
    <w:rsid w:val="3FE60717"/>
    <w:rsid w:val="3FE8515D"/>
    <w:rsid w:val="3FEE07F8"/>
    <w:rsid w:val="3FFB2F15"/>
    <w:rsid w:val="3FFF2A05"/>
    <w:rsid w:val="400B13AA"/>
    <w:rsid w:val="40205CF6"/>
    <w:rsid w:val="40224945"/>
    <w:rsid w:val="40226D9C"/>
    <w:rsid w:val="40281B4E"/>
    <w:rsid w:val="402F009C"/>
    <w:rsid w:val="40330901"/>
    <w:rsid w:val="4044666A"/>
    <w:rsid w:val="40490124"/>
    <w:rsid w:val="40512B35"/>
    <w:rsid w:val="40532D51"/>
    <w:rsid w:val="405465FA"/>
    <w:rsid w:val="40571326"/>
    <w:rsid w:val="405C0E8C"/>
    <w:rsid w:val="4063698F"/>
    <w:rsid w:val="406B3BF6"/>
    <w:rsid w:val="407A0E6B"/>
    <w:rsid w:val="408B118A"/>
    <w:rsid w:val="408C2542"/>
    <w:rsid w:val="408E3D59"/>
    <w:rsid w:val="40A11D0E"/>
    <w:rsid w:val="40A13BA7"/>
    <w:rsid w:val="40A7789C"/>
    <w:rsid w:val="40AE7C64"/>
    <w:rsid w:val="40AE7F87"/>
    <w:rsid w:val="40B808FD"/>
    <w:rsid w:val="40C8729B"/>
    <w:rsid w:val="40DF49A6"/>
    <w:rsid w:val="40F96CB5"/>
    <w:rsid w:val="410302D3"/>
    <w:rsid w:val="4105404B"/>
    <w:rsid w:val="410A1661"/>
    <w:rsid w:val="41120516"/>
    <w:rsid w:val="41123C58"/>
    <w:rsid w:val="4113228A"/>
    <w:rsid w:val="412169AB"/>
    <w:rsid w:val="412C5BD7"/>
    <w:rsid w:val="412E1110"/>
    <w:rsid w:val="41566655"/>
    <w:rsid w:val="41686388"/>
    <w:rsid w:val="41733B91"/>
    <w:rsid w:val="417B255F"/>
    <w:rsid w:val="41840C58"/>
    <w:rsid w:val="418E6179"/>
    <w:rsid w:val="419D4283"/>
    <w:rsid w:val="41A03D74"/>
    <w:rsid w:val="41AF045B"/>
    <w:rsid w:val="41BB48E2"/>
    <w:rsid w:val="41BC374E"/>
    <w:rsid w:val="41BD2B78"/>
    <w:rsid w:val="41C52633"/>
    <w:rsid w:val="41CC7DDB"/>
    <w:rsid w:val="41D91034"/>
    <w:rsid w:val="41DB574A"/>
    <w:rsid w:val="41EC6DDE"/>
    <w:rsid w:val="41EC6FB9"/>
    <w:rsid w:val="41F06AA9"/>
    <w:rsid w:val="41FD36BD"/>
    <w:rsid w:val="42032ACC"/>
    <w:rsid w:val="42276243"/>
    <w:rsid w:val="42386BE7"/>
    <w:rsid w:val="423F533B"/>
    <w:rsid w:val="42443533"/>
    <w:rsid w:val="424456CC"/>
    <w:rsid w:val="424D3EFC"/>
    <w:rsid w:val="425B7131"/>
    <w:rsid w:val="425E35DB"/>
    <w:rsid w:val="42733236"/>
    <w:rsid w:val="42784CF1"/>
    <w:rsid w:val="427A45C5"/>
    <w:rsid w:val="42816542"/>
    <w:rsid w:val="42896050"/>
    <w:rsid w:val="4291232D"/>
    <w:rsid w:val="429A4C67"/>
    <w:rsid w:val="429C39D4"/>
    <w:rsid w:val="429F0E23"/>
    <w:rsid w:val="42D33CD5"/>
    <w:rsid w:val="42D704BD"/>
    <w:rsid w:val="42ED3C3D"/>
    <w:rsid w:val="42EF105C"/>
    <w:rsid w:val="43051EA2"/>
    <w:rsid w:val="430B1EEE"/>
    <w:rsid w:val="43160791"/>
    <w:rsid w:val="43212C92"/>
    <w:rsid w:val="43217136"/>
    <w:rsid w:val="433C57DB"/>
    <w:rsid w:val="43486471"/>
    <w:rsid w:val="43505326"/>
    <w:rsid w:val="43617FED"/>
    <w:rsid w:val="43670FED"/>
    <w:rsid w:val="437C436D"/>
    <w:rsid w:val="437C611B"/>
    <w:rsid w:val="437F0128"/>
    <w:rsid w:val="438848F7"/>
    <w:rsid w:val="4388777F"/>
    <w:rsid w:val="438A3A80"/>
    <w:rsid w:val="43933CCC"/>
    <w:rsid w:val="439568F1"/>
    <w:rsid w:val="439A62FF"/>
    <w:rsid w:val="439E653F"/>
    <w:rsid w:val="43A51B15"/>
    <w:rsid w:val="43B14016"/>
    <w:rsid w:val="43BB6C43"/>
    <w:rsid w:val="43BF6C09"/>
    <w:rsid w:val="43C13108"/>
    <w:rsid w:val="43C53F65"/>
    <w:rsid w:val="43CE6ECC"/>
    <w:rsid w:val="43D67F21"/>
    <w:rsid w:val="43DB5537"/>
    <w:rsid w:val="43E020B7"/>
    <w:rsid w:val="43F42155"/>
    <w:rsid w:val="43F860E9"/>
    <w:rsid w:val="43FE5A1F"/>
    <w:rsid w:val="440525B4"/>
    <w:rsid w:val="44061EA9"/>
    <w:rsid w:val="4416656F"/>
    <w:rsid w:val="44185E43"/>
    <w:rsid w:val="441C5327"/>
    <w:rsid w:val="441F3676"/>
    <w:rsid w:val="44231FA6"/>
    <w:rsid w:val="442B31AA"/>
    <w:rsid w:val="44387F8A"/>
    <w:rsid w:val="444035EC"/>
    <w:rsid w:val="444D0A53"/>
    <w:rsid w:val="44536725"/>
    <w:rsid w:val="445826E4"/>
    <w:rsid w:val="44680642"/>
    <w:rsid w:val="446D6E8D"/>
    <w:rsid w:val="44787BAB"/>
    <w:rsid w:val="447D039C"/>
    <w:rsid w:val="44867251"/>
    <w:rsid w:val="448B2AB9"/>
    <w:rsid w:val="449050E1"/>
    <w:rsid w:val="44B32010"/>
    <w:rsid w:val="44B414A4"/>
    <w:rsid w:val="44BC710F"/>
    <w:rsid w:val="44C22A57"/>
    <w:rsid w:val="44C63AF1"/>
    <w:rsid w:val="44CE2D64"/>
    <w:rsid w:val="44D15F3E"/>
    <w:rsid w:val="44D42A00"/>
    <w:rsid w:val="44D60B75"/>
    <w:rsid w:val="44D73F50"/>
    <w:rsid w:val="44E328F5"/>
    <w:rsid w:val="44E9190D"/>
    <w:rsid w:val="44E96829"/>
    <w:rsid w:val="44EB61D6"/>
    <w:rsid w:val="45014B29"/>
    <w:rsid w:val="45077060"/>
    <w:rsid w:val="451B6A60"/>
    <w:rsid w:val="45344EFF"/>
    <w:rsid w:val="45401697"/>
    <w:rsid w:val="45431C2B"/>
    <w:rsid w:val="45462E84"/>
    <w:rsid w:val="45467F62"/>
    <w:rsid w:val="454951DC"/>
    <w:rsid w:val="456000A3"/>
    <w:rsid w:val="45603F46"/>
    <w:rsid w:val="45717F01"/>
    <w:rsid w:val="45783CBB"/>
    <w:rsid w:val="457D0550"/>
    <w:rsid w:val="457E36C4"/>
    <w:rsid w:val="45877FC2"/>
    <w:rsid w:val="45965BB9"/>
    <w:rsid w:val="459D696F"/>
    <w:rsid w:val="45A24357"/>
    <w:rsid w:val="45A92AE9"/>
    <w:rsid w:val="45AA3413"/>
    <w:rsid w:val="45AB1823"/>
    <w:rsid w:val="45AC0F39"/>
    <w:rsid w:val="45AF268C"/>
    <w:rsid w:val="45B9003B"/>
    <w:rsid w:val="45BC6351"/>
    <w:rsid w:val="45CE1EE4"/>
    <w:rsid w:val="45D57CCA"/>
    <w:rsid w:val="45DE61D5"/>
    <w:rsid w:val="45DF68CB"/>
    <w:rsid w:val="45F5745B"/>
    <w:rsid w:val="45F75F2C"/>
    <w:rsid w:val="45FB4075"/>
    <w:rsid w:val="460C19D8"/>
    <w:rsid w:val="46164AD5"/>
    <w:rsid w:val="463217AB"/>
    <w:rsid w:val="464928DD"/>
    <w:rsid w:val="464A593F"/>
    <w:rsid w:val="464C44CA"/>
    <w:rsid w:val="46737CA9"/>
    <w:rsid w:val="46750A67"/>
    <w:rsid w:val="46771EAF"/>
    <w:rsid w:val="46774969"/>
    <w:rsid w:val="467A57B6"/>
    <w:rsid w:val="46844A32"/>
    <w:rsid w:val="4685504D"/>
    <w:rsid w:val="469519CD"/>
    <w:rsid w:val="46963997"/>
    <w:rsid w:val="469917D4"/>
    <w:rsid w:val="469B46D5"/>
    <w:rsid w:val="469C1979"/>
    <w:rsid w:val="46A63BDA"/>
    <w:rsid w:val="46A73E7E"/>
    <w:rsid w:val="46AF0723"/>
    <w:rsid w:val="46BE6B2D"/>
    <w:rsid w:val="46C242A9"/>
    <w:rsid w:val="46C87FF5"/>
    <w:rsid w:val="46D02A05"/>
    <w:rsid w:val="46E24DDD"/>
    <w:rsid w:val="46E42955"/>
    <w:rsid w:val="46EB783F"/>
    <w:rsid w:val="470A29C3"/>
    <w:rsid w:val="4714323A"/>
    <w:rsid w:val="4716385A"/>
    <w:rsid w:val="47196671"/>
    <w:rsid w:val="47214171"/>
    <w:rsid w:val="473019A3"/>
    <w:rsid w:val="474312E2"/>
    <w:rsid w:val="47431429"/>
    <w:rsid w:val="4751486C"/>
    <w:rsid w:val="475C13AE"/>
    <w:rsid w:val="476D294A"/>
    <w:rsid w:val="476F66C2"/>
    <w:rsid w:val="47867568"/>
    <w:rsid w:val="478B409A"/>
    <w:rsid w:val="478B6C64"/>
    <w:rsid w:val="47951F6F"/>
    <w:rsid w:val="479559FD"/>
    <w:rsid w:val="47961EA1"/>
    <w:rsid w:val="47C87B80"/>
    <w:rsid w:val="47CB06B2"/>
    <w:rsid w:val="47D6229D"/>
    <w:rsid w:val="47DB266C"/>
    <w:rsid w:val="47E0311C"/>
    <w:rsid w:val="47EB386F"/>
    <w:rsid w:val="47EC1AC1"/>
    <w:rsid w:val="47FE1CD2"/>
    <w:rsid w:val="480A1F47"/>
    <w:rsid w:val="481C0524"/>
    <w:rsid w:val="482024E1"/>
    <w:rsid w:val="482D3E87"/>
    <w:rsid w:val="48382F58"/>
    <w:rsid w:val="48496F13"/>
    <w:rsid w:val="48711FC6"/>
    <w:rsid w:val="48943F06"/>
    <w:rsid w:val="48990868"/>
    <w:rsid w:val="48A22F72"/>
    <w:rsid w:val="48A759E8"/>
    <w:rsid w:val="48B620CF"/>
    <w:rsid w:val="48BC68A3"/>
    <w:rsid w:val="48C52312"/>
    <w:rsid w:val="48CB3DCC"/>
    <w:rsid w:val="48DA0BAD"/>
    <w:rsid w:val="48E22EC4"/>
    <w:rsid w:val="48E46722"/>
    <w:rsid w:val="48E7655B"/>
    <w:rsid w:val="48F00B4A"/>
    <w:rsid w:val="48F54739"/>
    <w:rsid w:val="48F870EE"/>
    <w:rsid w:val="49047674"/>
    <w:rsid w:val="49072EEB"/>
    <w:rsid w:val="491C63D6"/>
    <w:rsid w:val="49275FFC"/>
    <w:rsid w:val="49296D45"/>
    <w:rsid w:val="492B6619"/>
    <w:rsid w:val="49366D6C"/>
    <w:rsid w:val="494616A5"/>
    <w:rsid w:val="49494CF1"/>
    <w:rsid w:val="494E054C"/>
    <w:rsid w:val="495711BC"/>
    <w:rsid w:val="4962490E"/>
    <w:rsid w:val="497F6A07"/>
    <w:rsid w:val="49805F8A"/>
    <w:rsid w:val="49831FB1"/>
    <w:rsid w:val="498B5309"/>
    <w:rsid w:val="498D72D3"/>
    <w:rsid w:val="49A451F1"/>
    <w:rsid w:val="49A62143"/>
    <w:rsid w:val="49CB792D"/>
    <w:rsid w:val="49D547D7"/>
    <w:rsid w:val="49D62A28"/>
    <w:rsid w:val="49E04189"/>
    <w:rsid w:val="49E862B8"/>
    <w:rsid w:val="49F033BE"/>
    <w:rsid w:val="4A01189B"/>
    <w:rsid w:val="4A0376C1"/>
    <w:rsid w:val="4A070E34"/>
    <w:rsid w:val="4A0D5D1E"/>
    <w:rsid w:val="4A11590E"/>
    <w:rsid w:val="4A11593B"/>
    <w:rsid w:val="4A143551"/>
    <w:rsid w:val="4A2117CA"/>
    <w:rsid w:val="4A2319E6"/>
    <w:rsid w:val="4A3E47C6"/>
    <w:rsid w:val="4A421E6C"/>
    <w:rsid w:val="4A45370A"/>
    <w:rsid w:val="4A513E5D"/>
    <w:rsid w:val="4A547DF1"/>
    <w:rsid w:val="4A655B5A"/>
    <w:rsid w:val="4A7E0095"/>
    <w:rsid w:val="4A981A8C"/>
    <w:rsid w:val="4AA30F88"/>
    <w:rsid w:val="4AA922FB"/>
    <w:rsid w:val="4AAC19DB"/>
    <w:rsid w:val="4AAC3789"/>
    <w:rsid w:val="4AB012C1"/>
    <w:rsid w:val="4AB32D6A"/>
    <w:rsid w:val="4AB34B18"/>
    <w:rsid w:val="4AC37F0D"/>
    <w:rsid w:val="4AD351BA"/>
    <w:rsid w:val="4AD64409"/>
    <w:rsid w:val="4ADA2423"/>
    <w:rsid w:val="4AEA44DF"/>
    <w:rsid w:val="4AEA6060"/>
    <w:rsid w:val="4AEC002A"/>
    <w:rsid w:val="4AFB3F55"/>
    <w:rsid w:val="4AFE05CE"/>
    <w:rsid w:val="4B0610EB"/>
    <w:rsid w:val="4B062BD9"/>
    <w:rsid w:val="4B0E7FA0"/>
    <w:rsid w:val="4B1355B6"/>
    <w:rsid w:val="4B19038B"/>
    <w:rsid w:val="4B2C50D3"/>
    <w:rsid w:val="4B2E6A0F"/>
    <w:rsid w:val="4B3043BA"/>
    <w:rsid w:val="4B306168"/>
    <w:rsid w:val="4B3361DB"/>
    <w:rsid w:val="4B4329EF"/>
    <w:rsid w:val="4B447E66"/>
    <w:rsid w:val="4B4506AB"/>
    <w:rsid w:val="4B4B6897"/>
    <w:rsid w:val="4B571947"/>
    <w:rsid w:val="4B582A18"/>
    <w:rsid w:val="4B5C0D0B"/>
    <w:rsid w:val="4B5C107E"/>
    <w:rsid w:val="4B614574"/>
    <w:rsid w:val="4B6A7489"/>
    <w:rsid w:val="4B92129D"/>
    <w:rsid w:val="4BA419D3"/>
    <w:rsid w:val="4BA601D9"/>
    <w:rsid w:val="4BB0030E"/>
    <w:rsid w:val="4BB611DF"/>
    <w:rsid w:val="4BBA0128"/>
    <w:rsid w:val="4BC34B9A"/>
    <w:rsid w:val="4BD27220"/>
    <w:rsid w:val="4BD44D46"/>
    <w:rsid w:val="4BD765E4"/>
    <w:rsid w:val="4BDA5A90"/>
    <w:rsid w:val="4BF52199"/>
    <w:rsid w:val="4BF56837"/>
    <w:rsid w:val="4BF70010"/>
    <w:rsid w:val="4BF928B7"/>
    <w:rsid w:val="4BF944CE"/>
    <w:rsid w:val="4C07066C"/>
    <w:rsid w:val="4C0C538C"/>
    <w:rsid w:val="4C115B43"/>
    <w:rsid w:val="4C12586E"/>
    <w:rsid w:val="4C1B255E"/>
    <w:rsid w:val="4C1E06B7"/>
    <w:rsid w:val="4C2E3605"/>
    <w:rsid w:val="4C3B231E"/>
    <w:rsid w:val="4C3D6555"/>
    <w:rsid w:val="4C417F01"/>
    <w:rsid w:val="4C4D4AF8"/>
    <w:rsid w:val="4C5365B2"/>
    <w:rsid w:val="4C683B50"/>
    <w:rsid w:val="4C714D34"/>
    <w:rsid w:val="4C7B3413"/>
    <w:rsid w:val="4C7E73A7"/>
    <w:rsid w:val="4C9C194B"/>
    <w:rsid w:val="4C9E625C"/>
    <w:rsid w:val="4CA7245A"/>
    <w:rsid w:val="4CA94424"/>
    <w:rsid w:val="4CAA3CF8"/>
    <w:rsid w:val="4CAD0735"/>
    <w:rsid w:val="4CB16E35"/>
    <w:rsid w:val="4CB525DD"/>
    <w:rsid w:val="4CCC1B46"/>
    <w:rsid w:val="4CCE79E7"/>
    <w:rsid w:val="4CDF25FF"/>
    <w:rsid w:val="4CF7705D"/>
    <w:rsid w:val="4CFE4613"/>
    <w:rsid w:val="4D027691"/>
    <w:rsid w:val="4D083AC4"/>
    <w:rsid w:val="4D0C075F"/>
    <w:rsid w:val="4D160BC7"/>
    <w:rsid w:val="4D1778FC"/>
    <w:rsid w:val="4D25439B"/>
    <w:rsid w:val="4D4978AC"/>
    <w:rsid w:val="4D567470"/>
    <w:rsid w:val="4D857D45"/>
    <w:rsid w:val="4D950505"/>
    <w:rsid w:val="4DA361BE"/>
    <w:rsid w:val="4DA93FB0"/>
    <w:rsid w:val="4DAE15C6"/>
    <w:rsid w:val="4DB017E2"/>
    <w:rsid w:val="4DB13C6B"/>
    <w:rsid w:val="4DBF1900"/>
    <w:rsid w:val="4DC5749E"/>
    <w:rsid w:val="4DC66910"/>
    <w:rsid w:val="4DCF7EBB"/>
    <w:rsid w:val="4DDA7251"/>
    <w:rsid w:val="4DDC4386"/>
    <w:rsid w:val="4E01582D"/>
    <w:rsid w:val="4E2E48B9"/>
    <w:rsid w:val="4E3E1263"/>
    <w:rsid w:val="4E3F7F96"/>
    <w:rsid w:val="4E4168DE"/>
    <w:rsid w:val="4E4B472D"/>
    <w:rsid w:val="4E4C2EA2"/>
    <w:rsid w:val="4E516B22"/>
    <w:rsid w:val="4E546612"/>
    <w:rsid w:val="4E555EE6"/>
    <w:rsid w:val="4E5B50D3"/>
    <w:rsid w:val="4E690324"/>
    <w:rsid w:val="4E6B144B"/>
    <w:rsid w:val="4E6D015D"/>
    <w:rsid w:val="4E724CEA"/>
    <w:rsid w:val="4E7D7917"/>
    <w:rsid w:val="4E8567CB"/>
    <w:rsid w:val="4E8E36B8"/>
    <w:rsid w:val="4E922C96"/>
    <w:rsid w:val="4E962786"/>
    <w:rsid w:val="4E9E788D"/>
    <w:rsid w:val="4EA50C1B"/>
    <w:rsid w:val="4EBA2F55"/>
    <w:rsid w:val="4EC67A99"/>
    <w:rsid w:val="4ED11A10"/>
    <w:rsid w:val="4ED6322F"/>
    <w:rsid w:val="4EE72FE2"/>
    <w:rsid w:val="4EF456FF"/>
    <w:rsid w:val="4F0A4F22"/>
    <w:rsid w:val="4F0F42E7"/>
    <w:rsid w:val="4F251D5C"/>
    <w:rsid w:val="4F336227"/>
    <w:rsid w:val="4F371833"/>
    <w:rsid w:val="4F38503B"/>
    <w:rsid w:val="4F3F411A"/>
    <w:rsid w:val="4F427227"/>
    <w:rsid w:val="4F8477C6"/>
    <w:rsid w:val="4F8C5937"/>
    <w:rsid w:val="4F8E4239"/>
    <w:rsid w:val="4F9071D6"/>
    <w:rsid w:val="4FA42C81"/>
    <w:rsid w:val="4FB355BE"/>
    <w:rsid w:val="4FC96B8B"/>
    <w:rsid w:val="4FCB4F69"/>
    <w:rsid w:val="4FD0191D"/>
    <w:rsid w:val="4FD0316D"/>
    <w:rsid w:val="4FDF63AF"/>
    <w:rsid w:val="500B71A4"/>
    <w:rsid w:val="5012408F"/>
    <w:rsid w:val="501871CB"/>
    <w:rsid w:val="503D0A8A"/>
    <w:rsid w:val="503E63E0"/>
    <w:rsid w:val="5042188F"/>
    <w:rsid w:val="505172E0"/>
    <w:rsid w:val="50533AEF"/>
    <w:rsid w:val="505E20A2"/>
    <w:rsid w:val="50610750"/>
    <w:rsid w:val="506D5769"/>
    <w:rsid w:val="50700DB5"/>
    <w:rsid w:val="50722D7F"/>
    <w:rsid w:val="507671C9"/>
    <w:rsid w:val="507F5666"/>
    <w:rsid w:val="508807F5"/>
    <w:rsid w:val="508D7BB9"/>
    <w:rsid w:val="508F3931"/>
    <w:rsid w:val="50A665E1"/>
    <w:rsid w:val="50B41186"/>
    <w:rsid w:val="50B770AB"/>
    <w:rsid w:val="50C86E43"/>
    <w:rsid w:val="50DB6B76"/>
    <w:rsid w:val="50EE1CF2"/>
    <w:rsid w:val="50EF64EE"/>
    <w:rsid w:val="51024103"/>
    <w:rsid w:val="510314B3"/>
    <w:rsid w:val="510F4A72"/>
    <w:rsid w:val="5118442F"/>
    <w:rsid w:val="511C3777"/>
    <w:rsid w:val="51226553"/>
    <w:rsid w:val="512322CB"/>
    <w:rsid w:val="51306B4E"/>
    <w:rsid w:val="51493AE0"/>
    <w:rsid w:val="514B3F53"/>
    <w:rsid w:val="514B674C"/>
    <w:rsid w:val="514C35D0"/>
    <w:rsid w:val="51514CAB"/>
    <w:rsid w:val="51590ECD"/>
    <w:rsid w:val="515B7CB7"/>
    <w:rsid w:val="5160707C"/>
    <w:rsid w:val="5167040A"/>
    <w:rsid w:val="5167583F"/>
    <w:rsid w:val="51735F11"/>
    <w:rsid w:val="51794915"/>
    <w:rsid w:val="517B5710"/>
    <w:rsid w:val="518D741E"/>
    <w:rsid w:val="51940402"/>
    <w:rsid w:val="5196484B"/>
    <w:rsid w:val="519805C3"/>
    <w:rsid w:val="519C2B02"/>
    <w:rsid w:val="51AB6549"/>
    <w:rsid w:val="51AE6039"/>
    <w:rsid w:val="51B3364F"/>
    <w:rsid w:val="51B53BE6"/>
    <w:rsid w:val="51B7313F"/>
    <w:rsid w:val="51B80C66"/>
    <w:rsid w:val="51C07B1A"/>
    <w:rsid w:val="51C422DF"/>
    <w:rsid w:val="51CE0489"/>
    <w:rsid w:val="51DA7627"/>
    <w:rsid w:val="51DD000C"/>
    <w:rsid w:val="51DD6BC9"/>
    <w:rsid w:val="51E11F6A"/>
    <w:rsid w:val="51E40803"/>
    <w:rsid w:val="51E97C0D"/>
    <w:rsid w:val="51EE696A"/>
    <w:rsid w:val="520F21E4"/>
    <w:rsid w:val="522E6257"/>
    <w:rsid w:val="522E717A"/>
    <w:rsid w:val="523227C6"/>
    <w:rsid w:val="5233653E"/>
    <w:rsid w:val="523C1531"/>
    <w:rsid w:val="523D116B"/>
    <w:rsid w:val="5246001F"/>
    <w:rsid w:val="52475700"/>
    <w:rsid w:val="52522E68"/>
    <w:rsid w:val="525503FE"/>
    <w:rsid w:val="525564B4"/>
    <w:rsid w:val="5256604B"/>
    <w:rsid w:val="5259161B"/>
    <w:rsid w:val="526806C6"/>
    <w:rsid w:val="52683276"/>
    <w:rsid w:val="526C7B62"/>
    <w:rsid w:val="52844FED"/>
    <w:rsid w:val="52875B10"/>
    <w:rsid w:val="528943B0"/>
    <w:rsid w:val="5291096A"/>
    <w:rsid w:val="52954560"/>
    <w:rsid w:val="529E42FF"/>
    <w:rsid w:val="52A03BD4"/>
    <w:rsid w:val="52AB2578"/>
    <w:rsid w:val="52AC7F54"/>
    <w:rsid w:val="52B37355"/>
    <w:rsid w:val="52BE7D56"/>
    <w:rsid w:val="52C35B14"/>
    <w:rsid w:val="52C8312A"/>
    <w:rsid w:val="52D7336D"/>
    <w:rsid w:val="52D94E5A"/>
    <w:rsid w:val="52EF4B5B"/>
    <w:rsid w:val="52F60736"/>
    <w:rsid w:val="530F2B01"/>
    <w:rsid w:val="5314011E"/>
    <w:rsid w:val="53166804"/>
    <w:rsid w:val="531719BC"/>
    <w:rsid w:val="53192609"/>
    <w:rsid w:val="533113DD"/>
    <w:rsid w:val="533B38FC"/>
    <w:rsid w:val="5342531F"/>
    <w:rsid w:val="53455590"/>
    <w:rsid w:val="534A1D91"/>
    <w:rsid w:val="53511372"/>
    <w:rsid w:val="535B5D4C"/>
    <w:rsid w:val="53607B50"/>
    <w:rsid w:val="536956BA"/>
    <w:rsid w:val="537961D3"/>
    <w:rsid w:val="538057B3"/>
    <w:rsid w:val="53887198"/>
    <w:rsid w:val="538A03E0"/>
    <w:rsid w:val="538C5F06"/>
    <w:rsid w:val="53923F51"/>
    <w:rsid w:val="53986FA1"/>
    <w:rsid w:val="53A72340"/>
    <w:rsid w:val="53AC7200"/>
    <w:rsid w:val="53B279CA"/>
    <w:rsid w:val="53BF452D"/>
    <w:rsid w:val="53C13D36"/>
    <w:rsid w:val="53D61877"/>
    <w:rsid w:val="53D8114B"/>
    <w:rsid w:val="53D855EF"/>
    <w:rsid w:val="53E67D0C"/>
    <w:rsid w:val="53F73DB6"/>
    <w:rsid w:val="53F975CD"/>
    <w:rsid w:val="53FA7313"/>
    <w:rsid w:val="541274AF"/>
    <w:rsid w:val="54222AC8"/>
    <w:rsid w:val="542D2571"/>
    <w:rsid w:val="542D76E9"/>
    <w:rsid w:val="54332825"/>
    <w:rsid w:val="543B42DA"/>
    <w:rsid w:val="54465448"/>
    <w:rsid w:val="544B4013"/>
    <w:rsid w:val="544D7D8B"/>
    <w:rsid w:val="54537DBA"/>
    <w:rsid w:val="545C06D9"/>
    <w:rsid w:val="5460079B"/>
    <w:rsid w:val="54624EB9"/>
    <w:rsid w:val="5463135D"/>
    <w:rsid w:val="54631EE1"/>
    <w:rsid w:val="546724CF"/>
    <w:rsid w:val="546D5D37"/>
    <w:rsid w:val="547E551D"/>
    <w:rsid w:val="54814CC2"/>
    <w:rsid w:val="54854C40"/>
    <w:rsid w:val="548B4134"/>
    <w:rsid w:val="54A159E1"/>
    <w:rsid w:val="54A51975"/>
    <w:rsid w:val="54AD05B7"/>
    <w:rsid w:val="54B94AEC"/>
    <w:rsid w:val="54C067AF"/>
    <w:rsid w:val="54D2203E"/>
    <w:rsid w:val="54D45DB6"/>
    <w:rsid w:val="54D77655"/>
    <w:rsid w:val="54DC4C6B"/>
    <w:rsid w:val="54DE2847"/>
    <w:rsid w:val="54EA382C"/>
    <w:rsid w:val="54F4600D"/>
    <w:rsid w:val="54F80A0C"/>
    <w:rsid w:val="54F862EF"/>
    <w:rsid w:val="54FB77E7"/>
    <w:rsid w:val="550735B3"/>
    <w:rsid w:val="55104BC9"/>
    <w:rsid w:val="55132CE6"/>
    <w:rsid w:val="551663CF"/>
    <w:rsid w:val="553036E6"/>
    <w:rsid w:val="5531145B"/>
    <w:rsid w:val="553A2F9F"/>
    <w:rsid w:val="553B7FB2"/>
    <w:rsid w:val="553D6868"/>
    <w:rsid w:val="553D7E00"/>
    <w:rsid w:val="553E7FF5"/>
    <w:rsid w:val="55524F2D"/>
    <w:rsid w:val="55591B89"/>
    <w:rsid w:val="5560764A"/>
    <w:rsid w:val="55747599"/>
    <w:rsid w:val="55766CF9"/>
    <w:rsid w:val="55766E6E"/>
    <w:rsid w:val="558F5D6C"/>
    <w:rsid w:val="558F7F2F"/>
    <w:rsid w:val="55A4193E"/>
    <w:rsid w:val="55B90409"/>
    <w:rsid w:val="55C23E61"/>
    <w:rsid w:val="55CB0F89"/>
    <w:rsid w:val="55CE0A58"/>
    <w:rsid w:val="55E06CD2"/>
    <w:rsid w:val="55E276DA"/>
    <w:rsid w:val="55E45E7A"/>
    <w:rsid w:val="55EC63FA"/>
    <w:rsid w:val="55EE0AA1"/>
    <w:rsid w:val="55EF09CE"/>
    <w:rsid w:val="55F80AFC"/>
    <w:rsid w:val="55FC3817"/>
    <w:rsid w:val="55FD133D"/>
    <w:rsid w:val="56057971"/>
    <w:rsid w:val="56073F6A"/>
    <w:rsid w:val="560E70A6"/>
    <w:rsid w:val="56114DE8"/>
    <w:rsid w:val="56177C28"/>
    <w:rsid w:val="561A3C9D"/>
    <w:rsid w:val="562763BA"/>
    <w:rsid w:val="56290C6C"/>
    <w:rsid w:val="5635664D"/>
    <w:rsid w:val="564C04DC"/>
    <w:rsid w:val="564E56F6"/>
    <w:rsid w:val="5656482C"/>
    <w:rsid w:val="56684F5B"/>
    <w:rsid w:val="56764297"/>
    <w:rsid w:val="56777341"/>
    <w:rsid w:val="56941CA1"/>
    <w:rsid w:val="569E48CE"/>
    <w:rsid w:val="56A11707"/>
    <w:rsid w:val="56A8574D"/>
    <w:rsid w:val="56AF0AAE"/>
    <w:rsid w:val="56B624FB"/>
    <w:rsid w:val="56B934B6"/>
    <w:rsid w:val="56C65BD3"/>
    <w:rsid w:val="56CD67E3"/>
    <w:rsid w:val="56D227CA"/>
    <w:rsid w:val="56D25F54"/>
    <w:rsid w:val="56E15F7D"/>
    <w:rsid w:val="56E30533"/>
    <w:rsid w:val="56E417A3"/>
    <w:rsid w:val="56EA4C93"/>
    <w:rsid w:val="56F005ED"/>
    <w:rsid w:val="56F7151D"/>
    <w:rsid w:val="56F93745"/>
    <w:rsid w:val="56FC15F5"/>
    <w:rsid w:val="57013F6B"/>
    <w:rsid w:val="57014E5D"/>
    <w:rsid w:val="571132F2"/>
    <w:rsid w:val="57175E3D"/>
    <w:rsid w:val="5718342D"/>
    <w:rsid w:val="57193533"/>
    <w:rsid w:val="571A5662"/>
    <w:rsid w:val="571B5F1F"/>
    <w:rsid w:val="571C57F3"/>
    <w:rsid w:val="572D5C52"/>
    <w:rsid w:val="573241D9"/>
    <w:rsid w:val="573C0108"/>
    <w:rsid w:val="574216FD"/>
    <w:rsid w:val="57432CFF"/>
    <w:rsid w:val="57462870"/>
    <w:rsid w:val="57603931"/>
    <w:rsid w:val="576978FF"/>
    <w:rsid w:val="577949F3"/>
    <w:rsid w:val="5789732C"/>
    <w:rsid w:val="578A6C00"/>
    <w:rsid w:val="57923D07"/>
    <w:rsid w:val="579B0E0D"/>
    <w:rsid w:val="57AD0B04"/>
    <w:rsid w:val="57AE0B41"/>
    <w:rsid w:val="57B7551B"/>
    <w:rsid w:val="57CC0FC7"/>
    <w:rsid w:val="57DA3BA5"/>
    <w:rsid w:val="57E91B79"/>
    <w:rsid w:val="57F2579F"/>
    <w:rsid w:val="57F347A6"/>
    <w:rsid w:val="580A7D41"/>
    <w:rsid w:val="58133B49"/>
    <w:rsid w:val="58315248"/>
    <w:rsid w:val="58475996"/>
    <w:rsid w:val="584D60A1"/>
    <w:rsid w:val="585039A6"/>
    <w:rsid w:val="585A4238"/>
    <w:rsid w:val="585D60C3"/>
    <w:rsid w:val="5866374F"/>
    <w:rsid w:val="58692CBA"/>
    <w:rsid w:val="58727DC0"/>
    <w:rsid w:val="58821913"/>
    <w:rsid w:val="588B79E9"/>
    <w:rsid w:val="588D34AE"/>
    <w:rsid w:val="58A7169E"/>
    <w:rsid w:val="58AE2DC2"/>
    <w:rsid w:val="58B02697"/>
    <w:rsid w:val="58C34194"/>
    <w:rsid w:val="58CF5213"/>
    <w:rsid w:val="58D171FD"/>
    <w:rsid w:val="58D36385"/>
    <w:rsid w:val="58DD546E"/>
    <w:rsid w:val="58EB1921"/>
    <w:rsid w:val="58F503D5"/>
    <w:rsid w:val="58FD3088"/>
    <w:rsid w:val="58FF717A"/>
    <w:rsid w:val="59046E89"/>
    <w:rsid w:val="59115860"/>
    <w:rsid w:val="591744C4"/>
    <w:rsid w:val="59282B75"/>
    <w:rsid w:val="59374B66"/>
    <w:rsid w:val="593F3A1A"/>
    <w:rsid w:val="59444C41"/>
    <w:rsid w:val="595219A0"/>
    <w:rsid w:val="5957597C"/>
    <w:rsid w:val="5960230F"/>
    <w:rsid w:val="596173AF"/>
    <w:rsid w:val="596A6CE9"/>
    <w:rsid w:val="596B66AF"/>
    <w:rsid w:val="59715160"/>
    <w:rsid w:val="59760385"/>
    <w:rsid w:val="59760461"/>
    <w:rsid w:val="597C6A1D"/>
    <w:rsid w:val="5985013A"/>
    <w:rsid w:val="5987789B"/>
    <w:rsid w:val="598F55D0"/>
    <w:rsid w:val="59AF6DF2"/>
    <w:rsid w:val="59B10314"/>
    <w:rsid w:val="59B77A55"/>
    <w:rsid w:val="59C60849"/>
    <w:rsid w:val="59CA59DA"/>
    <w:rsid w:val="59CD3484"/>
    <w:rsid w:val="59D10B16"/>
    <w:rsid w:val="59D2488F"/>
    <w:rsid w:val="59D46859"/>
    <w:rsid w:val="59DB1995"/>
    <w:rsid w:val="59E3084A"/>
    <w:rsid w:val="59F237BA"/>
    <w:rsid w:val="5A0306BD"/>
    <w:rsid w:val="5A0348A2"/>
    <w:rsid w:val="5A1741CB"/>
    <w:rsid w:val="5A283DA6"/>
    <w:rsid w:val="5A292701"/>
    <w:rsid w:val="5A3B6E9F"/>
    <w:rsid w:val="5A6220B6"/>
    <w:rsid w:val="5A731BCE"/>
    <w:rsid w:val="5A77527B"/>
    <w:rsid w:val="5A7B6CD4"/>
    <w:rsid w:val="5A89319F"/>
    <w:rsid w:val="5A8F584A"/>
    <w:rsid w:val="5A9164F8"/>
    <w:rsid w:val="5AA92868"/>
    <w:rsid w:val="5AB00B4F"/>
    <w:rsid w:val="5AB06EEC"/>
    <w:rsid w:val="5ABA3CA0"/>
    <w:rsid w:val="5ABF0C46"/>
    <w:rsid w:val="5AC216D8"/>
    <w:rsid w:val="5AD424B7"/>
    <w:rsid w:val="5ADA29C1"/>
    <w:rsid w:val="5ADB14C6"/>
    <w:rsid w:val="5ADE71D6"/>
    <w:rsid w:val="5AF57667"/>
    <w:rsid w:val="5AF90080"/>
    <w:rsid w:val="5B015153"/>
    <w:rsid w:val="5B084A0C"/>
    <w:rsid w:val="5B1E5FDD"/>
    <w:rsid w:val="5B2F01EA"/>
    <w:rsid w:val="5B3830EA"/>
    <w:rsid w:val="5B4B66A7"/>
    <w:rsid w:val="5B4D0671"/>
    <w:rsid w:val="5B595267"/>
    <w:rsid w:val="5B597015"/>
    <w:rsid w:val="5B5F625D"/>
    <w:rsid w:val="5B6D65FD"/>
    <w:rsid w:val="5B9242D5"/>
    <w:rsid w:val="5BA10A27"/>
    <w:rsid w:val="5BA721D5"/>
    <w:rsid w:val="5BA74C10"/>
    <w:rsid w:val="5BA87F9D"/>
    <w:rsid w:val="5BAA7871"/>
    <w:rsid w:val="5BB65F6A"/>
    <w:rsid w:val="5BBC1352"/>
    <w:rsid w:val="5BC13F81"/>
    <w:rsid w:val="5BC2015B"/>
    <w:rsid w:val="5BD40D92"/>
    <w:rsid w:val="5BD963A8"/>
    <w:rsid w:val="5BE74621"/>
    <w:rsid w:val="5BE76CCC"/>
    <w:rsid w:val="5BFE012D"/>
    <w:rsid w:val="5C0B4FE8"/>
    <w:rsid w:val="5C0F5462"/>
    <w:rsid w:val="5C100EE4"/>
    <w:rsid w:val="5C163FEB"/>
    <w:rsid w:val="5C1D4939"/>
    <w:rsid w:val="5C250A68"/>
    <w:rsid w:val="5C2A5724"/>
    <w:rsid w:val="5C341831"/>
    <w:rsid w:val="5C3655A9"/>
    <w:rsid w:val="5C437A7C"/>
    <w:rsid w:val="5C447CC6"/>
    <w:rsid w:val="5C4558FE"/>
    <w:rsid w:val="5C4F5842"/>
    <w:rsid w:val="5C594DF3"/>
    <w:rsid w:val="5C5B5F38"/>
    <w:rsid w:val="5C5B6DBD"/>
    <w:rsid w:val="5C5C6C96"/>
    <w:rsid w:val="5C5D5B23"/>
    <w:rsid w:val="5C78796F"/>
    <w:rsid w:val="5C792239"/>
    <w:rsid w:val="5C7F0CFE"/>
    <w:rsid w:val="5C82259C"/>
    <w:rsid w:val="5C8D7DFA"/>
    <w:rsid w:val="5C9347A9"/>
    <w:rsid w:val="5C950521"/>
    <w:rsid w:val="5C983B6D"/>
    <w:rsid w:val="5CA72002"/>
    <w:rsid w:val="5CAA7089"/>
    <w:rsid w:val="5CB12968"/>
    <w:rsid w:val="5CB309A7"/>
    <w:rsid w:val="5CBB785C"/>
    <w:rsid w:val="5CCB3F43"/>
    <w:rsid w:val="5CCB5CF1"/>
    <w:rsid w:val="5CE46DB3"/>
    <w:rsid w:val="5CEC2856"/>
    <w:rsid w:val="5CF1327E"/>
    <w:rsid w:val="5D0631CD"/>
    <w:rsid w:val="5D067364"/>
    <w:rsid w:val="5D0D2688"/>
    <w:rsid w:val="5D1B33EE"/>
    <w:rsid w:val="5D2D075A"/>
    <w:rsid w:val="5D2D265C"/>
    <w:rsid w:val="5D380EAD"/>
    <w:rsid w:val="5D447851"/>
    <w:rsid w:val="5D46465A"/>
    <w:rsid w:val="5D4F6D5C"/>
    <w:rsid w:val="5D601C77"/>
    <w:rsid w:val="5D657C27"/>
    <w:rsid w:val="5D691E8B"/>
    <w:rsid w:val="5D6A41D1"/>
    <w:rsid w:val="5D752101"/>
    <w:rsid w:val="5D7C2FBE"/>
    <w:rsid w:val="5D921815"/>
    <w:rsid w:val="5D9745CC"/>
    <w:rsid w:val="5D9C143B"/>
    <w:rsid w:val="5DA14CA4"/>
    <w:rsid w:val="5DA25D0A"/>
    <w:rsid w:val="5DA84E12"/>
    <w:rsid w:val="5DAD53F7"/>
    <w:rsid w:val="5DC664B8"/>
    <w:rsid w:val="5DC80482"/>
    <w:rsid w:val="5DCA5FA9"/>
    <w:rsid w:val="5DCC2E35"/>
    <w:rsid w:val="5DD26913"/>
    <w:rsid w:val="5DD5494D"/>
    <w:rsid w:val="5DDB1F64"/>
    <w:rsid w:val="5DE057CC"/>
    <w:rsid w:val="5DEA03F9"/>
    <w:rsid w:val="5DF72B16"/>
    <w:rsid w:val="5E075281"/>
    <w:rsid w:val="5E082F75"/>
    <w:rsid w:val="5E0B5101"/>
    <w:rsid w:val="5E0C14B0"/>
    <w:rsid w:val="5E29006B"/>
    <w:rsid w:val="5E2953CE"/>
    <w:rsid w:val="5E3922A0"/>
    <w:rsid w:val="5E3B0C54"/>
    <w:rsid w:val="5E4C2E61"/>
    <w:rsid w:val="5E56783C"/>
    <w:rsid w:val="5E6436BF"/>
    <w:rsid w:val="5E766250"/>
    <w:rsid w:val="5E832720"/>
    <w:rsid w:val="5E841E57"/>
    <w:rsid w:val="5E896CFA"/>
    <w:rsid w:val="5E897C12"/>
    <w:rsid w:val="5E9D3F29"/>
    <w:rsid w:val="5E9E5865"/>
    <w:rsid w:val="5EA25E16"/>
    <w:rsid w:val="5EA467FA"/>
    <w:rsid w:val="5EB17D1C"/>
    <w:rsid w:val="5EC05B97"/>
    <w:rsid w:val="5ECA1FD8"/>
    <w:rsid w:val="5ECF4213"/>
    <w:rsid w:val="5ED1131F"/>
    <w:rsid w:val="5ED16751"/>
    <w:rsid w:val="5ED4433C"/>
    <w:rsid w:val="5EFA027F"/>
    <w:rsid w:val="5EFB6729"/>
    <w:rsid w:val="5EFC6636"/>
    <w:rsid w:val="5F021772"/>
    <w:rsid w:val="5F0F04E8"/>
    <w:rsid w:val="5F116103"/>
    <w:rsid w:val="5F13397F"/>
    <w:rsid w:val="5F175824"/>
    <w:rsid w:val="5F184590"/>
    <w:rsid w:val="5F215FFC"/>
    <w:rsid w:val="5F223BC2"/>
    <w:rsid w:val="5F2636B2"/>
    <w:rsid w:val="5F385194"/>
    <w:rsid w:val="5F3A715E"/>
    <w:rsid w:val="5F3B02CD"/>
    <w:rsid w:val="5F5244A8"/>
    <w:rsid w:val="5F5521EA"/>
    <w:rsid w:val="5F6366B5"/>
    <w:rsid w:val="5F663F55"/>
    <w:rsid w:val="5F6917F1"/>
    <w:rsid w:val="5F700DD2"/>
    <w:rsid w:val="5F812FDF"/>
    <w:rsid w:val="5F865BFC"/>
    <w:rsid w:val="5F884EA7"/>
    <w:rsid w:val="5F8E45AC"/>
    <w:rsid w:val="5FA16DF0"/>
    <w:rsid w:val="5FA84305"/>
    <w:rsid w:val="5FBA5715"/>
    <w:rsid w:val="5FC829BC"/>
    <w:rsid w:val="5FF13E39"/>
    <w:rsid w:val="60077745"/>
    <w:rsid w:val="600D4872"/>
    <w:rsid w:val="600E6018"/>
    <w:rsid w:val="6013007F"/>
    <w:rsid w:val="60266FF4"/>
    <w:rsid w:val="602F0DBA"/>
    <w:rsid w:val="60314542"/>
    <w:rsid w:val="60394C13"/>
    <w:rsid w:val="60476963"/>
    <w:rsid w:val="605C1D5C"/>
    <w:rsid w:val="605E4585"/>
    <w:rsid w:val="605E4E8F"/>
    <w:rsid w:val="605E50CE"/>
    <w:rsid w:val="606D766C"/>
    <w:rsid w:val="607F642D"/>
    <w:rsid w:val="608E7761"/>
    <w:rsid w:val="60996D9D"/>
    <w:rsid w:val="60A01243"/>
    <w:rsid w:val="60B42F40"/>
    <w:rsid w:val="60BF3DBF"/>
    <w:rsid w:val="60BF5B6D"/>
    <w:rsid w:val="60E27AAD"/>
    <w:rsid w:val="60E530F9"/>
    <w:rsid w:val="60E6759D"/>
    <w:rsid w:val="60E767BD"/>
    <w:rsid w:val="60E94998"/>
    <w:rsid w:val="61002DE3"/>
    <w:rsid w:val="610610CA"/>
    <w:rsid w:val="610E43FE"/>
    <w:rsid w:val="612E5056"/>
    <w:rsid w:val="61377DF9"/>
    <w:rsid w:val="613C540F"/>
    <w:rsid w:val="615E036F"/>
    <w:rsid w:val="61665FE8"/>
    <w:rsid w:val="616B1851"/>
    <w:rsid w:val="61721B1F"/>
    <w:rsid w:val="617B03EF"/>
    <w:rsid w:val="617C1CB0"/>
    <w:rsid w:val="618E553F"/>
    <w:rsid w:val="61954B1F"/>
    <w:rsid w:val="61975313"/>
    <w:rsid w:val="61A3338D"/>
    <w:rsid w:val="61A811DF"/>
    <w:rsid w:val="61AC2B03"/>
    <w:rsid w:val="61B01959"/>
    <w:rsid w:val="61B92517"/>
    <w:rsid w:val="61CB0541"/>
    <w:rsid w:val="61EA6C19"/>
    <w:rsid w:val="61ED04B8"/>
    <w:rsid w:val="61ED6D3C"/>
    <w:rsid w:val="61F5613D"/>
    <w:rsid w:val="61F5736C"/>
    <w:rsid w:val="62051CA5"/>
    <w:rsid w:val="62053A53"/>
    <w:rsid w:val="621E1BB5"/>
    <w:rsid w:val="621E78AA"/>
    <w:rsid w:val="62353ACB"/>
    <w:rsid w:val="62353C0D"/>
    <w:rsid w:val="623E6F65"/>
    <w:rsid w:val="624104BF"/>
    <w:rsid w:val="6253630E"/>
    <w:rsid w:val="62790DC9"/>
    <w:rsid w:val="62816616"/>
    <w:rsid w:val="62A56FE4"/>
    <w:rsid w:val="62AC3ECF"/>
    <w:rsid w:val="62AF1933"/>
    <w:rsid w:val="62B114E5"/>
    <w:rsid w:val="62C751AC"/>
    <w:rsid w:val="62C9714A"/>
    <w:rsid w:val="62D376AD"/>
    <w:rsid w:val="62D460A8"/>
    <w:rsid w:val="62D6719E"/>
    <w:rsid w:val="62DF24F6"/>
    <w:rsid w:val="62E0626E"/>
    <w:rsid w:val="62EC4DC5"/>
    <w:rsid w:val="62F35FA1"/>
    <w:rsid w:val="62F66A3A"/>
    <w:rsid w:val="63014D81"/>
    <w:rsid w:val="63116428"/>
    <w:rsid w:val="63147FAF"/>
    <w:rsid w:val="631E27F9"/>
    <w:rsid w:val="632E0D88"/>
    <w:rsid w:val="63335164"/>
    <w:rsid w:val="63371229"/>
    <w:rsid w:val="633931AD"/>
    <w:rsid w:val="63456CB1"/>
    <w:rsid w:val="63617C53"/>
    <w:rsid w:val="63626220"/>
    <w:rsid w:val="637452DD"/>
    <w:rsid w:val="637D1D0F"/>
    <w:rsid w:val="637D3ABD"/>
    <w:rsid w:val="638135AD"/>
    <w:rsid w:val="639B1A12"/>
    <w:rsid w:val="639B4BBF"/>
    <w:rsid w:val="639C0744"/>
    <w:rsid w:val="63AA328D"/>
    <w:rsid w:val="63AC31AA"/>
    <w:rsid w:val="63B141AA"/>
    <w:rsid w:val="63B75221"/>
    <w:rsid w:val="63BC45E5"/>
    <w:rsid w:val="63BE42DA"/>
    <w:rsid w:val="63BF79A4"/>
    <w:rsid w:val="63D20880"/>
    <w:rsid w:val="63E15DFA"/>
    <w:rsid w:val="63E358D7"/>
    <w:rsid w:val="63F55D49"/>
    <w:rsid w:val="63F718D5"/>
    <w:rsid w:val="640115C4"/>
    <w:rsid w:val="6401192F"/>
    <w:rsid w:val="64041AE8"/>
    <w:rsid w:val="64061D04"/>
    <w:rsid w:val="640A4DAF"/>
    <w:rsid w:val="6410048D"/>
    <w:rsid w:val="6426638B"/>
    <w:rsid w:val="64267CB1"/>
    <w:rsid w:val="64306D81"/>
    <w:rsid w:val="64371EBE"/>
    <w:rsid w:val="643B2B56"/>
    <w:rsid w:val="6441217E"/>
    <w:rsid w:val="64423FCC"/>
    <w:rsid w:val="645A09A1"/>
    <w:rsid w:val="64672585"/>
    <w:rsid w:val="647749B0"/>
    <w:rsid w:val="647C1FC7"/>
    <w:rsid w:val="649317EA"/>
    <w:rsid w:val="64A5151D"/>
    <w:rsid w:val="64A532CB"/>
    <w:rsid w:val="64B368F6"/>
    <w:rsid w:val="64B713E7"/>
    <w:rsid w:val="64BC23C3"/>
    <w:rsid w:val="64BD2119"/>
    <w:rsid w:val="64C64FF0"/>
    <w:rsid w:val="64CF20F6"/>
    <w:rsid w:val="64CF3058"/>
    <w:rsid w:val="64D15E6F"/>
    <w:rsid w:val="64D43BB1"/>
    <w:rsid w:val="64FB6CCD"/>
    <w:rsid w:val="650A312E"/>
    <w:rsid w:val="6510548D"/>
    <w:rsid w:val="65181CEF"/>
    <w:rsid w:val="652466F4"/>
    <w:rsid w:val="65270184"/>
    <w:rsid w:val="652A557F"/>
    <w:rsid w:val="65384752"/>
    <w:rsid w:val="653B778C"/>
    <w:rsid w:val="654E74BF"/>
    <w:rsid w:val="65515201"/>
    <w:rsid w:val="655A40B6"/>
    <w:rsid w:val="65652A5B"/>
    <w:rsid w:val="656D496A"/>
    <w:rsid w:val="65805B60"/>
    <w:rsid w:val="658450BE"/>
    <w:rsid w:val="65847385"/>
    <w:rsid w:val="65853869"/>
    <w:rsid w:val="6589396E"/>
    <w:rsid w:val="658B0713"/>
    <w:rsid w:val="658D45A0"/>
    <w:rsid w:val="65905D2A"/>
    <w:rsid w:val="65983B40"/>
    <w:rsid w:val="659A5C0E"/>
    <w:rsid w:val="65C9123C"/>
    <w:rsid w:val="65CC4888"/>
    <w:rsid w:val="65D5373C"/>
    <w:rsid w:val="65D774B5"/>
    <w:rsid w:val="65D8147F"/>
    <w:rsid w:val="65E120E1"/>
    <w:rsid w:val="65E234D6"/>
    <w:rsid w:val="65EE0CA2"/>
    <w:rsid w:val="65F53DDF"/>
    <w:rsid w:val="66171831"/>
    <w:rsid w:val="661D4273"/>
    <w:rsid w:val="66263F98"/>
    <w:rsid w:val="663A3EE7"/>
    <w:rsid w:val="663A5F3D"/>
    <w:rsid w:val="66456B14"/>
    <w:rsid w:val="6646251F"/>
    <w:rsid w:val="664B1C51"/>
    <w:rsid w:val="6650370B"/>
    <w:rsid w:val="665C5C0C"/>
    <w:rsid w:val="66664CDC"/>
    <w:rsid w:val="66666A8A"/>
    <w:rsid w:val="6670366E"/>
    <w:rsid w:val="6683460B"/>
    <w:rsid w:val="6699516A"/>
    <w:rsid w:val="669D01C8"/>
    <w:rsid w:val="66A001EE"/>
    <w:rsid w:val="66A54284"/>
    <w:rsid w:val="66AD24F1"/>
    <w:rsid w:val="66BB5028"/>
    <w:rsid w:val="66C51557"/>
    <w:rsid w:val="66CA0DC7"/>
    <w:rsid w:val="66D92AA0"/>
    <w:rsid w:val="66D93700"/>
    <w:rsid w:val="66E8698C"/>
    <w:rsid w:val="66F978FF"/>
    <w:rsid w:val="670267B3"/>
    <w:rsid w:val="670544F5"/>
    <w:rsid w:val="67177D85"/>
    <w:rsid w:val="671958AB"/>
    <w:rsid w:val="67207AF4"/>
    <w:rsid w:val="67273BB1"/>
    <w:rsid w:val="67317098"/>
    <w:rsid w:val="67322237"/>
    <w:rsid w:val="673821D5"/>
    <w:rsid w:val="67440F57"/>
    <w:rsid w:val="67535261"/>
    <w:rsid w:val="6753700F"/>
    <w:rsid w:val="676141CE"/>
    <w:rsid w:val="67656D42"/>
    <w:rsid w:val="67677FB2"/>
    <w:rsid w:val="676E5BF7"/>
    <w:rsid w:val="6773320D"/>
    <w:rsid w:val="677B31EE"/>
    <w:rsid w:val="67803B7C"/>
    <w:rsid w:val="67825B46"/>
    <w:rsid w:val="67876CB8"/>
    <w:rsid w:val="679118E5"/>
    <w:rsid w:val="679124B9"/>
    <w:rsid w:val="679725B9"/>
    <w:rsid w:val="67987117"/>
    <w:rsid w:val="679A3871"/>
    <w:rsid w:val="67B0680F"/>
    <w:rsid w:val="67B21283"/>
    <w:rsid w:val="67B3068B"/>
    <w:rsid w:val="67C577E1"/>
    <w:rsid w:val="67D5211A"/>
    <w:rsid w:val="67DC14D2"/>
    <w:rsid w:val="67E61FFB"/>
    <w:rsid w:val="67EB5499"/>
    <w:rsid w:val="67F26828"/>
    <w:rsid w:val="67FA18AD"/>
    <w:rsid w:val="67FC4CA3"/>
    <w:rsid w:val="68066955"/>
    <w:rsid w:val="68081363"/>
    <w:rsid w:val="68114963"/>
    <w:rsid w:val="68171BE1"/>
    <w:rsid w:val="681E1FDF"/>
    <w:rsid w:val="681F15E7"/>
    <w:rsid w:val="68246BFD"/>
    <w:rsid w:val="68413EEA"/>
    <w:rsid w:val="684C3967"/>
    <w:rsid w:val="684F6624"/>
    <w:rsid w:val="68660FC4"/>
    <w:rsid w:val="68662D72"/>
    <w:rsid w:val="68721717"/>
    <w:rsid w:val="687F7EDD"/>
    <w:rsid w:val="688D02FE"/>
    <w:rsid w:val="6897117D"/>
    <w:rsid w:val="68B8734F"/>
    <w:rsid w:val="68C161FA"/>
    <w:rsid w:val="68C301C4"/>
    <w:rsid w:val="68D53504"/>
    <w:rsid w:val="68DC4DE2"/>
    <w:rsid w:val="68E02B24"/>
    <w:rsid w:val="68E51EE8"/>
    <w:rsid w:val="68F24043"/>
    <w:rsid w:val="68F44821"/>
    <w:rsid w:val="68F674B8"/>
    <w:rsid w:val="6901666B"/>
    <w:rsid w:val="6904108E"/>
    <w:rsid w:val="690552FB"/>
    <w:rsid w:val="69116F83"/>
    <w:rsid w:val="691C1682"/>
    <w:rsid w:val="69270753"/>
    <w:rsid w:val="692C217C"/>
    <w:rsid w:val="692C520B"/>
    <w:rsid w:val="692C577D"/>
    <w:rsid w:val="692E172D"/>
    <w:rsid w:val="693115D2"/>
    <w:rsid w:val="69382960"/>
    <w:rsid w:val="693E5A9D"/>
    <w:rsid w:val="69416EAD"/>
    <w:rsid w:val="69482477"/>
    <w:rsid w:val="694A61EF"/>
    <w:rsid w:val="694B7883"/>
    <w:rsid w:val="694F1A58"/>
    <w:rsid w:val="69586B5E"/>
    <w:rsid w:val="6959497D"/>
    <w:rsid w:val="696513B8"/>
    <w:rsid w:val="6965614B"/>
    <w:rsid w:val="696B3D66"/>
    <w:rsid w:val="696F532F"/>
    <w:rsid w:val="69796AD5"/>
    <w:rsid w:val="697A4EED"/>
    <w:rsid w:val="69831701"/>
    <w:rsid w:val="69966816"/>
    <w:rsid w:val="69A07FDC"/>
    <w:rsid w:val="69A2427D"/>
    <w:rsid w:val="69A753F0"/>
    <w:rsid w:val="69C05D8A"/>
    <w:rsid w:val="69C80215"/>
    <w:rsid w:val="69CF4947"/>
    <w:rsid w:val="69DA6B07"/>
    <w:rsid w:val="69E44896"/>
    <w:rsid w:val="69EF03EF"/>
    <w:rsid w:val="69F767C2"/>
    <w:rsid w:val="69F820EF"/>
    <w:rsid w:val="69FE2034"/>
    <w:rsid w:val="6A0550F9"/>
    <w:rsid w:val="6A0C7949"/>
    <w:rsid w:val="6A194FB6"/>
    <w:rsid w:val="6A2C0F95"/>
    <w:rsid w:val="6A2E78BF"/>
    <w:rsid w:val="6A331379"/>
    <w:rsid w:val="6A3756D2"/>
    <w:rsid w:val="6A3D5D54"/>
    <w:rsid w:val="6A3F1ACC"/>
    <w:rsid w:val="6A4B66C3"/>
    <w:rsid w:val="6A4B784D"/>
    <w:rsid w:val="6A4E0110"/>
    <w:rsid w:val="6A6E04AD"/>
    <w:rsid w:val="6A726DA4"/>
    <w:rsid w:val="6A7949AA"/>
    <w:rsid w:val="6A7A6FA8"/>
    <w:rsid w:val="6A7B50CC"/>
    <w:rsid w:val="6A8A6A56"/>
    <w:rsid w:val="6A8E376B"/>
    <w:rsid w:val="6A903C04"/>
    <w:rsid w:val="6A9A31A7"/>
    <w:rsid w:val="6AA3205B"/>
    <w:rsid w:val="6AAB53B4"/>
    <w:rsid w:val="6AAD2EDA"/>
    <w:rsid w:val="6AAE27AE"/>
    <w:rsid w:val="6AB27AB2"/>
    <w:rsid w:val="6ABA1153"/>
    <w:rsid w:val="6AC02C0D"/>
    <w:rsid w:val="6AD234B9"/>
    <w:rsid w:val="6AD541DF"/>
    <w:rsid w:val="6ADA3F5D"/>
    <w:rsid w:val="6ADF2BA2"/>
    <w:rsid w:val="6AE01E94"/>
    <w:rsid w:val="6AEB520A"/>
    <w:rsid w:val="6AEB57B0"/>
    <w:rsid w:val="6B06019A"/>
    <w:rsid w:val="6B0C7B33"/>
    <w:rsid w:val="6B0F4925"/>
    <w:rsid w:val="6B15282D"/>
    <w:rsid w:val="6B160A7F"/>
    <w:rsid w:val="6B1E7934"/>
    <w:rsid w:val="6B26541A"/>
    <w:rsid w:val="6B3C14AA"/>
    <w:rsid w:val="6B40098D"/>
    <w:rsid w:val="6B426AD4"/>
    <w:rsid w:val="6B601CFA"/>
    <w:rsid w:val="6B637A3C"/>
    <w:rsid w:val="6B836186"/>
    <w:rsid w:val="6BA96417"/>
    <w:rsid w:val="6BB12CE4"/>
    <w:rsid w:val="6BB232B3"/>
    <w:rsid w:val="6BB53A04"/>
    <w:rsid w:val="6BBB1626"/>
    <w:rsid w:val="6BBB51FE"/>
    <w:rsid w:val="6BBD5DD2"/>
    <w:rsid w:val="6BC93D43"/>
    <w:rsid w:val="6BE204F3"/>
    <w:rsid w:val="6BE20961"/>
    <w:rsid w:val="6BE648F5"/>
    <w:rsid w:val="6BE772E4"/>
    <w:rsid w:val="6BEC5C84"/>
    <w:rsid w:val="6C040B51"/>
    <w:rsid w:val="6C10011C"/>
    <w:rsid w:val="6C111246"/>
    <w:rsid w:val="6C133210"/>
    <w:rsid w:val="6C186A79"/>
    <w:rsid w:val="6C1B20C5"/>
    <w:rsid w:val="6C1D5E3D"/>
    <w:rsid w:val="6C204BA4"/>
    <w:rsid w:val="6C2A29CD"/>
    <w:rsid w:val="6C313697"/>
    <w:rsid w:val="6C33428D"/>
    <w:rsid w:val="6C4008C3"/>
    <w:rsid w:val="6C411E06"/>
    <w:rsid w:val="6C454C7B"/>
    <w:rsid w:val="6C464485"/>
    <w:rsid w:val="6C4933FE"/>
    <w:rsid w:val="6C496C32"/>
    <w:rsid w:val="6C4D4548"/>
    <w:rsid w:val="6C5309A3"/>
    <w:rsid w:val="6C5F6456"/>
    <w:rsid w:val="6C6B0957"/>
    <w:rsid w:val="6C700183"/>
    <w:rsid w:val="6C7F08A6"/>
    <w:rsid w:val="6C841F60"/>
    <w:rsid w:val="6C9465D8"/>
    <w:rsid w:val="6C9F2CF6"/>
    <w:rsid w:val="6CA845F8"/>
    <w:rsid w:val="6CA9147F"/>
    <w:rsid w:val="6CB322FE"/>
    <w:rsid w:val="6CB42573"/>
    <w:rsid w:val="6CC83FFB"/>
    <w:rsid w:val="6CCB7647"/>
    <w:rsid w:val="6CCF2016"/>
    <w:rsid w:val="6CCF4AE7"/>
    <w:rsid w:val="6CD3640C"/>
    <w:rsid w:val="6CD429A0"/>
    <w:rsid w:val="6CDA3D2E"/>
    <w:rsid w:val="6CDC6F8F"/>
    <w:rsid w:val="6CE26D5D"/>
    <w:rsid w:val="6CE90F1A"/>
    <w:rsid w:val="6CED3A62"/>
    <w:rsid w:val="6CED5418"/>
    <w:rsid w:val="6CFB736C"/>
    <w:rsid w:val="6CFB7C8C"/>
    <w:rsid w:val="6D036DE1"/>
    <w:rsid w:val="6D090170"/>
    <w:rsid w:val="6D0D5EB2"/>
    <w:rsid w:val="6D110371"/>
    <w:rsid w:val="6D1267F8"/>
    <w:rsid w:val="6D192AA9"/>
    <w:rsid w:val="6D1B0BFF"/>
    <w:rsid w:val="6D1E7C61"/>
    <w:rsid w:val="6D2A6B77"/>
    <w:rsid w:val="6D2F7BD6"/>
    <w:rsid w:val="6D372F2F"/>
    <w:rsid w:val="6D4A7EB2"/>
    <w:rsid w:val="6D4D2EAF"/>
    <w:rsid w:val="6D605FE2"/>
    <w:rsid w:val="6D655433"/>
    <w:rsid w:val="6D671445"/>
    <w:rsid w:val="6D6C0EF4"/>
    <w:rsid w:val="6D7171FA"/>
    <w:rsid w:val="6D761CA9"/>
    <w:rsid w:val="6D7C4333"/>
    <w:rsid w:val="6D9C44AE"/>
    <w:rsid w:val="6D9D0818"/>
    <w:rsid w:val="6DA22A9E"/>
    <w:rsid w:val="6DBE5AF8"/>
    <w:rsid w:val="6DC24EEE"/>
    <w:rsid w:val="6DC3707B"/>
    <w:rsid w:val="6DC621DF"/>
    <w:rsid w:val="6DCC5FE4"/>
    <w:rsid w:val="6DD6473D"/>
    <w:rsid w:val="6E2711F5"/>
    <w:rsid w:val="6E3E6269"/>
    <w:rsid w:val="6E4771C6"/>
    <w:rsid w:val="6E4A2BE0"/>
    <w:rsid w:val="6E587601"/>
    <w:rsid w:val="6E604AF0"/>
    <w:rsid w:val="6E62222D"/>
    <w:rsid w:val="6E6C4E5A"/>
    <w:rsid w:val="6E724E8F"/>
    <w:rsid w:val="6E752DF4"/>
    <w:rsid w:val="6E7F2DDF"/>
    <w:rsid w:val="6E88039E"/>
    <w:rsid w:val="6E891720"/>
    <w:rsid w:val="6E9C129B"/>
    <w:rsid w:val="6EA12D56"/>
    <w:rsid w:val="6EB052C5"/>
    <w:rsid w:val="6EB34837"/>
    <w:rsid w:val="6EBF1B48"/>
    <w:rsid w:val="6EC151A6"/>
    <w:rsid w:val="6EC407F2"/>
    <w:rsid w:val="6EC52B6C"/>
    <w:rsid w:val="6ECC4A08"/>
    <w:rsid w:val="6ECE1671"/>
    <w:rsid w:val="6ED175D4"/>
    <w:rsid w:val="6ED22F0F"/>
    <w:rsid w:val="6EE24726"/>
    <w:rsid w:val="6EE40E94"/>
    <w:rsid w:val="6EFC1D3A"/>
    <w:rsid w:val="6F1436E0"/>
    <w:rsid w:val="6F1928EC"/>
    <w:rsid w:val="6F1B2B08"/>
    <w:rsid w:val="6F1C23DC"/>
    <w:rsid w:val="6F375468"/>
    <w:rsid w:val="6F391F63"/>
    <w:rsid w:val="6F435BBB"/>
    <w:rsid w:val="6F527B9B"/>
    <w:rsid w:val="6F537CDF"/>
    <w:rsid w:val="6F6124E5"/>
    <w:rsid w:val="6F6A75EB"/>
    <w:rsid w:val="6F6C5FA7"/>
    <w:rsid w:val="6F705F8A"/>
    <w:rsid w:val="6F7E36FE"/>
    <w:rsid w:val="6F7E79B2"/>
    <w:rsid w:val="6F8771AB"/>
    <w:rsid w:val="6F9730F7"/>
    <w:rsid w:val="6FB10C4C"/>
    <w:rsid w:val="6FB16DEE"/>
    <w:rsid w:val="6FC3303F"/>
    <w:rsid w:val="6FD77E83"/>
    <w:rsid w:val="6FDB5DF3"/>
    <w:rsid w:val="6FE03FB5"/>
    <w:rsid w:val="6FFE7D34"/>
    <w:rsid w:val="70375E10"/>
    <w:rsid w:val="703B0F88"/>
    <w:rsid w:val="70416101"/>
    <w:rsid w:val="70425469"/>
    <w:rsid w:val="704E2FCC"/>
    <w:rsid w:val="70651B61"/>
    <w:rsid w:val="70657DB3"/>
    <w:rsid w:val="706939AC"/>
    <w:rsid w:val="707149AA"/>
    <w:rsid w:val="70720239"/>
    <w:rsid w:val="7076611F"/>
    <w:rsid w:val="707A22FC"/>
    <w:rsid w:val="707F70C6"/>
    <w:rsid w:val="708244C1"/>
    <w:rsid w:val="70924DD5"/>
    <w:rsid w:val="70931401"/>
    <w:rsid w:val="709E4C15"/>
    <w:rsid w:val="70A26A58"/>
    <w:rsid w:val="70A72179"/>
    <w:rsid w:val="70AD73F2"/>
    <w:rsid w:val="70B276E8"/>
    <w:rsid w:val="70B5413B"/>
    <w:rsid w:val="70B761B0"/>
    <w:rsid w:val="70BF5715"/>
    <w:rsid w:val="70C0774E"/>
    <w:rsid w:val="70CB40BA"/>
    <w:rsid w:val="70CC050C"/>
    <w:rsid w:val="70CE3BAA"/>
    <w:rsid w:val="70CE5958"/>
    <w:rsid w:val="70EE5FFA"/>
    <w:rsid w:val="70F51137"/>
    <w:rsid w:val="70F80C27"/>
    <w:rsid w:val="70FC4273"/>
    <w:rsid w:val="70FF79CB"/>
    <w:rsid w:val="71041E77"/>
    <w:rsid w:val="711F61B4"/>
    <w:rsid w:val="712832BA"/>
    <w:rsid w:val="712B6906"/>
    <w:rsid w:val="712D6B22"/>
    <w:rsid w:val="71306870"/>
    <w:rsid w:val="714A76D4"/>
    <w:rsid w:val="714C13FC"/>
    <w:rsid w:val="714F6A99"/>
    <w:rsid w:val="71500A63"/>
    <w:rsid w:val="71551BD5"/>
    <w:rsid w:val="71557E27"/>
    <w:rsid w:val="715770F9"/>
    <w:rsid w:val="715D7C40"/>
    <w:rsid w:val="71600462"/>
    <w:rsid w:val="71645191"/>
    <w:rsid w:val="716D33C3"/>
    <w:rsid w:val="717F0411"/>
    <w:rsid w:val="71A5490B"/>
    <w:rsid w:val="71AD7C63"/>
    <w:rsid w:val="71B72890"/>
    <w:rsid w:val="71CF1988"/>
    <w:rsid w:val="71CF69E7"/>
    <w:rsid w:val="71DE7E1D"/>
    <w:rsid w:val="71E03B95"/>
    <w:rsid w:val="71FE226D"/>
    <w:rsid w:val="72141A90"/>
    <w:rsid w:val="72325CC1"/>
    <w:rsid w:val="723E4F1D"/>
    <w:rsid w:val="723F6B0D"/>
    <w:rsid w:val="724C2FD8"/>
    <w:rsid w:val="725246C0"/>
    <w:rsid w:val="7258372B"/>
    <w:rsid w:val="725A145D"/>
    <w:rsid w:val="7260025E"/>
    <w:rsid w:val="72693B8A"/>
    <w:rsid w:val="726B664E"/>
    <w:rsid w:val="72876A03"/>
    <w:rsid w:val="728C5E44"/>
    <w:rsid w:val="729A3D44"/>
    <w:rsid w:val="72A17150"/>
    <w:rsid w:val="72A9042B"/>
    <w:rsid w:val="72B017B9"/>
    <w:rsid w:val="72CC5166"/>
    <w:rsid w:val="72D405E0"/>
    <w:rsid w:val="72D91A0B"/>
    <w:rsid w:val="72FA6ED8"/>
    <w:rsid w:val="72FD2525"/>
    <w:rsid w:val="73027B3B"/>
    <w:rsid w:val="7309711B"/>
    <w:rsid w:val="730C5B99"/>
    <w:rsid w:val="73137F9A"/>
    <w:rsid w:val="73185FA3"/>
    <w:rsid w:val="7325566E"/>
    <w:rsid w:val="732857F3"/>
    <w:rsid w:val="733E6DC5"/>
    <w:rsid w:val="7349576A"/>
    <w:rsid w:val="73571C35"/>
    <w:rsid w:val="73593B14"/>
    <w:rsid w:val="736507F6"/>
    <w:rsid w:val="737A76B5"/>
    <w:rsid w:val="738F5872"/>
    <w:rsid w:val="7391373E"/>
    <w:rsid w:val="73996588"/>
    <w:rsid w:val="73A10265"/>
    <w:rsid w:val="73A6496A"/>
    <w:rsid w:val="73AD3F4B"/>
    <w:rsid w:val="73AD5CF9"/>
    <w:rsid w:val="73D71367"/>
    <w:rsid w:val="73DC213A"/>
    <w:rsid w:val="73DF45AA"/>
    <w:rsid w:val="73E44180"/>
    <w:rsid w:val="73EA2AA9"/>
    <w:rsid w:val="73EA3533"/>
    <w:rsid w:val="73F05BE5"/>
    <w:rsid w:val="73F16DB4"/>
    <w:rsid w:val="73F81D9D"/>
    <w:rsid w:val="73FE652E"/>
    <w:rsid w:val="7401672E"/>
    <w:rsid w:val="74064E51"/>
    <w:rsid w:val="740A2907"/>
    <w:rsid w:val="74100271"/>
    <w:rsid w:val="741B47FA"/>
    <w:rsid w:val="74286545"/>
    <w:rsid w:val="742A56ED"/>
    <w:rsid w:val="74312486"/>
    <w:rsid w:val="74331D80"/>
    <w:rsid w:val="744142D3"/>
    <w:rsid w:val="744C5EC1"/>
    <w:rsid w:val="745C0B11"/>
    <w:rsid w:val="74634609"/>
    <w:rsid w:val="746740F9"/>
    <w:rsid w:val="7476258E"/>
    <w:rsid w:val="747B5DF7"/>
    <w:rsid w:val="7488347F"/>
    <w:rsid w:val="74A7099A"/>
    <w:rsid w:val="74A72748"/>
    <w:rsid w:val="74AC3A68"/>
    <w:rsid w:val="74BD1F6B"/>
    <w:rsid w:val="74C07CAE"/>
    <w:rsid w:val="74C4154C"/>
    <w:rsid w:val="74C44EAA"/>
    <w:rsid w:val="74D4787B"/>
    <w:rsid w:val="74F472E7"/>
    <w:rsid w:val="750000AA"/>
    <w:rsid w:val="750D185B"/>
    <w:rsid w:val="751B1A41"/>
    <w:rsid w:val="751C6422"/>
    <w:rsid w:val="75262145"/>
    <w:rsid w:val="75324707"/>
    <w:rsid w:val="753A4DD2"/>
    <w:rsid w:val="754C32EF"/>
    <w:rsid w:val="75507BBA"/>
    <w:rsid w:val="755723C0"/>
    <w:rsid w:val="755F3023"/>
    <w:rsid w:val="75650F1E"/>
    <w:rsid w:val="7565192A"/>
    <w:rsid w:val="75674472"/>
    <w:rsid w:val="756A254E"/>
    <w:rsid w:val="757840E4"/>
    <w:rsid w:val="757C3BD5"/>
    <w:rsid w:val="75995495"/>
    <w:rsid w:val="759A31B6"/>
    <w:rsid w:val="75A21011"/>
    <w:rsid w:val="75A86778"/>
    <w:rsid w:val="75C00134"/>
    <w:rsid w:val="75C83FCF"/>
    <w:rsid w:val="75C8506C"/>
    <w:rsid w:val="75D532E5"/>
    <w:rsid w:val="75DC7088"/>
    <w:rsid w:val="75E23A15"/>
    <w:rsid w:val="75E70309"/>
    <w:rsid w:val="75EB6C83"/>
    <w:rsid w:val="76171B4F"/>
    <w:rsid w:val="76234DA9"/>
    <w:rsid w:val="76261D92"/>
    <w:rsid w:val="762D1373"/>
    <w:rsid w:val="76326989"/>
    <w:rsid w:val="763C3364"/>
    <w:rsid w:val="764B3BCB"/>
    <w:rsid w:val="764F2F30"/>
    <w:rsid w:val="766B1B19"/>
    <w:rsid w:val="766C0F95"/>
    <w:rsid w:val="7671300D"/>
    <w:rsid w:val="769029F1"/>
    <w:rsid w:val="76947367"/>
    <w:rsid w:val="769C0F63"/>
    <w:rsid w:val="769E49FA"/>
    <w:rsid w:val="769F1D04"/>
    <w:rsid w:val="76AD7DBE"/>
    <w:rsid w:val="76BD6253"/>
    <w:rsid w:val="76CB4358"/>
    <w:rsid w:val="76DE3E86"/>
    <w:rsid w:val="76E01F41"/>
    <w:rsid w:val="76E6219A"/>
    <w:rsid w:val="76E87327"/>
    <w:rsid w:val="76ED62F7"/>
    <w:rsid w:val="76FD0D45"/>
    <w:rsid w:val="77106CCA"/>
    <w:rsid w:val="771D42DF"/>
    <w:rsid w:val="77287E38"/>
    <w:rsid w:val="77304C77"/>
    <w:rsid w:val="774150D6"/>
    <w:rsid w:val="7750356B"/>
    <w:rsid w:val="77644920"/>
    <w:rsid w:val="776921AC"/>
    <w:rsid w:val="776D5ECB"/>
    <w:rsid w:val="778A1190"/>
    <w:rsid w:val="779E42D6"/>
    <w:rsid w:val="779F08E0"/>
    <w:rsid w:val="77A15B74"/>
    <w:rsid w:val="77AB69F3"/>
    <w:rsid w:val="77B86DDE"/>
    <w:rsid w:val="77BF424C"/>
    <w:rsid w:val="77C11489"/>
    <w:rsid w:val="77C218E9"/>
    <w:rsid w:val="77C74EAF"/>
    <w:rsid w:val="77C875A5"/>
    <w:rsid w:val="77CA668C"/>
    <w:rsid w:val="77CC60A6"/>
    <w:rsid w:val="77DE46D3"/>
    <w:rsid w:val="77EB5041"/>
    <w:rsid w:val="77EE068E"/>
    <w:rsid w:val="78025490"/>
    <w:rsid w:val="78106856"/>
    <w:rsid w:val="78146346"/>
    <w:rsid w:val="781F68DB"/>
    <w:rsid w:val="782B18E2"/>
    <w:rsid w:val="783A0F16"/>
    <w:rsid w:val="78531063"/>
    <w:rsid w:val="785506C7"/>
    <w:rsid w:val="785A27DF"/>
    <w:rsid w:val="785F2B9F"/>
    <w:rsid w:val="786142AC"/>
    <w:rsid w:val="786F7A21"/>
    <w:rsid w:val="788567E4"/>
    <w:rsid w:val="788654EA"/>
    <w:rsid w:val="78866B18"/>
    <w:rsid w:val="788F3524"/>
    <w:rsid w:val="78B1532A"/>
    <w:rsid w:val="78B83176"/>
    <w:rsid w:val="78BD078C"/>
    <w:rsid w:val="78C52E00"/>
    <w:rsid w:val="78DB3308"/>
    <w:rsid w:val="78DE6954"/>
    <w:rsid w:val="78E55F35"/>
    <w:rsid w:val="78FC77E6"/>
    <w:rsid w:val="79096F1E"/>
    <w:rsid w:val="79164340"/>
    <w:rsid w:val="79167E9C"/>
    <w:rsid w:val="79226841"/>
    <w:rsid w:val="794F7D98"/>
    <w:rsid w:val="795F5CE7"/>
    <w:rsid w:val="796105DC"/>
    <w:rsid w:val="796E53E9"/>
    <w:rsid w:val="7970070C"/>
    <w:rsid w:val="79766B8D"/>
    <w:rsid w:val="79801512"/>
    <w:rsid w:val="798968C0"/>
    <w:rsid w:val="798C65FC"/>
    <w:rsid w:val="79AF551C"/>
    <w:rsid w:val="79B37DE1"/>
    <w:rsid w:val="79B500E4"/>
    <w:rsid w:val="79B83EF2"/>
    <w:rsid w:val="79BA2F1D"/>
    <w:rsid w:val="79C42B56"/>
    <w:rsid w:val="79C673B1"/>
    <w:rsid w:val="79C70B90"/>
    <w:rsid w:val="79D0655B"/>
    <w:rsid w:val="79D42231"/>
    <w:rsid w:val="79DC2E94"/>
    <w:rsid w:val="79E13D7A"/>
    <w:rsid w:val="79F44681"/>
    <w:rsid w:val="79F533EE"/>
    <w:rsid w:val="79FE30B4"/>
    <w:rsid w:val="7A081EDB"/>
    <w:rsid w:val="7A0F3269"/>
    <w:rsid w:val="7A156933"/>
    <w:rsid w:val="7A1B5E86"/>
    <w:rsid w:val="7A1F7201"/>
    <w:rsid w:val="7A2D1941"/>
    <w:rsid w:val="7A334D21"/>
    <w:rsid w:val="7A36248D"/>
    <w:rsid w:val="7A3F7B01"/>
    <w:rsid w:val="7A401675"/>
    <w:rsid w:val="7A4647B1"/>
    <w:rsid w:val="7A540C7C"/>
    <w:rsid w:val="7A5769BE"/>
    <w:rsid w:val="7A5D4082"/>
    <w:rsid w:val="7A613399"/>
    <w:rsid w:val="7A644563"/>
    <w:rsid w:val="7A831561"/>
    <w:rsid w:val="7A835A05"/>
    <w:rsid w:val="7A9E283F"/>
    <w:rsid w:val="7AA04D70"/>
    <w:rsid w:val="7AA53BCD"/>
    <w:rsid w:val="7AAF44EA"/>
    <w:rsid w:val="7AB26815"/>
    <w:rsid w:val="7ABC03B8"/>
    <w:rsid w:val="7AC1208A"/>
    <w:rsid w:val="7AC15AA0"/>
    <w:rsid w:val="7AC421C2"/>
    <w:rsid w:val="7AC555F6"/>
    <w:rsid w:val="7ACF0C4A"/>
    <w:rsid w:val="7AD41DBD"/>
    <w:rsid w:val="7AD96471"/>
    <w:rsid w:val="7AED71E6"/>
    <w:rsid w:val="7AF03942"/>
    <w:rsid w:val="7AF51867"/>
    <w:rsid w:val="7AF54A87"/>
    <w:rsid w:val="7AF9135E"/>
    <w:rsid w:val="7B0223B6"/>
    <w:rsid w:val="7B036915"/>
    <w:rsid w:val="7B0928BC"/>
    <w:rsid w:val="7B14665D"/>
    <w:rsid w:val="7B1C2B77"/>
    <w:rsid w:val="7B226FCC"/>
    <w:rsid w:val="7B230BB3"/>
    <w:rsid w:val="7B282AE9"/>
    <w:rsid w:val="7B336685"/>
    <w:rsid w:val="7B362A78"/>
    <w:rsid w:val="7B38234C"/>
    <w:rsid w:val="7B3831C2"/>
    <w:rsid w:val="7B3E36DA"/>
    <w:rsid w:val="7B4E6013"/>
    <w:rsid w:val="7B53680C"/>
    <w:rsid w:val="7B5874DA"/>
    <w:rsid w:val="7B75534E"/>
    <w:rsid w:val="7B7B492E"/>
    <w:rsid w:val="7B8302DC"/>
    <w:rsid w:val="7B945B00"/>
    <w:rsid w:val="7B9F686F"/>
    <w:rsid w:val="7BA104C8"/>
    <w:rsid w:val="7BA13369"/>
    <w:rsid w:val="7BA315F1"/>
    <w:rsid w:val="7BB5094F"/>
    <w:rsid w:val="7BBB4D2B"/>
    <w:rsid w:val="7BBC3E6E"/>
    <w:rsid w:val="7BD52290"/>
    <w:rsid w:val="7BDC4D21"/>
    <w:rsid w:val="7BDF4EBD"/>
    <w:rsid w:val="7BE47E4F"/>
    <w:rsid w:val="7BE81D4E"/>
    <w:rsid w:val="7BE81FC4"/>
    <w:rsid w:val="7BED016D"/>
    <w:rsid w:val="7BFA5853"/>
    <w:rsid w:val="7BFC15CB"/>
    <w:rsid w:val="7C0B35E0"/>
    <w:rsid w:val="7C142DB9"/>
    <w:rsid w:val="7C1D7794"/>
    <w:rsid w:val="7C224DAA"/>
    <w:rsid w:val="7C253FBC"/>
    <w:rsid w:val="7C266648"/>
    <w:rsid w:val="7C2B1EB0"/>
    <w:rsid w:val="7C350F81"/>
    <w:rsid w:val="7C3E5324"/>
    <w:rsid w:val="7C453A46"/>
    <w:rsid w:val="7C56344A"/>
    <w:rsid w:val="7C586311"/>
    <w:rsid w:val="7C5B37CC"/>
    <w:rsid w:val="7C6F05E1"/>
    <w:rsid w:val="7C75312C"/>
    <w:rsid w:val="7C7750F6"/>
    <w:rsid w:val="7C886B3B"/>
    <w:rsid w:val="7C8B278C"/>
    <w:rsid w:val="7CA73C2D"/>
    <w:rsid w:val="7CAB7890"/>
    <w:rsid w:val="7CAE37FE"/>
    <w:rsid w:val="7CB42C35"/>
    <w:rsid w:val="7CBA6FE1"/>
    <w:rsid w:val="7CC825F5"/>
    <w:rsid w:val="7CD2038B"/>
    <w:rsid w:val="7CE77B1D"/>
    <w:rsid w:val="7CEB2E5E"/>
    <w:rsid w:val="7CFF725B"/>
    <w:rsid w:val="7D016B7E"/>
    <w:rsid w:val="7D0F231D"/>
    <w:rsid w:val="7D1D26E5"/>
    <w:rsid w:val="7D1D4579"/>
    <w:rsid w:val="7D1E3982"/>
    <w:rsid w:val="7D23702C"/>
    <w:rsid w:val="7D276B1C"/>
    <w:rsid w:val="7D2863F0"/>
    <w:rsid w:val="7D306D5D"/>
    <w:rsid w:val="7D3354C1"/>
    <w:rsid w:val="7D36428A"/>
    <w:rsid w:val="7D3905FD"/>
    <w:rsid w:val="7D3925BC"/>
    <w:rsid w:val="7D3E79C1"/>
    <w:rsid w:val="7D4A45B8"/>
    <w:rsid w:val="7D4F3AAF"/>
    <w:rsid w:val="7D584F27"/>
    <w:rsid w:val="7D5E4F5A"/>
    <w:rsid w:val="7D6A33FA"/>
    <w:rsid w:val="7D6F1259"/>
    <w:rsid w:val="7D7610C2"/>
    <w:rsid w:val="7D7A4791"/>
    <w:rsid w:val="7D89448C"/>
    <w:rsid w:val="7D8E0949"/>
    <w:rsid w:val="7D8E0B10"/>
    <w:rsid w:val="7D9D0B8C"/>
    <w:rsid w:val="7DAE0FEB"/>
    <w:rsid w:val="7DAF4942"/>
    <w:rsid w:val="7DC16A35"/>
    <w:rsid w:val="7DD2252D"/>
    <w:rsid w:val="7DD24CD9"/>
    <w:rsid w:val="7DD547CA"/>
    <w:rsid w:val="7DDA593C"/>
    <w:rsid w:val="7DDD542C"/>
    <w:rsid w:val="7DE80822"/>
    <w:rsid w:val="7DE94569"/>
    <w:rsid w:val="7DFB4C84"/>
    <w:rsid w:val="7E064983"/>
    <w:rsid w:val="7E0C7AC0"/>
    <w:rsid w:val="7E171D3B"/>
    <w:rsid w:val="7E1978B9"/>
    <w:rsid w:val="7E1D1C37"/>
    <w:rsid w:val="7E4175B0"/>
    <w:rsid w:val="7E4B05E8"/>
    <w:rsid w:val="7E4B4B5E"/>
    <w:rsid w:val="7E5C0A47"/>
    <w:rsid w:val="7E5D7D7C"/>
    <w:rsid w:val="7E5F63D8"/>
    <w:rsid w:val="7E635986"/>
    <w:rsid w:val="7E7318ED"/>
    <w:rsid w:val="7E7C227A"/>
    <w:rsid w:val="7E7C2A8E"/>
    <w:rsid w:val="7E835FD4"/>
    <w:rsid w:val="7E884A09"/>
    <w:rsid w:val="7E885398"/>
    <w:rsid w:val="7E970F43"/>
    <w:rsid w:val="7E9E4BBC"/>
    <w:rsid w:val="7EA3263E"/>
    <w:rsid w:val="7EAA17B2"/>
    <w:rsid w:val="7EAA3560"/>
    <w:rsid w:val="7EAD3051"/>
    <w:rsid w:val="7EBE0DBA"/>
    <w:rsid w:val="7EC363D0"/>
    <w:rsid w:val="7EC5039A"/>
    <w:rsid w:val="7EC6133F"/>
    <w:rsid w:val="7EC81D76"/>
    <w:rsid w:val="7EE2348F"/>
    <w:rsid w:val="7EE30E0B"/>
    <w:rsid w:val="7EE91C84"/>
    <w:rsid w:val="7EEB3B79"/>
    <w:rsid w:val="7F1C1F84"/>
    <w:rsid w:val="7F204553"/>
    <w:rsid w:val="7F2F7F0A"/>
    <w:rsid w:val="7F331398"/>
    <w:rsid w:val="7F336C02"/>
    <w:rsid w:val="7F427C3D"/>
    <w:rsid w:val="7F5E434B"/>
    <w:rsid w:val="7F722CCF"/>
    <w:rsid w:val="7F74155D"/>
    <w:rsid w:val="7F7A317C"/>
    <w:rsid w:val="7F932781"/>
    <w:rsid w:val="7F9C33C8"/>
    <w:rsid w:val="7FA646A1"/>
    <w:rsid w:val="7FC41247"/>
    <w:rsid w:val="7FD77E06"/>
    <w:rsid w:val="7FDD1714"/>
    <w:rsid w:val="7FDD5BB8"/>
    <w:rsid w:val="7FDF723A"/>
    <w:rsid w:val="7FE42AA2"/>
    <w:rsid w:val="7FF11841"/>
    <w:rsid w:val="7FF37189"/>
    <w:rsid w:val="7FF76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2">
    <w:name w:val="heading 4"/>
    <w:basedOn w:val="1"/>
    <w:next w:val="1"/>
    <w:link w:val="43"/>
    <w:autoRedefine/>
    <w:semiHidden/>
    <w:unhideWhenUsed/>
    <w:qFormat/>
    <w:uiPriority w:val="0"/>
    <w:pPr>
      <w:keepNext/>
      <w:keepLines/>
      <w:spacing w:before="280" w:after="290" w:line="376" w:lineRule="atLeast"/>
      <w:jc w:val="left"/>
      <w:outlineLvl w:val="3"/>
    </w:pPr>
    <w:rPr>
      <w:rFonts w:eastAsia="黑体" w:asciiTheme="majorAscii" w:hAnsiTheme="majorAscii" w:cstheme="majorBidi"/>
      <w:bCs/>
      <w:sz w:val="24"/>
      <w:szCs w:val="28"/>
    </w:rPr>
  </w:style>
  <w:style w:type="paragraph" w:styleId="6">
    <w:name w:val="heading 5"/>
    <w:basedOn w:val="1"/>
    <w:next w:val="1"/>
    <w:qFormat/>
    <w:uiPriority w:val="0"/>
    <w:pPr>
      <w:keepNext/>
      <w:keepLines/>
      <w:numPr>
        <w:ilvl w:val="4"/>
        <w:numId w:val="1"/>
      </w:numPr>
      <w:spacing w:before="280" w:after="290" w:line="376" w:lineRule="auto"/>
      <w:ind w:left="1008" w:hanging="1008"/>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7">
    <w:name w:val="List 3"/>
    <w:basedOn w:val="1"/>
    <w:autoRedefine/>
    <w:unhideWhenUsed/>
    <w:qFormat/>
    <w:uiPriority w:val="99"/>
    <w:pPr>
      <w:spacing w:line="360" w:lineRule="atLeast"/>
      <w:jc w:val="center"/>
    </w:pPr>
  </w:style>
  <w:style w:type="paragraph" w:styleId="8">
    <w:name w:val="List Number"/>
    <w:basedOn w:val="1"/>
    <w:qFormat/>
    <w:uiPriority w:val="0"/>
    <w:pPr>
      <w:numPr>
        <w:ilvl w:val="0"/>
        <w:numId w:val="2"/>
      </w:numPr>
    </w:pPr>
  </w:style>
  <w:style w:type="paragraph" w:styleId="9">
    <w:name w:val="Normal Indent"/>
    <w:basedOn w:val="1"/>
    <w:next w:val="2"/>
    <w:autoRedefine/>
    <w:qFormat/>
    <w:uiPriority w:val="0"/>
    <w:pPr>
      <w:ind w:firstLine="420"/>
    </w:pPr>
  </w:style>
  <w:style w:type="paragraph" w:styleId="10">
    <w:name w:val="caption"/>
    <w:basedOn w:val="1"/>
    <w:next w:val="1"/>
    <w:qFormat/>
    <w:uiPriority w:val="0"/>
    <w:pPr>
      <w:spacing w:before="152" w:after="160"/>
      <w:jc w:val="center"/>
    </w:pPr>
    <w:rPr>
      <w:rFonts w:ascii="黑体" w:hAnsi="Arial" w:eastAsia="黑体" w:cs="Arial"/>
      <w:szCs w:val="20"/>
    </w:rPr>
  </w:style>
  <w:style w:type="paragraph" w:styleId="11">
    <w:name w:val="annotation text"/>
    <w:basedOn w:val="1"/>
    <w:autoRedefine/>
    <w:qFormat/>
    <w:uiPriority w:val="0"/>
    <w:pPr>
      <w:jc w:val="left"/>
    </w:pPr>
  </w:style>
  <w:style w:type="paragraph" w:styleId="12">
    <w:name w:val="Salutation"/>
    <w:basedOn w:val="1"/>
    <w:next w:val="1"/>
    <w:autoRedefine/>
    <w:qFormat/>
    <w:uiPriority w:val="0"/>
    <w:rPr>
      <w:rFonts w:ascii="Calibri" w:hAnsi="Calibri"/>
      <w:kern w:val="0"/>
      <w:sz w:val="20"/>
      <w:szCs w:val="24"/>
    </w:rPr>
  </w:style>
  <w:style w:type="paragraph" w:styleId="13">
    <w:name w:val="Body Text"/>
    <w:basedOn w:val="1"/>
    <w:next w:val="14"/>
    <w:autoRedefine/>
    <w:qFormat/>
    <w:uiPriority w:val="0"/>
    <w:pPr>
      <w:spacing w:after="120"/>
    </w:pPr>
  </w:style>
  <w:style w:type="paragraph" w:customStyle="1" w:styleId="14">
    <w:name w:val="xl27"/>
    <w:basedOn w:val="1"/>
    <w:next w:val="1"/>
    <w:autoRedefine/>
    <w:qFormat/>
    <w:uiPriority w:val="0"/>
    <w:pPr>
      <w:widowControl/>
      <w:spacing w:before="100" w:beforeAutospacing="1" w:after="100" w:afterAutospacing="1"/>
      <w:jc w:val="left"/>
    </w:pPr>
    <w:rPr>
      <w:color w:val="FF0000"/>
      <w:kern w:val="0"/>
      <w:sz w:val="24"/>
    </w:rPr>
  </w:style>
  <w:style w:type="paragraph" w:styleId="15">
    <w:name w:val="Body Text Indent"/>
    <w:basedOn w:val="1"/>
    <w:autoRedefine/>
    <w:qFormat/>
    <w:uiPriority w:val="0"/>
    <w:pPr>
      <w:autoSpaceDE w:val="0"/>
      <w:autoSpaceDN w:val="0"/>
      <w:adjustRightInd w:val="0"/>
      <w:spacing w:line="360" w:lineRule="auto"/>
      <w:ind w:firstLine="480" w:firstLineChars="200"/>
    </w:pPr>
    <w:rPr>
      <w:rFonts w:ascii="宋体" w:hAnsi="宋体"/>
      <w:kern w:val="0"/>
      <w:sz w:val="24"/>
      <w:szCs w:val="21"/>
    </w:rPr>
  </w:style>
  <w:style w:type="paragraph" w:styleId="16">
    <w:name w:val="toc 3"/>
    <w:basedOn w:val="1"/>
    <w:next w:val="1"/>
    <w:qFormat/>
    <w:uiPriority w:val="0"/>
    <w:pPr>
      <w:ind w:left="840" w:leftChars="400"/>
    </w:pPr>
  </w:style>
  <w:style w:type="paragraph" w:styleId="17">
    <w:name w:val="Plain Text"/>
    <w:basedOn w:val="1"/>
    <w:next w:val="18"/>
    <w:autoRedefine/>
    <w:qFormat/>
    <w:uiPriority w:val="0"/>
    <w:rPr>
      <w:rFonts w:ascii="宋体" w:hAnsi="Courier New" w:cs="Courier New"/>
      <w:szCs w:val="21"/>
    </w:rPr>
  </w:style>
  <w:style w:type="paragraph" w:styleId="18">
    <w:name w:val="toc 1"/>
    <w:basedOn w:val="1"/>
    <w:next w:val="1"/>
    <w:autoRedefine/>
    <w:qFormat/>
    <w:uiPriority w:val="39"/>
    <w:pPr>
      <w:snapToGrid w:val="0"/>
      <w:spacing w:line="360" w:lineRule="auto"/>
    </w:pPr>
    <w:rPr>
      <w:rFonts w:ascii="黑体" w:eastAsia="黑体"/>
      <w:bCs/>
      <w:sz w:val="28"/>
      <w:szCs w:val="24"/>
    </w:rPr>
  </w:style>
  <w:style w:type="paragraph" w:styleId="19">
    <w:name w:val="Body Text Indent 2"/>
    <w:basedOn w:val="1"/>
    <w:next w:val="20"/>
    <w:autoRedefine/>
    <w:qFormat/>
    <w:uiPriority w:val="0"/>
    <w:pPr>
      <w:spacing w:after="120" w:line="480" w:lineRule="auto"/>
      <w:ind w:left="420" w:leftChars="200"/>
    </w:pPr>
  </w:style>
  <w:style w:type="paragraph" w:styleId="20">
    <w:name w:val="Body Text First Indent 2"/>
    <w:basedOn w:val="15"/>
    <w:next w:val="1"/>
    <w:autoRedefine/>
    <w:qFormat/>
    <w:uiPriority w:val="0"/>
    <w:pPr>
      <w:autoSpaceDE/>
      <w:autoSpaceDN/>
      <w:adjustRightInd/>
      <w:spacing w:after="120" w:line="240" w:lineRule="auto"/>
      <w:ind w:left="420" w:leftChars="200" w:firstLine="420"/>
    </w:pPr>
    <w:rPr>
      <w:rFonts w:ascii="Times New Roman" w:hAnsi="Times New Roman"/>
      <w:kern w:val="2"/>
      <w:sz w:val="21"/>
      <w:szCs w:val="20"/>
    </w:rPr>
  </w:style>
  <w:style w:type="paragraph" w:styleId="21">
    <w:name w:val="footer"/>
    <w:basedOn w:val="1"/>
    <w:next w:val="1"/>
    <w:autoRedefine/>
    <w:qFormat/>
    <w:uiPriority w:val="99"/>
    <w:pPr>
      <w:tabs>
        <w:tab w:val="center" w:pos="4153"/>
        <w:tab w:val="right" w:pos="8306"/>
      </w:tabs>
      <w:snapToGrid w:val="0"/>
      <w:jc w:val="left"/>
    </w:pPr>
    <w:rPr>
      <w:sz w:val="18"/>
      <w:szCs w:val="18"/>
    </w:rPr>
  </w:style>
  <w:style w:type="paragraph" w:styleId="22">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23">
    <w:name w:val="List"/>
    <w:basedOn w:val="1"/>
    <w:next w:val="1"/>
    <w:qFormat/>
    <w:uiPriority w:val="0"/>
    <w:pPr>
      <w:ind w:left="200" w:hanging="200" w:hangingChars="200"/>
    </w:pPr>
  </w:style>
  <w:style w:type="paragraph" w:styleId="24">
    <w:name w:val="Body Text Indent 3"/>
    <w:basedOn w:val="1"/>
    <w:autoRedefine/>
    <w:qFormat/>
    <w:uiPriority w:val="0"/>
    <w:pPr>
      <w:ind w:firstLine="560" w:firstLineChars="200"/>
    </w:pPr>
    <w:rPr>
      <w:rFonts w:ascii="宋体" w:hAnsi="宋体"/>
      <w:color w:val="000000"/>
      <w:sz w:val="28"/>
      <w:szCs w:val="24"/>
    </w:rPr>
  </w:style>
  <w:style w:type="paragraph" w:styleId="25">
    <w:name w:val="toc 2"/>
    <w:basedOn w:val="1"/>
    <w:next w:val="1"/>
    <w:autoRedefine/>
    <w:qFormat/>
    <w:uiPriority w:val="0"/>
    <w:pPr>
      <w:ind w:left="420" w:leftChars="200"/>
    </w:pPr>
  </w:style>
  <w:style w:type="paragraph" w:styleId="26">
    <w:name w:val="Body Text 2"/>
    <w:basedOn w:val="1"/>
    <w:next w:val="1"/>
    <w:autoRedefine/>
    <w:unhideWhenUsed/>
    <w:qFormat/>
    <w:uiPriority w:val="99"/>
    <w:pPr>
      <w:spacing w:line="420" w:lineRule="exact"/>
    </w:pPr>
    <w:rPr>
      <w:bCs/>
      <w:sz w:val="28"/>
    </w:rPr>
  </w:style>
  <w:style w:type="paragraph" w:styleId="27">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paragraph" w:styleId="28">
    <w:name w:val="Title"/>
    <w:basedOn w:val="1"/>
    <w:next w:val="1"/>
    <w:autoRedefine/>
    <w:qFormat/>
    <w:uiPriority w:val="0"/>
    <w:pPr>
      <w:spacing w:before="240" w:after="60"/>
      <w:jc w:val="center"/>
      <w:outlineLvl w:val="0"/>
    </w:pPr>
    <w:rPr>
      <w:rFonts w:asciiTheme="majorHAnsi" w:hAnsiTheme="majorHAnsi" w:cstheme="majorBidi"/>
      <w:b/>
      <w:bCs/>
      <w:sz w:val="32"/>
      <w:szCs w:val="32"/>
    </w:rPr>
  </w:style>
  <w:style w:type="table" w:styleId="30">
    <w:name w:val="Table Grid"/>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autoRedefine/>
    <w:qFormat/>
    <w:uiPriority w:val="0"/>
    <w:rPr>
      <w:b/>
    </w:rPr>
  </w:style>
  <w:style w:type="character" w:styleId="33">
    <w:name w:val="Hyperlink"/>
    <w:autoRedefine/>
    <w:qFormat/>
    <w:uiPriority w:val="99"/>
    <w:rPr>
      <w:color w:val="000000"/>
      <w:u w:val="none"/>
    </w:rPr>
  </w:style>
  <w:style w:type="character" w:styleId="34">
    <w:name w:val="annotation reference"/>
    <w:autoRedefine/>
    <w:qFormat/>
    <w:uiPriority w:val="0"/>
    <w:rPr>
      <w:sz w:val="21"/>
    </w:rPr>
  </w:style>
  <w:style w:type="paragraph" w:customStyle="1" w:styleId="35">
    <w:name w:val="Default"/>
    <w:basedOn w:val="36"/>
    <w:next w:val="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6">
    <w:name w:val="标题2"/>
    <w:basedOn w:val="1"/>
    <w:autoRedefine/>
    <w:qFormat/>
    <w:uiPriority w:val="99"/>
    <w:pPr>
      <w:spacing w:line="360" w:lineRule="auto"/>
      <w:ind w:firstLine="0" w:firstLineChars="0"/>
      <w:jc w:val="left"/>
    </w:pPr>
    <w:rPr>
      <w:b/>
      <w:sz w:val="28"/>
    </w:rPr>
  </w:style>
  <w:style w:type="paragraph" w:customStyle="1" w:styleId="37">
    <w:name w:val="纯文本1"/>
    <w:basedOn w:val="1"/>
    <w:autoRedefine/>
    <w:qFormat/>
    <w:uiPriority w:val="0"/>
    <w:pPr>
      <w:adjustRightInd w:val="0"/>
      <w:jc w:val="left"/>
      <w:textAlignment w:val="baseline"/>
    </w:pPr>
    <w:rPr>
      <w:rFonts w:ascii="宋体"/>
      <w:kern w:val="0"/>
      <w:sz w:val="24"/>
      <w:szCs w:val="20"/>
    </w:rPr>
  </w:style>
  <w:style w:type="paragraph" w:customStyle="1" w:styleId="38">
    <w:name w:val="样式3"/>
    <w:basedOn w:val="18"/>
    <w:autoRedefine/>
    <w:qFormat/>
    <w:uiPriority w:val="0"/>
    <w:pPr>
      <w:autoSpaceDE w:val="0"/>
      <w:autoSpaceDN w:val="0"/>
      <w:snapToGrid w:val="0"/>
      <w:spacing w:before="120" w:line="460" w:lineRule="atLeast"/>
      <w:jc w:val="center"/>
    </w:pPr>
    <w:rPr>
      <w:rFonts w:eastAsia="黑体"/>
      <w:sz w:val="28"/>
      <w:szCs w:val="24"/>
    </w:rPr>
  </w:style>
  <w:style w:type="paragraph" w:customStyle="1" w:styleId="39">
    <w:name w:val="目录 53"/>
    <w:basedOn w:val="1"/>
    <w:next w:val="1"/>
    <w:autoRedefine/>
    <w:qFormat/>
    <w:uiPriority w:val="0"/>
    <w:pPr>
      <w:ind w:left="840"/>
    </w:pPr>
    <w:rPr>
      <w:rFonts w:cs="宋体"/>
      <w:color w:val="000000"/>
    </w:rPr>
  </w:style>
  <w:style w:type="paragraph" w:customStyle="1" w:styleId="40">
    <w:name w:val="A正文"/>
    <w:basedOn w:val="1"/>
    <w:autoRedefine/>
    <w:qFormat/>
    <w:uiPriority w:val="0"/>
    <w:pPr>
      <w:widowControl/>
      <w:overflowPunct w:val="0"/>
      <w:autoSpaceDE w:val="0"/>
      <w:autoSpaceDN w:val="0"/>
      <w:adjustRightInd w:val="0"/>
      <w:snapToGrid w:val="0"/>
      <w:spacing w:line="360" w:lineRule="auto"/>
      <w:ind w:firstLine="200" w:firstLineChars="200"/>
      <w:jc w:val="left"/>
      <w:textAlignment w:val="baseline"/>
    </w:pPr>
    <w:rPr>
      <w:rFonts w:eastAsia="仿宋_GB2312"/>
      <w:kern w:val="0"/>
      <w:sz w:val="24"/>
      <w:szCs w:val="20"/>
    </w:rPr>
  </w:style>
  <w:style w:type="paragraph" w:customStyle="1" w:styleId="41">
    <w:name w:val="文本"/>
    <w:basedOn w:val="1"/>
    <w:next w:val="1"/>
    <w:autoRedefine/>
    <w:qFormat/>
    <w:uiPriority w:val="0"/>
    <w:pPr>
      <w:autoSpaceDE w:val="0"/>
      <w:autoSpaceDN w:val="0"/>
      <w:ind w:firstLine="480"/>
    </w:pPr>
    <w:rPr>
      <w:szCs w:val="24"/>
      <w:lang w:val="zh-CN"/>
    </w:rPr>
  </w:style>
  <w:style w:type="paragraph" w:customStyle="1" w:styleId="42">
    <w:name w:val="1正文段落"/>
    <w:basedOn w:val="1"/>
    <w:autoRedefine/>
    <w:qFormat/>
    <w:uiPriority w:val="0"/>
    <w:pPr>
      <w:spacing w:line="360" w:lineRule="auto"/>
      <w:ind w:firstLine="480" w:firstLineChars="200"/>
      <w:jc w:val="left"/>
    </w:pPr>
    <w:rPr>
      <w:snapToGrid w:val="0"/>
      <w:kern w:val="0"/>
      <w:sz w:val="24"/>
      <w:szCs w:val="24"/>
    </w:rPr>
  </w:style>
  <w:style w:type="character" w:customStyle="1" w:styleId="43">
    <w:name w:val="标题 4 字符"/>
    <w:basedOn w:val="31"/>
    <w:link w:val="2"/>
    <w:autoRedefine/>
    <w:qFormat/>
    <w:uiPriority w:val="0"/>
    <w:rPr>
      <w:rFonts w:eastAsia="黑体" w:asciiTheme="majorAscii" w:hAnsiTheme="majorAscii" w:cstheme="majorBidi"/>
      <w:bCs/>
      <w:kern w:val="2"/>
      <w:sz w:val="24"/>
      <w:szCs w:val="28"/>
    </w:rPr>
  </w:style>
  <w:style w:type="paragraph" w:customStyle="1" w:styleId="44">
    <w:name w:val="xl22"/>
    <w:basedOn w:val="1"/>
    <w:autoRedefine/>
    <w:qFormat/>
    <w:uiPriority w:val="0"/>
    <w:pPr>
      <w:widowControl/>
      <w:spacing w:before="100" w:beforeAutospacing="1" w:after="100" w:afterAutospacing="1"/>
      <w:jc w:val="center"/>
    </w:pPr>
    <w:rPr>
      <w:rFonts w:ascii="宋体" w:hAnsi="宋体"/>
      <w:kern w:val="0"/>
      <w:sz w:val="24"/>
      <w:szCs w:val="24"/>
    </w:rPr>
  </w:style>
  <w:style w:type="paragraph" w:customStyle="1" w:styleId="45">
    <w:name w:val="小5正文"/>
    <w:basedOn w:val="46"/>
    <w:autoRedefine/>
    <w:qFormat/>
    <w:uiPriority w:val="0"/>
    <w:pPr>
      <w:adjustRightInd/>
      <w:spacing w:line="360" w:lineRule="auto"/>
      <w:ind w:firstLine="420" w:firstLineChars="200"/>
    </w:pPr>
    <w:rPr>
      <w:rFonts w:hAnsi="Times New Roman" w:cs="Times New Roman"/>
      <w:snapToGrid w:val="0"/>
      <w:spacing w:val="0"/>
      <w:sz w:val="21"/>
    </w:rPr>
  </w:style>
  <w:style w:type="paragraph" w:customStyle="1" w:styleId="46">
    <w:name w:val="正文2"/>
    <w:autoRedefine/>
    <w:qFormat/>
    <w:uiPriority w:val="99"/>
    <w:pPr>
      <w:widowControl w:val="0"/>
      <w:adjustRightInd w:val="0"/>
      <w:jc w:val="both"/>
    </w:pPr>
    <w:rPr>
      <w:rFonts w:ascii="Times New Roman" w:hAnsi="MS Mincho" w:eastAsia="宋体" w:cs="MS Mincho"/>
      <w:spacing w:val="-6"/>
      <w:sz w:val="10"/>
      <w:lang w:val="en-US" w:eastAsia="zh-CN" w:bidi="ar-SA"/>
    </w:rPr>
  </w:style>
  <w:style w:type="paragraph" w:customStyle="1" w:styleId="47">
    <w:name w:val="Other|1"/>
    <w:basedOn w:val="1"/>
    <w:autoRedefine/>
    <w:qFormat/>
    <w:uiPriority w:val="0"/>
    <w:pPr>
      <w:widowControl w:val="0"/>
      <w:shd w:val="clear" w:color="auto" w:fill="auto"/>
      <w:spacing w:after="220" w:line="310" w:lineRule="auto"/>
    </w:pPr>
    <w:rPr>
      <w:b/>
      <w:bCs/>
      <w:sz w:val="68"/>
      <w:szCs w:val="68"/>
      <w:u w:val="none"/>
      <w:shd w:val="clear" w:color="auto" w:fill="auto"/>
      <w:lang w:val="zh-TW" w:eastAsia="zh-TW" w:bidi="zh-TW"/>
    </w:rPr>
  </w:style>
  <w:style w:type="paragraph" w:customStyle="1" w:styleId="48">
    <w:name w:val="Body text|1"/>
    <w:basedOn w:val="1"/>
    <w:autoRedefine/>
    <w:qFormat/>
    <w:uiPriority w:val="0"/>
    <w:pPr>
      <w:spacing w:line="403" w:lineRule="auto"/>
      <w:ind w:firstLine="400"/>
      <w:jc w:val="left"/>
    </w:pPr>
    <w:rPr>
      <w:rFonts w:ascii="MingLiU" w:hAnsi="MingLiU" w:eastAsia="MingLiU" w:cs="MingLiU"/>
      <w:sz w:val="19"/>
      <w:szCs w:val="19"/>
      <w:lang w:val="zh-TW" w:eastAsia="zh-TW" w:bidi="zh-TW"/>
    </w:rPr>
  </w:style>
  <w:style w:type="paragraph" w:styleId="49">
    <w:name w:val="No Spacing"/>
    <w:autoRedefine/>
    <w:qFormat/>
    <w:uiPriority w:val="0"/>
    <w:pPr>
      <w:widowControl w:val="0"/>
      <w:jc w:val="center"/>
    </w:pPr>
    <w:rPr>
      <w:rFonts w:ascii="Verdana" w:hAnsi="Verdana" w:eastAsia="宋体" w:cs="Times New Roman"/>
      <w:snapToGrid w:val="0"/>
      <w:sz w:val="21"/>
      <w:szCs w:val="24"/>
      <w:lang w:val="en-US" w:eastAsia="en-US" w:bidi="ar-SA"/>
    </w:rPr>
  </w:style>
  <w:style w:type="paragraph" w:styleId="50">
    <w:name w:val="List Paragraph"/>
    <w:basedOn w:val="1"/>
    <w:autoRedefine/>
    <w:qFormat/>
    <w:uiPriority w:val="34"/>
    <w:pPr>
      <w:spacing w:line="500" w:lineRule="exact"/>
      <w:ind w:firstLine="420" w:firstLineChars="200"/>
    </w:pPr>
    <w:rPr>
      <w:sz w:val="24"/>
    </w:rPr>
  </w:style>
  <w:style w:type="paragraph" w:customStyle="1" w:styleId="51">
    <w:name w:val="样式35"/>
    <w:basedOn w:val="1"/>
    <w:autoRedefine/>
    <w:qFormat/>
    <w:uiPriority w:val="0"/>
    <w:pPr>
      <w:adjustRightInd w:val="0"/>
      <w:spacing w:line="312" w:lineRule="auto"/>
      <w:ind w:firstLine="567"/>
    </w:pPr>
    <w:rPr>
      <w:rFonts w:ascii="宋体"/>
      <w:kern w:val="0"/>
      <w:sz w:val="28"/>
    </w:rPr>
  </w:style>
  <w:style w:type="paragraph" w:customStyle="1" w:styleId="52">
    <w:name w:val="表格内容"/>
    <w:basedOn w:val="53"/>
    <w:autoRedefine/>
    <w:qFormat/>
    <w:uiPriority w:val="0"/>
    <w:pPr>
      <w:spacing w:line="360" w:lineRule="exact"/>
      <w:ind w:firstLine="0" w:firstLineChars="0"/>
      <w:jc w:val="left"/>
    </w:pPr>
    <w:rPr>
      <w:rFonts w:cs="Times New Roman"/>
      <w:color w:val="0D0D0D"/>
      <w:kern w:val="0"/>
      <w:sz w:val="21"/>
      <w:szCs w:val="21"/>
    </w:rPr>
  </w:style>
  <w:style w:type="paragraph" w:customStyle="1" w:styleId="53">
    <w:name w:val="表格标题"/>
    <w:basedOn w:val="10"/>
    <w:next w:val="52"/>
    <w:autoRedefine/>
    <w:qFormat/>
    <w:uiPriority w:val="0"/>
    <w:pPr>
      <w:wordWrap w:val="0"/>
      <w:spacing w:line="500" w:lineRule="exact"/>
      <w:jc w:val="center"/>
    </w:pPr>
    <w:rPr>
      <w:b/>
      <w:sz w:val="24"/>
    </w:rPr>
  </w:style>
  <w:style w:type="paragraph" w:customStyle="1" w:styleId="54">
    <w:name w:val="正文首行缩进1"/>
    <w:basedOn w:val="13"/>
    <w:autoRedefine/>
    <w:qFormat/>
    <w:uiPriority w:val="0"/>
    <w:pPr>
      <w:ind w:firstLine="420" w:firstLineChars="100"/>
    </w:pPr>
  </w:style>
  <w:style w:type="paragraph" w:customStyle="1" w:styleId="55">
    <w:name w:val="表格-可研"/>
    <w:basedOn w:val="56"/>
    <w:next w:val="1"/>
    <w:autoRedefine/>
    <w:qFormat/>
    <w:uiPriority w:val="0"/>
    <w:pPr>
      <w:autoSpaceDE w:val="0"/>
      <w:autoSpaceDN w:val="0"/>
      <w:spacing w:beforeLines="20" w:afterLines="20" w:line="240" w:lineRule="auto"/>
      <w:textAlignment w:val="center"/>
    </w:pPr>
    <w:rPr>
      <w:rFonts w:eastAsia="宋体"/>
      <w:color w:val="000000"/>
    </w:rPr>
  </w:style>
  <w:style w:type="paragraph" w:customStyle="1" w:styleId="56">
    <w:name w:val="表格"/>
    <w:basedOn w:val="1"/>
    <w:next w:val="1"/>
    <w:autoRedefine/>
    <w:qFormat/>
    <w:uiPriority w:val="0"/>
    <w:pPr>
      <w:adjustRightInd w:val="0"/>
      <w:snapToGrid w:val="0"/>
      <w:spacing w:line="240" w:lineRule="atLeast"/>
      <w:jc w:val="center"/>
    </w:pPr>
    <w:rPr>
      <w:rFonts w:eastAsia="仿宋_GB2312"/>
    </w:rPr>
  </w:style>
  <w:style w:type="paragraph" w:customStyle="1" w:styleId="57">
    <w:name w:val="4正文"/>
    <w:basedOn w:val="1"/>
    <w:autoRedefine/>
    <w:qFormat/>
    <w:uiPriority w:val="0"/>
    <w:pPr>
      <w:spacing w:line="360" w:lineRule="auto"/>
      <w:ind w:firstLine="200" w:firstLineChars="200"/>
    </w:pPr>
    <w:rPr>
      <w:rFonts w:ascii="Times New Roman" w:hAnsi="Times New Roman" w:eastAsia="宋体"/>
      <w:sz w:val="24"/>
    </w:rPr>
  </w:style>
  <w:style w:type="paragraph" w:customStyle="1" w:styleId="58">
    <w:name w:val="表头22"/>
    <w:basedOn w:val="1"/>
    <w:autoRedefine/>
    <w:qFormat/>
    <w:uiPriority w:val="0"/>
    <w:pPr>
      <w:widowControl/>
      <w:jc w:val="center"/>
    </w:pPr>
    <w:rPr>
      <w:rFonts w:ascii="Times New Roman" w:hAnsi="Times New Roman" w:eastAsia="宋体" w:cs="Times New Roman"/>
      <w:b/>
      <w:kern w:val="0"/>
      <w:sz w:val="24"/>
      <w:szCs w:val="24"/>
    </w:rPr>
  </w:style>
  <w:style w:type="paragraph" w:customStyle="1" w:styleId="59">
    <w:name w:val="正 文"/>
    <w:autoRedefine/>
    <w:qFormat/>
    <w:uiPriority w:val="0"/>
    <w:pPr>
      <w:widowControl w:val="0"/>
      <w:spacing w:line="480" w:lineRule="exact"/>
      <w:ind w:firstLine="471"/>
      <w:jc w:val="both"/>
    </w:pPr>
    <w:rPr>
      <w:rFonts w:ascii="Arial" w:hAnsi="Arial" w:eastAsia="宋体" w:cs="Times New Roman"/>
      <w:kern w:val="2"/>
      <w:sz w:val="24"/>
      <w:lang w:val="en-US" w:eastAsia="zh-CN" w:bidi="ar-SA"/>
    </w:rPr>
  </w:style>
  <w:style w:type="paragraph" w:customStyle="1" w:styleId="60">
    <w:name w:val="表中文字"/>
    <w:basedOn w:val="1"/>
    <w:autoRedefine/>
    <w:qFormat/>
    <w:uiPriority w:val="0"/>
    <w:pPr>
      <w:spacing w:line="300" w:lineRule="exact"/>
      <w:jc w:val="center"/>
    </w:pPr>
    <w:rPr>
      <w:rFonts w:ascii="宋体" w:hAnsi="宋体" w:cs="宋体"/>
      <w:b/>
      <w:color w:val="000000"/>
      <w:spacing w:val="4"/>
      <w:szCs w:val="24"/>
    </w:rPr>
  </w:style>
  <w:style w:type="paragraph" w:customStyle="1" w:styleId="61">
    <w:name w:val="表格内容自定"/>
    <w:basedOn w:val="1"/>
    <w:autoRedefine/>
    <w:qFormat/>
    <w:uiPriority w:val="0"/>
    <w:pPr>
      <w:spacing w:line="280" w:lineRule="exact"/>
      <w:jc w:val="center"/>
    </w:pPr>
    <w:rPr>
      <w:kern w:val="0"/>
      <w:sz w:val="18"/>
      <w:szCs w:val="20"/>
    </w:rPr>
  </w:style>
  <w:style w:type="paragraph" w:customStyle="1" w:styleId="62">
    <w:name w:val="表格1"/>
    <w:basedOn w:val="9"/>
    <w:autoRedefine/>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63">
    <w:name w:val="Table Paragraph"/>
    <w:basedOn w:val="1"/>
    <w:autoRedefine/>
    <w:qFormat/>
    <w:uiPriority w:val="1"/>
    <w:pPr>
      <w:autoSpaceDE w:val="0"/>
      <w:autoSpaceDN w:val="0"/>
      <w:jc w:val="left"/>
    </w:pPr>
    <w:rPr>
      <w:rFonts w:ascii="宋体" w:hAnsi="宋体" w:cs="宋体"/>
      <w:kern w:val="0"/>
      <w:sz w:val="22"/>
      <w:szCs w:val="22"/>
    </w:rPr>
  </w:style>
  <w:style w:type="paragraph" w:customStyle="1" w:styleId="64">
    <w:name w:val="表头5"/>
    <w:basedOn w:val="13"/>
    <w:autoRedefine/>
    <w:qFormat/>
    <w:uiPriority w:val="0"/>
    <w:pPr>
      <w:adjustRightInd/>
      <w:spacing w:after="0" w:afterLines="0"/>
      <w:jc w:val="center"/>
    </w:pPr>
    <w:rPr>
      <w:rFonts w:ascii="Times New Roman" w:hAnsi="Times New Roman"/>
      <w:b/>
      <w:sz w:val="21"/>
      <w:szCs w:val="24"/>
    </w:rPr>
  </w:style>
  <w:style w:type="paragraph" w:customStyle="1" w:styleId="65">
    <w:name w:val="环评 表格内容"/>
    <w:basedOn w:val="1"/>
    <w:autoRedefine/>
    <w:qFormat/>
    <w:uiPriority w:val="0"/>
    <w:pPr>
      <w:spacing w:line="240" w:lineRule="auto"/>
      <w:ind w:firstLine="0" w:firstLineChars="0"/>
      <w:jc w:val="center"/>
    </w:pPr>
    <w:rPr>
      <w:rFonts w:ascii="Times New Roman" w:hAnsi="Times New Roman" w:eastAsia="宋体" w:cs="Times New Roman"/>
      <w:sz w:val="21"/>
      <w:szCs w:val="21"/>
    </w:rPr>
  </w:style>
  <w:style w:type="paragraph" w:customStyle="1" w:styleId="66">
    <w:name w:val="表格加粗"/>
    <w:basedOn w:val="52"/>
    <w:autoRedefine/>
    <w:qFormat/>
    <w:uiPriority w:val="0"/>
  </w:style>
  <w:style w:type="paragraph" w:customStyle="1" w:styleId="67">
    <w:name w:val="bg"/>
    <w:basedOn w:val="1"/>
    <w:autoRedefine/>
    <w:qFormat/>
    <w:uiPriority w:val="0"/>
    <w:pPr>
      <w:widowControl/>
    </w:pPr>
    <w:rPr>
      <w:kern w:val="0"/>
      <w:sz w:val="24"/>
      <w:szCs w:val="20"/>
    </w:rPr>
  </w:style>
  <w:style w:type="paragraph" w:customStyle="1" w:styleId="68">
    <w:name w:val="表格正文"/>
    <w:basedOn w:val="9"/>
    <w:autoRedefine/>
    <w:qFormat/>
    <w:uiPriority w:val="0"/>
    <w:pPr>
      <w:spacing w:line="360" w:lineRule="exact"/>
      <w:jc w:val="center"/>
    </w:pPr>
    <w:rPr>
      <w:szCs w:val="20"/>
    </w:rPr>
  </w:style>
  <w:style w:type="paragraph" w:customStyle="1" w:styleId="69">
    <w:name w:val="p0"/>
    <w:basedOn w:val="1"/>
    <w:autoRedefine/>
    <w:qFormat/>
    <w:uiPriority w:val="0"/>
    <w:pPr>
      <w:widowControl/>
    </w:pPr>
    <w:rPr>
      <w:kern w:val="0"/>
      <w:szCs w:val="21"/>
    </w:rPr>
  </w:style>
  <w:style w:type="paragraph" w:customStyle="1" w:styleId="70">
    <w:name w:val="表-正文"/>
    <w:basedOn w:val="1"/>
    <w:autoRedefine/>
    <w:qFormat/>
    <w:uiPriority w:val="0"/>
    <w:pPr>
      <w:adjustRightInd w:val="0"/>
      <w:snapToGrid w:val="0"/>
      <w:spacing w:line="360" w:lineRule="auto"/>
      <w:jc w:val="center"/>
    </w:pPr>
    <w:rPr>
      <w:bCs/>
      <w:szCs w:val="72"/>
    </w:rPr>
  </w:style>
  <w:style w:type="paragraph" w:customStyle="1" w:styleId="71">
    <w:name w:val="BodyText1I2"/>
    <w:basedOn w:val="1"/>
    <w:next w:val="1"/>
    <w:autoRedefine/>
    <w:qFormat/>
    <w:uiPriority w:val="0"/>
    <w:pPr>
      <w:ind w:firstLine="420"/>
      <w:jc w:val="both"/>
      <w:textAlignment w:val="baseline"/>
    </w:pPr>
  </w:style>
  <w:style w:type="paragraph" w:customStyle="1" w:styleId="72">
    <w:name w:val="表体"/>
    <w:autoRedefine/>
    <w:qFormat/>
    <w:uiPriority w:val="0"/>
    <w:pPr>
      <w:jc w:val="center"/>
    </w:pPr>
    <w:rPr>
      <w:rFonts w:ascii="宋体" w:hAnsi="宋体" w:eastAsia="宋体" w:cs="Times New Roman"/>
      <w:color w:val="000080"/>
      <w:kern w:val="2"/>
      <w:sz w:val="24"/>
      <w:szCs w:val="24"/>
      <w:lang w:val="en-US" w:eastAsia="zh-CN" w:bidi="ar-SA"/>
    </w:rPr>
  </w:style>
  <w:style w:type="paragraph" w:customStyle="1" w:styleId="73">
    <w:name w:val="A标准格式"/>
    <w:basedOn w:val="1"/>
    <w:autoRedefine/>
    <w:qFormat/>
    <w:uiPriority w:val="0"/>
    <w:pPr>
      <w:ind w:firstLine="480"/>
    </w:pPr>
  </w:style>
  <w:style w:type="paragraph" w:customStyle="1" w:styleId="74">
    <w:name w:val="！ 正文"/>
    <w:basedOn w:val="1"/>
    <w:autoRedefine/>
    <w:qFormat/>
    <w:uiPriority w:val="0"/>
    <w:pPr>
      <w:adjustRightInd w:val="0"/>
      <w:snapToGrid w:val="0"/>
      <w:spacing w:line="360" w:lineRule="auto"/>
      <w:ind w:firstLine="200" w:firstLineChars="200"/>
    </w:pPr>
    <w:rPr>
      <w:sz w:val="24"/>
    </w:rPr>
  </w:style>
  <w:style w:type="paragraph" w:customStyle="1" w:styleId="75">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76">
    <w:name w:val="中文报告书样式"/>
    <w:basedOn w:val="1"/>
    <w:autoRedefine/>
    <w:qFormat/>
    <w:uiPriority w:val="0"/>
    <w:pPr>
      <w:adjustRightInd w:val="0"/>
      <w:spacing w:line="480" w:lineRule="atLeast"/>
      <w:ind w:firstLine="482"/>
      <w:textAlignment w:val="baseline"/>
    </w:pPr>
    <w:rPr>
      <w:kern w:val="24"/>
      <w:sz w:val="24"/>
      <w:szCs w:val="20"/>
    </w:rPr>
  </w:style>
  <w:style w:type="table" w:customStyle="1" w:styleId="77">
    <w:name w:val="Table Normal"/>
    <w:semiHidden/>
    <w:unhideWhenUsed/>
    <w:qFormat/>
    <w:uiPriority w:val="0"/>
    <w:tblPr>
      <w:tblCellMar>
        <w:top w:w="0" w:type="dxa"/>
        <w:left w:w="0" w:type="dxa"/>
        <w:bottom w:w="0" w:type="dxa"/>
        <w:right w:w="0" w:type="dxa"/>
      </w:tblCellMar>
    </w:tblPr>
  </w:style>
  <w:style w:type="paragraph" w:customStyle="1" w:styleId="78">
    <w:name w:val="Table Text"/>
    <w:basedOn w:val="1"/>
    <w:semiHidden/>
    <w:qFormat/>
    <w:uiPriority w:val="0"/>
    <w:rPr>
      <w:rFonts w:ascii="宋体" w:hAnsi="宋体" w:eastAsia="宋体" w:cs="宋体"/>
      <w:sz w:val="18"/>
      <w:szCs w:val="18"/>
      <w:lang w:val="en-US" w:eastAsia="en-US" w:bidi="ar-SA"/>
    </w:rPr>
  </w:style>
  <w:style w:type="paragraph" w:customStyle="1" w:styleId="79">
    <w:name w:val="+正文"/>
    <w:basedOn w:val="1"/>
    <w:autoRedefine/>
    <w:qFormat/>
    <w:uiPriority w:val="0"/>
    <w:pPr>
      <w:widowControl/>
      <w:spacing w:line="360" w:lineRule="auto"/>
      <w:ind w:firstLine="200" w:firstLineChars="200"/>
      <w:jc w:val="left"/>
    </w:pPr>
    <w:rPr>
      <w:sz w:val="24"/>
      <w:szCs w:val="28"/>
    </w:rPr>
  </w:style>
  <w:style w:type="paragraph" w:customStyle="1" w:styleId="80">
    <w:name w:val="表标题"/>
    <w:basedOn w:val="8"/>
    <w:next w:val="1"/>
    <w:autoRedefine/>
    <w:qFormat/>
    <w:uiPriority w:val="0"/>
    <w:pPr>
      <w:numPr>
        <w:ilvl w:val="0"/>
        <w:numId w:val="0"/>
      </w:numPr>
      <w:jc w:val="center"/>
    </w:pPr>
    <w:rPr>
      <w:rFonts w:ascii="Times New Roman" w:hAnsi="Times New Roman"/>
      <w:szCs w:val="20"/>
    </w:rPr>
  </w:style>
  <w:style w:type="paragraph" w:customStyle="1" w:styleId="81">
    <w:name w:val="0正文内容"/>
    <w:basedOn w:val="1"/>
    <w:autoRedefine/>
    <w:qFormat/>
    <w:uiPriority w:val="0"/>
    <w:pPr>
      <w:widowControl w:val="0"/>
      <w:adjustRightInd w:val="0"/>
      <w:snapToGrid w:val="0"/>
      <w:spacing w:line="360" w:lineRule="auto"/>
      <w:ind w:firstLine="480" w:firstLineChars="200"/>
    </w:pPr>
    <w:rPr>
      <w:rFonts w:ascii="Times New Roman" w:hAnsi="Times New Roman" w:eastAsia="宋体" w:cs="宋体"/>
      <w:color w:val="000000"/>
      <w:kern w:val="0"/>
      <w:lang w:bidi="ar"/>
    </w:rPr>
  </w:style>
  <w:style w:type="paragraph" w:customStyle="1" w:styleId="82">
    <w:name w:val="正文内容"/>
    <w:basedOn w:val="83"/>
    <w:autoRedefine/>
    <w:qFormat/>
    <w:uiPriority w:val="0"/>
    <w:pPr>
      <w:overflowPunct w:val="0"/>
      <w:topLinePunct/>
      <w:spacing w:line="360" w:lineRule="auto"/>
      <w:ind w:firstLine="480" w:firstLineChars="200"/>
    </w:pPr>
    <w:rPr>
      <w:rFonts w:hAnsi="Calibri"/>
      <w:bCs/>
      <w:color w:val="000000"/>
      <w:sz w:val="24"/>
    </w:rPr>
  </w:style>
  <w:style w:type="paragraph" w:customStyle="1" w:styleId="83">
    <w:name w:val="1正文"/>
    <w:autoRedefine/>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4">
    <w:name w:val="书正文"/>
    <w:basedOn w:val="1"/>
    <w:autoRedefine/>
    <w:qFormat/>
    <w:uiPriority w:val="39"/>
    <w:pPr>
      <w:spacing w:line="420" w:lineRule="exact"/>
      <w:ind w:firstLine="560" w:firstLineChars="200"/>
    </w:pPr>
    <w:rPr>
      <w:rFonts w:ascii="Times New Roman" w:hAnsi="Times New Roman"/>
      <w:sz w:val="28"/>
    </w:rPr>
  </w:style>
  <w:style w:type="paragraph" w:customStyle="1" w:styleId="85">
    <w:name w:val="[1]正文"/>
    <w:basedOn w:val="1"/>
    <w:autoRedefine/>
    <w:qFormat/>
    <w:uiPriority w:val="0"/>
    <w:pPr>
      <w:autoSpaceDE w:val="0"/>
      <w:autoSpaceDN w:val="0"/>
      <w:adjustRightInd/>
      <w:spacing w:line="360" w:lineRule="auto"/>
      <w:jc w:val="both"/>
      <w:textAlignment w:val="auto"/>
    </w:pPr>
    <w:rPr>
      <w:color w:val="000000"/>
      <w:kern w:val="0"/>
      <w:lang w:val="zh-CN"/>
    </w:rPr>
  </w:style>
  <w:style w:type="paragraph" w:customStyle="1" w:styleId="86">
    <w:name w:val="1表格内容"/>
    <w:next w:val="1"/>
    <w:autoRedefine/>
    <w:qFormat/>
    <w:uiPriority w:val="0"/>
    <w:pPr>
      <w:widowControl w:val="0"/>
      <w:topLinePunct/>
      <w:adjustRightInd w:val="0"/>
      <w:snapToGrid w:val="0"/>
      <w:jc w:val="center"/>
    </w:pPr>
    <w:rPr>
      <w:rFonts w:ascii="Times New Roman" w:hAnsi="Times New Roman" w:eastAsia="宋体" w:cs="Times New Roman"/>
      <w:sz w:val="21"/>
      <w:lang w:val="en-US" w:eastAsia="zh-CN" w:bidi="ar-SA"/>
    </w:rPr>
  </w:style>
  <w:style w:type="paragraph" w:customStyle="1" w:styleId="87">
    <w:name w:val="1表格内容加粗"/>
    <w:basedOn w:val="1"/>
    <w:autoRedefine/>
    <w:qFormat/>
    <w:uiPriority w:val="0"/>
    <w:pPr>
      <w:spacing w:line="240" w:lineRule="auto"/>
      <w:ind w:firstLine="0" w:firstLineChars="0"/>
      <w:jc w:val="center"/>
    </w:pPr>
    <w:rPr>
      <w:b/>
      <w:bCs/>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14942</Words>
  <Characters>15918</Characters>
  <Lines>0</Lines>
  <Paragraphs>0</Paragraphs>
  <TotalTime>109</TotalTime>
  <ScaleCrop>false</ScaleCrop>
  <LinksUpToDate>false</LinksUpToDate>
  <CharactersWithSpaces>16034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2022-10-11T08:23:00Z</dcterms:created>
  <dc:creator>谁释谁刃</dc:creator>
  <cp:lastModifiedBy>叮当</cp:lastModifiedBy>
  <dcterms:modified xsi:type="dcterms:W3CDTF">2025-09-12T07:38:28Z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B5B06BBD39DB4D9B92157434ACE899B5_13</vt:lpwstr>
  </property>
  <property fmtid="{D5CDD505-2E9C-101B-9397-08002B2CF9AE}" pid="4" name="KSOTemplateDocerSaveRecord">
    <vt:lpwstr>eyJoZGlkIjoiZWMxNjMyNTViYmRjZjc4YTg0NGUyZGMzZGMyNzI4MzIiLCJ1c2VySWQiOiI2Njg1NTM0NDYifQ==</vt:lpwstr>
  </property>
</Properties>
</file>